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3B46A4" w14:textId="77777777" w:rsidR="00C6554A" w:rsidRPr="008B5277" w:rsidRDefault="00DF4FF9" w:rsidP="008F564B">
      <w:pPr>
        <w:pStyle w:val="Photo"/>
        <w:jc w:val="left"/>
      </w:pPr>
      <w:bookmarkStart w:id="0" w:name="_Toc321147149"/>
      <w:bookmarkStart w:id="1" w:name="_Toc318188227"/>
      <w:bookmarkStart w:id="2" w:name="_Toc318188327"/>
      <w:bookmarkStart w:id="3" w:name="_Toc318189312"/>
      <w:bookmarkStart w:id="4" w:name="_Toc321147011"/>
      <w:r>
        <w:rPr>
          <w:noProof/>
        </w:rPr>
        <w:drawing>
          <wp:anchor distT="0" distB="0" distL="114300" distR="114300" simplePos="0" relativeHeight="251658240" behindDoc="1" locked="0" layoutInCell="1" allowOverlap="1" wp14:anchorId="3A0E4ECF" wp14:editId="0D4C0F76">
            <wp:simplePos x="0" y="0"/>
            <wp:positionH relativeFrom="margin">
              <wp:align>left</wp:align>
            </wp:positionH>
            <wp:positionV relativeFrom="paragraph">
              <wp:posOffset>0</wp:posOffset>
            </wp:positionV>
            <wp:extent cx="5422265" cy="3714750"/>
            <wp:effectExtent l="0" t="0" r="6985" b="0"/>
            <wp:wrapTight wrapText="bothSides">
              <wp:wrapPolygon edited="0">
                <wp:start x="0" y="0"/>
                <wp:lineTo x="0" y="21489"/>
                <wp:lineTo x="21552" y="21489"/>
                <wp:lineTo x="21552"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2265" cy="3714750"/>
                    </a:xfrm>
                    <a:prstGeom prst="rect">
                      <a:avLst/>
                    </a:prstGeom>
                    <a:noFill/>
                    <a:ln>
                      <a:noFill/>
                    </a:ln>
                  </pic:spPr>
                </pic:pic>
              </a:graphicData>
            </a:graphic>
            <wp14:sizeRelV relativeFrom="margin">
              <wp14:pctHeight>0</wp14:pctHeight>
            </wp14:sizeRelV>
          </wp:anchor>
        </w:drawing>
      </w:r>
    </w:p>
    <w:bookmarkEnd w:id="0"/>
    <w:bookmarkEnd w:id="1"/>
    <w:bookmarkEnd w:id="2"/>
    <w:bookmarkEnd w:id="3"/>
    <w:bookmarkEnd w:id="4"/>
    <w:p w14:paraId="7811E2E8" w14:textId="77777777" w:rsidR="00DF4FF9" w:rsidRDefault="00DF4FF9" w:rsidP="00DF4FF9">
      <w:pPr>
        <w:pStyle w:val="Title"/>
        <w:rPr>
          <w:color w:val="auto"/>
        </w:rPr>
      </w:pPr>
    </w:p>
    <w:p w14:paraId="613ADC9C" w14:textId="77777777" w:rsidR="00C6554A" w:rsidRPr="00D946AD" w:rsidRDefault="00DF4FF9" w:rsidP="00DF4FF9">
      <w:pPr>
        <w:pStyle w:val="Title"/>
        <w:rPr>
          <w:rFonts w:ascii="Arial" w:hAnsi="Arial" w:cs="Arial"/>
          <w:color w:val="auto"/>
        </w:rPr>
      </w:pPr>
      <w:r w:rsidRPr="00D946AD">
        <w:rPr>
          <w:rFonts w:ascii="Arial" w:hAnsi="Arial" w:cs="Arial"/>
          <w:color w:val="auto"/>
        </w:rPr>
        <w:t>Accounting for Leases</w:t>
      </w:r>
    </w:p>
    <w:p w14:paraId="2A2E301A" w14:textId="77777777" w:rsidR="00DF4FF9" w:rsidRPr="00D946AD" w:rsidRDefault="00DF4FF9" w:rsidP="00DF4FF9">
      <w:pPr>
        <w:pStyle w:val="Title"/>
        <w:rPr>
          <w:rFonts w:ascii="Arial" w:hAnsi="Arial" w:cs="Arial"/>
          <w:color w:val="auto"/>
        </w:rPr>
      </w:pPr>
    </w:p>
    <w:p w14:paraId="48F830B5" w14:textId="169A9950" w:rsidR="00C6554A" w:rsidRDefault="00DF4FF9" w:rsidP="00DF4FF9">
      <w:pPr>
        <w:pStyle w:val="ContactInfo"/>
      </w:pPr>
      <w:r w:rsidRPr="00D946AD">
        <w:rPr>
          <w:rFonts w:ascii="Arial" w:hAnsi="Arial" w:cs="Arial"/>
          <w:color w:val="auto"/>
        </w:rPr>
        <w:t>Ryan Price</w:t>
      </w:r>
      <w:r w:rsidR="00C6554A">
        <w:br w:type="page"/>
      </w:r>
    </w:p>
    <w:p w14:paraId="560D24F9" w14:textId="29841553" w:rsidR="00F776EA" w:rsidRDefault="007A5B82" w:rsidP="000328AB">
      <w:pPr>
        <w:pStyle w:val="Heading1"/>
        <w:spacing w:before="30" w:after="30"/>
        <w:rPr>
          <w:rFonts w:ascii="Arial" w:hAnsi="Arial" w:cs="Arial"/>
          <w:color w:val="auto"/>
          <w:u w:val="single"/>
        </w:rPr>
      </w:pPr>
      <w:r w:rsidRPr="007A5B82">
        <w:rPr>
          <w:rFonts w:ascii="Arial" w:hAnsi="Arial" w:cs="Arial"/>
          <w:color w:val="auto"/>
          <w:u w:val="single"/>
        </w:rPr>
        <w:lastRenderedPageBreak/>
        <w:t>Executive Summary</w:t>
      </w:r>
    </w:p>
    <w:p w14:paraId="12890C36" w14:textId="3F9374A0" w:rsidR="00F776EA" w:rsidRDefault="008E4A56" w:rsidP="000328AB">
      <w:pPr>
        <w:pStyle w:val="ContactInfo"/>
        <w:spacing w:before="30" w:after="30"/>
        <w:jc w:val="left"/>
        <w:rPr>
          <w:rFonts w:ascii="Arial" w:hAnsi="Arial" w:cs="Arial"/>
          <w:color w:val="auto"/>
        </w:rPr>
      </w:pPr>
      <w:r w:rsidRPr="000C502E">
        <w:rPr>
          <w:rFonts w:ascii="Arial" w:hAnsi="Arial" w:cs="Arial"/>
          <w:color w:val="auto"/>
        </w:rPr>
        <w:t xml:space="preserve">This report </w:t>
      </w:r>
      <w:r w:rsidR="002376BC" w:rsidRPr="000C502E">
        <w:rPr>
          <w:rFonts w:ascii="Arial" w:hAnsi="Arial" w:cs="Arial"/>
          <w:color w:val="auto"/>
        </w:rPr>
        <w:t xml:space="preserve">starts by </w:t>
      </w:r>
      <w:r w:rsidRPr="000C502E">
        <w:rPr>
          <w:rFonts w:ascii="Arial" w:hAnsi="Arial" w:cs="Arial"/>
          <w:color w:val="auto"/>
        </w:rPr>
        <w:t>discuss</w:t>
      </w:r>
      <w:r w:rsidR="002376BC" w:rsidRPr="000C502E">
        <w:rPr>
          <w:rFonts w:ascii="Arial" w:hAnsi="Arial" w:cs="Arial"/>
          <w:color w:val="auto"/>
        </w:rPr>
        <w:t>ing</w:t>
      </w:r>
      <w:r w:rsidRPr="000C502E">
        <w:rPr>
          <w:rFonts w:ascii="Arial" w:hAnsi="Arial" w:cs="Arial"/>
          <w:color w:val="auto"/>
        </w:rPr>
        <w:t xml:space="preserve"> how leases </w:t>
      </w:r>
      <w:r w:rsidR="008768E9" w:rsidRPr="000C502E">
        <w:rPr>
          <w:rFonts w:ascii="Arial" w:hAnsi="Arial" w:cs="Arial"/>
          <w:color w:val="auto"/>
        </w:rPr>
        <w:t>currently differentiate into finance leases and operating leases.</w:t>
      </w:r>
      <w:r w:rsidR="00BC5CB1" w:rsidRPr="000C502E">
        <w:rPr>
          <w:rFonts w:ascii="Arial" w:hAnsi="Arial" w:cs="Arial"/>
          <w:color w:val="auto"/>
        </w:rPr>
        <w:t xml:space="preserve"> It then goes onto discuss how both are accounted for whilst using sub</w:t>
      </w:r>
      <w:r w:rsidR="00ED720C" w:rsidRPr="000C502E">
        <w:rPr>
          <w:rFonts w:ascii="Arial" w:hAnsi="Arial" w:cs="Arial"/>
          <w:color w:val="auto"/>
        </w:rPr>
        <w:t>stance over form</w:t>
      </w:r>
      <w:r w:rsidR="00BC5CB1" w:rsidRPr="000C502E">
        <w:rPr>
          <w:rFonts w:ascii="Arial" w:hAnsi="Arial" w:cs="Arial"/>
          <w:color w:val="auto"/>
        </w:rPr>
        <w:t xml:space="preserve"> and then summarizes the current criticisms of IAS 17</w:t>
      </w:r>
      <w:r w:rsidR="00ED720C" w:rsidRPr="000C502E">
        <w:rPr>
          <w:rFonts w:ascii="Arial" w:hAnsi="Arial" w:cs="Arial"/>
          <w:color w:val="auto"/>
        </w:rPr>
        <w:t xml:space="preserve"> which are;</w:t>
      </w:r>
    </w:p>
    <w:p w14:paraId="16EE0574" w14:textId="77777777" w:rsidR="00426D48" w:rsidRPr="000C502E" w:rsidRDefault="00426D48" w:rsidP="000328AB">
      <w:pPr>
        <w:pStyle w:val="ContactInfo"/>
        <w:spacing w:before="30" w:after="30"/>
        <w:jc w:val="left"/>
        <w:rPr>
          <w:rFonts w:ascii="Arial" w:hAnsi="Arial" w:cs="Arial"/>
          <w:color w:val="auto"/>
        </w:rPr>
      </w:pPr>
    </w:p>
    <w:p w14:paraId="1C51F663" w14:textId="21DB69FE" w:rsidR="00ED720C" w:rsidRPr="000C502E" w:rsidRDefault="00ED720C" w:rsidP="000328AB">
      <w:pPr>
        <w:pStyle w:val="ContactInfo"/>
        <w:numPr>
          <w:ilvl w:val="0"/>
          <w:numId w:val="19"/>
        </w:numPr>
        <w:spacing w:before="30" w:after="30"/>
        <w:jc w:val="left"/>
        <w:rPr>
          <w:rFonts w:ascii="Arial" w:hAnsi="Arial" w:cs="Arial"/>
          <w:color w:val="auto"/>
        </w:rPr>
      </w:pPr>
      <w:r w:rsidRPr="000C502E">
        <w:rPr>
          <w:rFonts w:ascii="Arial" w:hAnsi="Arial" w:cs="Arial"/>
          <w:color w:val="auto"/>
        </w:rPr>
        <w:t>The significant difference in accounting between finance</w:t>
      </w:r>
      <w:r w:rsidR="00A67385" w:rsidRPr="000C502E">
        <w:rPr>
          <w:rFonts w:ascii="Arial" w:hAnsi="Arial" w:cs="Arial"/>
          <w:color w:val="auto"/>
        </w:rPr>
        <w:t xml:space="preserve"> and operating lease.</w:t>
      </w:r>
    </w:p>
    <w:p w14:paraId="2927351E" w14:textId="12E0E070" w:rsidR="00A67385" w:rsidRPr="000C502E" w:rsidRDefault="00101DAA" w:rsidP="000328AB">
      <w:pPr>
        <w:pStyle w:val="ContactInfo"/>
        <w:numPr>
          <w:ilvl w:val="0"/>
          <w:numId w:val="19"/>
        </w:numPr>
        <w:spacing w:before="30" w:after="30"/>
        <w:jc w:val="left"/>
        <w:rPr>
          <w:rFonts w:ascii="Arial" w:hAnsi="Arial" w:cs="Arial"/>
          <w:color w:val="auto"/>
        </w:rPr>
      </w:pPr>
      <w:r w:rsidRPr="000C502E">
        <w:rPr>
          <w:rFonts w:ascii="Arial" w:hAnsi="Arial" w:cs="Arial"/>
          <w:color w:val="auto"/>
        </w:rPr>
        <w:t>Too complex and not transparent</w:t>
      </w:r>
    </w:p>
    <w:p w14:paraId="580EED05" w14:textId="5B2F925F" w:rsidR="00101DAA" w:rsidRPr="000C502E" w:rsidRDefault="00101DAA" w:rsidP="000328AB">
      <w:pPr>
        <w:pStyle w:val="ContactInfo"/>
        <w:numPr>
          <w:ilvl w:val="0"/>
          <w:numId w:val="19"/>
        </w:numPr>
        <w:spacing w:before="30" w:after="30"/>
        <w:jc w:val="left"/>
        <w:rPr>
          <w:rFonts w:ascii="Arial" w:hAnsi="Arial" w:cs="Arial"/>
          <w:color w:val="auto"/>
        </w:rPr>
      </w:pPr>
      <w:r w:rsidRPr="000C502E">
        <w:rPr>
          <w:rFonts w:ascii="Arial" w:hAnsi="Arial" w:cs="Arial"/>
          <w:color w:val="auto"/>
        </w:rPr>
        <w:t>Does not comply with conceptual framework definitions.</w:t>
      </w:r>
    </w:p>
    <w:p w14:paraId="4B0F3BA0" w14:textId="226F3F4B" w:rsidR="00101DAA" w:rsidRPr="000C502E" w:rsidRDefault="00101DAA" w:rsidP="000328AB">
      <w:pPr>
        <w:pStyle w:val="ContactInfo"/>
        <w:spacing w:before="30" w:after="30"/>
        <w:jc w:val="left"/>
        <w:rPr>
          <w:rFonts w:ascii="Arial" w:hAnsi="Arial" w:cs="Arial"/>
          <w:color w:val="auto"/>
        </w:rPr>
      </w:pPr>
    </w:p>
    <w:p w14:paraId="20DBF5BE" w14:textId="63F1629E" w:rsidR="00101DAA" w:rsidRPr="000C502E" w:rsidRDefault="00F02358" w:rsidP="000328AB">
      <w:pPr>
        <w:pStyle w:val="ContactInfo"/>
        <w:spacing w:before="30" w:after="30"/>
        <w:jc w:val="left"/>
        <w:rPr>
          <w:rFonts w:ascii="Arial" w:hAnsi="Arial" w:cs="Arial"/>
          <w:color w:val="auto"/>
        </w:rPr>
      </w:pPr>
      <w:r w:rsidRPr="000C502E">
        <w:rPr>
          <w:rFonts w:ascii="Arial" w:hAnsi="Arial" w:cs="Arial"/>
          <w:color w:val="auto"/>
        </w:rPr>
        <w:t xml:space="preserve">The report then moves onto the replacement of IAS 17 which is IFRS 16, the report discusses how IFRS 16 </w:t>
      </w:r>
      <w:r w:rsidR="00783A02" w:rsidRPr="000C502E">
        <w:rPr>
          <w:rFonts w:ascii="Arial" w:hAnsi="Arial" w:cs="Arial"/>
          <w:color w:val="auto"/>
        </w:rPr>
        <w:t>will be accounted for and clearly identifies the impact the change of standard will have on the balance sheet and profit and loss account. Lastly, it discusses the</w:t>
      </w:r>
      <w:r w:rsidR="000C502E" w:rsidRPr="000C502E">
        <w:rPr>
          <w:rFonts w:ascii="Arial" w:hAnsi="Arial" w:cs="Arial"/>
          <w:color w:val="auto"/>
        </w:rPr>
        <w:t xml:space="preserve"> effects these changes will have on specific industries. </w:t>
      </w:r>
    </w:p>
    <w:p w14:paraId="368FDCE4" w14:textId="4819F90F" w:rsidR="00F776EA" w:rsidRDefault="00F776EA" w:rsidP="000328AB">
      <w:pPr>
        <w:pStyle w:val="ContactInfo"/>
        <w:spacing w:before="30" w:after="30"/>
      </w:pPr>
    </w:p>
    <w:p w14:paraId="2774934F" w14:textId="3E4415E4" w:rsidR="00F776EA" w:rsidRDefault="00F776EA" w:rsidP="000328AB">
      <w:pPr>
        <w:pStyle w:val="ContactInfo"/>
        <w:spacing w:before="30" w:after="30"/>
      </w:pPr>
    </w:p>
    <w:p w14:paraId="55089DA6" w14:textId="4694D0A1" w:rsidR="00F776EA" w:rsidRDefault="00F776EA" w:rsidP="000328AB">
      <w:pPr>
        <w:pStyle w:val="ContactInfo"/>
        <w:spacing w:before="30" w:after="30"/>
      </w:pPr>
    </w:p>
    <w:p w14:paraId="56149CD5" w14:textId="6FD18A3E" w:rsidR="00F776EA" w:rsidRDefault="00F776EA" w:rsidP="000328AB">
      <w:pPr>
        <w:pStyle w:val="ContactInfo"/>
        <w:spacing w:before="30" w:after="30"/>
      </w:pPr>
    </w:p>
    <w:p w14:paraId="54B157D2" w14:textId="3282F153" w:rsidR="00F776EA" w:rsidRDefault="00F776EA" w:rsidP="000328AB">
      <w:pPr>
        <w:pStyle w:val="ContactInfo"/>
        <w:spacing w:before="30" w:after="30"/>
      </w:pPr>
    </w:p>
    <w:p w14:paraId="6470D56A" w14:textId="57B842A9" w:rsidR="00F776EA" w:rsidRDefault="00F776EA" w:rsidP="000328AB">
      <w:pPr>
        <w:pStyle w:val="ContactInfo"/>
        <w:spacing w:before="30"/>
      </w:pPr>
    </w:p>
    <w:p w14:paraId="52E23099" w14:textId="4A6F4A4D" w:rsidR="00F776EA" w:rsidRDefault="00F776EA" w:rsidP="000328AB">
      <w:pPr>
        <w:pStyle w:val="ContactInfo"/>
        <w:spacing w:before="30"/>
      </w:pPr>
    </w:p>
    <w:p w14:paraId="2A825B51" w14:textId="65F6091E" w:rsidR="00F776EA" w:rsidRDefault="00F776EA" w:rsidP="000328AB">
      <w:pPr>
        <w:pStyle w:val="ContactInfo"/>
        <w:spacing w:before="30"/>
      </w:pPr>
    </w:p>
    <w:p w14:paraId="2AC8A3CF" w14:textId="6E4102DB" w:rsidR="00F776EA" w:rsidRDefault="00F776EA" w:rsidP="000328AB">
      <w:pPr>
        <w:pStyle w:val="ContactInfo"/>
        <w:spacing w:before="30"/>
      </w:pPr>
    </w:p>
    <w:p w14:paraId="4F177069" w14:textId="514058DD" w:rsidR="00F776EA" w:rsidRDefault="00F776EA" w:rsidP="000328AB">
      <w:pPr>
        <w:pStyle w:val="ContactInfo"/>
        <w:spacing w:before="30"/>
      </w:pPr>
    </w:p>
    <w:p w14:paraId="2C9E05A1" w14:textId="454AC82E" w:rsidR="00F776EA" w:rsidRDefault="00F776EA" w:rsidP="000328AB">
      <w:pPr>
        <w:pStyle w:val="ContactInfo"/>
        <w:spacing w:before="30"/>
      </w:pPr>
    </w:p>
    <w:p w14:paraId="60EE6C9E" w14:textId="35C9D66C" w:rsidR="00F776EA" w:rsidRDefault="00F776EA" w:rsidP="000328AB">
      <w:pPr>
        <w:pStyle w:val="ContactInfo"/>
        <w:spacing w:before="30"/>
      </w:pPr>
    </w:p>
    <w:p w14:paraId="1B33ABBA" w14:textId="284FC4C8" w:rsidR="00F776EA" w:rsidRDefault="00F776EA" w:rsidP="000328AB">
      <w:pPr>
        <w:pStyle w:val="ContactInfo"/>
        <w:spacing w:before="30"/>
      </w:pPr>
    </w:p>
    <w:p w14:paraId="173CE7B4" w14:textId="16919CF7" w:rsidR="00F776EA" w:rsidRDefault="00F776EA" w:rsidP="000328AB">
      <w:pPr>
        <w:pStyle w:val="ContactInfo"/>
        <w:spacing w:before="30"/>
      </w:pPr>
    </w:p>
    <w:p w14:paraId="6B3F6886" w14:textId="7A99D0BE" w:rsidR="00F776EA" w:rsidRDefault="00F776EA" w:rsidP="000328AB">
      <w:pPr>
        <w:pStyle w:val="ContactInfo"/>
        <w:spacing w:before="30"/>
      </w:pPr>
    </w:p>
    <w:p w14:paraId="79E9F0CC" w14:textId="1EC7B1FB" w:rsidR="00F776EA" w:rsidRDefault="00F776EA" w:rsidP="000328AB">
      <w:pPr>
        <w:pStyle w:val="ContactInfo"/>
        <w:spacing w:before="30"/>
      </w:pPr>
    </w:p>
    <w:p w14:paraId="6E03A500" w14:textId="1CDDE165" w:rsidR="00F776EA" w:rsidRDefault="00F776EA" w:rsidP="000328AB">
      <w:pPr>
        <w:pStyle w:val="ContactInfo"/>
        <w:spacing w:before="30"/>
      </w:pPr>
    </w:p>
    <w:p w14:paraId="071CA4DB" w14:textId="70ED0BC5" w:rsidR="00F776EA" w:rsidRDefault="00F776EA" w:rsidP="000328AB">
      <w:pPr>
        <w:pStyle w:val="ContactInfo"/>
        <w:spacing w:before="30"/>
      </w:pPr>
    </w:p>
    <w:p w14:paraId="50E976D5" w14:textId="2780A35F" w:rsidR="00F776EA" w:rsidRDefault="00F776EA" w:rsidP="000328AB">
      <w:pPr>
        <w:pStyle w:val="ContactInfo"/>
        <w:spacing w:before="30"/>
      </w:pPr>
    </w:p>
    <w:p w14:paraId="0D082CC3" w14:textId="0DA9DFA1" w:rsidR="00F776EA" w:rsidRDefault="00F776EA" w:rsidP="000328AB">
      <w:pPr>
        <w:pStyle w:val="ContactInfo"/>
        <w:spacing w:before="30"/>
      </w:pPr>
    </w:p>
    <w:p w14:paraId="4B121EB4" w14:textId="59886A80" w:rsidR="00866052" w:rsidRDefault="00866052" w:rsidP="00CE050D">
      <w:pPr>
        <w:pStyle w:val="ContactInfo"/>
        <w:spacing w:before="30"/>
        <w:jc w:val="left"/>
      </w:pPr>
    </w:p>
    <w:p w14:paraId="616A96C7" w14:textId="77777777" w:rsidR="00CE050D" w:rsidRDefault="00CE050D" w:rsidP="00CE050D">
      <w:pPr>
        <w:pStyle w:val="ContactInfo"/>
        <w:spacing w:before="30"/>
        <w:jc w:val="left"/>
      </w:pPr>
    </w:p>
    <w:p w14:paraId="1C6B62A2" w14:textId="6E295A3B" w:rsidR="00F776EA" w:rsidRDefault="00F776EA" w:rsidP="000328AB">
      <w:pPr>
        <w:pStyle w:val="ContactInfo"/>
        <w:spacing w:before="30"/>
      </w:pPr>
    </w:p>
    <w:p w14:paraId="43777E2C" w14:textId="77777777" w:rsidR="000C502E" w:rsidRDefault="000C502E" w:rsidP="000328AB">
      <w:pPr>
        <w:pStyle w:val="ContactInfo"/>
        <w:spacing w:before="30"/>
      </w:pPr>
    </w:p>
    <w:p w14:paraId="0CB1A884" w14:textId="3686E8F6" w:rsidR="00F776EA" w:rsidRPr="00CE050D" w:rsidRDefault="008F564B" w:rsidP="00CE050D">
      <w:pPr>
        <w:pStyle w:val="Heading1"/>
        <w:spacing w:before="30"/>
        <w:rPr>
          <w:rFonts w:ascii="Arial" w:hAnsi="Arial" w:cs="Arial"/>
          <w:color w:val="auto"/>
          <w:u w:val="single"/>
        </w:rPr>
      </w:pPr>
      <w:r w:rsidRPr="00D946AD">
        <w:rPr>
          <w:rFonts w:ascii="Arial" w:hAnsi="Arial" w:cs="Arial"/>
          <w:color w:val="auto"/>
          <w:u w:val="single"/>
        </w:rPr>
        <w:lastRenderedPageBreak/>
        <w:t>How leases differentiate</w:t>
      </w:r>
    </w:p>
    <w:p w14:paraId="35B31926" w14:textId="4FE1C981" w:rsidR="005E30DE" w:rsidRPr="00D946AD" w:rsidRDefault="005E30DE" w:rsidP="000328AB">
      <w:pPr>
        <w:pStyle w:val="NormalWeb"/>
        <w:spacing w:before="30" w:beforeAutospacing="0" w:after="30" w:afterAutospacing="0"/>
        <w:rPr>
          <w:rFonts w:ascii="Arial" w:eastAsiaTheme="minorHAnsi" w:hAnsi="Arial" w:cs="Arial"/>
          <w:sz w:val="22"/>
          <w:szCs w:val="22"/>
          <w:lang w:val="en-US" w:eastAsia="en-US"/>
        </w:rPr>
      </w:pPr>
      <w:r w:rsidRPr="00D946AD">
        <w:rPr>
          <w:rFonts w:ascii="Arial" w:eastAsiaTheme="minorHAnsi" w:hAnsi="Arial" w:cs="Arial"/>
          <w:sz w:val="22"/>
          <w:szCs w:val="22"/>
          <w:lang w:val="en-US" w:eastAsia="en-US"/>
        </w:rPr>
        <w:t>The current standard that covers leasing is IAS 17</w:t>
      </w:r>
      <w:r w:rsidR="00602EC6">
        <w:rPr>
          <w:rFonts w:ascii="Arial" w:eastAsiaTheme="minorHAnsi" w:hAnsi="Arial" w:cs="Arial"/>
          <w:sz w:val="22"/>
          <w:szCs w:val="22"/>
          <w:lang w:val="en-US" w:eastAsia="en-US"/>
        </w:rPr>
        <w:t>.</w:t>
      </w:r>
      <w:r w:rsidRPr="00D946AD">
        <w:rPr>
          <w:rFonts w:ascii="Arial" w:eastAsiaTheme="minorHAnsi" w:hAnsi="Arial" w:cs="Arial"/>
          <w:sz w:val="22"/>
          <w:szCs w:val="22"/>
          <w:lang w:val="en-US" w:eastAsia="en-US"/>
        </w:rPr>
        <w:t xml:space="preserve"> </w:t>
      </w:r>
      <w:r w:rsidR="00602EC6">
        <w:rPr>
          <w:rFonts w:ascii="Arial" w:eastAsiaTheme="minorHAnsi" w:hAnsi="Arial" w:cs="Arial"/>
          <w:sz w:val="22"/>
          <w:szCs w:val="22"/>
          <w:lang w:val="en-US" w:eastAsia="en-US"/>
        </w:rPr>
        <w:t>IAS 17</w:t>
      </w:r>
      <w:r w:rsidR="00C85EDE" w:rsidRPr="00D946AD">
        <w:rPr>
          <w:rFonts w:ascii="Arial" w:eastAsiaTheme="minorHAnsi" w:hAnsi="Arial" w:cs="Arial"/>
          <w:sz w:val="22"/>
          <w:szCs w:val="22"/>
          <w:lang w:val="en-US" w:eastAsia="en-US"/>
        </w:rPr>
        <w:t xml:space="preserve"> </w:t>
      </w:r>
      <w:r w:rsidR="00602EC6">
        <w:rPr>
          <w:rFonts w:ascii="Arial" w:eastAsiaTheme="minorHAnsi" w:hAnsi="Arial" w:cs="Arial"/>
          <w:sz w:val="22"/>
          <w:szCs w:val="22"/>
          <w:lang w:val="en-US" w:eastAsia="en-US"/>
        </w:rPr>
        <w:t>divides</w:t>
      </w:r>
      <w:r w:rsidR="000A7A13" w:rsidRPr="00D946AD">
        <w:rPr>
          <w:rFonts w:ascii="Arial" w:eastAsiaTheme="minorHAnsi" w:hAnsi="Arial" w:cs="Arial"/>
          <w:sz w:val="22"/>
          <w:szCs w:val="22"/>
          <w:lang w:val="en-US" w:eastAsia="en-US"/>
        </w:rPr>
        <w:t xml:space="preserve"> leasing up into two types of leasing, finance leasing and operating lease</w:t>
      </w:r>
      <w:r w:rsidR="000A7A13">
        <w:rPr>
          <w:rFonts w:ascii="Arial" w:eastAsiaTheme="minorHAnsi" w:hAnsi="Arial" w:cs="Arial"/>
          <w:sz w:val="22"/>
          <w:szCs w:val="22"/>
          <w:lang w:val="en-US" w:eastAsia="en-US"/>
        </w:rPr>
        <w:t xml:space="preserve">. </w:t>
      </w:r>
    </w:p>
    <w:p w14:paraId="5889F1C3" w14:textId="4726447A" w:rsidR="000633A5" w:rsidRDefault="005E30DE" w:rsidP="000328AB">
      <w:pPr>
        <w:pStyle w:val="NormalWeb"/>
        <w:spacing w:before="30" w:beforeAutospacing="0" w:after="30" w:afterAutospacing="0"/>
        <w:ind w:firstLine="720"/>
        <w:rPr>
          <w:rFonts w:ascii="Arial" w:eastAsiaTheme="minorHAnsi" w:hAnsi="Arial" w:cs="Arial"/>
          <w:sz w:val="22"/>
          <w:szCs w:val="22"/>
          <w:lang w:val="en-US" w:eastAsia="en-US"/>
        </w:rPr>
      </w:pPr>
      <w:r w:rsidRPr="00D946AD">
        <w:rPr>
          <w:rFonts w:ascii="Arial" w:eastAsiaTheme="minorHAnsi" w:hAnsi="Arial" w:cs="Arial"/>
          <w:sz w:val="22"/>
          <w:szCs w:val="22"/>
          <w:lang w:val="en-US" w:eastAsia="en-US"/>
        </w:rPr>
        <w:t>A finance lease is a lease that transfers all the risks and rewards incidental to ownership of an asset to the lessee’ whereas ‘An operating lease is defined as being any lease other than a finance lease.’</w:t>
      </w:r>
      <w:sdt>
        <w:sdtPr>
          <w:rPr>
            <w:rFonts w:ascii="Arial" w:eastAsiaTheme="minorHAnsi" w:hAnsi="Arial" w:cs="Arial"/>
            <w:sz w:val="22"/>
            <w:szCs w:val="22"/>
            <w:lang w:val="en-US" w:eastAsia="en-US"/>
          </w:rPr>
          <w:id w:val="162901126"/>
          <w:citation/>
        </w:sdtPr>
        <w:sdtEndPr/>
        <w:sdtContent>
          <w:r w:rsidRPr="00D946AD">
            <w:rPr>
              <w:rFonts w:ascii="Arial" w:eastAsiaTheme="minorHAnsi" w:hAnsi="Arial" w:cs="Arial"/>
              <w:sz w:val="22"/>
              <w:szCs w:val="22"/>
              <w:lang w:val="en-US" w:eastAsia="en-US"/>
            </w:rPr>
            <w:fldChar w:fldCharType="begin"/>
          </w:r>
          <w:r w:rsidR="00AB6ADE">
            <w:rPr>
              <w:rFonts w:ascii="Arial" w:eastAsiaTheme="minorHAnsi" w:hAnsi="Arial" w:cs="Arial"/>
              <w:sz w:val="22"/>
              <w:szCs w:val="22"/>
              <w:lang w:val="en-US" w:eastAsia="en-US"/>
            </w:rPr>
            <w:instrText xml:space="preserve">CITATION Acc09 \l 2057 </w:instrText>
          </w:r>
          <w:r w:rsidRPr="00D946AD">
            <w:rPr>
              <w:rFonts w:ascii="Arial" w:eastAsiaTheme="minorHAnsi" w:hAnsi="Arial" w:cs="Arial"/>
              <w:sz w:val="22"/>
              <w:szCs w:val="22"/>
              <w:lang w:val="en-US" w:eastAsia="en-US"/>
            </w:rPr>
            <w:fldChar w:fldCharType="separate"/>
          </w:r>
          <w:r w:rsidR="005C372C">
            <w:rPr>
              <w:rFonts w:ascii="Arial" w:eastAsiaTheme="minorHAnsi" w:hAnsi="Arial" w:cs="Arial"/>
              <w:noProof/>
              <w:sz w:val="22"/>
              <w:szCs w:val="22"/>
              <w:lang w:val="en-US" w:eastAsia="en-US"/>
            </w:rPr>
            <w:t xml:space="preserve"> </w:t>
          </w:r>
          <w:r w:rsidR="005C372C" w:rsidRPr="005C372C">
            <w:rPr>
              <w:rFonts w:ascii="Arial" w:eastAsiaTheme="minorHAnsi" w:hAnsi="Arial" w:cs="Arial"/>
              <w:noProof/>
              <w:sz w:val="22"/>
              <w:szCs w:val="22"/>
              <w:lang w:val="en-US" w:eastAsia="en-US"/>
            </w:rPr>
            <w:t>(Retallack, 09)</w:t>
          </w:r>
          <w:r w:rsidRPr="00D946AD">
            <w:rPr>
              <w:rFonts w:ascii="Arial" w:eastAsiaTheme="minorHAnsi" w:hAnsi="Arial" w:cs="Arial"/>
              <w:sz w:val="22"/>
              <w:szCs w:val="22"/>
              <w:lang w:val="en-US" w:eastAsia="en-US"/>
            </w:rPr>
            <w:fldChar w:fldCharType="end"/>
          </w:r>
        </w:sdtContent>
      </w:sdt>
      <w:r w:rsidRPr="00D946AD">
        <w:rPr>
          <w:rFonts w:ascii="Arial" w:eastAsiaTheme="minorHAnsi" w:hAnsi="Arial" w:cs="Arial"/>
          <w:sz w:val="22"/>
          <w:szCs w:val="22"/>
          <w:lang w:val="en-US" w:eastAsia="en-US"/>
        </w:rPr>
        <w:t>.</w:t>
      </w:r>
    </w:p>
    <w:p w14:paraId="09BFAC06" w14:textId="0D1D9C11" w:rsidR="002B2C52" w:rsidRDefault="00DA048B" w:rsidP="00CE456F">
      <w:pPr>
        <w:pStyle w:val="NormalWeb"/>
        <w:spacing w:before="30" w:beforeAutospacing="0" w:after="30" w:afterAutospacing="0"/>
        <w:ind w:firstLine="720"/>
        <w:rPr>
          <w:rFonts w:ascii="Arial" w:eastAsiaTheme="minorHAnsi" w:hAnsi="Arial" w:cs="Arial"/>
          <w:sz w:val="22"/>
          <w:szCs w:val="22"/>
          <w:lang w:val="en-US" w:eastAsia="en-US"/>
        </w:rPr>
      </w:pPr>
      <w:r>
        <w:rPr>
          <w:rFonts w:ascii="Arial" w:eastAsiaTheme="minorHAnsi" w:hAnsi="Arial" w:cs="Arial"/>
          <w:sz w:val="22"/>
          <w:szCs w:val="22"/>
          <w:lang w:val="en-US" w:eastAsia="en-US"/>
        </w:rPr>
        <w:t>T</w:t>
      </w:r>
      <w:r w:rsidR="00540D56">
        <w:rPr>
          <w:rFonts w:ascii="Arial" w:eastAsiaTheme="minorHAnsi" w:hAnsi="Arial" w:cs="Arial"/>
          <w:sz w:val="22"/>
          <w:szCs w:val="22"/>
          <w:lang w:val="en-US" w:eastAsia="en-US"/>
        </w:rPr>
        <w:t>o</w:t>
      </w:r>
      <w:r>
        <w:rPr>
          <w:rFonts w:ascii="Arial" w:eastAsiaTheme="minorHAnsi" w:hAnsi="Arial" w:cs="Arial"/>
          <w:sz w:val="22"/>
          <w:szCs w:val="22"/>
          <w:lang w:val="en-US" w:eastAsia="en-US"/>
        </w:rPr>
        <w:t xml:space="preserve"> classify the lease</w:t>
      </w:r>
      <w:r w:rsidR="00E014CA">
        <w:rPr>
          <w:rFonts w:ascii="Arial" w:eastAsiaTheme="minorHAnsi" w:hAnsi="Arial" w:cs="Arial"/>
          <w:sz w:val="22"/>
          <w:szCs w:val="22"/>
          <w:lang w:val="en-US" w:eastAsia="en-US"/>
        </w:rPr>
        <w:t xml:space="preserve"> </w:t>
      </w:r>
      <w:r w:rsidR="00F713AF">
        <w:rPr>
          <w:rFonts w:ascii="Arial" w:eastAsiaTheme="minorHAnsi" w:hAnsi="Arial" w:cs="Arial"/>
          <w:sz w:val="22"/>
          <w:szCs w:val="22"/>
          <w:lang w:val="en-US" w:eastAsia="en-US"/>
        </w:rPr>
        <w:t>accountants</w:t>
      </w:r>
      <w:r w:rsidR="00E014CA">
        <w:rPr>
          <w:rFonts w:ascii="Arial" w:eastAsiaTheme="minorHAnsi" w:hAnsi="Arial" w:cs="Arial"/>
          <w:sz w:val="22"/>
          <w:szCs w:val="22"/>
          <w:lang w:val="en-US" w:eastAsia="en-US"/>
        </w:rPr>
        <w:t xml:space="preserve"> must look at who takes on the risk and rewards of the asset. If the risks and rewards lay with the lessee </w:t>
      </w:r>
      <w:r w:rsidR="00F713AF">
        <w:rPr>
          <w:rFonts w:ascii="Arial" w:eastAsiaTheme="minorHAnsi" w:hAnsi="Arial" w:cs="Arial"/>
          <w:sz w:val="22"/>
          <w:szCs w:val="22"/>
          <w:lang w:val="en-US" w:eastAsia="en-US"/>
        </w:rPr>
        <w:t>then it is a finance lease, alternatively if the lessee does not take on the risk and rewards then it is an operating lease.</w:t>
      </w:r>
      <w:r w:rsidR="005E30DE" w:rsidRPr="00D946AD">
        <w:rPr>
          <w:rFonts w:ascii="Arial" w:eastAsiaTheme="minorHAnsi" w:hAnsi="Arial" w:cs="Arial"/>
          <w:sz w:val="22"/>
          <w:szCs w:val="22"/>
          <w:lang w:val="en-US" w:eastAsia="en-US"/>
        </w:rPr>
        <w:t xml:space="preserve"> Just for context, a traditional finance lease example would be a vehicle lease. An operating lease example would be a landlord leasing a property to a tenant.</w:t>
      </w:r>
    </w:p>
    <w:p w14:paraId="70D3A4E0" w14:textId="74BA2B77" w:rsidR="002B2C52" w:rsidRPr="00D946AD" w:rsidRDefault="00591063" w:rsidP="000328AB">
      <w:pPr>
        <w:pStyle w:val="NormalWeb"/>
        <w:spacing w:before="30" w:beforeAutospacing="0" w:after="30" w:afterAutospacing="0"/>
        <w:ind w:firstLine="720"/>
        <w:rPr>
          <w:rFonts w:ascii="Arial" w:eastAsiaTheme="minorHAnsi" w:hAnsi="Arial" w:cs="Arial"/>
          <w:sz w:val="22"/>
          <w:szCs w:val="22"/>
          <w:lang w:val="en-US" w:eastAsia="en-US"/>
        </w:rPr>
      </w:pPr>
      <w:r>
        <w:rPr>
          <w:rFonts w:ascii="Arial" w:eastAsiaTheme="minorHAnsi" w:hAnsi="Arial" w:cs="Arial"/>
          <w:sz w:val="22"/>
          <w:szCs w:val="22"/>
          <w:lang w:val="en-US" w:eastAsia="en-US"/>
        </w:rPr>
        <w:t xml:space="preserve">Substance over form must be applied when accounting for leases. This is because by applying substance, the leases will be represented faithfully on the financial statements thus </w:t>
      </w:r>
      <w:r w:rsidR="00CE456F">
        <w:rPr>
          <w:rFonts w:ascii="Arial" w:eastAsiaTheme="minorHAnsi" w:hAnsi="Arial" w:cs="Arial"/>
          <w:sz w:val="22"/>
          <w:szCs w:val="22"/>
          <w:lang w:val="en-US" w:eastAsia="en-US"/>
        </w:rPr>
        <w:t>being more reliable to investors/bankers/analysts.</w:t>
      </w:r>
    </w:p>
    <w:p w14:paraId="368A5162" w14:textId="34525005" w:rsidR="00563096" w:rsidRPr="00D946AD" w:rsidRDefault="00563096" w:rsidP="000328AB">
      <w:pPr>
        <w:pStyle w:val="NormalWeb"/>
        <w:spacing w:before="30" w:beforeAutospacing="0" w:after="30" w:afterAutospacing="0"/>
        <w:rPr>
          <w:rFonts w:ascii="Arial" w:eastAsiaTheme="minorHAnsi" w:hAnsi="Arial" w:cs="Arial"/>
          <w:sz w:val="22"/>
          <w:szCs w:val="22"/>
          <w:lang w:val="en-US" w:eastAsia="en-US"/>
        </w:rPr>
      </w:pPr>
    </w:p>
    <w:p w14:paraId="54D4A5D5" w14:textId="7922BAEB" w:rsidR="00563096" w:rsidRPr="00D946AD" w:rsidRDefault="00563096" w:rsidP="000328AB">
      <w:pPr>
        <w:pStyle w:val="NormalWeb"/>
        <w:spacing w:before="30" w:beforeAutospacing="0" w:after="30" w:afterAutospacing="0"/>
        <w:rPr>
          <w:rFonts w:ascii="Arial" w:eastAsiaTheme="minorHAnsi" w:hAnsi="Arial" w:cs="Arial"/>
          <w:szCs w:val="22"/>
          <w:u w:val="single"/>
          <w:lang w:val="en-US" w:eastAsia="en-US"/>
        </w:rPr>
      </w:pPr>
      <w:r w:rsidRPr="00D946AD">
        <w:rPr>
          <w:rFonts w:ascii="Arial" w:eastAsiaTheme="minorHAnsi" w:hAnsi="Arial" w:cs="Arial"/>
          <w:szCs w:val="22"/>
          <w:u w:val="single"/>
          <w:lang w:val="en-US" w:eastAsia="en-US"/>
        </w:rPr>
        <w:t>Accounting for</w:t>
      </w:r>
      <w:r w:rsidR="00DB67E5" w:rsidRPr="00D946AD">
        <w:rPr>
          <w:rFonts w:ascii="Arial" w:eastAsiaTheme="minorHAnsi" w:hAnsi="Arial" w:cs="Arial"/>
          <w:szCs w:val="22"/>
          <w:u w:val="single"/>
          <w:lang w:val="en-US" w:eastAsia="en-US"/>
        </w:rPr>
        <w:t xml:space="preserve"> Financial and Operating</w:t>
      </w:r>
      <w:r w:rsidRPr="00D946AD">
        <w:rPr>
          <w:rFonts w:ascii="Arial" w:eastAsiaTheme="minorHAnsi" w:hAnsi="Arial" w:cs="Arial"/>
          <w:szCs w:val="22"/>
          <w:u w:val="single"/>
          <w:lang w:val="en-US" w:eastAsia="en-US"/>
        </w:rPr>
        <w:t xml:space="preserve"> </w:t>
      </w:r>
      <w:r w:rsidR="00DB67E5" w:rsidRPr="00D946AD">
        <w:rPr>
          <w:rFonts w:ascii="Arial" w:eastAsiaTheme="minorHAnsi" w:hAnsi="Arial" w:cs="Arial"/>
          <w:szCs w:val="22"/>
          <w:u w:val="single"/>
          <w:lang w:val="en-US" w:eastAsia="en-US"/>
        </w:rPr>
        <w:t>Leases</w:t>
      </w:r>
    </w:p>
    <w:p w14:paraId="1983D11F" w14:textId="77777777" w:rsidR="00DB67E5" w:rsidRPr="00D946AD" w:rsidRDefault="00DB67E5" w:rsidP="000328AB">
      <w:pPr>
        <w:pStyle w:val="NormalWeb"/>
        <w:spacing w:before="30" w:beforeAutospacing="0" w:after="30" w:afterAutospacing="0"/>
        <w:rPr>
          <w:rFonts w:ascii="Arial" w:eastAsiaTheme="minorHAnsi" w:hAnsi="Arial" w:cs="Arial"/>
          <w:sz w:val="22"/>
          <w:szCs w:val="22"/>
          <w:lang w:val="en-US" w:eastAsia="en-US"/>
        </w:rPr>
      </w:pPr>
    </w:p>
    <w:p w14:paraId="5293D6D8" w14:textId="454EE895" w:rsidR="00912067" w:rsidRPr="00D946AD" w:rsidRDefault="00C92471" w:rsidP="000328AB">
      <w:pPr>
        <w:pStyle w:val="NormalWeb"/>
        <w:spacing w:before="30" w:beforeAutospacing="0" w:after="30" w:afterAutospacing="0"/>
        <w:rPr>
          <w:rFonts w:ascii="Arial" w:eastAsiaTheme="minorHAnsi" w:hAnsi="Arial" w:cs="Arial"/>
          <w:sz w:val="22"/>
          <w:szCs w:val="22"/>
          <w:lang w:val="en-US" w:eastAsia="en-US"/>
        </w:rPr>
      </w:pPr>
      <w:r>
        <w:rPr>
          <w:rFonts w:ascii="Arial" w:eastAsiaTheme="minorHAnsi" w:hAnsi="Arial" w:cs="Arial"/>
          <w:sz w:val="22"/>
          <w:szCs w:val="22"/>
          <w:lang w:val="en-US" w:eastAsia="en-US"/>
        </w:rPr>
        <w:t>The initial recognition for a finance lease should look like;</w:t>
      </w:r>
    </w:p>
    <w:p w14:paraId="57AED96C" w14:textId="77777777" w:rsidR="005E30DE" w:rsidRPr="00D946AD" w:rsidRDefault="005E30DE" w:rsidP="000328AB">
      <w:pPr>
        <w:pStyle w:val="NormalWeb"/>
        <w:numPr>
          <w:ilvl w:val="0"/>
          <w:numId w:val="16"/>
        </w:numPr>
        <w:spacing w:before="30" w:beforeAutospacing="0" w:after="30" w:afterAutospacing="0"/>
        <w:rPr>
          <w:rFonts w:ascii="Arial" w:eastAsiaTheme="minorHAnsi" w:hAnsi="Arial" w:cs="Arial"/>
          <w:sz w:val="22"/>
          <w:szCs w:val="22"/>
          <w:lang w:val="en-US" w:eastAsia="en-US"/>
        </w:rPr>
      </w:pPr>
      <w:r w:rsidRPr="00D946AD">
        <w:rPr>
          <w:rFonts w:ascii="Arial" w:eastAsiaTheme="minorHAnsi" w:hAnsi="Arial" w:cs="Arial"/>
          <w:sz w:val="22"/>
          <w:szCs w:val="22"/>
          <w:lang w:val="en-US" w:eastAsia="en-US"/>
        </w:rPr>
        <w:t xml:space="preserve">Dr Non-Current Assets </w:t>
      </w:r>
    </w:p>
    <w:p w14:paraId="69D7DBE6" w14:textId="77777777" w:rsidR="005E30DE" w:rsidRPr="00D946AD" w:rsidRDefault="005E30DE" w:rsidP="000328AB">
      <w:pPr>
        <w:pStyle w:val="NormalWeb"/>
        <w:numPr>
          <w:ilvl w:val="0"/>
          <w:numId w:val="16"/>
        </w:numPr>
        <w:spacing w:before="30" w:beforeAutospacing="0" w:after="30" w:afterAutospacing="0"/>
        <w:rPr>
          <w:rFonts w:ascii="Arial" w:eastAsiaTheme="minorHAnsi" w:hAnsi="Arial" w:cs="Arial"/>
          <w:sz w:val="22"/>
          <w:szCs w:val="22"/>
          <w:lang w:val="en-US" w:eastAsia="en-US"/>
        </w:rPr>
      </w:pPr>
      <w:r w:rsidRPr="00D946AD">
        <w:rPr>
          <w:rFonts w:ascii="Arial" w:eastAsiaTheme="minorHAnsi" w:hAnsi="Arial" w:cs="Arial"/>
          <w:sz w:val="22"/>
          <w:szCs w:val="22"/>
          <w:lang w:val="en-US" w:eastAsia="en-US"/>
        </w:rPr>
        <w:t>Cr Finance lease liability</w:t>
      </w:r>
    </w:p>
    <w:p w14:paraId="191BF454" w14:textId="442FC200" w:rsidR="005E30DE" w:rsidRPr="00D946AD" w:rsidRDefault="009604DF" w:rsidP="000328AB">
      <w:pPr>
        <w:pStyle w:val="NormalWeb"/>
        <w:spacing w:before="30" w:beforeAutospacing="0" w:after="30" w:afterAutospacing="0"/>
        <w:rPr>
          <w:rFonts w:ascii="Arial" w:eastAsiaTheme="minorHAnsi" w:hAnsi="Arial" w:cs="Arial"/>
          <w:sz w:val="22"/>
          <w:szCs w:val="22"/>
          <w:lang w:val="en-US" w:eastAsia="en-US"/>
        </w:rPr>
      </w:pPr>
      <w:r>
        <w:rPr>
          <w:rFonts w:ascii="Arial" w:eastAsiaTheme="minorHAnsi" w:hAnsi="Arial" w:cs="Arial"/>
          <w:sz w:val="22"/>
          <w:szCs w:val="22"/>
          <w:lang w:val="en-US" w:eastAsia="en-US"/>
        </w:rPr>
        <w:t>You must account</w:t>
      </w:r>
      <w:r w:rsidR="005E30DE" w:rsidRPr="00D946AD">
        <w:rPr>
          <w:rFonts w:ascii="Arial" w:eastAsiaTheme="minorHAnsi" w:hAnsi="Arial" w:cs="Arial"/>
          <w:sz w:val="22"/>
          <w:szCs w:val="22"/>
          <w:lang w:val="en-US" w:eastAsia="en-US"/>
        </w:rPr>
        <w:t xml:space="preserve"> for the depreciation </w:t>
      </w:r>
      <w:r>
        <w:rPr>
          <w:rFonts w:ascii="Arial" w:eastAsiaTheme="minorHAnsi" w:hAnsi="Arial" w:cs="Arial"/>
          <w:sz w:val="22"/>
          <w:szCs w:val="22"/>
          <w:lang w:val="en-US" w:eastAsia="en-US"/>
        </w:rPr>
        <w:t>of a</w:t>
      </w:r>
      <w:r w:rsidR="005E30DE" w:rsidRPr="00D946AD">
        <w:rPr>
          <w:rFonts w:ascii="Arial" w:eastAsiaTheme="minorHAnsi" w:hAnsi="Arial" w:cs="Arial"/>
          <w:sz w:val="22"/>
          <w:szCs w:val="22"/>
          <w:lang w:val="en-US" w:eastAsia="en-US"/>
        </w:rPr>
        <w:t xml:space="preserve"> finance lease the depreciation </w:t>
      </w:r>
      <w:r>
        <w:rPr>
          <w:rFonts w:ascii="Arial" w:eastAsiaTheme="minorHAnsi" w:hAnsi="Arial" w:cs="Arial"/>
          <w:sz w:val="22"/>
          <w:szCs w:val="22"/>
          <w:lang w:val="en-US" w:eastAsia="en-US"/>
        </w:rPr>
        <w:t>and it should be calculated over the useful economic life</w:t>
      </w:r>
      <w:r w:rsidR="005E30DE" w:rsidRPr="00D946AD">
        <w:rPr>
          <w:rFonts w:ascii="Arial" w:eastAsiaTheme="minorHAnsi" w:hAnsi="Arial" w:cs="Arial"/>
          <w:sz w:val="22"/>
          <w:szCs w:val="22"/>
          <w:lang w:val="en-US" w:eastAsia="en-US"/>
        </w:rPr>
        <w:t>. The accounting for this will be;</w:t>
      </w:r>
    </w:p>
    <w:p w14:paraId="6078F1F6" w14:textId="77777777" w:rsidR="005E30DE" w:rsidRPr="00D946AD" w:rsidRDefault="005E30DE" w:rsidP="000328AB">
      <w:pPr>
        <w:pStyle w:val="NormalWeb"/>
        <w:numPr>
          <w:ilvl w:val="0"/>
          <w:numId w:val="17"/>
        </w:numPr>
        <w:spacing w:before="30" w:beforeAutospacing="0" w:after="30" w:afterAutospacing="0"/>
        <w:rPr>
          <w:rFonts w:ascii="Arial" w:eastAsiaTheme="minorHAnsi" w:hAnsi="Arial" w:cs="Arial"/>
          <w:sz w:val="22"/>
          <w:szCs w:val="22"/>
          <w:lang w:val="en-US" w:eastAsia="en-US"/>
        </w:rPr>
      </w:pPr>
      <w:r w:rsidRPr="00D946AD">
        <w:rPr>
          <w:rFonts w:ascii="Arial" w:eastAsiaTheme="minorHAnsi" w:hAnsi="Arial" w:cs="Arial"/>
          <w:sz w:val="22"/>
          <w:szCs w:val="22"/>
          <w:lang w:val="en-US" w:eastAsia="en-US"/>
        </w:rPr>
        <w:t>Dr Depreciation expense</w:t>
      </w:r>
    </w:p>
    <w:p w14:paraId="1AE75418" w14:textId="77777777" w:rsidR="005E30DE" w:rsidRPr="00D946AD" w:rsidRDefault="005E30DE" w:rsidP="000328AB">
      <w:pPr>
        <w:pStyle w:val="NormalWeb"/>
        <w:numPr>
          <w:ilvl w:val="0"/>
          <w:numId w:val="17"/>
        </w:numPr>
        <w:spacing w:before="30" w:beforeAutospacing="0" w:after="30" w:afterAutospacing="0"/>
        <w:rPr>
          <w:rFonts w:ascii="Arial" w:eastAsiaTheme="minorHAnsi" w:hAnsi="Arial" w:cs="Arial"/>
          <w:sz w:val="22"/>
          <w:szCs w:val="22"/>
          <w:lang w:val="en-US" w:eastAsia="en-US"/>
        </w:rPr>
      </w:pPr>
      <w:r w:rsidRPr="00D946AD">
        <w:rPr>
          <w:rFonts w:ascii="Arial" w:eastAsiaTheme="minorHAnsi" w:hAnsi="Arial" w:cs="Arial"/>
          <w:sz w:val="22"/>
          <w:szCs w:val="22"/>
          <w:lang w:val="en-US" w:eastAsia="en-US"/>
        </w:rPr>
        <w:t xml:space="preserve">Cr Accumulated depreciation </w:t>
      </w:r>
    </w:p>
    <w:p w14:paraId="4A52D4D5" w14:textId="4B079AC3" w:rsidR="00E52041" w:rsidRDefault="005E30DE" w:rsidP="00D01E14">
      <w:pPr>
        <w:pStyle w:val="NormalWeb"/>
        <w:spacing w:before="30" w:beforeAutospacing="0" w:after="30" w:afterAutospacing="0"/>
        <w:rPr>
          <w:rFonts w:ascii="Arial" w:eastAsiaTheme="minorHAnsi" w:hAnsi="Arial" w:cs="Arial"/>
          <w:sz w:val="22"/>
          <w:szCs w:val="22"/>
          <w:lang w:val="en-US" w:eastAsia="en-US"/>
        </w:rPr>
      </w:pPr>
      <w:r w:rsidRPr="00D946AD">
        <w:rPr>
          <w:rFonts w:ascii="Arial" w:eastAsiaTheme="minorHAnsi" w:hAnsi="Arial" w:cs="Arial"/>
          <w:sz w:val="22"/>
          <w:szCs w:val="22"/>
          <w:lang w:val="en-US" w:eastAsia="en-US"/>
        </w:rPr>
        <w:t xml:space="preserve">When </w:t>
      </w:r>
      <w:r w:rsidR="00F45C2D" w:rsidRPr="00D946AD">
        <w:rPr>
          <w:rFonts w:ascii="Arial" w:eastAsiaTheme="minorHAnsi" w:hAnsi="Arial" w:cs="Arial"/>
          <w:sz w:val="22"/>
          <w:szCs w:val="22"/>
          <w:lang w:val="en-US" w:eastAsia="en-US"/>
        </w:rPr>
        <w:t>starting</w:t>
      </w:r>
      <w:r w:rsidRPr="00D946AD">
        <w:rPr>
          <w:rFonts w:ascii="Arial" w:eastAsiaTheme="minorHAnsi" w:hAnsi="Arial" w:cs="Arial"/>
          <w:sz w:val="22"/>
          <w:szCs w:val="22"/>
          <w:lang w:val="en-US" w:eastAsia="en-US"/>
        </w:rPr>
        <w:t xml:space="preserve"> a leasing agreement, it is easy to see that there is a cost </w:t>
      </w:r>
      <w:r w:rsidR="00F45C2D">
        <w:rPr>
          <w:rFonts w:ascii="Arial" w:eastAsiaTheme="minorHAnsi" w:hAnsi="Arial" w:cs="Arial"/>
          <w:sz w:val="22"/>
          <w:szCs w:val="22"/>
          <w:lang w:val="en-US" w:eastAsia="en-US"/>
        </w:rPr>
        <w:t>hidden</w:t>
      </w:r>
      <w:r w:rsidRPr="00D946AD">
        <w:rPr>
          <w:rFonts w:ascii="Arial" w:eastAsiaTheme="minorHAnsi" w:hAnsi="Arial" w:cs="Arial"/>
          <w:sz w:val="22"/>
          <w:szCs w:val="22"/>
          <w:lang w:val="en-US" w:eastAsia="en-US"/>
        </w:rPr>
        <w:t xml:space="preserve"> in the transaction.</w:t>
      </w:r>
      <w:r w:rsidR="00F45C2D">
        <w:rPr>
          <w:rFonts w:ascii="Arial" w:eastAsiaTheme="minorHAnsi" w:hAnsi="Arial" w:cs="Arial"/>
          <w:sz w:val="22"/>
          <w:szCs w:val="22"/>
          <w:lang w:val="en-US" w:eastAsia="en-US"/>
        </w:rPr>
        <w:t xml:space="preserve"> </w:t>
      </w:r>
      <w:r w:rsidR="00B317A3">
        <w:rPr>
          <w:rFonts w:ascii="Arial" w:eastAsiaTheme="minorHAnsi" w:hAnsi="Arial" w:cs="Arial"/>
          <w:sz w:val="22"/>
          <w:szCs w:val="22"/>
          <w:lang w:val="en-US" w:eastAsia="en-US"/>
        </w:rPr>
        <w:t xml:space="preserve">For example, if Company XYZ </w:t>
      </w:r>
      <w:r w:rsidR="00D97B89">
        <w:rPr>
          <w:rFonts w:ascii="Arial" w:eastAsiaTheme="minorHAnsi" w:hAnsi="Arial" w:cs="Arial"/>
          <w:sz w:val="22"/>
          <w:szCs w:val="22"/>
          <w:lang w:val="en-US" w:eastAsia="en-US"/>
        </w:rPr>
        <w:t>lease an asset worth £20,000 with the economic life of 10 years.</w:t>
      </w:r>
      <w:r w:rsidR="0071554E">
        <w:rPr>
          <w:rFonts w:ascii="Arial" w:eastAsiaTheme="minorHAnsi" w:hAnsi="Arial" w:cs="Arial"/>
          <w:sz w:val="22"/>
          <w:szCs w:val="22"/>
          <w:lang w:val="en-US" w:eastAsia="en-US"/>
        </w:rPr>
        <w:t xml:space="preserve"> Over the 10 years they would pay a rental of £1500</w:t>
      </w:r>
      <w:r w:rsidR="008423F3">
        <w:rPr>
          <w:rFonts w:ascii="Arial" w:eastAsiaTheme="minorHAnsi" w:hAnsi="Arial" w:cs="Arial"/>
          <w:sz w:val="22"/>
          <w:szCs w:val="22"/>
          <w:lang w:val="en-US" w:eastAsia="en-US"/>
        </w:rPr>
        <w:t xml:space="preserve"> per annum. </w:t>
      </w:r>
      <w:r w:rsidR="00BB7710">
        <w:rPr>
          <w:rFonts w:ascii="Arial" w:eastAsiaTheme="minorHAnsi" w:hAnsi="Arial" w:cs="Arial"/>
          <w:sz w:val="22"/>
          <w:szCs w:val="22"/>
          <w:lang w:val="en-US" w:eastAsia="en-US"/>
        </w:rPr>
        <w:t xml:space="preserve">This would total £15,000 so in this example there is a finance charge of £5000. This extra finance charge is the interest added onto the capital repayment </w:t>
      </w:r>
      <w:r w:rsidR="00607E9F">
        <w:rPr>
          <w:rFonts w:ascii="Arial" w:eastAsiaTheme="minorHAnsi" w:hAnsi="Arial" w:cs="Arial"/>
          <w:sz w:val="22"/>
          <w:szCs w:val="22"/>
          <w:lang w:val="en-US" w:eastAsia="en-US"/>
        </w:rPr>
        <w:t xml:space="preserve">and this must be shown on the profit and loss sheet as a finance cost and on the balance sheet as </w:t>
      </w:r>
      <w:r w:rsidR="00903F69">
        <w:rPr>
          <w:rFonts w:ascii="Arial" w:eastAsiaTheme="minorHAnsi" w:hAnsi="Arial" w:cs="Arial"/>
          <w:sz w:val="22"/>
          <w:szCs w:val="22"/>
          <w:lang w:val="en-US" w:eastAsia="en-US"/>
        </w:rPr>
        <w:t>a reduction of the outstanding liability.</w:t>
      </w:r>
    </w:p>
    <w:p w14:paraId="0B33B65B" w14:textId="5EE4E506" w:rsidR="00437B54" w:rsidRDefault="006B6554" w:rsidP="00D01E14">
      <w:pPr>
        <w:pStyle w:val="NormalWeb"/>
        <w:spacing w:before="30" w:beforeAutospacing="0" w:after="30" w:afterAutospacing="0"/>
        <w:ind w:firstLine="720"/>
        <w:rPr>
          <w:rFonts w:ascii="Arial" w:eastAsiaTheme="minorHAnsi" w:hAnsi="Arial" w:cs="Arial"/>
          <w:sz w:val="22"/>
          <w:szCs w:val="22"/>
          <w:lang w:val="en-US" w:eastAsia="en-US"/>
        </w:rPr>
      </w:pPr>
      <w:r>
        <w:rPr>
          <w:rFonts w:ascii="Arial" w:eastAsiaTheme="minorHAnsi" w:hAnsi="Arial" w:cs="Arial"/>
          <w:sz w:val="22"/>
          <w:szCs w:val="22"/>
          <w:lang w:val="en-US" w:eastAsia="en-US"/>
        </w:rPr>
        <w:t xml:space="preserve">Operating lease aren’t recognized on the balance </w:t>
      </w:r>
      <w:r w:rsidR="00D01E14">
        <w:rPr>
          <w:rFonts w:ascii="Arial" w:eastAsiaTheme="minorHAnsi" w:hAnsi="Arial" w:cs="Arial"/>
          <w:sz w:val="22"/>
          <w:szCs w:val="22"/>
          <w:lang w:val="en-US" w:eastAsia="en-US"/>
        </w:rPr>
        <w:t>sheet,</w:t>
      </w:r>
      <w:r>
        <w:rPr>
          <w:rFonts w:ascii="Arial" w:eastAsiaTheme="minorHAnsi" w:hAnsi="Arial" w:cs="Arial"/>
          <w:sz w:val="22"/>
          <w:szCs w:val="22"/>
          <w:lang w:val="en-US" w:eastAsia="en-US"/>
        </w:rPr>
        <w:t xml:space="preserve"> </w:t>
      </w:r>
      <w:r w:rsidR="00E52041">
        <w:rPr>
          <w:rFonts w:ascii="Arial" w:eastAsiaTheme="minorHAnsi" w:hAnsi="Arial" w:cs="Arial"/>
          <w:sz w:val="22"/>
          <w:szCs w:val="22"/>
          <w:lang w:val="en-US" w:eastAsia="en-US"/>
        </w:rPr>
        <w:t xml:space="preserve">but the depreciation is recognized on the profit and loss account. This is because the risks and rewards of the asset are not </w:t>
      </w:r>
      <w:r w:rsidR="00D01E14">
        <w:rPr>
          <w:rFonts w:ascii="Arial" w:eastAsiaTheme="minorHAnsi" w:hAnsi="Arial" w:cs="Arial"/>
          <w:sz w:val="22"/>
          <w:szCs w:val="22"/>
          <w:lang w:val="en-US" w:eastAsia="en-US"/>
        </w:rPr>
        <w:t>transferred during the lease arrangements.</w:t>
      </w:r>
    </w:p>
    <w:p w14:paraId="424C96A0" w14:textId="2E5B188F" w:rsidR="00862519" w:rsidRDefault="00B62693" w:rsidP="000328AB">
      <w:pPr>
        <w:pStyle w:val="NormalWeb"/>
        <w:spacing w:before="30" w:beforeAutospacing="0" w:after="30" w:afterAutospacing="0"/>
        <w:ind w:firstLine="720"/>
        <w:rPr>
          <w:rFonts w:ascii="Arial" w:eastAsiaTheme="minorHAnsi" w:hAnsi="Arial" w:cs="Arial"/>
          <w:sz w:val="22"/>
          <w:szCs w:val="22"/>
          <w:lang w:val="en-US" w:eastAsia="en-US"/>
        </w:rPr>
      </w:pPr>
      <w:r>
        <w:rPr>
          <w:rFonts w:ascii="Arial" w:eastAsiaTheme="minorHAnsi" w:hAnsi="Arial" w:cs="Arial"/>
          <w:sz w:val="22"/>
          <w:szCs w:val="22"/>
          <w:lang w:val="en-US" w:eastAsia="en-US"/>
        </w:rPr>
        <w:t>Substance over form is an accounting concept tha</w:t>
      </w:r>
      <w:r w:rsidR="00782495">
        <w:rPr>
          <w:rFonts w:ascii="Arial" w:eastAsiaTheme="minorHAnsi" w:hAnsi="Arial" w:cs="Arial"/>
          <w:sz w:val="22"/>
          <w:szCs w:val="22"/>
          <w:lang w:val="en-US" w:eastAsia="en-US"/>
        </w:rPr>
        <w:t>t translates to ‘the economic substance of the transaction will be preferred over the legal form of the transaction’</w:t>
      </w:r>
      <w:r w:rsidR="007C68B0">
        <w:rPr>
          <w:rFonts w:ascii="Arial" w:eastAsiaTheme="minorHAnsi" w:hAnsi="Arial" w:cs="Arial"/>
          <w:sz w:val="22"/>
          <w:szCs w:val="22"/>
          <w:lang w:val="en-US" w:eastAsia="en-US"/>
        </w:rPr>
        <w:t xml:space="preserve"> </w:t>
      </w:r>
      <w:sdt>
        <w:sdtPr>
          <w:rPr>
            <w:rFonts w:ascii="Arial" w:eastAsiaTheme="minorHAnsi" w:hAnsi="Arial" w:cs="Arial"/>
            <w:sz w:val="22"/>
            <w:szCs w:val="22"/>
            <w:lang w:val="en-US" w:eastAsia="en-US"/>
          </w:rPr>
          <w:id w:val="818314119"/>
          <w:citation/>
        </w:sdtPr>
        <w:sdtEndPr/>
        <w:sdtContent>
          <w:r w:rsidR="007F75DF">
            <w:rPr>
              <w:rFonts w:ascii="Arial" w:eastAsiaTheme="minorHAnsi" w:hAnsi="Arial" w:cs="Arial"/>
              <w:sz w:val="22"/>
              <w:szCs w:val="22"/>
              <w:lang w:val="en-US" w:eastAsia="en-US"/>
            </w:rPr>
            <w:fldChar w:fldCharType="begin"/>
          </w:r>
          <w:r w:rsidR="007F75DF">
            <w:rPr>
              <w:rFonts w:ascii="Arial" w:hAnsi="Arial" w:cs="Arial"/>
            </w:rPr>
            <w:instrText xml:space="preserve"> CITATION IAS15 \l 2057 </w:instrText>
          </w:r>
          <w:r w:rsidR="007F75DF">
            <w:rPr>
              <w:rFonts w:ascii="Arial" w:eastAsiaTheme="minorHAnsi" w:hAnsi="Arial" w:cs="Arial"/>
              <w:sz w:val="22"/>
              <w:szCs w:val="22"/>
              <w:lang w:val="en-US" w:eastAsia="en-US"/>
            </w:rPr>
            <w:fldChar w:fldCharType="separate"/>
          </w:r>
          <w:r w:rsidR="005C372C" w:rsidRPr="005C372C">
            <w:rPr>
              <w:rFonts w:ascii="Arial" w:hAnsi="Arial" w:cs="Arial"/>
              <w:noProof/>
            </w:rPr>
            <w:t>(IASB, 2015)</w:t>
          </w:r>
          <w:r w:rsidR="007F75DF">
            <w:rPr>
              <w:rFonts w:ascii="Arial" w:eastAsiaTheme="minorHAnsi" w:hAnsi="Arial" w:cs="Arial"/>
              <w:sz w:val="22"/>
              <w:szCs w:val="22"/>
              <w:lang w:val="en-US" w:eastAsia="en-US"/>
            </w:rPr>
            <w:fldChar w:fldCharType="end"/>
          </w:r>
        </w:sdtContent>
      </w:sdt>
      <w:r w:rsidR="007C68B0">
        <w:rPr>
          <w:rFonts w:ascii="Arial" w:hAnsi="Arial" w:cs="Arial"/>
        </w:rPr>
        <w:t xml:space="preserve">. </w:t>
      </w:r>
      <w:r w:rsidR="00CB6C27">
        <w:rPr>
          <w:rFonts w:ascii="Arial" w:eastAsiaTheme="minorHAnsi" w:hAnsi="Arial" w:cs="Arial"/>
          <w:sz w:val="22"/>
          <w:szCs w:val="22"/>
          <w:lang w:val="en-US" w:eastAsia="en-US"/>
        </w:rPr>
        <w:t xml:space="preserve">Economic substance </w:t>
      </w:r>
      <w:r w:rsidR="00875066">
        <w:rPr>
          <w:rFonts w:ascii="Arial" w:eastAsiaTheme="minorHAnsi" w:hAnsi="Arial" w:cs="Arial"/>
          <w:sz w:val="22"/>
          <w:szCs w:val="22"/>
          <w:lang w:val="en-US" w:eastAsia="en-US"/>
        </w:rPr>
        <w:t>means</w:t>
      </w:r>
      <w:r w:rsidR="00510249">
        <w:rPr>
          <w:rFonts w:ascii="Arial" w:eastAsiaTheme="minorHAnsi" w:hAnsi="Arial" w:cs="Arial"/>
          <w:sz w:val="22"/>
          <w:szCs w:val="22"/>
          <w:lang w:val="en-US" w:eastAsia="en-US"/>
        </w:rPr>
        <w:t xml:space="preserve"> </w:t>
      </w:r>
      <w:r w:rsidR="00CB6C27">
        <w:rPr>
          <w:rFonts w:ascii="Arial" w:eastAsiaTheme="minorHAnsi" w:hAnsi="Arial" w:cs="Arial"/>
          <w:sz w:val="22"/>
          <w:szCs w:val="22"/>
          <w:lang w:val="en-US" w:eastAsia="en-US"/>
        </w:rPr>
        <w:t>the economic</w:t>
      </w:r>
      <w:r w:rsidR="00862519">
        <w:rPr>
          <w:rFonts w:ascii="Arial" w:eastAsiaTheme="minorHAnsi" w:hAnsi="Arial" w:cs="Arial"/>
          <w:sz w:val="22"/>
          <w:szCs w:val="22"/>
          <w:lang w:val="en-US" w:eastAsia="en-US"/>
        </w:rPr>
        <w:t xml:space="preserve"> rewards</w:t>
      </w:r>
      <w:r w:rsidR="00CB6C27">
        <w:rPr>
          <w:rFonts w:ascii="Arial" w:eastAsiaTheme="minorHAnsi" w:hAnsi="Arial" w:cs="Arial"/>
          <w:sz w:val="22"/>
          <w:szCs w:val="22"/>
          <w:lang w:val="en-US" w:eastAsia="en-US"/>
        </w:rPr>
        <w:t xml:space="preserve"> and </w:t>
      </w:r>
      <w:r w:rsidR="00862519">
        <w:rPr>
          <w:rFonts w:ascii="Arial" w:eastAsiaTheme="minorHAnsi" w:hAnsi="Arial" w:cs="Arial"/>
          <w:sz w:val="22"/>
          <w:szCs w:val="22"/>
          <w:lang w:val="en-US" w:eastAsia="en-US"/>
        </w:rPr>
        <w:t>risks</w:t>
      </w:r>
      <w:r w:rsidR="009075F8">
        <w:rPr>
          <w:rFonts w:ascii="Arial" w:eastAsiaTheme="minorHAnsi" w:hAnsi="Arial" w:cs="Arial"/>
          <w:sz w:val="22"/>
          <w:szCs w:val="22"/>
          <w:lang w:val="en-US" w:eastAsia="en-US"/>
        </w:rPr>
        <w:t xml:space="preserve"> </w:t>
      </w:r>
      <w:r w:rsidR="00FF72A0">
        <w:rPr>
          <w:rFonts w:ascii="Arial" w:eastAsiaTheme="minorHAnsi" w:hAnsi="Arial" w:cs="Arial"/>
          <w:sz w:val="22"/>
          <w:szCs w:val="22"/>
          <w:lang w:val="en-US" w:eastAsia="en-US"/>
        </w:rPr>
        <w:t xml:space="preserve">related to the </w:t>
      </w:r>
      <w:r w:rsidR="00510249">
        <w:rPr>
          <w:rFonts w:ascii="Arial" w:eastAsiaTheme="minorHAnsi" w:hAnsi="Arial" w:cs="Arial"/>
          <w:sz w:val="22"/>
          <w:szCs w:val="22"/>
          <w:lang w:val="en-US" w:eastAsia="en-US"/>
        </w:rPr>
        <w:t>lease</w:t>
      </w:r>
      <w:r w:rsidR="00FF72A0">
        <w:rPr>
          <w:rFonts w:ascii="Arial" w:eastAsiaTheme="minorHAnsi" w:hAnsi="Arial" w:cs="Arial"/>
          <w:sz w:val="22"/>
          <w:szCs w:val="22"/>
          <w:lang w:val="en-US" w:eastAsia="en-US"/>
        </w:rPr>
        <w:t xml:space="preserve">. </w:t>
      </w:r>
      <w:r w:rsidR="0037299E">
        <w:rPr>
          <w:rFonts w:ascii="Arial" w:eastAsiaTheme="minorHAnsi" w:hAnsi="Arial" w:cs="Arial"/>
          <w:sz w:val="22"/>
          <w:szCs w:val="22"/>
          <w:lang w:val="en-US" w:eastAsia="en-US"/>
        </w:rPr>
        <w:t xml:space="preserve">Whereas, the legal form refers to the legal status of the </w:t>
      </w:r>
      <w:r w:rsidR="00510249">
        <w:rPr>
          <w:rFonts w:ascii="Arial" w:eastAsiaTheme="minorHAnsi" w:hAnsi="Arial" w:cs="Arial"/>
          <w:sz w:val="22"/>
          <w:szCs w:val="22"/>
          <w:lang w:val="en-US" w:eastAsia="en-US"/>
        </w:rPr>
        <w:t>lease and when applying substance over form it is important to only consider the economic substance</w:t>
      </w:r>
      <w:r w:rsidR="0037299E">
        <w:rPr>
          <w:rFonts w:ascii="Arial" w:eastAsiaTheme="minorHAnsi" w:hAnsi="Arial" w:cs="Arial"/>
          <w:sz w:val="22"/>
          <w:szCs w:val="22"/>
          <w:lang w:val="en-US" w:eastAsia="en-US"/>
        </w:rPr>
        <w:t>.</w:t>
      </w:r>
      <w:r w:rsidR="00145654">
        <w:rPr>
          <w:rFonts w:ascii="Arial" w:eastAsiaTheme="minorHAnsi" w:hAnsi="Arial" w:cs="Arial"/>
          <w:sz w:val="22"/>
          <w:szCs w:val="22"/>
          <w:lang w:val="en-US" w:eastAsia="en-US"/>
        </w:rPr>
        <w:t xml:space="preserve"> </w:t>
      </w:r>
      <w:r w:rsidR="00862519">
        <w:rPr>
          <w:rFonts w:ascii="Arial" w:eastAsiaTheme="minorHAnsi" w:hAnsi="Arial" w:cs="Arial"/>
          <w:sz w:val="22"/>
          <w:szCs w:val="22"/>
          <w:lang w:val="en-US" w:eastAsia="en-US"/>
        </w:rPr>
        <w:t xml:space="preserve"> </w:t>
      </w:r>
    </w:p>
    <w:p w14:paraId="4B3F6589" w14:textId="4C6ED744" w:rsidR="00A1472C" w:rsidRDefault="00190B23" w:rsidP="000328AB">
      <w:pPr>
        <w:pStyle w:val="NormalWeb"/>
        <w:spacing w:before="30" w:beforeAutospacing="0" w:after="30" w:afterAutospacing="0"/>
        <w:ind w:firstLine="720"/>
        <w:rPr>
          <w:rFonts w:ascii="Arial" w:hAnsi="Arial" w:cs="Arial"/>
          <w:color w:val="FFFFFF"/>
        </w:rPr>
      </w:pPr>
      <w:r>
        <w:rPr>
          <w:rFonts w:ascii="Arial" w:eastAsiaTheme="minorHAnsi" w:hAnsi="Arial" w:cs="Arial"/>
          <w:sz w:val="22"/>
          <w:szCs w:val="22"/>
          <w:lang w:val="en-US" w:eastAsia="en-US"/>
        </w:rPr>
        <w:t>‘</w:t>
      </w:r>
      <w:r w:rsidR="00636B41">
        <w:rPr>
          <w:rFonts w:ascii="Arial" w:eastAsiaTheme="minorHAnsi" w:hAnsi="Arial" w:cs="Arial"/>
          <w:sz w:val="22"/>
          <w:szCs w:val="22"/>
          <w:lang w:val="en-US" w:eastAsia="en-US"/>
        </w:rPr>
        <w:t>For example,</w:t>
      </w:r>
      <w:r w:rsidR="00EA2630">
        <w:rPr>
          <w:rFonts w:ascii="Arial" w:eastAsiaTheme="minorHAnsi" w:hAnsi="Arial" w:cs="Arial"/>
          <w:sz w:val="22"/>
          <w:szCs w:val="22"/>
          <w:lang w:val="en-US" w:eastAsia="en-US"/>
        </w:rPr>
        <w:t xml:space="preserve"> </w:t>
      </w:r>
      <w:r w:rsidR="00EA2630" w:rsidRPr="00EA2630">
        <w:rPr>
          <w:rFonts w:ascii="Arial" w:eastAsiaTheme="minorHAnsi" w:hAnsi="Arial" w:cs="Arial"/>
          <w:sz w:val="22"/>
          <w:szCs w:val="22"/>
          <w:lang w:val="en-US" w:eastAsia="en-US"/>
        </w:rPr>
        <w:t>an asset may be leased to a lessee without the transfer of legal title at the end of the lease term. Such a lease may, in substance, be considered as a finance lease if for instance the lease term is substantially for entire useful life of the asset or the lease agreement entitles the lessee to purchase the asset at the end of the lease term at a very nominal price and it is very likely that such option will be exercised by the lessee in the given circumstances.</w:t>
      </w:r>
      <w:r>
        <w:rPr>
          <w:rFonts w:ascii="Arial" w:eastAsiaTheme="minorHAnsi" w:hAnsi="Arial" w:cs="Arial"/>
          <w:sz w:val="22"/>
          <w:szCs w:val="22"/>
          <w:lang w:val="en-US" w:eastAsia="en-US"/>
        </w:rPr>
        <w:t>’</w:t>
      </w:r>
      <w:r w:rsidR="004E6B8E">
        <w:rPr>
          <w:rFonts w:ascii="Arial" w:eastAsiaTheme="minorHAnsi" w:hAnsi="Arial" w:cs="Arial"/>
          <w:sz w:val="22"/>
          <w:szCs w:val="22"/>
          <w:lang w:val="en-US" w:eastAsia="en-US"/>
        </w:rPr>
        <w:t xml:space="preserve"> </w:t>
      </w:r>
      <w:sdt>
        <w:sdtPr>
          <w:rPr>
            <w:rFonts w:ascii="Arial" w:eastAsiaTheme="minorHAnsi" w:hAnsi="Arial" w:cs="Arial"/>
            <w:sz w:val="22"/>
            <w:szCs w:val="22"/>
            <w:lang w:val="en-US" w:eastAsia="en-US"/>
          </w:rPr>
          <w:id w:val="2025209943"/>
          <w:citation/>
        </w:sdtPr>
        <w:sdtEndPr/>
        <w:sdtContent>
          <w:r w:rsidR="00700A23">
            <w:rPr>
              <w:rFonts w:ascii="Arial" w:eastAsiaTheme="minorHAnsi" w:hAnsi="Arial" w:cs="Arial"/>
              <w:sz w:val="22"/>
              <w:szCs w:val="22"/>
              <w:lang w:val="en-US" w:eastAsia="en-US"/>
            </w:rPr>
            <w:fldChar w:fldCharType="begin"/>
          </w:r>
          <w:r w:rsidR="00700A23">
            <w:rPr>
              <w:rFonts w:ascii="Arial" w:eastAsiaTheme="minorHAnsi" w:hAnsi="Arial" w:cs="Arial"/>
              <w:sz w:val="22"/>
              <w:szCs w:val="22"/>
              <w:lang w:eastAsia="en-US"/>
            </w:rPr>
            <w:instrText xml:space="preserve"> CITATION Mel17 \l 2057 </w:instrText>
          </w:r>
          <w:r w:rsidR="00700A23">
            <w:rPr>
              <w:rFonts w:ascii="Arial" w:eastAsiaTheme="minorHAnsi" w:hAnsi="Arial" w:cs="Arial"/>
              <w:sz w:val="22"/>
              <w:szCs w:val="22"/>
              <w:lang w:val="en-US" w:eastAsia="en-US"/>
            </w:rPr>
            <w:fldChar w:fldCharType="separate"/>
          </w:r>
          <w:r w:rsidR="005C372C" w:rsidRPr="005C372C">
            <w:rPr>
              <w:rFonts w:ascii="Arial" w:eastAsiaTheme="minorHAnsi" w:hAnsi="Arial" w:cs="Arial"/>
              <w:noProof/>
              <w:sz w:val="22"/>
              <w:szCs w:val="22"/>
              <w:lang w:eastAsia="en-US"/>
            </w:rPr>
            <w:t>(Mellwig, 2017)</w:t>
          </w:r>
          <w:r w:rsidR="00700A23">
            <w:rPr>
              <w:rFonts w:ascii="Arial" w:eastAsiaTheme="minorHAnsi" w:hAnsi="Arial" w:cs="Arial"/>
              <w:sz w:val="22"/>
              <w:szCs w:val="22"/>
              <w:lang w:val="en-US" w:eastAsia="en-US"/>
            </w:rPr>
            <w:fldChar w:fldCharType="end"/>
          </w:r>
        </w:sdtContent>
      </w:sdt>
      <w:r w:rsidR="00465557">
        <w:rPr>
          <w:rFonts w:ascii="Arial" w:hAnsi="Arial" w:cs="Arial"/>
          <w:color w:val="FFFFFF"/>
        </w:rPr>
        <w:t>.</w:t>
      </w:r>
    </w:p>
    <w:p w14:paraId="534527CA" w14:textId="77777777" w:rsidR="00CE050D" w:rsidRPr="00D946AD" w:rsidRDefault="00CE050D" w:rsidP="00CE050D">
      <w:pPr>
        <w:pStyle w:val="NormalWeb"/>
        <w:spacing w:before="30" w:beforeAutospacing="0" w:after="30" w:afterAutospacing="0"/>
        <w:rPr>
          <w:rFonts w:ascii="Arial" w:eastAsiaTheme="minorHAnsi" w:hAnsi="Arial" w:cs="Arial"/>
          <w:sz w:val="22"/>
          <w:szCs w:val="22"/>
          <w:lang w:val="en-US" w:eastAsia="en-US"/>
        </w:rPr>
      </w:pPr>
    </w:p>
    <w:p w14:paraId="2CD687C6" w14:textId="4248D462" w:rsidR="008830B4" w:rsidRPr="00CE050D" w:rsidRDefault="005E30DE" w:rsidP="00CE050D">
      <w:pPr>
        <w:pStyle w:val="Heading1"/>
        <w:spacing w:before="30" w:after="30"/>
        <w:rPr>
          <w:rFonts w:ascii="Arial" w:hAnsi="Arial" w:cs="Arial"/>
          <w:color w:val="auto"/>
          <w:u w:val="single"/>
        </w:rPr>
      </w:pPr>
      <w:r w:rsidRPr="00D946AD">
        <w:rPr>
          <w:rFonts w:ascii="Arial" w:hAnsi="Arial" w:cs="Arial"/>
          <w:color w:val="auto"/>
          <w:u w:val="single"/>
        </w:rPr>
        <w:lastRenderedPageBreak/>
        <w:t>C</w:t>
      </w:r>
      <w:r w:rsidR="0094094C" w:rsidRPr="00D946AD">
        <w:rPr>
          <w:rFonts w:ascii="Arial" w:hAnsi="Arial" w:cs="Arial"/>
          <w:color w:val="auto"/>
          <w:u w:val="single"/>
        </w:rPr>
        <w:t xml:space="preserve">riticism of </w:t>
      </w:r>
      <w:r w:rsidR="007B41B5" w:rsidRPr="00D946AD">
        <w:rPr>
          <w:rFonts w:ascii="Arial" w:hAnsi="Arial" w:cs="Arial"/>
          <w:color w:val="auto"/>
          <w:u w:val="single"/>
        </w:rPr>
        <w:t>Leasing – IAS 17</w:t>
      </w:r>
    </w:p>
    <w:p w14:paraId="173A3A18" w14:textId="20A9CAD1" w:rsidR="0079221B" w:rsidRPr="0079221B" w:rsidRDefault="0079221B" w:rsidP="000328AB">
      <w:pPr>
        <w:spacing w:before="30" w:after="30"/>
        <w:rPr>
          <w:rFonts w:ascii="Arial" w:hAnsi="Arial" w:cs="Arial"/>
          <w:color w:val="auto"/>
        </w:rPr>
      </w:pPr>
      <w:r w:rsidRPr="0079221B">
        <w:rPr>
          <w:rFonts w:ascii="Arial" w:hAnsi="Arial" w:cs="Arial"/>
          <w:color w:val="auto"/>
        </w:rPr>
        <w:t>The biggest criticism of IAS 17 is how two very similar economic transactions (operating lease and finance lease) can be accounted for so differently. Small contractual adjustments will allow a company to recognize what should be a finance lease as an operating lease. Thus, resulting in untrue comparability between companies. Companies are likely to misclassify their assets because it manipulates key ratios showing their company more favorable than it truly is to investors/bankers.</w:t>
      </w:r>
    </w:p>
    <w:p w14:paraId="2FD3725A" w14:textId="77777777" w:rsidR="0079221B" w:rsidRPr="0079221B" w:rsidRDefault="0079221B" w:rsidP="000328AB">
      <w:pPr>
        <w:spacing w:before="30" w:after="30"/>
        <w:ind w:firstLine="720"/>
        <w:rPr>
          <w:rFonts w:ascii="Arial" w:hAnsi="Arial" w:cs="Arial"/>
          <w:color w:val="auto"/>
        </w:rPr>
      </w:pPr>
      <w:r w:rsidRPr="0079221B">
        <w:rPr>
          <w:rFonts w:ascii="Arial" w:hAnsi="Arial" w:cs="Arial"/>
          <w:color w:val="auto"/>
        </w:rPr>
        <w:t xml:space="preserve">A well-known example includes fleets of aircraft or rolling stocks that apparently do not meet the criteria for recognition as assets and liabilities. Sir David Tweedie, the previous Chairman of the IASB, acknowledged during a speech in 2008 to the Empire Club of Canada that almost no one in the room has ever flown in a plane that was on the balance sheet of the airline. </w:t>
      </w:r>
      <w:sdt>
        <w:sdtPr>
          <w:rPr>
            <w:rFonts w:ascii="Arial" w:hAnsi="Arial" w:cs="Arial"/>
            <w:color w:val="auto"/>
          </w:rPr>
          <w:id w:val="125668202"/>
          <w:citation/>
        </w:sdtPr>
        <w:sdtContent>
          <w:r w:rsidRPr="0079221B">
            <w:rPr>
              <w:rFonts w:ascii="Arial" w:hAnsi="Arial" w:cs="Arial"/>
              <w:color w:val="auto"/>
            </w:rPr>
            <w:fldChar w:fldCharType="begin"/>
          </w:r>
          <w:r w:rsidRPr="0079221B">
            <w:rPr>
              <w:rFonts w:ascii="Arial" w:hAnsi="Arial" w:cs="Arial"/>
              <w:color w:val="auto"/>
            </w:rPr>
            <w:instrText xml:space="preserve"> CITATION Rul17 \l 2057 </w:instrText>
          </w:r>
          <w:r w:rsidRPr="0079221B">
            <w:rPr>
              <w:rFonts w:ascii="Arial" w:hAnsi="Arial" w:cs="Arial"/>
              <w:color w:val="auto"/>
            </w:rPr>
            <w:fldChar w:fldCharType="separate"/>
          </w:r>
          <w:r w:rsidRPr="0079221B">
            <w:rPr>
              <w:rFonts w:ascii="Arial" w:hAnsi="Arial" w:cs="Arial"/>
              <w:color w:val="auto"/>
            </w:rPr>
            <w:t>(Rulmont, 2017)</w:t>
          </w:r>
          <w:r w:rsidRPr="0079221B">
            <w:rPr>
              <w:rFonts w:ascii="Arial" w:hAnsi="Arial" w:cs="Arial"/>
              <w:color w:val="auto"/>
            </w:rPr>
            <w:fldChar w:fldCharType="end"/>
          </w:r>
        </w:sdtContent>
      </w:sdt>
    </w:p>
    <w:p w14:paraId="5DD6B30C" w14:textId="77777777" w:rsidR="0079221B" w:rsidRPr="0079221B" w:rsidRDefault="0079221B" w:rsidP="000328AB">
      <w:pPr>
        <w:spacing w:before="30" w:after="30"/>
        <w:ind w:firstLine="720"/>
        <w:rPr>
          <w:rFonts w:ascii="Arial" w:hAnsi="Arial" w:cs="Arial"/>
          <w:color w:val="auto"/>
        </w:rPr>
      </w:pPr>
      <w:r w:rsidRPr="0079221B">
        <w:rPr>
          <w:rFonts w:ascii="Arial" w:hAnsi="Arial" w:cs="Arial"/>
          <w:color w:val="auto"/>
        </w:rPr>
        <w:t xml:space="preserve">Another criticism of IAS 17 is that it conflicts with the Conceptual framework set by IASB. The reporting as either an operating or finance lease under IAS 17 conflicts with the conceptual framework: “Permitting alternative accounting methods for the same economic phenomenon diminishes comparability.” And 2.29: “Verifiability helps assure users that information faithfully represents the economic phenomena it purports to represent.” </w:t>
      </w:r>
      <w:sdt>
        <w:sdtPr>
          <w:rPr>
            <w:rFonts w:ascii="Arial" w:hAnsi="Arial" w:cs="Arial"/>
            <w:color w:val="auto"/>
          </w:rPr>
          <w:id w:val="-1724671597"/>
          <w:citation/>
        </w:sdtPr>
        <w:sdtContent>
          <w:r w:rsidRPr="0079221B">
            <w:rPr>
              <w:rFonts w:ascii="Arial" w:hAnsi="Arial" w:cs="Arial"/>
              <w:color w:val="auto"/>
            </w:rPr>
            <w:fldChar w:fldCharType="begin"/>
          </w:r>
          <w:r w:rsidRPr="0079221B">
            <w:rPr>
              <w:rFonts w:ascii="Arial" w:hAnsi="Arial" w:cs="Arial"/>
              <w:color w:val="auto"/>
            </w:rPr>
            <w:instrText xml:space="preserve"> CITATION IAS15 \l 2057 </w:instrText>
          </w:r>
          <w:r w:rsidRPr="0079221B">
            <w:rPr>
              <w:rFonts w:ascii="Arial" w:hAnsi="Arial" w:cs="Arial"/>
              <w:color w:val="auto"/>
            </w:rPr>
            <w:fldChar w:fldCharType="separate"/>
          </w:r>
          <w:r w:rsidRPr="0079221B">
            <w:rPr>
              <w:rFonts w:ascii="Arial" w:hAnsi="Arial" w:cs="Arial"/>
              <w:color w:val="auto"/>
            </w:rPr>
            <w:t>(IASB, 2015)</w:t>
          </w:r>
          <w:r w:rsidRPr="0079221B">
            <w:rPr>
              <w:rFonts w:ascii="Arial" w:hAnsi="Arial" w:cs="Arial"/>
              <w:color w:val="auto"/>
            </w:rPr>
            <w:fldChar w:fldCharType="end"/>
          </w:r>
        </w:sdtContent>
      </w:sdt>
      <w:r w:rsidRPr="0079221B">
        <w:rPr>
          <w:rFonts w:ascii="Arial" w:hAnsi="Arial" w:cs="Arial"/>
          <w:color w:val="auto"/>
        </w:rPr>
        <w:t>.</w:t>
      </w:r>
    </w:p>
    <w:p w14:paraId="109FB0B9" w14:textId="0F209D31" w:rsidR="0079221B" w:rsidRPr="0079221B" w:rsidRDefault="0079221B" w:rsidP="000328AB">
      <w:pPr>
        <w:spacing w:before="30" w:after="30"/>
        <w:ind w:firstLine="720"/>
        <w:rPr>
          <w:rFonts w:ascii="Arial" w:hAnsi="Arial" w:cs="Arial"/>
          <w:color w:val="auto"/>
        </w:rPr>
      </w:pPr>
      <w:r w:rsidRPr="0079221B">
        <w:rPr>
          <w:rFonts w:ascii="Arial" w:hAnsi="Arial" w:cs="Arial"/>
          <w:color w:val="auto"/>
        </w:rPr>
        <w:t xml:space="preserve">According to the </w:t>
      </w:r>
      <w:bookmarkStart w:id="5" w:name="_Hlk531808499"/>
      <w:sdt>
        <w:sdtPr>
          <w:rPr>
            <w:rFonts w:ascii="Arial" w:hAnsi="Arial" w:cs="Arial"/>
            <w:color w:val="auto"/>
          </w:rPr>
          <w:id w:val="-2029778523"/>
          <w:citation/>
        </w:sdtPr>
        <w:sdtContent>
          <w:r w:rsidRPr="0079221B">
            <w:rPr>
              <w:rFonts w:ascii="Arial" w:hAnsi="Arial" w:cs="Arial"/>
              <w:color w:val="auto"/>
            </w:rPr>
            <w:fldChar w:fldCharType="begin"/>
          </w:r>
          <w:r w:rsidRPr="0079221B">
            <w:rPr>
              <w:rFonts w:ascii="Arial" w:hAnsi="Arial" w:cs="Arial"/>
              <w:color w:val="auto"/>
            </w:rPr>
            <w:instrText xml:space="preserve"> CITATION IAS15 \l 2057 </w:instrText>
          </w:r>
          <w:r w:rsidRPr="0079221B">
            <w:rPr>
              <w:rFonts w:ascii="Arial" w:hAnsi="Arial" w:cs="Arial"/>
              <w:color w:val="auto"/>
            </w:rPr>
            <w:fldChar w:fldCharType="separate"/>
          </w:r>
          <w:r w:rsidRPr="0079221B">
            <w:rPr>
              <w:rFonts w:ascii="Arial" w:hAnsi="Arial" w:cs="Arial"/>
              <w:color w:val="auto"/>
            </w:rPr>
            <w:t>(IASB, 2015)</w:t>
          </w:r>
          <w:r w:rsidRPr="0079221B">
            <w:rPr>
              <w:rFonts w:ascii="Arial" w:hAnsi="Arial" w:cs="Arial"/>
              <w:color w:val="auto"/>
            </w:rPr>
            <w:fldChar w:fldCharType="end"/>
          </w:r>
        </w:sdtContent>
      </w:sdt>
      <w:r w:rsidRPr="0079221B">
        <w:rPr>
          <w:rFonts w:ascii="Arial" w:hAnsi="Arial" w:cs="Arial"/>
          <w:color w:val="auto"/>
        </w:rPr>
        <w:t xml:space="preserve"> </w:t>
      </w:r>
      <w:bookmarkEnd w:id="5"/>
      <w:r w:rsidRPr="0079221B">
        <w:rPr>
          <w:rFonts w:ascii="Arial" w:hAnsi="Arial" w:cs="Arial"/>
          <w:color w:val="auto"/>
        </w:rPr>
        <w:t>a liability is ‘a present obligation of the entity arising from past events, the settlement of which is expected to result in an outflow from the entity of resources embodying economic benefits.’ IAS 17 conflicts with the definition taken from IASB’s conceptual framework. Under IAS 17, when a company enters an operating lease the accounting treatment is to expense the profit and loss account with rent payable. The biggest conflict is that there is no asset or liability recognized due to classification of the lease. If you were to consider the conceptual framework when accounting for an operating lease a different treatment would be used. A lease would have to be recognized due to the signing of a lease being ‘a present obligation of the entity arising from past events’ this means that an asset would also have be accounted for</w:t>
      </w:r>
      <w:r w:rsidR="004719E9">
        <w:rPr>
          <w:rFonts w:ascii="Arial" w:hAnsi="Arial" w:cs="Arial"/>
          <w:color w:val="auto"/>
        </w:rPr>
        <w:t xml:space="preserve"> which currently under IAS 17 is not the case with operating leases.</w:t>
      </w:r>
    </w:p>
    <w:p w14:paraId="29F7121F" w14:textId="284C4E63" w:rsidR="00866052" w:rsidRDefault="0079221B" w:rsidP="000328AB">
      <w:pPr>
        <w:spacing w:before="30" w:after="30"/>
        <w:ind w:firstLine="720"/>
        <w:rPr>
          <w:rFonts w:ascii="Arial" w:hAnsi="Arial" w:cs="Arial"/>
          <w:color w:val="auto"/>
        </w:rPr>
      </w:pPr>
      <w:r w:rsidRPr="0079221B">
        <w:rPr>
          <w:rFonts w:ascii="Arial" w:hAnsi="Arial" w:cs="Arial"/>
          <w:color w:val="auto"/>
        </w:rPr>
        <w:t xml:space="preserve">The last criticism of IAS 17 is that it is too complex and not transparent enough for investors, bankers and analysts to assess the company’s financial situation correctly. </w:t>
      </w:r>
    </w:p>
    <w:p w14:paraId="567AAA84" w14:textId="58D33F15" w:rsidR="00813977" w:rsidRDefault="00813977" w:rsidP="00813977">
      <w:pPr>
        <w:spacing w:before="30" w:after="30"/>
        <w:rPr>
          <w:rFonts w:ascii="Arial" w:hAnsi="Arial" w:cs="Arial"/>
          <w:color w:val="auto"/>
        </w:rPr>
      </w:pPr>
    </w:p>
    <w:p w14:paraId="3B27F5CD" w14:textId="77777777" w:rsidR="005D1841" w:rsidRDefault="005D1841" w:rsidP="00813977">
      <w:pPr>
        <w:spacing w:before="30" w:after="30"/>
        <w:rPr>
          <w:rFonts w:ascii="Arial" w:hAnsi="Arial" w:cs="Arial"/>
          <w:color w:val="auto"/>
        </w:rPr>
      </w:pPr>
    </w:p>
    <w:p w14:paraId="1ED496C6" w14:textId="5CA8E905" w:rsidR="005D1841" w:rsidRDefault="005D1841" w:rsidP="00813977">
      <w:pPr>
        <w:spacing w:before="30" w:after="30"/>
        <w:rPr>
          <w:rFonts w:ascii="Arial" w:hAnsi="Arial" w:cs="Arial"/>
          <w:color w:val="auto"/>
        </w:rPr>
      </w:pPr>
    </w:p>
    <w:p w14:paraId="57003C68" w14:textId="77777777" w:rsidR="005D1841" w:rsidRDefault="005D1841" w:rsidP="00813977">
      <w:pPr>
        <w:spacing w:before="30" w:after="30"/>
        <w:rPr>
          <w:rFonts w:ascii="Arial" w:hAnsi="Arial" w:cs="Arial"/>
          <w:color w:val="auto"/>
        </w:rPr>
      </w:pPr>
    </w:p>
    <w:p w14:paraId="1B21A462" w14:textId="74AC10B3" w:rsidR="00813977" w:rsidRDefault="00813977" w:rsidP="00813977">
      <w:pPr>
        <w:spacing w:before="30" w:after="30"/>
        <w:rPr>
          <w:rFonts w:ascii="Arial" w:hAnsi="Arial" w:cs="Arial"/>
          <w:color w:val="auto"/>
        </w:rPr>
      </w:pPr>
    </w:p>
    <w:p w14:paraId="08099FB6" w14:textId="77777777" w:rsidR="00813977" w:rsidRDefault="00813977" w:rsidP="00813977">
      <w:pPr>
        <w:spacing w:before="30" w:after="30"/>
        <w:rPr>
          <w:rFonts w:ascii="Arial" w:hAnsi="Arial" w:cs="Arial"/>
          <w:color w:val="auto"/>
        </w:rPr>
      </w:pPr>
    </w:p>
    <w:p w14:paraId="623271F5" w14:textId="444ABA8A" w:rsidR="000328AB" w:rsidRDefault="000328AB" w:rsidP="000328AB">
      <w:pPr>
        <w:spacing w:before="30" w:after="30"/>
        <w:ind w:firstLine="720"/>
        <w:rPr>
          <w:rFonts w:ascii="Arial" w:hAnsi="Arial" w:cs="Arial"/>
          <w:color w:val="auto"/>
        </w:rPr>
      </w:pPr>
    </w:p>
    <w:p w14:paraId="1F270E7C" w14:textId="20E9E959" w:rsidR="000328AB" w:rsidRDefault="000328AB" w:rsidP="00CE050D">
      <w:pPr>
        <w:spacing w:before="30" w:after="30"/>
        <w:rPr>
          <w:rFonts w:ascii="Arial" w:hAnsi="Arial" w:cs="Arial"/>
          <w:color w:val="auto"/>
        </w:rPr>
      </w:pPr>
    </w:p>
    <w:p w14:paraId="579B196E" w14:textId="53CB2026" w:rsidR="000328AB" w:rsidRDefault="000328AB" w:rsidP="00CE050D">
      <w:pPr>
        <w:spacing w:before="30" w:after="30"/>
        <w:rPr>
          <w:rFonts w:ascii="Arial" w:hAnsi="Arial" w:cs="Arial"/>
          <w:color w:val="auto"/>
        </w:rPr>
      </w:pPr>
    </w:p>
    <w:p w14:paraId="329D3469" w14:textId="77777777" w:rsidR="00CE050D" w:rsidRPr="00D946AD" w:rsidRDefault="00CE050D" w:rsidP="00CE050D">
      <w:pPr>
        <w:spacing w:before="30" w:after="30"/>
        <w:rPr>
          <w:rFonts w:ascii="Arial" w:hAnsi="Arial" w:cs="Arial"/>
          <w:color w:val="auto"/>
        </w:rPr>
      </w:pPr>
    </w:p>
    <w:p w14:paraId="367EA9F2" w14:textId="5437A58C" w:rsidR="00167068" w:rsidRPr="00CE050D" w:rsidRDefault="0019401B" w:rsidP="00CE050D">
      <w:pPr>
        <w:pStyle w:val="Heading1"/>
        <w:spacing w:before="30" w:after="30"/>
        <w:rPr>
          <w:rFonts w:ascii="Arial" w:hAnsi="Arial" w:cs="Arial"/>
          <w:color w:val="auto"/>
          <w:u w:val="single"/>
        </w:rPr>
      </w:pPr>
      <w:r w:rsidRPr="00C30D07">
        <w:rPr>
          <w:rFonts w:ascii="Arial" w:hAnsi="Arial" w:cs="Arial"/>
          <w:color w:val="auto"/>
          <w:u w:val="single"/>
        </w:rPr>
        <w:lastRenderedPageBreak/>
        <w:t>IFRS 16</w:t>
      </w:r>
    </w:p>
    <w:p w14:paraId="04F47614" w14:textId="2AEC8625" w:rsidR="008830B4" w:rsidRDefault="00C91440" w:rsidP="000328AB">
      <w:pPr>
        <w:spacing w:before="30" w:after="30"/>
        <w:rPr>
          <w:rFonts w:ascii="Arial" w:hAnsi="Arial" w:cs="Arial"/>
          <w:color w:val="auto"/>
        </w:rPr>
      </w:pPr>
      <w:r w:rsidRPr="00581A4B">
        <w:rPr>
          <w:rFonts w:ascii="Arial" w:hAnsi="Arial" w:cs="Arial"/>
          <w:color w:val="auto"/>
        </w:rPr>
        <w:t xml:space="preserve">The </w:t>
      </w:r>
      <w:r w:rsidR="00167068">
        <w:rPr>
          <w:rFonts w:ascii="Arial" w:hAnsi="Arial" w:cs="Arial"/>
          <w:color w:val="auto"/>
        </w:rPr>
        <w:t>aim</w:t>
      </w:r>
      <w:r w:rsidRPr="00581A4B">
        <w:rPr>
          <w:rFonts w:ascii="Arial" w:hAnsi="Arial" w:cs="Arial"/>
          <w:color w:val="auto"/>
        </w:rPr>
        <w:t xml:space="preserve"> of IFRS 16 is to report information that</w:t>
      </w:r>
      <w:r w:rsidR="00167068">
        <w:rPr>
          <w:rFonts w:ascii="Arial" w:hAnsi="Arial" w:cs="Arial"/>
          <w:color w:val="auto"/>
        </w:rPr>
        <w:t>;</w:t>
      </w:r>
    </w:p>
    <w:p w14:paraId="1D974636" w14:textId="77777777" w:rsidR="002620A4" w:rsidRDefault="002620A4" w:rsidP="000328AB">
      <w:pPr>
        <w:spacing w:before="30" w:after="30"/>
        <w:rPr>
          <w:rFonts w:ascii="Arial" w:hAnsi="Arial" w:cs="Arial"/>
          <w:color w:val="auto"/>
        </w:rPr>
      </w:pPr>
    </w:p>
    <w:p w14:paraId="00BEB37B" w14:textId="127B41C8" w:rsidR="008830B4" w:rsidRPr="00167068" w:rsidRDefault="002620A4" w:rsidP="000328AB">
      <w:pPr>
        <w:pStyle w:val="ListParagraph"/>
        <w:numPr>
          <w:ilvl w:val="0"/>
          <w:numId w:val="20"/>
        </w:numPr>
        <w:spacing w:before="30" w:after="30"/>
        <w:rPr>
          <w:rFonts w:ascii="Arial" w:hAnsi="Arial" w:cs="Arial"/>
          <w:color w:val="auto"/>
        </w:rPr>
      </w:pPr>
      <w:r w:rsidRPr="00167068">
        <w:rPr>
          <w:rFonts w:ascii="Arial" w:hAnsi="Arial" w:cs="Arial"/>
          <w:color w:val="auto"/>
        </w:rPr>
        <w:t>F</w:t>
      </w:r>
      <w:r w:rsidR="00C91440" w:rsidRPr="00167068">
        <w:rPr>
          <w:rFonts w:ascii="Arial" w:hAnsi="Arial" w:cs="Arial"/>
          <w:color w:val="auto"/>
        </w:rPr>
        <w:t>aithfully represents lease transactions and</w:t>
      </w:r>
      <w:r w:rsidRPr="00167068">
        <w:rPr>
          <w:rFonts w:ascii="Arial" w:hAnsi="Arial" w:cs="Arial"/>
          <w:color w:val="auto"/>
        </w:rPr>
        <w:t>;</w:t>
      </w:r>
    </w:p>
    <w:p w14:paraId="4FABDF6A" w14:textId="459CFADD" w:rsidR="002620A4" w:rsidRPr="00167068" w:rsidRDefault="002620A4" w:rsidP="000328AB">
      <w:pPr>
        <w:pStyle w:val="ListParagraph"/>
        <w:numPr>
          <w:ilvl w:val="0"/>
          <w:numId w:val="20"/>
        </w:numPr>
        <w:spacing w:before="30" w:after="30"/>
        <w:rPr>
          <w:rFonts w:ascii="Arial" w:hAnsi="Arial" w:cs="Arial"/>
          <w:color w:val="auto"/>
        </w:rPr>
      </w:pPr>
      <w:r w:rsidRPr="00167068">
        <w:rPr>
          <w:rFonts w:ascii="Arial" w:hAnsi="Arial" w:cs="Arial"/>
          <w:color w:val="auto"/>
        </w:rPr>
        <w:t>P</w:t>
      </w:r>
      <w:r w:rsidR="00C91440" w:rsidRPr="00167068">
        <w:rPr>
          <w:rFonts w:ascii="Arial" w:hAnsi="Arial" w:cs="Arial"/>
          <w:color w:val="auto"/>
        </w:rPr>
        <w:t xml:space="preserve">rovide a basis for users of financial statements to assess the amount, timing and uncertainty of cash flows arising from </w:t>
      </w:r>
      <w:r w:rsidR="002E06C1" w:rsidRPr="00167068">
        <w:rPr>
          <w:rFonts w:ascii="Arial" w:hAnsi="Arial" w:cs="Arial"/>
          <w:color w:val="auto"/>
        </w:rPr>
        <w:t>leases</w:t>
      </w:r>
    </w:p>
    <w:p w14:paraId="200C6907" w14:textId="103023E8" w:rsidR="003C3489" w:rsidRDefault="00C91440" w:rsidP="000328AB">
      <w:pPr>
        <w:spacing w:before="30" w:after="30"/>
        <w:rPr>
          <w:rFonts w:ascii="Arial" w:hAnsi="Arial" w:cs="Arial"/>
          <w:color w:val="auto"/>
        </w:rPr>
      </w:pPr>
      <w:r w:rsidRPr="00581A4B">
        <w:rPr>
          <w:rFonts w:ascii="Arial" w:hAnsi="Arial" w:cs="Arial"/>
          <w:color w:val="auto"/>
        </w:rPr>
        <w:t xml:space="preserve"> </w:t>
      </w:r>
      <w:sdt>
        <w:sdtPr>
          <w:rPr>
            <w:rFonts w:ascii="Arial" w:hAnsi="Arial" w:cs="Arial"/>
            <w:color w:val="auto"/>
          </w:rPr>
          <w:id w:val="-174195925"/>
          <w:citation/>
        </w:sdtPr>
        <w:sdtEndPr/>
        <w:sdtContent>
          <w:r w:rsidRPr="00581A4B">
            <w:rPr>
              <w:rFonts w:ascii="Arial" w:hAnsi="Arial" w:cs="Arial"/>
              <w:color w:val="auto"/>
            </w:rPr>
            <w:fldChar w:fldCharType="begin"/>
          </w:r>
          <w:r w:rsidRPr="00581A4B">
            <w:rPr>
              <w:rFonts w:ascii="Arial" w:hAnsi="Arial" w:cs="Arial"/>
              <w:color w:val="auto"/>
            </w:rPr>
            <w:instrText xml:space="preserve"> CITATION IFR18 \l 2057 </w:instrText>
          </w:r>
          <w:r w:rsidRPr="00581A4B">
            <w:rPr>
              <w:rFonts w:ascii="Arial" w:hAnsi="Arial" w:cs="Arial"/>
              <w:color w:val="auto"/>
            </w:rPr>
            <w:fldChar w:fldCharType="separate"/>
          </w:r>
          <w:r w:rsidR="005C372C" w:rsidRPr="005C372C">
            <w:rPr>
              <w:rFonts w:ascii="Arial" w:hAnsi="Arial" w:cs="Arial"/>
              <w:noProof/>
              <w:color w:val="auto"/>
            </w:rPr>
            <w:t>(IFRS, 2018)</w:t>
          </w:r>
          <w:r w:rsidRPr="00581A4B">
            <w:rPr>
              <w:rFonts w:ascii="Arial" w:hAnsi="Arial" w:cs="Arial"/>
              <w:color w:val="auto"/>
            </w:rPr>
            <w:fldChar w:fldCharType="end"/>
          </w:r>
        </w:sdtContent>
      </w:sdt>
      <w:r w:rsidR="002E06C1" w:rsidRPr="00581A4B">
        <w:rPr>
          <w:rFonts w:ascii="Arial" w:hAnsi="Arial" w:cs="Arial"/>
          <w:color w:val="auto"/>
        </w:rPr>
        <w:t>.</w:t>
      </w:r>
    </w:p>
    <w:p w14:paraId="319AC4CF" w14:textId="197CF9DD" w:rsidR="008D5523" w:rsidRDefault="008D5523" w:rsidP="000328AB">
      <w:pPr>
        <w:spacing w:before="30" w:after="30"/>
        <w:ind w:firstLine="720"/>
        <w:rPr>
          <w:rFonts w:ascii="Arial" w:hAnsi="Arial" w:cs="Arial"/>
          <w:color w:val="auto"/>
        </w:rPr>
      </w:pPr>
    </w:p>
    <w:p w14:paraId="78DE17C5" w14:textId="7DCD94C2" w:rsidR="00207A05" w:rsidRDefault="00542529" w:rsidP="00DE7C09">
      <w:pPr>
        <w:spacing w:before="30" w:after="30"/>
        <w:ind w:firstLine="720"/>
        <w:rPr>
          <w:rFonts w:ascii="Arial" w:hAnsi="Arial" w:cs="Arial"/>
          <w:color w:val="auto"/>
        </w:rPr>
      </w:pPr>
      <w:r>
        <w:rPr>
          <w:rFonts w:ascii="Arial" w:hAnsi="Arial" w:cs="Arial"/>
          <w:color w:val="auto"/>
        </w:rPr>
        <w:t>The new standard will introduce a new accounting model that is labelled a ‘single lessee accounting model.</w:t>
      </w:r>
      <w:r w:rsidR="00E572FD">
        <w:rPr>
          <w:rFonts w:ascii="Arial" w:hAnsi="Arial" w:cs="Arial"/>
          <w:color w:val="auto"/>
        </w:rPr>
        <w:t xml:space="preserve"> This will require companies to recognize assets and liabilities for all leases that run a course more than 12 months,</w:t>
      </w:r>
      <w:r w:rsidR="00261CA7">
        <w:rPr>
          <w:rFonts w:ascii="Arial" w:hAnsi="Arial" w:cs="Arial"/>
          <w:color w:val="auto"/>
        </w:rPr>
        <w:t xml:space="preserve"> however this excludes assets and liabilities that are of low value.</w:t>
      </w:r>
      <w:r w:rsidR="00DE7C09">
        <w:rPr>
          <w:rFonts w:ascii="Arial" w:hAnsi="Arial" w:cs="Arial"/>
          <w:color w:val="auto"/>
        </w:rPr>
        <w:t xml:space="preserve"> </w:t>
      </w:r>
      <w:r w:rsidR="00F00531">
        <w:rPr>
          <w:rFonts w:ascii="Arial" w:hAnsi="Arial" w:cs="Arial"/>
          <w:color w:val="auto"/>
        </w:rPr>
        <w:t>With the introduction of IFRS 16 the lessee will be required to identify the</w:t>
      </w:r>
      <w:r w:rsidR="003B7989">
        <w:rPr>
          <w:rFonts w:ascii="Arial" w:hAnsi="Arial" w:cs="Arial"/>
          <w:color w:val="auto"/>
        </w:rPr>
        <w:t xml:space="preserve"> right-of-use asset this represents its right to use the asset and a lease liability representing its obligation to recompence the lease payments</w:t>
      </w:r>
    </w:p>
    <w:p w14:paraId="72C463BC" w14:textId="4886E0A5" w:rsidR="0023600D" w:rsidRDefault="0023600D" w:rsidP="000328AB">
      <w:pPr>
        <w:spacing w:before="30" w:after="30"/>
        <w:ind w:firstLine="720"/>
        <w:rPr>
          <w:rFonts w:ascii="Arial" w:hAnsi="Arial" w:cs="Arial"/>
          <w:color w:val="auto"/>
        </w:rPr>
      </w:pPr>
      <w:r>
        <w:rPr>
          <w:rFonts w:ascii="Arial" w:hAnsi="Arial" w:cs="Arial"/>
          <w:color w:val="auto"/>
        </w:rPr>
        <w:t>Right-of-use assets will be measured like other assets such as property</w:t>
      </w:r>
      <w:r w:rsidR="00207A05">
        <w:rPr>
          <w:rFonts w:ascii="Arial" w:hAnsi="Arial" w:cs="Arial"/>
          <w:color w:val="auto"/>
        </w:rPr>
        <w:t>, plant and equipment this will also be the same for lease liabilities</w:t>
      </w:r>
      <w:r w:rsidR="003511E3">
        <w:rPr>
          <w:rFonts w:ascii="Arial" w:hAnsi="Arial" w:cs="Arial"/>
          <w:color w:val="auto"/>
        </w:rPr>
        <w:t>. This means that the lessee will identify depreciation of the right-of-use asset and interest on the lease liability.</w:t>
      </w:r>
    </w:p>
    <w:p w14:paraId="3C3BA2AC" w14:textId="4DD7F86B" w:rsidR="00927C27" w:rsidRDefault="00252778" w:rsidP="000328AB">
      <w:pPr>
        <w:spacing w:before="30" w:after="30"/>
        <w:rPr>
          <w:rFonts w:ascii="Arial" w:hAnsi="Arial" w:cs="Arial"/>
          <w:color w:val="auto"/>
        </w:rPr>
      </w:pPr>
      <w:r>
        <w:rPr>
          <w:rFonts w:ascii="Arial" w:hAnsi="Arial" w:cs="Arial"/>
          <w:color w:val="auto"/>
        </w:rPr>
        <w:t xml:space="preserve"> </w:t>
      </w:r>
      <w:r w:rsidR="007E7E4D">
        <w:rPr>
          <w:noProof/>
        </w:rPr>
        <w:drawing>
          <wp:inline distT="0" distB="0" distL="0" distR="0" wp14:anchorId="47D1F51B" wp14:editId="689F47B1">
            <wp:extent cx="5326912" cy="3517498"/>
            <wp:effectExtent l="0" t="0" r="762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44174" cy="3528896"/>
                    </a:xfrm>
                    <a:prstGeom prst="rect">
                      <a:avLst/>
                    </a:prstGeom>
                  </pic:spPr>
                </pic:pic>
              </a:graphicData>
            </a:graphic>
          </wp:inline>
        </w:drawing>
      </w:r>
    </w:p>
    <w:p w14:paraId="0EC84AC6" w14:textId="43812D22" w:rsidR="0064033E" w:rsidRDefault="0000600F" w:rsidP="000328AB">
      <w:pPr>
        <w:spacing w:before="30" w:after="30"/>
        <w:rPr>
          <w:rFonts w:ascii="Arial" w:hAnsi="Arial" w:cs="Arial"/>
          <w:color w:val="auto"/>
        </w:rPr>
      </w:pPr>
      <w:sdt>
        <w:sdtPr>
          <w:rPr>
            <w:rFonts w:ascii="Arial" w:hAnsi="Arial" w:cs="Arial"/>
            <w:color w:val="auto"/>
          </w:rPr>
          <w:id w:val="-721826982"/>
          <w:citation/>
        </w:sdtPr>
        <w:sdtEndPr/>
        <w:sdtContent>
          <w:r w:rsidR="0064033E">
            <w:rPr>
              <w:rFonts w:ascii="Arial" w:hAnsi="Arial" w:cs="Arial"/>
              <w:color w:val="auto"/>
            </w:rPr>
            <w:fldChar w:fldCharType="begin"/>
          </w:r>
          <w:r w:rsidR="00AB6ADE">
            <w:rPr>
              <w:rFonts w:ascii="Arial" w:hAnsi="Arial" w:cs="Arial"/>
              <w:color w:val="auto"/>
              <w:lang w:val="en-GB"/>
            </w:rPr>
            <w:instrText xml:space="preserve">CITATION Sum16 \l 2057 </w:instrText>
          </w:r>
          <w:r w:rsidR="0064033E">
            <w:rPr>
              <w:rFonts w:ascii="Arial" w:hAnsi="Arial" w:cs="Arial"/>
              <w:color w:val="auto"/>
            </w:rPr>
            <w:fldChar w:fldCharType="separate"/>
          </w:r>
          <w:r w:rsidR="005C372C" w:rsidRPr="005C372C">
            <w:rPr>
              <w:rFonts w:ascii="Arial" w:hAnsi="Arial" w:cs="Arial"/>
              <w:noProof/>
              <w:color w:val="auto"/>
              <w:lang w:val="en-GB"/>
            </w:rPr>
            <w:t>(EY, 2016)</w:t>
          </w:r>
          <w:r w:rsidR="0064033E">
            <w:rPr>
              <w:rFonts w:ascii="Arial" w:hAnsi="Arial" w:cs="Arial"/>
              <w:color w:val="auto"/>
            </w:rPr>
            <w:fldChar w:fldCharType="end"/>
          </w:r>
        </w:sdtContent>
      </w:sdt>
      <w:r w:rsidR="0064033E">
        <w:rPr>
          <w:rFonts w:ascii="Arial" w:hAnsi="Arial" w:cs="Arial"/>
          <w:color w:val="auto"/>
        </w:rPr>
        <w:t xml:space="preserve"> </w:t>
      </w:r>
    </w:p>
    <w:p w14:paraId="4DAD5561" w14:textId="77777777" w:rsidR="00315049" w:rsidRDefault="00315049" w:rsidP="000328AB">
      <w:pPr>
        <w:spacing w:before="30" w:after="30"/>
        <w:rPr>
          <w:rFonts w:ascii="Arial" w:hAnsi="Arial" w:cs="Arial"/>
          <w:color w:val="auto"/>
        </w:rPr>
      </w:pPr>
    </w:p>
    <w:p w14:paraId="1003F0E0" w14:textId="77777777" w:rsidR="00315049" w:rsidRDefault="008E52BF" w:rsidP="00315049">
      <w:pPr>
        <w:spacing w:before="30" w:after="30"/>
        <w:rPr>
          <w:rFonts w:ascii="Arial" w:hAnsi="Arial" w:cs="Arial"/>
          <w:color w:val="auto"/>
        </w:rPr>
      </w:pPr>
      <w:r>
        <w:rPr>
          <w:rFonts w:ascii="Arial" w:hAnsi="Arial" w:cs="Arial"/>
          <w:color w:val="auto"/>
        </w:rPr>
        <w:t xml:space="preserve">As you can see in the graph above IFRS 16 will impact the </w:t>
      </w:r>
      <w:r w:rsidR="00B77054">
        <w:rPr>
          <w:rFonts w:ascii="Arial" w:hAnsi="Arial" w:cs="Arial"/>
          <w:color w:val="auto"/>
        </w:rPr>
        <w:t>balance sheet and profit and loss account</w:t>
      </w:r>
      <w:r w:rsidR="00344103">
        <w:rPr>
          <w:rFonts w:ascii="Arial" w:hAnsi="Arial" w:cs="Arial"/>
          <w:color w:val="auto"/>
        </w:rPr>
        <w:t>.</w:t>
      </w:r>
    </w:p>
    <w:p w14:paraId="2DB89EB0" w14:textId="561C1FFC" w:rsidR="003845C8" w:rsidRDefault="002C7F5B" w:rsidP="00315049">
      <w:pPr>
        <w:spacing w:before="30" w:after="30"/>
        <w:rPr>
          <w:rFonts w:ascii="Arial" w:hAnsi="Arial" w:cs="Arial"/>
          <w:color w:val="auto"/>
        </w:rPr>
      </w:pPr>
      <w:r>
        <w:rPr>
          <w:rFonts w:ascii="Arial" w:hAnsi="Arial" w:cs="Arial"/>
          <w:color w:val="auto"/>
        </w:rPr>
        <w:t>Firstly,</w:t>
      </w:r>
      <w:r w:rsidR="00721514">
        <w:rPr>
          <w:rFonts w:ascii="Arial" w:hAnsi="Arial" w:cs="Arial"/>
          <w:color w:val="auto"/>
        </w:rPr>
        <w:t xml:space="preserve"> for the balance sheet, the impact</w:t>
      </w:r>
      <w:r w:rsidR="00344103">
        <w:rPr>
          <w:rFonts w:ascii="Arial" w:hAnsi="Arial" w:cs="Arial"/>
          <w:color w:val="auto"/>
        </w:rPr>
        <w:t xml:space="preserve"> </w:t>
      </w:r>
      <w:r w:rsidR="00A2794C">
        <w:rPr>
          <w:rFonts w:ascii="Arial" w:hAnsi="Arial" w:cs="Arial"/>
          <w:color w:val="auto"/>
        </w:rPr>
        <w:t>IFRS 16</w:t>
      </w:r>
      <w:r w:rsidR="00721514">
        <w:rPr>
          <w:rFonts w:ascii="Arial" w:hAnsi="Arial" w:cs="Arial"/>
          <w:color w:val="auto"/>
        </w:rPr>
        <w:t xml:space="preserve"> will make is that</w:t>
      </w:r>
      <w:r w:rsidR="00A2794C">
        <w:rPr>
          <w:rFonts w:ascii="Arial" w:hAnsi="Arial" w:cs="Arial"/>
          <w:color w:val="auto"/>
        </w:rPr>
        <w:t xml:space="preserve"> all leases will be </w:t>
      </w:r>
      <w:r w:rsidR="00721514">
        <w:rPr>
          <w:rFonts w:ascii="Arial" w:hAnsi="Arial" w:cs="Arial"/>
          <w:color w:val="auto"/>
        </w:rPr>
        <w:t>recognized</w:t>
      </w:r>
      <w:r w:rsidR="00A2794C">
        <w:rPr>
          <w:rFonts w:ascii="Arial" w:hAnsi="Arial" w:cs="Arial"/>
          <w:color w:val="auto"/>
        </w:rPr>
        <w:t xml:space="preserve"> </w:t>
      </w:r>
      <w:r w:rsidR="00721514">
        <w:rPr>
          <w:rFonts w:ascii="Arial" w:hAnsi="Arial" w:cs="Arial"/>
          <w:color w:val="auto"/>
        </w:rPr>
        <w:t>in</w:t>
      </w:r>
      <w:r w:rsidR="00A2794C">
        <w:rPr>
          <w:rFonts w:ascii="Arial" w:hAnsi="Arial" w:cs="Arial"/>
          <w:color w:val="auto"/>
        </w:rPr>
        <w:t xml:space="preserve"> the assets and liabilities whereas before under IAS 17 the operating </w:t>
      </w:r>
      <w:r w:rsidR="00A2794C">
        <w:rPr>
          <w:rFonts w:ascii="Arial" w:hAnsi="Arial" w:cs="Arial"/>
          <w:color w:val="auto"/>
        </w:rPr>
        <w:lastRenderedPageBreak/>
        <w:t xml:space="preserve">leases </w:t>
      </w:r>
      <w:r w:rsidR="00A40BEE">
        <w:rPr>
          <w:rFonts w:ascii="Arial" w:hAnsi="Arial" w:cs="Arial"/>
          <w:color w:val="auto"/>
        </w:rPr>
        <w:t>weren’t on the balance sheet.</w:t>
      </w:r>
      <w:r w:rsidR="00BF011B">
        <w:rPr>
          <w:rFonts w:ascii="Arial" w:hAnsi="Arial" w:cs="Arial"/>
          <w:color w:val="auto"/>
        </w:rPr>
        <w:t xml:space="preserve"> </w:t>
      </w:r>
      <w:r w:rsidR="00F845F9">
        <w:rPr>
          <w:rFonts w:ascii="Arial" w:hAnsi="Arial" w:cs="Arial"/>
          <w:color w:val="auto"/>
        </w:rPr>
        <w:t xml:space="preserve">Secondly, </w:t>
      </w:r>
      <w:r w:rsidR="00C802AA">
        <w:rPr>
          <w:rFonts w:ascii="Arial" w:hAnsi="Arial" w:cs="Arial"/>
          <w:color w:val="auto"/>
        </w:rPr>
        <w:t xml:space="preserve">as for </w:t>
      </w:r>
      <w:r w:rsidR="00F845F9">
        <w:rPr>
          <w:rFonts w:ascii="Arial" w:hAnsi="Arial" w:cs="Arial"/>
          <w:color w:val="auto"/>
        </w:rPr>
        <w:t>the profit and loss</w:t>
      </w:r>
      <w:r w:rsidR="00C802AA">
        <w:rPr>
          <w:rFonts w:ascii="Arial" w:hAnsi="Arial" w:cs="Arial"/>
          <w:color w:val="auto"/>
        </w:rPr>
        <w:t xml:space="preserve"> account</w:t>
      </w:r>
      <w:r w:rsidR="00F845F9">
        <w:rPr>
          <w:rFonts w:ascii="Arial" w:hAnsi="Arial" w:cs="Arial"/>
          <w:color w:val="auto"/>
        </w:rPr>
        <w:t xml:space="preserve"> (shown as income statement)</w:t>
      </w:r>
      <w:r w:rsidR="00C802AA">
        <w:rPr>
          <w:rFonts w:ascii="Arial" w:hAnsi="Arial" w:cs="Arial"/>
          <w:color w:val="auto"/>
        </w:rPr>
        <w:t xml:space="preserve">, </w:t>
      </w:r>
      <w:r w:rsidR="00F845F9">
        <w:rPr>
          <w:rFonts w:ascii="Arial" w:hAnsi="Arial" w:cs="Arial"/>
          <w:color w:val="auto"/>
        </w:rPr>
        <w:t xml:space="preserve">the impact will be that </w:t>
      </w:r>
      <w:r>
        <w:rPr>
          <w:rFonts w:ascii="Arial" w:hAnsi="Arial" w:cs="Arial"/>
          <w:color w:val="auto"/>
        </w:rPr>
        <w:t xml:space="preserve">operating leases under IAS 17 </w:t>
      </w:r>
      <w:r w:rsidR="00C802AA">
        <w:rPr>
          <w:rFonts w:ascii="Arial" w:hAnsi="Arial" w:cs="Arial"/>
          <w:color w:val="auto"/>
        </w:rPr>
        <w:t xml:space="preserve">were accounted for </w:t>
      </w:r>
      <w:r w:rsidR="00B77E19">
        <w:rPr>
          <w:rFonts w:ascii="Arial" w:hAnsi="Arial" w:cs="Arial"/>
          <w:color w:val="auto"/>
        </w:rPr>
        <w:t>under a single lease expense they will now be accounted for as separate lease expenses under depreciation and interest</w:t>
      </w:r>
      <w:r w:rsidR="00C039B5">
        <w:rPr>
          <w:rFonts w:ascii="Arial" w:hAnsi="Arial" w:cs="Arial"/>
          <w:color w:val="auto"/>
        </w:rPr>
        <w:t>.</w:t>
      </w:r>
      <w:r w:rsidR="00BF011B">
        <w:rPr>
          <w:rFonts w:ascii="Arial" w:hAnsi="Arial" w:cs="Arial"/>
          <w:color w:val="auto"/>
        </w:rPr>
        <w:t xml:space="preserve"> </w:t>
      </w:r>
      <w:r w:rsidR="00977283">
        <w:rPr>
          <w:rFonts w:ascii="Arial" w:hAnsi="Arial" w:cs="Arial"/>
          <w:color w:val="auto"/>
        </w:rPr>
        <w:t>To summarize, the major impact will be that all leases will be accounted for the same</w:t>
      </w:r>
      <w:r w:rsidR="0046497B">
        <w:rPr>
          <w:rFonts w:ascii="Arial" w:hAnsi="Arial" w:cs="Arial"/>
          <w:color w:val="auto"/>
        </w:rPr>
        <w:t>.</w:t>
      </w:r>
    </w:p>
    <w:p w14:paraId="01FF4B6D" w14:textId="77777777" w:rsidR="00DE1D4E" w:rsidRPr="00DE1D4E" w:rsidRDefault="00DE1D4E" w:rsidP="000328AB">
      <w:pPr>
        <w:spacing w:before="30" w:after="30"/>
        <w:rPr>
          <w:rFonts w:ascii="Arial" w:hAnsi="Arial" w:cs="Arial"/>
          <w:color w:val="auto"/>
        </w:rPr>
      </w:pPr>
    </w:p>
    <w:p w14:paraId="5FEA81EB" w14:textId="7DBA8A6C" w:rsidR="003845C8" w:rsidRDefault="004A38EB" w:rsidP="000328AB">
      <w:pPr>
        <w:pStyle w:val="NormalWeb"/>
        <w:spacing w:before="30" w:beforeAutospacing="0" w:after="30" w:afterAutospacing="0"/>
        <w:rPr>
          <w:rFonts w:ascii="Arial" w:hAnsi="Arial" w:cs="Arial"/>
          <w:u w:val="single"/>
        </w:rPr>
      </w:pPr>
      <w:r w:rsidRPr="00EE6D76">
        <w:rPr>
          <w:rFonts w:ascii="Arial" w:eastAsiaTheme="minorHAnsi" w:hAnsi="Arial" w:cs="Arial"/>
          <w:szCs w:val="22"/>
          <w:u w:val="single"/>
          <w:lang w:val="en-US" w:eastAsia="en-US"/>
        </w:rPr>
        <w:t>The impact IFRS 16 will have on compan</w:t>
      </w:r>
      <w:r w:rsidR="002556DF" w:rsidRPr="00EE6D76">
        <w:rPr>
          <w:rFonts w:ascii="Arial" w:eastAsiaTheme="minorHAnsi" w:hAnsi="Arial" w:cs="Arial"/>
          <w:szCs w:val="22"/>
          <w:u w:val="single"/>
          <w:lang w:val="en-US" w:eastAsia="en-US"/>
        </w:rPr>
        <w:t>ies</w:t>
      </w:r>
    </w:p>
    <w:p w14:paraId="23AA1B25" w14:textId="77777777" w:rsidR="00DA1445" w:rsidRDefault="00DA1445" w:rsidP="00F82513">
      <w:pPr>
        <w:spacing w:before="30" w:after="30"/>
        <w:rPr>
          <w:rFonts w:ascii="Arial" w:hAnsi="Arial" w:cs="Arial"/>
          <w:color w:val="auto"/>
        </w:rPr>
      </w:pPr>
    </w:p>
    <w:p w14:paraId="3B53631C" w14:textId="36A99AF3" w:rsidR="002B6545" w:rsidRDefault="00F82513" w:rsidP="00F82513">
      <w:pPr>
        <w:spacing w:before="30" w:after="30"/>
        <w:rPr>
          <w:rFonts w:ascii="Arial" w:hAnsi="Arial" w:cs="Arial"/>
          <w:color w:val="auto"/>
        </w:rPr>
      </w:pPr>
      <w:r>
        <w:rPr>
          <w:rFonts w:ascii="Arial" w:hAnsi="Arial" w:cs="Arial"/>
          <w:color w:val="auto"/>
        </w:rPr>
        <w:t>IFRS 16 will affect specific industries more than other and this is because of the capital structures adopted by these industries.</w:t>
      </w:r>
      <w:r>
        <w:rPr>
          <w:rFonts w:ascii="Arial" w:hAnsi="Arial" w:cs="Arial"/>
          <w:color w:val="auto"/>
        </w:rPr>
        <w:t xml:space="preserve"> T</w:t>
      </w:r>
      <w:r w:rsidR="002B6545">
        <w:rPr>
          <w:rFonts w:ascii="Arial" w:hAnsi="Arial" w:cs="Arial"/>
          <w:color w:val="auto"/>
        </w:rPr>
        <w:t xml:space="preserve">he graph below shows the scope of impact per industry </w:t>
      </w:r>
      <w:r w:rsidR="006979A1">
        <w:rPr>
          <w:rFonts w:ascii="Arial" w:hAnsi="Arial" w:cs="Arial"/>
          <w:color w:val="auto"/>
        </w:rPr>
        <w:t>scaled to the effort to comply and the level of impact expected on</w:t>
      </w:r>
      <w:r w:rsidR="0021077D">
        <w:rPr>
          <w:rFonts w:ascii="Arial" w:hAnsi="Arial" w:cs="Arial"/>
          <w:color w:val="auto"/>
        </w:rPr>
        <w:t xml:space="preserve"> specific</w:t>
      </w:r>
      <w:r w:rsidR="006979A1">
        <w:rPr>
          <w:rFonts w:ascii="Arial" w:hAnsi="Arial" w:cs="Arial"/>
          <w:color w:val="auto"/>
        </w:rPr>
        <w:t xml:space="preserve"> industr</w:t>
      </w:r>
      <w:r w:rsidR="0021077D">
        <w:rPr>
          <w:rFonts w:ascii="Arial" w:hAnsi="Arial" w:cs="Arial"/>
          <w:color w:val="auto"/>
        </w:rPr>
        <w:t>ies</w:t>
      </w:r>
      <w:r w:rsidR="006979A1">
        <w:rPr>
          <w:rFonts w:ascii="Arial" w:hAnsi="Arial" w:cs="Arial"/>
          <w:color w:val="auto"/>
        </w:rPr>
        <w:t>.</w:t>
      </w:r>
    </w:p>
    <w:p w14:paraId="4A55AC1F" w14:textId="3B59D698" w:rsidR="0021077D" w:rsidRDefault="0021077D" w:rsidP="000328AB">
      <w:pPr>
        <w:spacing w:before="30" w:after="0"/>
        <w:ind w:firstLine="720"/>
        <w:rPr>
          <w:rFonts w:ascii="Arial" w:hAnsi="Arial" w:cs="Arial"/>
          <w:color w:val="auto"/>
        </w:rPr>
      </w:pPr>
    </w:p>
    <w:p w14:paraId="7D683AB9" w14:textId="1EBC390D" w:rsidR="00F82513" w:rsidRPr="00E465B0" w:rsidRDefault="00E465B0" w:rsidP="00F82513">
      <w:pPr>
        <w:spacing w:before="30" w:after="0"/>
        <w:ind w:firstLine="720"/>
        <w:rPr>
          <w:rFonts w:ascii="Arial" w:hAnsi="Arial" w:cs="Arial"/>
          <w:color w:val="auto"/>
        </w:rPr>
      </w:pPr>
      <w:r>
        <w:rPr>
          <w:noProof/>
        </w:rPr>
        <w:drawing>
          <wp:inline distT="0" distB="0" distL="0" distR="0" wp14:anchorId="5DD79482" wp14:editId="77AF0550">
            <wp:extent cx="4550735" cy="1635125"/>
            <wp:effectExtent l="0" t="0" r="254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81606" cy="1646217"/>
                    </a:xfrm>
                    <a:prstGeom prst="rect">
                      <a:avLst/>
                    </a:prstGeom>
                  </pic:spPr>
                </pic:pic>
              </a:graphicData>
            </a:graphic>
          </wp:inline>
        </w:drawing>
      </w:r>
    </w:p>
    <w:p w14:paraId="17819E3C" w14:textId="22225443" w:rsidR="00812F9A" w:rsidRDefault="0000600F" w:rsidP="000328AB">
      <w:pPr>
        <w:spacing w:before="30"/>
        <w:rPr>
          <w:rFonts w:ascii="Arial" w:hAnsi="Arial" w:cs="Arial"/>
          <w:color w:val="auto"/>
        </w:rPr>
      </w:pPr>
      <w:sdt>
        <w:sdtPr>
          <w:rPr>
            <w:rFonts w:ascii="Arial" w:hAnsi="Arial" w:cs="Arial"/>
            <w:color w:val="auto"/>
          </w:rPr>
          <w:id w:val="951359699"/>
          <w:citation/>
        </w:sdtPr>
        <w:sdtEndPr/>
        <w:sdtContent>
          <w:r w:rsidR="00CF3D49" w:rsidRPr="00CF3D49">
            <w:rPr>
              <w:rFonts w:ascii="Arial" w:hAnsi="Arial" w:cs="Arial"/>
              <w:color w:val="auto"/>
            </w:rPr>
            <w:fldChar w:fldCharType="begin"/>
          </w:r>
          <w:r w:rsidR="00AB6ADE">
            <w:rPr>
              <w:rFonts w:ascii="Arial" w:hAnsi="Arial" w:cs="Arial"/>
              <w:color w:val="auto"/>
            </w:rPr>
            <w:instrText xml:space="preserve">CITATION Sum16 \l 2057 </w:instrText>
          </w:r>
          <w:r w:rsidR="00CF3D49" w:rsidRPr="00CF3D49">
            <w:rPr>
              <w:rFonts w:ascii="Arial" w:hAnsi="Arial" w:cs="Arial"/>
              <w:color w:val="auto"/>
            </w:rPr>
            <w:fldChar w:fldCharType="separate"/>
          </w:r>
          <w:r w:rsidR="005C372C" w:rsidRPr="005C372C">
            <w:rPr>
              <w:rFonts w:ascii="Arial" w:hAnsi="Arial" w:cs="Arial"/>
              <w:noProof/>
              <w:color w:val="auto"/>
            </w:rPr>
            <w:t>(EY, 2016)</w:t>
          </w:r>
          <w:r w:rsidR="00CF3D49" w:rsidRPr="00CF3D49">
            <w:rPr>
              <w:rFonts w:ascii="Arial" w:hAnsi="Arial" w:cs="Arial"/>
              <w:color w:val="auto"/>
            </w:rPr>
            <w:fldChar w:fldCharType="end"/>
          </w:r>
        </w:sdtContent>
      </w:sdt>
    </w:p>
    <w:p w14:paraId="7DB6CB18" w14:textId="77777777" w:rsidR="005D1841" w:rsidRPr="005D1841" w:rsidRDefault="005D1841" w:rsidP="005D1841">
      <w:pPr>
        <w:spacing w:before="30" w:after="30"/>
        <w:ind w:firstLine="720"/>
        <w:rPr>
          <w:rFonts w:ascii="Arial" w:hAnsi="Arial" w:cs="Arial"/>
          <w:color w:val="auto"/>
        </w:rPr>
      </w:pPr>
      <w:r w:rsidRPr="005D1841">
        <w:rPr>
          <w:rFonts w:ascii="Arial" w:hAnsi="Arial" w:cs="Arial"/>
          <w:color w:val="auto"/>
        </w:rPr>
        <w:t>It is forecasted that the retails and consumer product industry will be the heaviest hit by IFRS and this is because this industry in notorious for leasing retail space.</w:t>
      </w:r>
    </w:p>
    <w:p w14:paraId="689A52D3" w14:textId="77777777" w:rsidR="005D1841" w:rsidRPr="005D1841" w:rsidRDefault="005D1841" w:rsidP="005D1841">
      <w:pPr>
        <w:spacing w:before="30" w:after="30"/>
        <w:ind w:firstLine="720"/>
        <w:rPr>
          <w:rFonts w:ascii="Arial" w:hAnsi="Arial" w:cs="Arial"/>
          <w:color w:val="auto"/>
        </w:rPr>
      </w:pPr>
      <w:r w:rsidRPr="005D1841">
        <w:rPr>
          <w:rFonts w:ascii="Arial" w:hAnsi="Arial" w:cs="Arial"/>
          <w:color w:val="auto"/>
        </w:rPr>
        <w:t>The graph then shows that telecommunications companies are expected to be impacted heavily. This is due to the equipment they provide to customers on lease contracts.</w:t>
      </w:r>
    </w:p>
    <w:p w14:paraId="03685348" w14:textId="77777777" w:rsidR="005D1841" w:rsidRPr="005D1841" w:rsidRDefault="005D1841" w:rsidP="005D1841">
      <w:pPr>
        <w:spacing w:before="30" w:after="30"/>
        <w:ind w:firstLine="720"/>
        <w:rPr>
          <w:rFonts w:ascii="Arial" w:hAnsi="Arial" w:cs="Arial"/>
          <w:color w:val="auto"/>
        </w:rPr>
      </w:pPr>
      <w:r w:rsidRPr="005D1841">
        <w:rPr>
          <w:rFonts w:ascii="Arial" w:hAnsi="Arial" w:cs="Arial"/>
          <w:color w:val="auto"/>
        </w:rPr>
        <w:t xml:space="preserve">Like retail and consumer product industries the banking and financial services also lease office space for the large administration and call centers. </w:t>
      </w:r>
    </w:p>
    <w:p w14:paraId="1A074D0F" w14:textId="55B1C7BF" w:rsidR="005D1841" w:rsidRDefault="005D1841" w:rsidP="008838B4">
      <w:pPr>
        <w:spacing w:before="30" w:after="30"/>
        <w:ind w:firstLine="720"/>
        <w:rPr>
          <w:rFonts w:ascii="Arial" w:hAnsi="Arial" w:cs="Arial"/>
          <w:color w:val="auto"/>
        </w:rPr>
      </w:pPr>
      <w:r w:rsidRPr="005D1841">
        <w:rPr>
          <w:rFonts w:ascii="Arial" w:hAnsi="Arial" w:cs="Arial"/>
          <w:color w:val="auto"/>
        </w:rPr>
        <w:t>Other sectors that will be heavily affected will be the Metal and mining industry Oil and Gas and the Insurance industry. These three industries will have to consider similar leases such as equipment, vehicles and land and buildings.</w:t>
      </w:r>
    </w:p>
    <w:p w14:paraId="2048DC48" w14:textId="77777777" w:rsidR="008838B4" w:rsidRDefault="008838B4" w:rsidP="008838B4">
      <w:pPr>
        <w:spacing w:before="30" w:after="30"/>
        <w:rPr>
          <w:rFonts w:ascii="Arial" w:hAnsi="Arial" w:cs="Arial"/>
          <w:color w:val="auto"/>
        </w:rPr>
      </w:pPr>
    </w:p>
    <w:p w14:paraId="2A79E0E0" w14:textId="079818F0" w:rsidR="00E74ACF" w:rsidRDefault="00E74ACF" w:rsidP="00E74ACF">
      <w:pPr>
        <w:pStyle w:val="NormalWeb"/>
        <w:spacing w:before="30" w:beforeAutospacing="0" w:after="30" w:afterAutospacing="0"/>
        <w:rPr>
          <w:rFonts w:ascii="Arial" w:eastAsiaTheme="minorHAnsi" w:hAnsi="Arial" w:cs="Arial"/>
          <w:szCs w:val="22"/>
          <w:u w:val="single"/>
          <w:lang w:val="en-US" w:eastAsia="en-US"/>
        </w:rPr>
      </w:pPr>
      <w:r w:rsidRPr="008838B4">
        <w:rPr>
          <w:rFonts w:ascii="Arial" w:eastAsiaTheme="minorHAnsi" w:hAnsi="Arial" w:cs="Arial"/>
          <w:szCs w:val="22"/>
          <w:u w:val="single"/>
          <w:lang w:val="en-US" w:eastAsia="en-US"/>
        </w:rPr>
        <w:t>Conclusion</w:t>
      </w:r>
    </w:p>
    <w:p w14:paraId="71015CAB" w14:textId="77777777" w:rsidR="008838B4" w:rsidRPr="008838B4" w:rsidRDefault="008838B4" w:rsidP="00E74ACF">
      <w:pPr>
        <w:pStyle w:val="NormalWeb"/>
        <w:spacing w:before="30" w:beforeAutospacing="0" w:after="30" w:afterAutospacing="0"/>
        <w:rPr>
          <w:rFonts w:ascii="Arial" w:eastAsiaTheme="minorHAnsi" w:hAnsi="Arial" w:cs="Arial"/>
          <w:szCs w:val="22"/>
          <w:u w:val="single"/>
          <w:lang w:val="en-US" w:eastAsia="en-US"/>
        </w:rPr>
      </w:pPr>
    </w:p>
    <w:p w14:paraId="439CCCF1" w14:textId="41557011" w:rsidR="005D1841" w:rsidRPr="00DA1445" w:rsidRDefault="006603C7" w:rsidP="00DA1445">
      <w:pPr>
        <w:pStyle w:val="NormalWeb"/>
        <w:spacing w:before="30" w:beforeAutospacing="0" w:after="30" w:afterAutospacing="0"/>
        <w:rPr>
          <w:rFonts w:ascii="Arial" w:eastAsiaTheme="minorHAnsi" w:hAnsi="Arial" w:cs="Arial"/>
          <w:sz w:val="22"/>
          <w:szCs w:val="22"/>
          <w:lang w:val="en-US" w:eastAsia="en-US"/>
        </w:rPr>
      </w:pPr>
      <w:r w:rsidRPr="008838B4">
        <w:rPr>
          <w:rFonts w:ascii="Arial" w:eastAsiaTheme="minorHAnsi" w:hAnsi="Arial" w:cs="Arial"/>
          <w:sz w:val="22"/>
          <w:szCs w:val="22"/>
          <w:lang w:val="en-US" w:eastAsia="en-US"/>
        </w:rPr>
        <w:t xml:space="preserve">I believe that this new standard is a move in the right direction. </w:t>
      </w:r>
      <w:r w:rsidR="00C105D2" w:rsidRPr="008838B4">
        <w:rPr>
          <w:rFonts w:ascii="Arial" w:eastAsiaTheme="minorHAnsi" w:hAnsi="Arial" w:cs="Arial"/>
          <w:sz w:val="22"/>
          <w:szCs w:val="22"/>
          <w:lang w:val="en-US" w:eastAsia="en-US"/>
        </w:rPr>
        <w:t xml:space="preserve">Bringing leasing standard </w:t>
      </w:r>
      <w:r w:rsidR="00885C80" w:rsidRPr="008838B4">
        <w:rPr>
          <w:rFonts w:ascii="Arial" w:eastAsiaTheme="minorHAnsi" w:hAnsi="Arial" w:cs="Arial"/>
          <w:sz w:val="22"/>
          <w:szCs w:val="22"/>
          <w:lang w:val="en-US" w:eastAsia="en-US"/>
        </w:rPr>
        <w:t>up to</w:t>
      </w:r>
      <w:r w:rsidR="00C105D2" w:rsidRPr="008838B4">
        <w:rPr>
          <w:rFonts w:ascii="Arial" w:eastAsiaTheme="minorHAnsi" w:hAnsi="Arial" w:cs="Arial"/>
          <w:sz w:val="22"/>
          <w:szCs w:val="22"/>
          <w:lang w:val="en-US" w:eastAsia="en-US"/>
        </w:rPr>
        <w:t xml:space="preserve"> date will create a truer and more reliable </w:t>
      </w:r>
      <w:r w:rsidR="00885C80" w:rsidRPr="008838B4">
        <w:rPr>
          <w:rFonts w:ascii="Arial" w:eastAsiaTheme="minorHAnsi" w:hAnsi="Arial" w:cs="Arial"/>
          <w:sz w:val="22"/>
          <w:szCs w:val="22"/>
          <w:lang w:val="en-US" w:eastAsia="en-US"/>
        </w:rPr>
        <w:t xml:space="preserve">picture of a company’s financial position. However, I </w:t>
      </w:r>
      <w:r w:rsidR="004C3833" w:rsidRPr="008838B4">
        <w:rPr>
          <w:rFonts w:ascii="Arial" w:eastAsiaTheme="minorHAnsi" w:hAnsi="Arial" w:cs="Arial"/>
          <w:sz w:val="22"/>
          <w:szCs w:val="22"/>
          <w:lang w:val="en-US" w:eastAsia="en-US"/>
        </w:rPr>
        <w:t>think that companies will always</w:t>
      </w:r>
      <w:r w:rsidR="00885C80" w:rsidRPr="008838B4">
        <w:rPr>
          <w:rFonts w:ascii="Arial" w:eastAsiaTheme="minorHAnsi" w:hAnsi="Arial" w:cs="Arial"/>
          <w:sz w:val="22"/>
          <w:szCs w:val="22"/>
          <w:lang w:val="en-US" w:eastAsia="en-US"/>
        </w:rPr>
        <w:t xml:space="preserve"> find a way </w:t>
      </w:r>
      <w:r w:rsidR="00E75A35" w:rsidRPr="008838B4">
        <w:rPr>
          <w:rFonts w:ascii="Arial" w:eastAsiaTheme="minorHAnsi" w:hAnsi="Arial" w:cs="Arial"/>
          <w:sz w:val="22"/>
          <w:szCs w:val="22"/>
          <w:lang w:val="en-US" w:eastAsia="en-US"/>
        </w:rPr>
        <w:t xml:space="preserve">to manipulate </w:t>
      </w:r>
      <w:r w:rsidR="004C3833" w:rsidRPr="008838B4">
        <w:rPr>
          <w:rFonts w:ascii="Arial" w:eastAsiaTheme="minorHAnsi" w:hAnsi="Arial" w:cs="Arial"/>
          <w:sz w:val="22"/>
          <w:szCs w:val="22"/>
          <w:lang w:val="en-US" w:eastAsia="en-US"/>
        </w:rPr>
        <w:t>the standards that govern them</w:t>
      </w:r>
      <w:r w:rsidR="00E75A35" w:rsidRPr="008838B4">
        <w:rPr>
          <w:rFonts w:ascii="Arial" w:eastAsiaTheme="minorHAnsi" w:hAnsi="Arial" w:cs="Arial"/>
          <w:sz w:val="22"/>
          <w:szCs w:val="22"/>
          <w:lang w:val="en-US" w:eastAsia="en-US"/>
        </w:rPr>
        <w:t xml:space="preserve"> to portray their company more profitable than it truly is.</w:t>
      </w:r>
      <w:r w:rsidR="004C3833" w:rsidRPr="008838B4">
        <w:rPr>
          <w:rFonts w:ascii="Arial" w:eastAsiaTheme="minorHAnsi" w:hAnsi="Arial" w:cs="Arial"/>
          <w:sz w:val="22"/>
          <w:szCs w:val="22"/>
          <w:lang w:val="en-US" w:eastAsia="en-US"/>
        </w:rPr>
        <w:t xml:space="preserve"> This will merely be a speed bump.</w:t>
      </w:r>
      <w:bookmarkStart w:id="6" w:name="_GoBack"/>
      <w:bookmarkEnd w:id="6"/>
    </w:p>
    <w:sdt>
      <w:sdtPr>
        <w:rPr>
          <w:rFonts w:asciiTheme="minorHAnsi" w:eastAsiaTheme="minorHAnsi" w:hAnsiTheme="minorHAnsi" w:cstheme="minorBidi"/>
          <w:color w:val="595959" w:themeColor="text1" w:themeTint="A6"/>
          <w:sz w:val="22"/>
        </w:rPr>
        <w:id w:val="997081980"/>
        <w:docPartObj>
          <w:docPartGallery w:val="Bibliographies"/>
          <w:docPartUnique/>
        </w:docPartObj>
      </w:sdtPr>
      <w:sdtEndPr/>
      <w:sdtContent>
        <w:p w14:paraId="17C9B588" w14:textId="3D23B3D9" w:rsidR="00EF0812" w:rsidRPr="00CE050D" w:rsidRDefault="00EF0812">
          <w:pPr>
            <w:pStyle w:val="Heading1"/>
            <w:rPr>
              <w:rFonts w:ascii="Arial" w:hAnsi="Arial" w:cs="Arial"/>
              <w:color w:val="auto"/>
              <w:u w:val="single"/>
            </w:rPr>
          </w:pPr>
          <w:r w:rsidRPr="00CE050D">
            <w:rPr>
              <w:rFonts w:ascii="Arial" w:hAnsi="Arial" w:cs="Arial"/>
              <w:color w:val="auto"/>
              <w:u w:val="single"/>
            </w:rPr>
            <w:t>Bibliography</w:t>
          </w:r>
        </w:p>
        <w:sdt>
          <w:sdtPr>
            <w:id w:val="111145805"/>
            <w:bibliography/>
          </w:sdtPr>
          <w:sdtEndPr/>
          <w:sdtContent>
            <w:p w14:paraId="4B178DC8" w14:textId="77777777" w:rsidR="005C372C" w:rsidRPr="00CE050D" w:rsidRDefault="00EF0812" w:rsidP="005C372C">
              <w:pPr>
                <w:pStyle w:val="Bibliography"/>
                <w:rPr>
                  <w:rFonts w:ascii="Arial" w:hAnsi="Arial" w:cs="Arial"/>
                  <w:color w:val="auto"/>
                </w:rPr>
              </w:pPr>
              <w:r w:rsidRPr="00CE050D">
                <w:rPr>
                  <w:rFonts w:ascii="Arial" w:hAnsi="Arial" w:cs="Arial"/>
                  <w:color w:val="auto"/>
                </w:rPr>
                <w:fldChar w:fldCharType="begin"/>
              </w:r>
              <w:r w:rsidRPr="00CE050D">
                <w:rPr>
                  <w:rFonts w:ascii="Arial" w:hAnsi="Arial" w:cs="Arial"/>
                  <w:color w:val="auto"/>
                </w:rPr>
                <w:instrText xml:space="preserve"> BIBLIOGRAPHY </w:instrText>
              </w:r>
              <w:r w:rsidRPr="00CE050D">
                <w:rPr>
                  <w:rFonts w:ascii="Arial" w:hAnsi="Arial" w:cs="Arial"/>
                  <w:color w:val="auto"/>
                </w:rPr>
                <w:fldChar w:fldCharType="separate"/>
              </w:r>
              <w:r w:rsidR="005C372C" w:rsidRPr="00CE050D">
                <w:rPr>
                  <w:rFonts w:ascii="Arial" w:hAnsi="Arial" w:cs="Arial"/>
                  <w:color w:val="auto"/>
                </w:rPr>
                <w:t>EY, 2016. Summary of IFRS 16 and its effects. EY Building a better working world, p. 5.</w:t>
              </w:r>
            </w:p>
            <w:p w14:paraId="61A6FFE1" w14:textId="77777777" w:rsidR="005C372C" w:rsidRPr="00CE050D" w:rsidRDefault="005C372C" w:rsidP="005C372C">
              <w:pPr>
                <w:pStyle w:val="Bibliography"/>
                <w:rPr>
                  <w:rFonts w:ascii="Arial" w:hAnsi="Arial" w:cs="Arial"/>
                  <w:color w:val="auto"/>
                </w:rPr>
              </w:pPr>
              <w:r w:rsidRPr="00CE050D">
                <w:rPr>
                  <w:rFonts w:ascii="Arial" w:hAnsi="Arial" w:cs="Arial"/>
                  <w:color w:val="auto"/>
                </w:rPr>
                <w:t>FASB, 2013. Proposed Accounting Standards Update. Leases (Topic 842), pp. 11-206.</w:t>
              </w:r>
            </w:p>
            <w:p w14:paraId="5EB34CDA" w14:textId="77777777" w:rsidR="005C372C" w:rsidRPr="00CE050D" w:rsidRDefault="005C372C" w:rsidP="005C372C">
              <w:pPr>
                <w:pStyle w:val="Bibliography"/>
                <w:rPr>
                  <w:rFonts w:ascii="Arial" w:hAnsi="Arial" w:cs="Arial"/>
                  <w:color w:val="auto"/>
                </w:rPr>
              </w:pPr>
              <w:r w:rsidRPr="00CE050D">
                <w:rPr>
                  <w:rFonts w:ascii="Arial" w:hAnsi="Arial" w:cs="Arial"/>
                  <w:color w:val="auto"/>
                </w:rPr>
                <w:t>FCCA, T. C., 2011. The IASB's Conceptual Framework for Financial Reporting. Student Accountant Technical, p. 5.</w:t>
              </w:r>
            </w:p>
            <w:p w14:paraId="1F98398A" w14:textId="77777777" w:rsidR="005C372C" w:rsidRPr="00CE050D" w:rsidRDefault="005C372C" w:rsidP="005C372C">
              <w:pPr>
                <w:pStyle w:val="Bibliography"/>
                <w:rPr>
                  <w:rFonts w:ascii="Arial" w:hAnsi="Arial" w:cs="Arial"/>
                  <w:color w:val="auto"/>
                </w:rPr>
              </w:pPr>
              <w:r w:rsidRPr="00CE050D">
                <w:rPr>
                  <w:rFonts w:ascii="Arial" w:hAnsi="Arial" w:cs="Arial"/>
                  <w:color w:val="auto"/>
                </w:rPr>
                <w:t xml:space="preserve">Haywood, A., 16. IFRS 16 Leases is Here – IASB Release New Global Lease Accounting Standard. [Online] </w:t>
              </w:r>
              <w:r w:rsidRPr="00CE050D">
                <w:rPr>
                  <w:rFonts w:ascii="Arial" w:hAnsi="Arial" w:cs="Arial"/>
                  <w:color w:val="auto"/>
                </w:rPr>
                <w:br/>
                <w:t>Available at: http://blog.innervision.co.uk/blog/ifrs-16-leases-is-here-iasb-release-new-global-lease-accounting-standard</w:t>
              </w:r>
              <w:r w:rsidRPr="00CE050D">
                <w:rPr>
                  <w:rFonts w:ascii="Arial" w:hAnsi="Arial" w:cs="Arial"/>
                  <w:color w:val="auto"/>
                </w:rPr>
                <w:br/>
                <w:t>[Accessed 28 11 2018].</w:t>
              </w:r>
            </w:p>
            <w:p w14:paraId="2DE41DA7" w14:textId="77777777" w:rsidR="005C372C" w:rsidRPr="00CE050D" w:rsidRDefault="005C372C" w:rsidP="005C372C">
              <w:pPr>
                <w:pStyle w:val="Bibliography"/>
                <w:rPr>
                  <w:rFonts w:ascii="Arial" w:hAnsi="Arial" w:cs="Arial"/>
                  <w:color w:val="auto"/>
                </w:rPr>
              </w:pPr>
              <w:r w:rsidRPr="00CE050D">
                <w:rPr>
                  <w:rFonts w:ascii="Arial" w:hAnsi="Arial" w:cs="Arial"/>
                  <w:color w:val="auto"/>
                </w:rPr>
                <w:t>IASB, 2015. Conceptual Framework for Financial Reporting. IASB.</w:t>
              </w:r>
            </w:p>
            <w:p w14:paraId="23526430" w14:textId="77777777" w:rsidR="005C372C" w:rsidRPr="00CE050D" w:rsidRDefault="005C372C" w:rsidP="005C372C">
              <w:pPr>
                <w:pStyle w:val="Bibliography"/>
                <w:rPr>
                  <w:rFonts w:ascii="Arial" w:hAnsi="Arial" w:cs="Arial"/>
                  <w:color w:val="auto"/>
                </w:rPr>
              </w:pPr>
              <w:r w:rsidRPr="00CE050D">
                <w:rPr>
                  <w:rFonts w:ascii="Arial" w:hAnsi="Arial" w:cs="Arial"/>
                  <w:color w:val="auto"/>
                </w:rPr>
                <w:t xml:space="preserve">IFRS, 2018. IFRS 16 Leases. [Online] </w:t>
              </w:r>
              <w:r w:rsidRPr="00CE050D">
                <w:rPr>
                  <w:rFonts w:ascii="Arial" w:hAnsi="Arial" w:cs="Arial"/>
                  <w:color w:val="auto"/>
                </w:rPr>
                <w:br/>
                <w:t>Available at: https://www.ifrs.org/issued-standards/list-of-standards/ifrs-16-leases/</w:t>
              </w:r>
            </w:p>
            <w:p w14:paraId="2ADA5B15" w14:textId="77777777" w:rsidR="005C372C" w:rsidRPr="00CE050D" w:rsidRDefault="005C372C" w:rsidP="005C372C">
              <w:pPr>
                <w:pStyle w:val="Bibliography"/>
                <w:rPr>
                  <w:rFonts w:ascii="Arial" w:hAnsi="Arial" w:cs="Arial"/>
                  <w:color w:val="auto"/>
                </w:rPr>
              </w:pPr>
              <w:r w:rsidRPr="00CE050D">
                <w:rPr>
                  <w:rFonts w:ascii="Arial" w:hAnsi="Arial" w:cs="Arial"/>
                  <w:color w:val="auto"/>
                </w:rPr>
                <w:t>Mellwig, W., 2017. Conceptual Problems with a New lease Accounting Approach. Journal of Equipment Lease Financing, pp. 1-19.</w:t>
              </w:r>
            </w:p>
            <w:p w14:paraId="15E4FFB6" w14:textId="77777777" w:rsidR="005C372C" w:rsidRPr="00CE050D" w:rsidRDefault="005C372C" w:rsidP="005C372C">
              <w:pPr>
                <w:pStyle w:val="Bibliography"/>
                <w:rPr>
                  <w:rFonts w:ascii="Arial" w:hAnsi="Arial" w:cs="Arial"/>
                  <w:color w:val="auto"/>
                </w:rPr>
              </w:pPr>
              <w:r w:rsidRPr="00CE050D">
                <w:rPr>
                  <w:rFonts w:ascii="Arial" w:hAnsi="Arial" w:cs="Arial"/>
                  <w:color w:val="auto"/>
                </w:rPr>
                <w:t xml:space="preserve">Retallack, B.-A., 09. Accounting for Leases. [Online] </w:t>
              </w:r>
              <w:r w:rsidRPr="00CE050D">
                <w:rPr>
                  <w:rFonts w:ascii="Arial" w:hAnsi="Arial" w:cs="Arial"/>
                  <w:color w:val="auto"/>
                </w:rPr>
                <w:br/>
                <w:t>Available at: https://www.accaglobal.com/uk/en/student/exam-support-resources/fundamentals-exams-study-resources/f7/technical-articles/accounting-for-leases.html#</w:t>
              </w:r>
              <w:r w:rsidRPr="00CE050D">
                <w:rPr>
                  <w:rFonts w:ascii="Arial" w:hAnsi="Arial" w:cs="Arial"/>
                  <w:color w:val="auto"/>
                </w:rPr>
                <w:br/>
                <w:t>[Accessed 05 12 2018].</w:t>
              </w:r>
            </w:p>
            <w:p w14:paraId="0D329CBF" w14:textId="77777777" w:rsidR="005C372C" w:rsidRPr="00CE050D" w:rsidRDefault="005C372C" w:rsidP="005C372C">
              <w:pPr>
                <w:pStyle w:val="Bibliography"/>
                <w:rPr>
                  <w:rFonts w:ascii="Arial" w:hAnsi="Arial" w:cs="Arial"/>
                  <w:color w:val="auto"/>
                </w:rPr>
              </w:pPr>
              <w:r w:rsidRPr="00CE050D">
                <w:rPr>
                  <w:rFonts w:ascii="Arial" w:hAnsi="Arial" w:cs="Arial"/>
                  <w:color w:val="auto"/>
                </w:rPr>
                <w:t>Rulmont, S., 2017. IFRS 16 - Leases: Implications for analysts and investors. pp. 6-8.</w:t>
              </w:r>
            </w:p>
            <w:p w14:paraId="69B404A1" w14:textId="77777777" w:rsidR="005C372C" w:rsidRPr="00CE050D" w:rsidRDefault="005C372C" w:rsidP="005C372C">
              <w:pPr>
                <w:pStyle w:val="Bibliography"/>
                <w:rPr>
                  <w:rFonts w:ascii="Arial" w:hAnsi="Arial" w:cs="Arial"/>
                  <w:color w:val="auto"/>
                </w:rPr>
              </w:pPr>
              <w:r w:rsidRPr="00CE050D">
                <w:rPr>
                  <w:rFonts w:ascii="Arial" w:hAnsi="Arial" w:cs="Arial"/>
                  <w:color w:val="auto"/>
                </w:rPr>
                <w:t xml:space="preserve">Smith, L., 2018. Off-Balance-Sheet Entities: An Introduction. [Online] </w:t>
              </w:r>
              <w:r w:rsidRPr="00CE050D">
                <w:rPr>
                  <w:rFonts w:ascii="Arial" w:hAnsi="Arial" w:cs="Arial"/>
                  <w:color w:val="auto"/>
                </w:rPr>
                <w:br/>
                <w:t>Available at: https://www.investopedia.com/articles/analyst/022002.asp</w:t>
              </w:r>
            </w:p>
            <w:p w14:paraId="3045D3B6" w14:textId="7B31B618" w:rsidR="00EF0812" w:rsidRDefault="00EF0812" w:rsidP="005C372C">
              <w:r w:rsidRPr="00CE050D">
                <w:rPr>
                  <w:rFonts w:ascii="Arial" w:hAnsi="Arial" w:cs="Arial"/>
                  <w:color w:val="auto"/>
                </w:rPr>
                <w:fldChar w:fldCharType="end"/>
              </w:r>
            </w:p>
          </w:sdtContent>
        </w:sdt>
      </w:sdtContent>
    </w:sdt>
    <w:p w14:paraId="42E368D1" w14:textId="495E41A0" w:rsidR="003845C8" w:rsidRPr="003845C8" w:rsidRDefault="003845C8" w:rsidP="003845C8"/>
    <w:sectPr w:rsidR="003845C8" w:rsidRPr="003845C8">
      <w:footerReference w:type="default" r:id="rId11"/>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686C6B" w14:textId="77777777" w:rsidR="0000600F" w:rsidRDefault="0000600F" w:rsidP="00C6554A">
      <w:pPr>
        <w:spacing w:before="0" w:after="0" w:line="240" w:lineRule="auto"/>
      </w:pPr>
      <w:r>
        <w:separator/>
      </w:r>
    </w:p>
  </w:endnote>
  <w:endnote w:type="continuationSeparator" w:id="0">
    <w:p w14:paraId="5B058AAA" w14:textId="77777777" w:rsidR="0000600F" w:rsidRDefault="0000600F" w:rsidP="00C6554A">
      <w:pPr>
        <w:spacing w:before="0" w:after="0" w:line="240" w:lineRule="auto"/>
      </w:pPr>
      <w:r>
        <w:continuationSeparator/>
      </w:r>
    </w:p>
  </w:endnote>
  <w:endnote w:type="continuationNotice" w:id="1">
    <w:p w14:paraId="2E214ECC" w14:textId="77777777" w:rsidR="0000600F" w:rsidRDefault="0000600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33E08"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4EF68E" w14:textId="77777777" w:rsidR="0000600F" w:rsidRDefault="0000600F" w:rsidP="00C6554A">
      <w:pPr>
        <w:spacing w:before="0" w:after="0" w:line="240" w:lineRule="auto"/>
      </w:pPr>
      <w:r>
        <w:separator/>
      </w:r>
    </w:p>
  </w:footnote>
  <w:footnote w:type="continuationSeparator" w:id="0">
    <w:p w14:paraId="4416DB87" w14:textId="77777777" w:rsidR="0000600F" w:rsidRDefault="0000600F" w:rsidP="00C6554A">
      <w:pPr>
        <w:spacing w:before="0" w:after="0" w:line="240" w:lineRule="auto"/>
      </w:pPr>
      <w:r>
        <w:continuationSeparator/>
      </w:r>
    </w:p>
  </w:footnote>
  <w:footnote w:type="continuationNotice" w:id="1">
    <w:p w14:paraId="1B6CB406" w14:textId="77777777" w:rsidR="0000600F" w:rsidRDefault="0000600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F6552E4"/>
    <w:multiLevelType w:val="hybridMultilevel"/>
    <w:tmpl w:val="982C6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BC29B1"/>
    <w:multiLevelType w:val="hybridMultilevel"/>
    <w:tmpl w:val="536E32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EE27841"/>
    <w:multiLevelType w:val="hybridMultilevel"/>
    <w:tmpl w:val="38FEC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796DE0"/>
    <w:multiLevelType w:val="hybridMultilevel"/>
    <w:tmpl w:val="DE641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BD1FB3"/>
    <w:multiLevelType w:val="hybridMultilevel"/>
    <w:tmpl w:val="8AE4D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4"/>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6"/>
  </w:num>
  <w:num w:numId="17">
    <w:abstractNumId w:val="17"/>
  </w:num>
  <w:num w:numId="18">
    <w:abstractNumId w:val="12"/>
  </w:num>
  <w:num w:numId="19">
    <w:abstractNumId w:val="13"/>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FF9"/>
    <w:rsid w:val="0000600F"/>
    <w:rsid w:val="00025DAF"/>
    <w:rsid w:val="000328AB"/>
    <w:rsid w:val="000371F8"/>
    <w:rsid w:val="00040038"/>
    <w:rsid w:val="000537C6"/>
    <w:rsid w:val="00056462"/>
    <w:rsid w:val="0005789D"/>
    <w:rsid w:val="00061010"/>
    <w:rsid w:val="000633A5"/>
    <w:rsid w:val="00077792"/>
    <w:rsid w:val="00083EB5"/>
    <w:rsid w:val="00084729"/>
    <w:rsid w:val="00087914"/>
    <w:rsid w:val="00094EEB"/>
    <w:rsid w:val="000978AD"/>
    <w:rsid w:val="000A208B"/>
    <w:rsid w:val="000A7A13"/>
    <w:rsid w:val="000C117F"/>
    <w:rsid w:val="000C502E"/>
    <w:rsid w:val="000C77DE"/>
    <w:rsid w:val="000D1BB3"/>
    <w:rsid w:val="000D2087"/>
    <w:rsid w:val="000E0DF0"/>
    <w:rsid w:val="00101DAA"/>
    <w:rsid w:val="001110CB"/>
    <w:rsid w:val="0012009F"/>
    <w:rsid w:val="00136786"/>
    <w:rsid w:val="00136DA3"/>
    <w:rsid w:val="0014227B"/>
    <w:rsid w:val="00143B94"/>
    <w:rsid w:val="00145654"/>
    <w:rsid w:val="0015498B"/>
    <w:rsid w:val="00167068"/>
    <w:rsid w:val="001700ED"/>
    <w:rsid w:val="001715BA"/>
    <w:rsid w:val="00171761"/>
    <w:rsid w:val="00183D5F"/>
    <w:rsid w:val="00190B23"/>
    <w:rsid w:val="0019401B"/>
    <w:rsid w:val="001A4AB2"/>
    <w:rsid w:val="001B2A07"/>
    <w:rsid w:val="001B5430"/>
    <w:rsid w:val="001B6F8E"/>
    <w:rsid w:val="001B772C"/>
    <w:rsid w:val="001B7D91"/>
    <w:rsid w:val="001C0079"/>
    <w:rsid w:val="001C3B45"/>
    <w:rsid w:val="001D0B0E"/>
    <w:rsid w:val="001D31B9"/>
    <w:rsid w:val="001F28CF"/>
    <w:rsid w:val="002016A9"/>
    <w:rsid w:val="00207A05"/>
    <w:rsid w:val="0021077D"/>
    <w:rsid w:val="0023368B"/>
    <w:rsid w:val="00233C49"/>
    <w:rsid w:val="0023600D"/>
    <w:rsid w:val="002376BC"/>
    <w:rsid w:val="002426C9"/>
    <w:rsid w:val="00247802"/>
    <w:rsid w:val="00252778"/>
    <w:rsid w:val="00252F02"/>
    <w:rsid w:val="002554CD"/>
    <w:rsid w:val="002556DF"/>
    <w:rsid w:val="00256C5C"/>
    <w:rsid w:val="00261CA7"/>
    <w:rsid w:val="002620A4"/>
    <w:rsid w:val="00291F41"/>
    <w:rsid w:val="00293B83"/>
    <w:rsid w:val="00297A0F"/>
    <w:rsid w:val="002B2C52"/>
    <w:rsid w:val="002B4294"/>
    <w:rsid w:val="002B6545"/>
    <w:rsid w:val="002C7F5B"/>
    <w:rsid w:val="002D2322"/>
    <w:rsid w:val="002E06C1"/>
    <w:rsid w:val="002E3A00"/>
    <w:rsid w:val="002F0BA3"/>
    <w:rsid w:val="00312AB1"/>
    <w:rsid w:val="00315049"/>
    <w:rsid w:val="00315639"/>
    <w:rsid w:val="00326721"/>
    <w:rsid w:val="00332154"/>
    <w:rsid w:val="00333D0D"/>
    <w:rsid w:val="00344103"/>
    <w:rsid w:val="00346BAB"/>
    <w:rsid w:val="003511E3"/>
    <w:rsid w:val="0037299E"/>
    <w:rsid w:val="003749B9"/>
    <w:rsid w:val="00377A30"/>
    <w:rsid w:val="003845C8"/>
    <w:rsid w:val="00391F57"/>
    <w:rsid w:val="0039797A"/>
    <w:rsid w:val="003B7989"/>
    <w:rsid w:val="003C29A8"/>
    <w:rsid w:val="003C3489"/>
    <w:rsid w:val="003C4C48"/>
    <w:rsid w:val="003C573F"/>
    <w:rsid w:val="003D6CFC"/>
    <w:rsid w:val="003E42DE"/>
    <w:rsid w:val="00407F55"/>
    <w:rsid w:val="004172C3"/>
    <w:rsid w:val="004253F3"/>
    <w:rsid w:val="00426D48"/>
    <w:rsid w:val="0043774F"/>
    <w:rsid w:val="00437B54"/>
    <w:rsid w:val="0044026E"/>
    <w:rsid w:val="00441584"/>
    <w:rsid w:val="00441835"/>
    <w:rsid w:val="00442F85"/>
    <w:rsid w:val="00443685"/>
    <w:rsid w:val="00455BE7"/>
    <w:rsid w:val="00457DDD"/>
    <w:rsid w:val="00460679"/>
    <w:rsid w:val="004616E1"/>
    <w:rsid w:val="00463A4B"/>
    <w:rsid w:val="0046497B"/>
    <w:rsid w:val="00465557"/>
    <w:rsid w:val="00467995"/>
    <w:rsid w:val="004719E9"/>
    <w:rsid w:val="00471EA8"/>
    <w:rsid w:val="00473D93"/>
    <w:rsid w:val="0048292E"/>
    <w:rsid w:val="004A1D1E"/>
    <w:rsid w:val="004A38EB"/>
    <w:rsid w:val="004B53C8"/>
    <w:rsid w:val="004C049F"/>
    <w:rsid w:val="004C3833"/>
    <w:rsid w:val="004E0B09"/>
    <w:rsid w:val="004E6B8E"/>
    <w:rsid w:val="004F0488"/>
    <w:rsid w:val="005000E2"/>
    <w:rsid w:val="00506E04"/>
    <w:rsid w:val="00510249"/>
    <w:rsid w:val="005174EC"/>
    <w:rsid w:val="00523FE2"/>
    <w:rsid w:val="00540D56"/>
    <w:rsid w:val="00542529"/>
    <w:rsid w:val="0054254A"/>
    <w:rsid w:val="00544085"/>
    <w:rsid w:val="00545258"/>
    <w:rsid w:val="00555FCD"/>
    <w:rsid w:val="00563096"/>
    <w:rsid w:val="0056380B"/>
    <w:rsid w:val="00564AF6"/>
    <w:rsid w:val="00581A4B"/>
    <w:rsid w:val="00591063"/>
    <w:rsid w:val="005B19EE"/>
    <w:rsid w:val="005B3C7E"/>
    <w:rsid w:val="005B4CCB"/>
    <w:rsid w:val="005C1E79"/>
    <w:rsid w:val="005C372C"/>
    <w:rsid w:val="005D1841"/>
    <w:rsid w:val="005E30DE"/>
    <w:rsid w:val="005F7695"/>
    <w:rsid w:val="00602EC6"/>
    <w:rsid w:val="00607E9F"/>
    <w:rsid w:val="00631749"/>
    <w:rsid w:val="00636B41"/>
    <w:rsid w:val="0064033E"/>
    <w:rsid w:val="006517D4"/>
    <w:rsid w:val="00651EE6"/>
    <w:rsid w:val="00656C6D"/>
    <w:rsid w:val="006603C7"/>
    <w:rsid w:val="00675C89"/>
    <w:rsid w:val="0069199E"/>
    <w:rsid w:val="006979A1"/>
    <w:rsid w:val="006A0DFB"/>
    <w:rsid w:val="006A3CE7"/>
    <w:rsid w:val="006B6554"/>
    <w:rsid w:val="006D0176"/>
    <w:rsid w:val="006D13DF"/>
    <w:rsid w:val="006D71EA"/>
    <w:rsid w:val="006E3FBD"/>
    <w:rsid w:val="006E4741"/>
    <w:rsid w:val="006E5135"/>
    <w:rsid w:val="006E64E0"/>
    <w:rsid w:val="00700A23"/>
    <w:rsid w:val="00704B89"/>
    <w:rsid w:val="0071554E"/>
    <w:rsid w:val="00721514"/>
    <w:rsid w:val="00725980"/>
    <w:rsid w:val="00727D4D"/>
    <w:rsid w:val="00730FED"/>
    <w:rsid w:val="00737BFD"/>
    <w:rsid w:val="00753C7C"/>
    <w:rsid w:val="00754E33"/>
    <w:rsid w:val="0076247D"/>
    <w:rsid w:val="00765DEC"/>
    <w:rsid w:val="00766D3A"/>
    <w:rsid w:val="007703B0"/>
    <w:rsid w:val="00774605"/>
    <w:rsid w:val="00782495"/>
    <w:rsid w:val="00783A02"/>
    <w:rsid w:val="0079221B"/>
    <w:rsid w:val="007A5B82"/>
    <w:rsid w:val="007B41B5"/>
    <w:rsid w:val="007B6D6A"/>
    <w:rsid w:val="007C2AB4"/>
    <w:rsid w:val="007C3F53"/>
    <w:rsid w:val="007C68B0"/>
    <w:rsid w:val="007D2013"/>
    <w:rsid w:val="007E12A6"/>
    <w:rsid w:val="007E140F"/>
    <w:rsid w:val="007E7E4D"/>
    <w:rsid w:val="007F3A6F"/>
    <w:rsid w:val="007F5F6D"/>
    <w:rsid w:val="007F75DF"/>
    <w:rsid w:val="00800836"/>
    <w:rsid w:val="00802B83"/>
    <w:rsid w:val="00812F9A"/>
    <w:rsid w:val="00813977"/>
    <w:rsid w:val="00826259"/>
    <w:rsid w:val="008266B0"/>
    <w:rsid w:val="00831A82"/>
    <w:rsid w:val="00837B60"/>
    <w:rsid w:val="008423F3"/>
    <w:rsid w:val="0085664E"/>
    <w:rsid w:val="00857D70"/>
    <w:rsid w:val="00857E88"/>
    <w:rsid w:val="00862519"/>
    <w:rsid w:val="0086396F"/>
    <w:rsid w:val="00866052"/>
    <w:rsid w:val="00875066"/>
    <w:rsid w:val="008768E9"/>
    <w:rsid w:val="00876DCD"/>
    <w:rsid w:val="0087797F"/>
    <w:rsid w:val="00877994"/>
    <w:rsid w:val="0088140E"/>
    <w:rsid w:val="008830B4"/>
    <w:rsid w:val="008838B4"/>
    <w:rsid w:val="00885C80"/>
    <w:rsid w:val="00893925"/>
    <w:rsid w:val="008A133A"/>
    <w:rsid w:val="008D0AB8"/>
    <w:rsid w:val="008D3AD0"/>
    <w:rsid w:val="008D5523"/>
    <w:rsid w:val="008E2788"/>
    <w:rsid w:val="008E32B2"/>
    <w:rsid w:val="008E4A56"/>
    <w:rsid w:val="008E52BF"/>
    <w:rsid w:val="008F3928"/>
    <w:rsid w:val="008F564B"/>
    <w:rsid w:val="00903F69"/>
    <w:rsid w:val="009075F8"/>
    <w:rsid w:val="0091194C"/>
    <w:rsid w:val="00912067"/>
    <w:rsid w:val="00927C27"/>
    <w:rsid w:val="0094094C"/>
    <w:rsid w:val="00943E1A"/>
    <w:rsid w:val="00947946"/>
    <w:rsid w:val="00957546"/>
    <w:rsid w:val="009604DF"/>
    <w:rsid w:val="009614A9"/>
    <w:rsid w:val="00973746"/>
    <w:rsid w:val="00977283"/>
    <w:rsid w:val="0098039B"/>
    <w:rsid w:val="00984C15"/>
    <w:rsid w:val="00994A55"/>
    <w:rsid w:val="009B7BFB"/>
    <w:rsid w:val="009C0D68"/>
    <w:rsid w:val="009C3CA3"/>
    <w:rsid w:val="009C4B8B"/>
    <w:rsid w:val="009D1DD3"/>
    <w:rsid w:val="009D29C7"/>
    <w:rsid w:val="009D4DBC"/>
    <w:rsid w:val="009D680E"/>
    <w:rsid w:val="009E3761"/>
    <w:rsid w:val="009F0307"/>
    <w:rsid w:val="00A0480D"/>
    <w:rsid w:val="00A1472C"/>
    <w:rsid w:val="00A2794C"/>
    <w:rsid w:val="00A328D9"/>
    <w:rsid w:val="00A33EA5"/>
    <w:rsid w:val="00A40336"/>
    <w:rsid w:val="00A40BEE"/>
    <w:rsid w:val="00A60F68"/>
    <w:rsid w:val="00A67385"/>
    <w:rsid w:val="00A75973"/>
    <w:rsid w:val="00AA3849"/>
    <w:rsid w:val="00AB6ADE"/>
    <w:rsid w:val="00AB768E"/>
    <w:rsid w:val="00AE2E90"/>
    <w:rsid w:val="00AF0057"/>
    <w:rsid w:val="00B317A3"/>
    <w:rsid w:val="00B41A4B"/>
    <w:rsid w:val="00B51D7F"/>
    <w:rsid w:val="00B62693"/>
    <w:rsid w:val="00B64CDA"/>
    <w:rsid w:val="00B67854"/>
    <w:rsid w:val="00B7348A"/>
    <w:rsid w:val="00B77054"/>
    <w:rsid w:val="00B77E19"/>
    <w:rsid w:val="00B87AA5"/>
    <w:rsid w:val="00B87BEE"/>
    <w:rsid w:val="00BA0748"/>
    <w:rsid w:val="00BB49CD"/>
    <w:rsid w:val="00BB609E"/>
    <w:rsid w:val="00BB7710"/>
    <w:rsid w:val="00BC5CB1"/>
    <w:rsid w:val="00BC78BA"/>
    <w:rsid w:val="00BE30D2"/>
    <w:rsid w:val="00BF011B"/>
    <w:rsid w:val="00BF2CCD"/>
    <w:rsid w:val="00BF6FBA"/>
    <w:rsid w:val="00BF74F4"/>
    <w:rsid w:val="00C039B5"/>
    <w:rsid w:val="00C105D2"/>
    <w:rsid w:val="00C113D6"/>
    <w:rsid w:val="00C21BBD"/>
    <w:rsid w:val="00C30D07"/>
    <w:rsid w:val="00C40C1E"/>
    <w:rsid w:val="00C44200"/>
    <w:rsid w:val="00C57CD1"/>
    <w:rsid w:val="00C6195A"/>
    <w:rsid w:val="00C6554A"/>
    <w:rsid w:val="00C66C0D"/>
    <w:rsid w:val="00C71403"/>
    <w:rsid w:val="00C763C3"/>
    <w:rsid w:val="00C76D5C"/>
    <w:rsid w:val="00C802AA"/>
    <w:rsid w:val="00C85EDE"/>
    <w:rsid w:val="00C90EEE"/>
    <w:rsid w:val="00C91440"/>
    <w:rsid w:val="00C92471"/>
    <w:rsid w:val="00C9268F"/>
    <w:rsid w:val="00C926D3"/>
    <w:rsid w:val="00C97327"/>
    <w:rsid w:val="00CA519A"/>
    <w:rsid w:val="00CA57EE"/>
    <w:rsid w:val="00CB05E8"/>
    <w:rsid w:val="00CB6C27"/>
    <w:rsid w:val="00CC58A7"/>
    <w:rsid w:val="00CD1F28"/>
    <w:rsid w:val="00CE050D"/>
    <w:rsid w:val="00CE456F"/>
    <w:rsid w:val="00CE594B"/>
    <w:rsid w:val="00CE6419"/>
    <w:rsid w:val="00CF3D49"/>
    <w:rsid w:val="00D01E14"/>
    <w:rsid w:val="00D03FA9"/>
    <w:rsid w:val="00D117BB"/>
    <w:rsid w:val="00D17655"/>
    <w:rsid w:val="00D26D86"/>
    <w:rsid w:val="00D352B5"/>
    <w:rsid w:val="00D423F2"/>
    <w:rsid w:val="00D56035"/>
    <w:rsid w:val="00D565B5"/>
    <w:rsid w:val="00D86234"/>
    <w:rsid w:val="00D90343"/>
    <w:rsid w:val="00D946AD"/>
    <w:rsid w:val="00D97B89"/>
    <w:rsid w:val="00DA048B"/>
    <w:rsid w:val="00DA1445"/>
    <w:rsid w:val="00DA5DC1"/>
    <w:rsid w:val="00DB67E5"/>
    <w:rsid w:val="00DD02AE"/>
    <w:rsid w:val="00DD0AA4"/>
    <w:rsid w:val="00DD126E"/>
    <w:rsid w:val="00DE1D4E"/>
    <w:rsid w:val="00DE3347"/>
    <w:rsid w:val="00DE3E1E"/>
    <w:rsid w:val="00DE7C09"/>
    <w:rsid w:val="00DE7E7D"/>
    <w:rsid w:val="00DF2BBB"/>
    <w:rsid w:val="00DF4FF9"/>
    <w:rsid w:val="00DF598B"/>
    <w:rsid w:val="00DF6849"/>
    <w:rsid w:val="00DF7C83"/>
    <w:rsid w:val="00E014CA"/>
    <w:rsid w:val="00E115FA"/>
    <w:rsid w:val="00E2175A"/>
    <w:rsid w:val="00E23B28"/>
    <w:rsid w:val="00E25DF6"/>
    <w:rsid w:val="00E428E7"/>
    <w:rsid w:val="00E45905"/>
    <w:rsid w:val="00E465B0"/>
    <w:rsid w:val="00E52041"/>
    <w:rsid w:val="00E572FD"/>
    <w:rsid w:val="00E74ACF"/>
    <w:rsid w:val="00E758F0"/>
    <w:rsid w:val="00E75A35"/>
    <w:rsid w:val="00E81559"/>
    <w:rsid w:val="00E90376"/>
    <w:rsid w:val="00E91946"/>
    <w:rsid w:val="00EA2630"/>
    <w:rsid w:val="00EA7952"/>
    <w:rsid w:val="00EB35E0"/>
    <w:rsid w:val="00EC63FE"/>
    <w:rsid w:val="00ED627E"/>
    <w:rsid w:val="00ED720C"/>
    <w:rsid w:val="00ED724D"/>
    <w:rsid w:val="00ED7C44"/>
    <w:rsid w:val="00EE39F6"/>
    <w:rsid w:val="00EE6D76"/>
    <w:rsid w:val="00EF0812"/>
    <w:rsid w:val="00EF139F"/>
    <w:rsid w:val="00F00531"/>
    <w:rsid w:val="00F02358"/>
    <w:rsid w:val="00F12776"/>
    <w:rsid w:val="00F168C5"/>
    <w:rsid w:val="00F32802"/>
    <w:rsid w:val="00F42505"/>
    <w:rsid w:val="00F4290B"/>
    <w:rsid w:val="00F445D6"/>
    <w:rsid w:val="00F45C2D"/>
    <w:rsid w:val="00F467EA"/>
    <w:rsid w:val="00F47295"/>
    <w:rsid w:val="00F5292A"/>
    <w:rsid w:val="00F713AF"/>
    <w:rsid w:val="00F729B9"/>
    <w:rsid w:val="00F776EA"/>
    <w:rsid w:val="00F77F66"/>
    <w:rsid w:val="00F82513"/>
    <w:rsid w:val="00F845F9"/>
    <w:rsid w:val="00F84B95"/>
    <w:rsid w:val="00F93E66"/>
    <w:rsid w:val="00FA55F2"/>
    <w:rsid w:val="00FB2359"/>
    <w:rsid w:val="00FB5BB1"/>
    <w:rsid w:val="00FD5F74"/>
    <w:rsid w:val="00FE00A5"/>
    <w:rsid w:val="00FE5465"/>
    <w:rsid w:val="00FF72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5908F"/>
  <w15:chartTrackingRefBased/>
  <w15:docId w15:val="{076903BC-0AD1-4F7D-9B5B-EE5BA50B3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NormalWeb">
    <w:name w:val="Normal (Web)"/>
    <w:basedOn w:val="Normal"/>
    <w:uiPriority w:val="99"/>
    <w:unhideWhenUsed/>
    <w:rsid w:val="005E30DE"/>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customStyle="1" w:styleId="p2">
    <w:name w:val="p2"/>
    <w:basedOn w:val="Normal"/>
    <w:rsid w:val="00F84B95"/>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s1">
    <w:name w:val="s1"/>
    <w:basedOn w:val="DefaultParagraphFont"/>
    <w:rsid w:val="00F84B95"/>
  </w:style>
  <w:style w:type="paragraph" w:styleId="Bibliography">
    <w:name w:val="Bibliography"/>
    <w:basedOn w:val="Normal"/>
    <w:next w:val="Normal"/>
    <w:uiPriority w:val="37"/>
    <w:unhideWhenUsed/>
    <w:rsid w:val="00EF0812"/>
  </w:style>
  <w:style w:type="paragraph" w:styleId="ListParagraph">
    <w:name w:val="List Paragraph"/>
    <w:basedOn w:val="Normal"/>
    <w:uiPriority w:val="34"/>
    <w:unhideWhenUsed/>
    <w:qFormat/>
    <w:rsid w:val="001670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1646">
      <w:bodyDiv w:val="1"/>
      <w:marLeft w:val="0"/>
      <w:marRight w:val="0"/>
      <w:marTop w:val="0"/>
      <w:marBottom w:val="0"/>
      <w:divBdr>
        <w:top w:val="none" w:sz="0" w:space="0" w:color="auto"/>
        <w:left w:val="none" w:sz="0" w:space="0" w:color="auto"/>
        <w:bottom w:val="none" w:sz="0" w:space="0" w:color="auto"/>
        <w:right w:val="none" w:sz="0" w:space="0" w:color="auto"/>
      </w:divBdr>
    </w:div>
    <w:div w:id="3021541">
      <w:bodyDiv w:val="1"/>
      <w:marLeft w:val="0"/>
      <w:marRight w:val="0"/>
      <w:marTop w:val="0"/>
      <w:marBottom w:val="0"/>
      <w:divBdr>
        <w:top w:val="none" w:sz="0" w:space="0" w:color="auto"/>
        <w:left w:val="none" w:sz="0" w:space="0" w:color="auto"/>
        <w:bottom w:val="none" w:sz="0" w:space="0" w:color="auto"/>
        <w:right w:val="none" w:sz="0" w:space="0" w:color="auto"/>
      </w:divBdr>
    </w:div>
    <w:div w:id="11617643">
      <w:bodyDiv w:val="1"/>
      <w:marLeft w:val="0"/>
      <w:marRight w:val="0"/>
      <w:marTop w:val="0"/>
      <w:marBottom w:val="0"/>
      <w:divBdr>
        <w:top w:val="none" w:sz="0" w:space="0" w:color="auto"/>
        <w:left w:val="none" w:sz="0" w:space="0" w:color="auto"/>
        <w:bottom w:val="none" w:sz="0" w:space="0" w:color="auto"/>
        <w:right w:val="none" w:sz="0" w:space="0" w:color="auto"/>
      </w:divBdr>
    </w:div>
    <w:div w:id="30886709">
      <w:bodyDiv w:val="1"/>
      <w:marLeft w:val="0"/>
      <w:marRight w:val="0"/>
      <w:marTop w:val="0"/>
      <w:marBottom w:val="0"/>
      <w:divBdr>
        <w:top w:val="none" w:sz="0" w:space="0" w:color="auto"/>
        <w:left w:val="none" w:sz="0" w:space="0" w:color="auto"/>
        <w:bottom w:val="none" w:sz="0" w:space="0" w:color="auto"/>
        <w:right w:val="none" w:sz="0" w:space="0" w:color="auto"/>
      </w:divBdr>
    </w:div>
    <w:div w:id="74327639">
      <w:bodyDiv w:val="1"/>
      <w:marLeft w:val="0"/>
      <w:marRight w:val="0"/>
      <w:marTop w:val="0"/>
      <w:marBottom w:val="0"/>
      <w:divBdr>
        <w:top w:val="none" w:sz="0" w:space="0" w:color="auto"/>
        <w:left w:val="none" w:sz="0" w:space="0" w:color="auto"/>
        <w:bottom w:val="none" w:sz="0" w:space="0" w:color="auto"/>
        <w:right w:val="none" w:sz="0" w:space="0" w:color="auto"/>
      </w:divBdr>
    </w:div>
    <w:div w:id="217280414">
      <w:bodyDiv w:val="1"/>
      <w:marLeft w:val="0"/>
      <w:marRight w:val="0"/>
      <w:marTop w:val="0"/>
      <w:marBottom w:val="0"/>
      <w:divBdr>
        <w:top w:val="none" w:sz="0" w:space="0" w:color="auto"/>
        <w:left w:val="none" w:sz="0" w:space="0" w:color="auto"/>
        <w:bottom w:val="none" w:sz="0" w:space="0" w:color="auto"/>
        <w:right w:val="none" w:sz="0" w:space="0" w:color="auto"/>
      </w:divBdr>
    </w:div>
    <w:div w:id="243300996">
      <w:bodyDiv w:val="1"/>
      <w:marLeft w:val="0"/>
      <w:marRight w:val="0"/>
      <w:marTop w:val="0"/>
      <w:marBottom w:val="0"/>
      <w:divBdr>
        <w:top w:val="none" w:sz="0" w:space="0" w:color="auto"/>
        <w:left w:val="none" w:sz="0" w:space="0" w:color="auto"/>
        <w:bottom w:val="none" w:sz="0" w:space="0" w:color="auto"/>
        <w:right w:val="none" w:sz="0" w:space="0" w:color="auto"/>
      </w:divBdr>
    </w:div>
    <w:div w:id="248316406">
      <w:bodyDiv w:val="1"/>
      <w:marLeft w:val="0"/>
      <w:marRight w:val="0"/>
      <w:marTop w:val="0"/>
      <w:marBottom w:val="0"/>
      <w:divBdr>
        <w:top w:val="none" w:sz="0" w:space="0" w:color="auto"/>
        <w:left w:val="none" w:sz="0" w:space="0" w:color="auto"/>
        <w:bottom w:val="none" w:sz="0" w:space="0" w:color="auto"/>
        <w:right w:val="none" w:sz="0" w:space="0" w:color="auto"/>
      </w:divBdr>
    </w:div>
    <w:div w:id="302471646">
      <w:bodyDiv w:val="1"/>
      <w:marLeft w:val="0"/>
      <w:marRight w:val="0"/>
      <w:marTop w:val="0"/>
      <w:marBottom w:val="0"/>
      <w:divBdr>
        <w:top w:val="none" w:sz="0" w:space="0" w:color="auto"/>
        <w:left w:val="none" w:sz="0" w:space="0" w:color="auto"/>
        <w:bottom w:val="none" w:sz="0" w:space="0" w:color="auto"/>
        <w:right w:val="none" w:sz="0" w:space="0" w:color="auto"/>
      </w:divBdr>
    </w:div>
    <w:div w:id="333147220">
      <w:bodyDiv w:val="1"/>
      <w:marLeft w:val="0"/>
      <w:marRight w:val="0"/>
      <w:marTop w:val="0"/>
      <w:marBottom w:val="0"/>
      <w:divBdr>
        <w:top w:val="none" w:sz="0" w:space="0" w:color="auto"/>
        <w:left w:val="none" w:sz="0" w:space="0" w:color="auto"/>
        <w:bottom w:val="none" w:sz="0" w:space="0" w:color="auto"/>
        <w:right w:val="none" w:sz="0" w:space="0" w:color="auto"/>
      </w:divBdr>
    </w:div>
    <w:div w:id="347562359">
      <w:bodyDiv w:val="1"/>
      <w:marLeft w:val="0"/>
      <w:marRight w:val="0"/>
      <w:marTop w:val="0"/>
      <w:marBottom w:val="0"/>
      <w:divBdr>
        <w:top w:val="none" w:sz="0" w:space="0" w:color="auto"/>
        <w:left w:val="none" w:sz="0" w:space="0" w:color="auto"/>
        <w:bottom w:val="none" w:sz="0" w:space="0" w:color="auto"/>
        <w:right w:val="none" w:sz="0" w:space="0" w:color="auto"/>
      </w:divBdr>
    </w:div>
    <w:div w:id="443887455">
      <w:bodyDiv w:val="1"/>
      <w:marLeft w:val="0"/>
      <w:marRight w:val="0"/>
      <w:marTop w:val="0"/>
      <w:marBottom w:val="0"/>
      <w:divBdr>
        <w:top w:val="none" w:sz="0" w:space="0" w:color="auto"/>
        <w:left w:val="none" w:sz="0" w:space="0" w:color="auto"/>
        <w:bottom w:val="none" w:sz="0" w:space="0" w:color="auto"/>
        <w:right w:val="none" w:sz="0" w:space="0" w:color="auto"/>
      </w:divBdr>
    </w:div>
    <w:div w:id="469247516">
      <w:bodyDiv w:val="1"/>
      <w:marLeft w:val="0"/>
      <w:marRight w:val="0"/>
      <w:marTop w:val="0"/>
      <w:marBottom w:val="0"/>
      <w:divBdr>
        <w:top w:val="none" w:sz="0" w:space="0" w:color="auto"/>
        <w:left w:val="none" w:sz="0" w:space="0" w:color="auto"/>
        <w:bottom w:val="none" w:sz="0" w:space="0" w:color="auto"/>
        <w:right w:val="none" w:sz="0" w:space="0" w:color="auto"/>
      </w:divBdr>
    </w:div>
    <w:div w:id="510604150">
      <w:bodyDiv w:val="1"/>
      <w:marLeft w:val="0"/>
      <w:marRight w:val="0"/>
      <w:marTop w:val="0"/>
      <w:marBottom w:val="0"/>
      <w:divBdr>
        <w:top w:val="none" w:sz="0" w:space="0" w:color="auto"/>
        <w:left w:val="none" w:sz="0" w:space="0" w:color="auto"/>
        <w:bottom w:val="none" w:sz="0" w:space="0" w:color="auto"/>
        <w:right w:val="none" w:sz="0" w:space="0" w:color="auto"/>
      </w:divBdr>
    </w:div>
    <w:div w:id="544874480">
      <w:bodyDiv w:val="1"/>
      <w:marLeft w:val="0"/>
      <w:marRight w:val="0"/>
      <w:marTop w:val="0"/>
      <w:marBottom w:val="0"/>
      <w:divBdr>
        <w:top w:val="none" w:sz="0" w:space="0" w:color="auto"/>
        <w:left w:val="none" w:sz="0" w:space="0" w:color="auto"/>
        <w:bottom w:val="none" w:sz="0" w:space="0" w:color="auto"/>
        <w:right w:val="none" w:sz="0" w:space="0" w:color="auto"/>
      </w:divBdr>
    </w:div>
    <w:div w:id="554774493">
      <w:bodyDiv w:val="1"/>
      <w:marLeft w:val="0"/>
      <w:marRight w:val="0"/>
      <w:marTop w:val="0"/>
      <w:marBottom w:val="0"/>
      <w:divBdr>
        <w:top w:val="none" w:sz="0" w:space="0" w:color="auto"/>
        <w:left w:val="none" w:sz="0" w:space="0" w:color="auto"/>
        <w:bottom w:val="none" w:sz="0" w:space="0" w:color="auto"/>
        <w:right w:val="none" w:sz="0" w:space="0" w:color="auto"/>
      </w:divBdr>
    </w:div>
    <w:div w:id="565457735">
      <w:bodyDiv w:val="1"/>
      <w:marLeft w:val="0"/>
      <w:marRight w:val="0"/>
      <w:marTop w:val="0"/>
      <w:marBottom w:val="0"/>
      <w:divBdr>
        <w:top w:val="none" w:sz="0" w:space="0" w:color="auto"/>
        <w:left w:val="none" w:sz="0" w:space="0" w:color="auto"/>
        <w:bottom w:val="none" w:sz="0" w:space="0" w:color="auto"/>
        <w:right w:val="none" w:sz="0" w:space="0" w:color="auto"/>
      </w:divBdr>
    </w:div>
    <w:div w:id="580607617">
      <w:bodyDiv w:val="1"/>
      <w:marLeft w:val="0"/>
      <w:marRight w:val="0"/>
      <w:marTop w:val="0"/>
      <w:marBottom w:val="0"/>
      <w:divBdr>
        <w:top w:val="none" w:sz="0" w:space="0" w:color="auto"/>
        <w:left w:val="none" w:sz="0" w:space="0" w:color="auto"/>
        <w:bottom w:val="none" w:sz="0" w:space="0" w:color="auto"/>
        <w:right w:val="none" w:sz="0" w:space="0" w:color="auto"/>
      </w:divBdr>
    </w:div>
    <w:div w:id="630742814">
      <w:bodyDiv w:val="1"/>
      <w:marLeft w:val="0"/>
      <w:marRight w:val="0"/>
      <w:marTop w:val="0"/>
      <w:marBottom w:val="0"/>
      <w:divBdr>
        <w:top w:val="none" w:sz="0" w:space="0" w:color="auto"/>
        <w:left w:val="none" w:sz="0" w:space="0" w:color="auto"/>
        <w:bottom w:val="none" w:sz="0" w:space="0" w:color="auto"/>
        <w:right w:val="none" w:sz="0" w:space="0" w:color="auto"/>
      </w:divBdr>
    </w:div>
    <w:div w:id="651449471">
      <w:bodyDiv w:val="1"/>
      <w:marLeft w:val="0"/>
      <w:marRight w:val="0"/>
      <w:marTop w:val="0"/>
      <w:marBottom w:val="0"/>
      <w:divBdr>
        <w:top w:val="none" w:sz="0" w:space="0" w:color="auto"/>
        <w:left w:val="none" w:sz="0" w:space="0" w:color="auto"/>
        <w:bottom w:val="none" w:sz="0" w:space="0" w:color="auto"/>
        <w:right w:val="none" w:sz="0" w:space="0" w:color="auto"/>
      </w:divBdr>
    </w:div>
    <w:div w:id="814564836">
      <w:bodyDiv w:val="1"/>
      <w:marLeft w:val="0"/>
      <w:marRight w:val="0"/>
      <w:marTop w:val="0"/>
      <w:marBottom w:val="0"/>
      <w:divBdr>
        <w:top w:val="none" w:sz="0" w:space="0" w:color="auto"/>
        <w:left w:val="none" w:sz="0" w:space="0" w:color="auto"/>
        <w:bottom w:val="none" w:sz="0" w:space="0" w:color="auto"/>
        <w:right w:val="none" w:sz="0" w:space="0" w:color="auto"/>
      </w:divBdr>
    </w:div>
    <w:div w:id="943655134">
      <w:bodyDiv w:val="1"/>
      <w:marLeft w:val="0"/>
      <w:marRight w:val="0"/>
      <w:marTop w:val="0"/>
      <w:marBottom w:val="0"/>
      <w:divBdr>
        <w:top w:val="none" w:sz="0" w:space="0" w:color="auto"/>
        <w:left w:val="none" w:sz="0" w:space="0" w:color="auto"/>
        <w:bottom w:val="none" w:sz="0" w:space="0" w:color="auto"/>
        <w:right w:val="none" w:sz="0" w:space="0" w:color="auto"/>
      </w:divBdr>
    </w:div>
    <w:div w:id="1002971213">
      <w:bodyDiv w:val="1"/>
      <w:marLeft w:val="0"/>
      <w:marRight w:val="0"/>
      <w:marTop w:val="0"/>
      <w:marBottom w:val="0"/>
      <w:divBdr>
        <w:top w:val="none" w:sz="0" w:space="0" w:color="auto"/>
        <w:left w:val="none" w:sz="0" w:space="0" w:color="auto"/>
        <w:bottom w:val="none" w:sz="0" w:space="0" w:color="auto"/>
        <w:right w:val="none" w:sz="0" w:space="0" w:color="auto"/>
      </w:divBdr>
    </w:div>
    <w:div w:id="1046488447">
      <w:bodyDiv w:val="1"/>
      <w:marLeft w:val="0"/>
      <w:marRight w:val="0"/>
      <w:marTop w:val="0"/>
      <w:marBottom w:val="0"/>
      <w:divBdr>
        <w:top w:val="none" w:sz="0" w:space="0" w:color="auto"/>
        <w:left w:val="none" w:sz="0" w:space="0" w:color="auto"/>
        <w:bottom w:val="none" w:sz="0" w:space="0" w:color="auto"/>
        <w:right w:val="none" w:sz="0" w:space="0" w:color="auto"/>
      </w:divBdr>
    </w:div>
    <w:div w:id="1065645613">
      <w:bodyDiv w:val="1"/>
      <w:marLeft w:val="0"/>
      <w:marRight w:val="0"/>
      <w:marTop w:val="0"/>
      <w:marBottom w:val="0"/>
      <w:divBdr>
        <w:top w:val="none" w:sz="0" w:space="0" w:color="auto"/>
        <w:left w:val="none" w:sz="0" w:space="0" w:color="auto"/>
        <w:bottom w:val="none" w:sz="0" w:space="0" w:color="auto"/>
        <w:right w:val="none" w:sz="0" w:space="0" w:color="auto"/>
      </w:divBdr>
    </w:div>
    <w:div w:id="1071122738">
      <w:bodyDiv w:val="1"/>
      <w:marLeft w:val="0"/>
      <w:marRight w:val="0"/>
      <w:marTop w:val="0"/>
      <w:marBottom w:val="0"/>
      <w:divBdr>
        <w:top w:val="none" w:sz="0" w:space="0" w:color="auto"/>
        <w:left w:val="none" w:sz="0" w:space="0" w:color="auto"/>
        <w:bottom w:val="none" w:sz="0" w:space="0" w:color="auto"/>
        <w:right w:val="none" w:sz="0" w:space="0" w:color="auto"/>
      </w:divBdr>
    </w:div>
    <w:div w:id="1099791129">
      <w:bodyDiv w:val="1"/>
      <w:marLeft w:val="0"/>
      <w:marRight w:val="0"/>
      <w:marTop w:val="0"/>
      <w:marBottom w:val="0"/>
      <w:divBdr>
        <w:top w:val="none" w:sz="0" w:space="0" w:color="auto"/>
        <w:left w:val="none" w:sz="0" w:space="0" w:color="auto"/>
        <w:bottom w:val="none" w:sz="0" w:space="0" w:color="auto"/>
        <w:right w:val="none" w:sz="0" w:space="0" w:color="auto"/>
      </w:divBdr>
    </w:div>
    <w:div w:id="1106541470">
      <w:bodyDiv w:val="1"/>
      <w:marLeft w:val="0"/>
      <w:marRight w:val="0"/>
      <w:marTop w:val="0"/>
      <w:marBottom w:val="0"/>
      <w:divBdr>
        <w:top w:val="none" w:sz="0" w:space="0" w:color="auto"/>
        <w:left w:val="none" w:sz="0" w:space="0" w:color="auto"/>
        <w:bottom w:val="none" w:sz="0" w:space="0" w:color="auto"/>
        <w:right w:val="none" w:sz="0" w:space="0" w:color="auto"/>
      </w:divBdr>
    </w:div>
    <w:div w:id="1161626601">
      <w:bodyDiv w:val="1"/>
      <w:marLeft w:val="0"/>
      <w:marRight w:val="0"/>
      <w:marTop w:val="0"/>
      <w:marBottom w:val="0"/>
      <w:divBdr>
        <w:top w:val="none" w:sz="0" w:space="0" w:color="auto"/>
        <w:left w:val="none" w:sz="0" w:space="0" w:color="auto"/>
        <w:bottom w:val="none" w:sz="0" w:space="0" w:color="auto"/>
        <w:right w:val="none" w:sz="0" w:space="0" w:color="auto"/>
      </w:divBdr>
    </w:div>
    <w:div w:id="1185095792">
      <w:bodyDiv w:val="1"/>
      <w:marLeft w:val="0"/>
      <w:marRight w:val="0"/>
      <w:marTop w:val="0"/>
      <w:marBottom w:val="0"/>
      <w:divBdr>
        <w:top w:val="none" w:sz="0" w:space="0" w:color="auto"/>
        <w:left w:val="none" w:sz="0" w:space="0" w:color="auto"/>
        <w:bottom w:val="none" w:sz="0" w:space="0" w:color="auto"/>
        <w:right w:val="none" w:sz="0" w:space="0" w:color="auto"/>
      </w:divBdr>
    </w:div>
    <w:div w:id="1232889610">
      <w:bodyDiv w:val="1"/>
      <w:marLeft w:val="0"/>
      <w:marRight w:val="0"/>
      <w:marTop w:val="0"/>
      <w:marBottom w:val="0"/>
      <w:divBdr>
        <w:top w:val="none" w:sz="0" w:space="0" w:color="auto"/>
        <w:left w:val="none" w:sz="0" w:space="0" w:color="auto"/>
        <w:bottom w:val="none" w:sz="0" w:space="0" w:color="auto"/>
        <w:right w:val="none" w:sz="0" w:space="0" w:color="auto"/>
      </w:divBdr>
    </w:div>
    <w:div w:id="1330328536">
      <w:bodyDiv w:val="1"/>
      <w:marLeft w:val="0"/>
      <w:marRight w:val="0"/>
      <w:marTop w:val="0"/>
      <w:marBottom w:val="0"/>
      <w:divBdr>
        <w:top w:val="none" w:sz="0" w:space="0" w:color="auto"/>
        <w:left w:val="none" w:sz="0" w:space="0" w:color="auto"/>
        <w:bottom w:val="none" w:sz="0" w:space="0" w:color="auto"/>
        <w:right w:val="none" w:sz="0" w:space="0" w:color="auto"/>
      </w:divBdr>
    </w:div>
    <w:div w:id="1348360711">
      <w:bodyDiv w:val="1"/>
      <w:marLeft w:val="0"/>
      <w:marRight w:val="0"/>
      <w:marTop w:val="0"/>
      <w:marBottom w:val="0"/>
      <w:divBdr>
        <w:top w:val="none" w:sz="0" w:space="0" w:color="auto"/>
        <w:left w:val="none" w:sz="0" w:space="0" w:color="auto"/>
        <w:bottom w:val="none" w:sz="0" w:space="0" w:color="auto"/>
        <w:right w:val="none" w:sz="0" w:space="0" w:color="auto"/>
      </w:divBdr>
    </w:div>
    <w:div w:id="1466238195">
      <w:bodyDiv w:val="1"/>
      <w:marLeft w:val="0"/>
      <w:marRight w:val="0"/>
      <w:marTop w:val="0"/>
      <w:marBottom w:val="0"/>
      <w:divBdr>
        <w:top w:val="none" w:sz="0" w:space="0" w:color="auto"/>
        <w:left w:val="none" w:sz="0" w:space="0" w:color="auto"/>
        <w:bottom w:val="none" w:sz="0" w:space="0" w:color="auto"/>
        <w:right w:val="none" w:sz="0" w:space="0" w:color="auto"/>
      </w:divBdr>
    </w:div>
    <w:div w:id="1581674766">
      <w:bodyDiv w:val="1"/>
      <w:marLeft w:val="0"/>
      <w:marRight w:val="0"/>
      <w:marTop w:val="0"/>
      <w:marBottom w:val="0"/>
      <w:divBdr>
        <w:top w:val="none" w:sz="0" w:space="0" w:color="auto"/>
        <w:left w:val="none" w:sz="0" w:space="0" w:color="auto"/>
        <w:bottom w:val="none" w:sz="0" w:space="0" w:color="auto"/>
        <w:right w:val="none" w:sz="0" w:space="0" w:color="auto"/>
      </w:divBdr>
    </w:div>
    <w:div w:id="1614361834">
      <w:bodyDiv w:val="1"/>
      <w:marLeft w:val="0"/>
      <w:marRight w:val="0"/>
      <w:marTop w:val="0"/>
      <w:marBottom w:val="0"/>
      <w:divBdr>
        <w:top w:val="none" w:sz="0" w:space="0" w:color="auto"/>
        <w:left w:val="none" w:sz="0" w:space="0" w:color="auto"/>
        <w:bottom w:val="none" w:sz="0" w:space="0" w:color="auto"/>
        <w:right w:val="none" w:sz="0" w:space="0" w:color="auto"/>
      </w:divBdr>
    </w:div>
    <w:div w:id="1653605519">
      <w:bodyDiv w:val="1"/>
      <w:marLeft w:val="0"/>
      <w:marRight w:val="0"/>
      <w:marTop w:val="0"/>
      <w:marBottom w:val="0"/>
      <w:divBdr>
        <w:top w:val="none" w:sz="0" w:space="0" w:color="auto"/>
        <w:left w:val="none" w:sz="0" w:space="0" w:color="auto"/>
        <w:bottom w:val="none" w:sz="0" w:space="0" w:color="auto"/>
        <w:right w:val="none" w:sz="0" w:space="0" w:color="auto"/>
      </w:divBdr>
    </w:div>
    <w:div w:id="1672097131">
      <w:bodyDiv w:val="1"/>
      <w:marLeft w:val="0"/>
      <w:marRight w:val="0"/>
      <w:marTop w:val="0"/>
      <w:marBottom w:val="0"/>
      <w:divBdr>
        <w:top w:val="none" w:sz="0" w:space="0" w:color="auto"/>
        <w:left w:val="none" w:sz="0" w:space="0" w:color="auto"/>
        <w:bottom w:val="none" w:sz="0" w:space="0" w:color="auto"/>
        <w:right w:val="none" w:sz="0" w:space="0" w:color="auto"/>
      </w:divBdr>
    </w:div>
    <w:div w:id="1707176905">
      <w:bodyDiv w:val="1"/>
      <w:marLeft w:val="0"/>
      <w:marRight w:val="0"/>
      <w:marTop w:val="0"/>
      <w:marBottom w:val="0"/>
      <w:divBdr>
        <w:top w:val="none" w:sz="0" w:space="0" w:color="auto"/>
        <w:left w:val="none" w:sz="0" w:space="0" w:color="auto"/>
        <w:bottom w:val="none" w:sz="0" w:space="0" w:color="auto"/>
        <w:right w:val="none" w:sz="0" w:space="0" w:color="auto"/>
      </w:divBdr>
    </w:div>
    <w:div w:id="1720015793">
      <w:bodyDiv w:val="1"/>
      <w:marLeft w:val="0"/>
      <w:marRight w:val="0"/>
      <w:marTop w:val="0"/>
      <w:marBottom w:val="0"/>
      <w:divBdr>
        <w:top w:val="none" w:sz="0" w:space="0" w:color="auto"/>
        <w:left w:val="none" w:sz="0" w:space="0" w:color="auto"/>
        <w:bottom w:val="none" w:sz="0" w:space="0" w:color="auto"/>
        <w:right w:val="none" w:sz="0" w:space="0" w:color="auto"/>
      </w:divBdr>
    </w:div>
    <w:div w:id="1904675672">
      <w:bodyDiv w:val="1"/>
      <w:marLeft w:val="0"/>
      <w:marRight w:val="0"/>
      <w:marTop w:val="0"/>
      <w:marBottom w:val="0"/>
      <w:divBdr>
        <w:top w:val="none" w:sz="0" w:space="0" w:color="auto"/>
        <w:left w:val="none" w:sz="0" w:space="0" w:color="auto"/>
        <w:bottom w:val="none" w:sz="0" w:space="0" w:color="auto"/>
        <w:right w:val="none" w:sz="0" w:space="0" w:color="auto"/>
      </w:divBdr>
    </w:div>
    <w:div w:id="1907951576">
      <w:bodyDiv w:val="1"/>
      <w:marLeft w:val="0"/>
      <w:marRight w:val="0"/>
      <w:marTop w:val="0"/>
      <w:marBottom w:val="0"/>
      <w:divBdr>
        <w:top w:val="none" w:sz="0" w:space="0" w:color="auto"/>
        <w:left w:val="none" w:sz="0" w:space="0" w:color="auto"/>
        <w:bottom w:val="none" w:sz="0" w:space="0" w:color="auto"/>
        <w:right w:val="none" w:sz="0" w:space="0" w:color="auto"/>
      </w:divBdr>
    </w:div>
    <w:div w:id="1943027076">
      <w:bodyDiv w:val="1"/>
      <w:marLeft w:val="0"/>
      <w:marRight w:val="0"/>
      <w:marTop w:val="0"/>
      <w:marBottom w:val="0"/>
      <w:divBdr>
        <w:top w:val="none" w:sz="0" w:space="0" w:color="auto"/>
        <w:left w:val="none" w:sz="0" w:space="0" w:color="auto"/>
        <w:bottom w:val="none" w:sz="0" w:space="0" w:color="auto"/>
        <w:right w:val="none" w:sz="0" w:space="0" w:color="auto"/>
      </w:divBdr>
    </w:div>
    <w:div w:id="2031175098">
      <w:bodyDiv w:val="1"/>
      <w:marLeft w:val="0"/>
      <w:marRight w:val="0"/>
      <w:marTop w:val="0"/>
      <w:marBottom w:val="0"/>
      <w:divBdr>
        <w:top w:val="none" w:sz="0" w:space="0" w:color="auto"/>
        <w:left w:val="none" w:sz="0" w:space="0" w:color="auto"/>
        <w:bottom w:val="none" w:sz="0" w:space="0" w:color="auto"/>
        <w:right w:val="none" w:sz="0" w:space="0" w:color="auto"/>
      </w:divBdr>
    </w:div>
    <w:div w:id="2052026263">
      <w:bodyDiv w:val="1"/>
      <w:marLeft w:val="0"/>
      <w:marRight w:val="0"/>
      <w:marTop w:val="0"/>
      <w:marBottom w:val="0"/>
      <w:divBdr>
        <w:top w:val="none" w:sz="0" w:space="0" w:color="auto"/>
        <w:left w:val="none" w:sz="0" w:space="0" w:color="auto"/>
        <w:bottom w:val="none" w:sz="0" w:space="0" w:color="auto"/>
        <w:right w:val="none" w:sz="0" w:space="0" w:color="auto"/>
      </w:divBdr>
    </w:div>
    <w:div w:id="213910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ice\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Lis18</b:Tag>
    <b:SourceType>InternetSite</b:SourceType>
    <b:Guid>{1083987E-83B7-42D7-B02F-0658A59E6BD1}</b:Guid>
    <b:Author>
      <b:Author>
        <b:NameList>
          <b:Person>
            <b:Last>Smith</b:Last>
            <b:First>Lisa</b:First>
          </b:Person>
        </b:NameList>
      </b:Author>
    </b:Author>
    <b:Title>Off-Balance-Sheet Entities: An Introduction</b:Title>
    <b:InternetSiteTitle>Investopedia</b:InternetSiteTitle>
    <b:Year>2018</b:Year>
    <b:Month>11</b:Month>
    <b:Day>14</b:Day>
    <b:URL>https://www.investopedia.com/articles/analyst/022002.asp</b:URL>
    <b:RefOrder>8</b:RefOrder>
  </b:Source>
  <b:Source>
    <b:Tag>Hay16</b:Tag>
    <b:SourceType>InternetSite</b:SourceType>
    <b:Guid>{10A5FE7A-A1B6-4C41-939B-4332A06B98CD}</b:Guid>
    <b:Author>
      <b:Author>
        <b:NameList>
          <b:Person>
            <b:Last>Haywood</b:Last>
            <b:First>Andy</b:First>
          </b:Person>
        </b:NameList>
      </b:Author>
    </b:Author>
    <b:Title>IFRS 16 Leases is Here – IASB Release New Global Lease Accounting Standard</b:Title>
    <b:InternetSiteTitle>Inner Vision</b:InternetSiteTitle>
    <b:Year>16</b:Year>
    <b:Month>01</b:Month>
    <b:Day>13</b:Day>
    <b:URL>http://blog.innervision.co.uk/blog/ifrs-16-leases-is-here-iasb-release-new-global-lease-accounting-standard</b:URL>
    <b:YearAccessed>2018</b:YearAccessed>
    <b:MonthAccessed>11</b:MonthAccessed>
    <b:DayAccessed>28</b:DayAccessed>
    <b:RefOrder>9</b:RefOrder>
  </b:Source>
  <b:Source>
    <b:Tag>IFR18</b:Tag>
    <b:SourceType>InternetSite</b:SourceType>
    <b:Guid>{BA0E1704-17E3-4D46-8A38-C52382D5340C}</b:Guid>
    <b:Author>
      <b:Author>
        <b:Corporate>IFRS</b:Corporate>
      </b:Author>
    </b:Author>
    <b:Title>IFRS 16 Leases</b:Title>
    <b:InternetSiteTitle>IFRS</b:InternetSiteTitle>
    <b:Year>2018</b:Year>
    <b:Month>11</b:Month>
    <b:Day>28</b:Day>
    <b:URL>https://www.ifrs.org/issued-standards/list-of-standards/ifrs-16-leases/</b:URL>
    <b:RefOrder>6</b:RefOrder>
  </b:Source>
  <b:Source>
    <b:Tag>Mel17</b:Tag>
    <b:SourceType>JournalArticle</b:SourceType>
    <b:Guid>{174692DD-5ADB-49C4-9BB8-9000CEE9BCEF}</b:Guid>
    <b:Title>Conceptual Problems with a New lease Accounting Approach</b:Title>
    <b:Year>2017</b:Year>
    <b:URL>https://www.store.leasefoundation.org/Products/JELFSpr98-4.pdf</b:URL>
    <b:Author>
      <b:Author>
        <b:NameList>
          <b:Person>
            <b:Last>Mellwig</b:Last>
            <b:First>Winfried</b:First>
          </b:Person>
        </b:NameList>
      </b:Author>
    </b:Author>
    <b:JournalName>Journal of Equipment Lease Financing</b:JournalName>
    <b:Pages>1-19</b:Pages>
    <b:YearAccessed>2018</b:YearAccessed>
    <b:MonthAccessed>12</b:MonthAccessed>
    <b:DayAccessed>05</b:DayAccessed>
    <b:RefOrder>3</b:RefOrder>
  </b:Source>
  <b:Source>
    <b:Tag>FCC11</b:Tag>
    <b:SourceType>JournalArticle</b:SourceType>
    <b:Guid>{10515B10-88B2-47CF-B7E2-2C8A759CA4D9}</b:Guid>
    <b:Author>
      <b:Author>
        <b:NameList>
          <b:Person>
            <b:Last>FCCA</b:Last>
            <b:First>Tom</b:First>
            <b:Middle>Clendon</b:Middle>
          </b:Person>
        </b:NameList>
      </b:Author>
    </b:Author>
    <b:Title>The IASB's Conceptual Framework for Financial Reporting</b:Title>
    <b:JournalName>Student Accountant Technical</b:JournalName>
    <b:Year>2011</b:Year>
    <b:Pages>5</b:Pages>
    <b:YearAccessed>2018</b:YearAccessed>
    <b:MonthAccessed>12</b:MonthAccessed>
    <b:DayAccessed>05</b:DayAccessed>
    <b:RefOrder>5</b:RefOrder>
  </b:Source>
  <b:Source>
    <b:Tag>Acc09</b:Tag>
    <b:SourceType>InternetSite</b:SourceType>
    <b:Guid>{44DFA2A8-96D9-48CA-84FC-80B2722FC122}</b:Guid>
    <b:Title>Accounting for Leases</b:Title>
    <b:InternetSiteTitle>ACCA Global</b:InternetSiteTitle>
    <b:Year>09</b:Year>
    <b:Month>11</b:Month>
    <b:Day>2018</b:Day>
    <b:URL>https://www.accaglobal.com/uk/en/student/exam-support-resources/fundamentals-exams-study-resources/f7/technical-articles/accounting-for-leases.html#</b:URL>
    <b:Author>
      <b:Author>
        <b:NameList>
          <b:Person>
            <b:Last>Retallack</b:Last>
            <b:First>Bobbie-Anne</b:First>
          </b:Person>
        </b:NameList>
      </b:Author>
    </b:Author>
    <b:YearAccessed>2018</b:YearAccessed>
    <b:MonthAccessed>12</b:MonthAccessed>
    <b:DayAccessed>05</b:DayAccessed>
    <b:RefOrder>1</b:RefOrder>
  </b:Source>
  <b:Source>
    <b:Tag>Sum16</b:Tag>
    <b:SourceType>JournalArticle</b:SourceType>
    <b:Guid>{A4B25BF5-A2C8-4933-BDF1-BA7622CB6778}</b:Guid>
    <b:Title>Summary of IFRS 16 and its effects</b:Title>
    <b:JournalName>EY Building a better working world</b:JournalName>
    <b:Year>2016</b:Year>
    <b:Pages>5</b:Pages>
    <b:YearAccessed>2018</b:YearAccessed>
    <b:MonthAccessed>12</b:MonthAccessed>
    <b:DayAccessed>05</b:DayAccessed>
    <b:URL>https://www.ey.com/Publication/vwLUAssets/ey-leases-a-summary-of-ifrs-16-and-its-effects-may-2016/$FILE/ey-leases-a-summary-of-ifrs-16-and-its-effects-may-2016.pdf</b:URL>
    <b:Author>
      <b:Author>
        <b:Corporate>EY</b:Corporate>
      </b:Author>
    </b:Author>
    <b:RefOrder>7</b:RefOrder>
  </b:Source>
  <b:Source>
    <b:Tag>FAS13</b:Tag>
    <b:SourceType>JournalArticle</b:SourceType>
    <b:Guid>{F189A522-233A-4B71-BF8C-EDC323CCD742}</b:Guid>
    <b:Author>
      <b:Author>
        <b:Corporate>FASB</b:Corporate>
      </b:Author>
    </b:Author>
    <b:Title>Proposed Accounting Standards Update</b:Title>
    <b:JournalName>Leases (Topic 842)</b:JournalName>
    <b:Year>2013</b:Year>
    <b:Pages>11-206</b:Pages>
    <b:RefOrder>10</b:RefOrder>
  </b:Source>
  <b:Source>
    <b:Tag>Rul17</b:Tag>
    <b:SourceType>JournalArticle</b:SourceType>
    <b:Guid>{3BA3B788-9A7C-41F8-B01E-FC294D79FF0D}</b:Guid>
    <b:Title>IFRS 16 - Leases: Implications for analysts and investors</b:Title>
    <b:Year>2017</b:Year>
    <b:Pages>6-8</b:Pages>
    <b:Author>
      <b:Author>
        <b:NameList>
          <b:Person>
            <b:Last>Rulmont</b:Last>
            <b:First>Sebastien</b:First>
          </b:Person>
        </b:NameList>
      </b:Author>
    </b:Author>
    <b:YearAccessed>2018</b:YearAccessed>
    <b:MonthAccessed>12</b:MonthAccessed>
    <b:DayAccessed>05</b:DayAccessed>
    <b:RefOrder>4</b:RefOrder>
  </b:Source>
  <b:Source>
    <b:Tag>IAS15</b:Tag>
    <b:SourceType>JournalArticle</b:SourceType>
    <b:Guid>{CBB197E3-8E68-49B5-9D4A-621FBC5D2D98}</b:Guid>
    <b:Author>
      <b:Author>
        <b:Corporate>IASB</b:Corporate>
      </b:Author>
    </b:Author>
    <b:Title>Conceptual Framework for Financial Reporting</b:Title>
    <b:JournalName>IASB</b:JournalName>
    <b:Year>2015</b:Year>
    <b:YearAccessed>18</b:YearAccessed>
    <b:MonthAccessed>11</b:MonthAccessed>
    <b:DayAccessed>19</b:DayAccessed>
    <b:URL>http://archive.ifrs.org/Current-Projects/IASB-Projects/Conceptual-Framework/Documents/May%202015/ED_CF_MAY%202015.pdf</b:URL>
    <b:RefOrder>2</b:RefOrder>
  </b:Source>
</b:Sources>
</file>

<file path=customXml/itemProps1.xml><?xml version="1.0" encoding="utf-8"?>
<ds:datastoreItem xmlns:ds="http://schemas.openxmlformats.org/officeDocument/2006/customXml" ds:itemID="{AF53C229-B5F6-4DAE-ADDE-E219D3896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1165</TotalTime>
  <Pages>7</Pages>
  <Words>1669</Words>
  <Characters>9514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price</dc:creator>
  <cp:keywords/>
  <dc:description/>
  <cp:lastModifiedBy>ryan price</cp:lastModifiedBy>
  <cp:revision>403</cp:revision>
  <cp:lastPrinted>2018-12-06T15:12:00Z</cp:lastPrinted>
  <dcterms:created xsi:type="dcterms:W3CDTF">2018-11-14T13:01:00Z</dcterms:created>
  <dcterms:modified xsi:type="dcterms:W3CDTF">2018-12-06T16:02:00Z</dcterms:modified>
</cp:coreProperties>
</file>