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AB06DD" w14:textId="77777777" w:rsidR="00C50A51" w:rsidRDefault="00C50A51"/>
    <w:p w14:paraId="6052316F" w14:textId="77777777" w:rsidR="00C50A51" w:rsidRDefault="00C50A51"/>
    <w:p w14:paraId="7E7E6B91" w14:textId="5E7EB7CB" w:rsidR="00973CE9" w:rsidRPr="00DE018C" w:rsidRDefault="00C50A51" w:rsidP="00F277B8">
      <w:pPr>
        <w:jc w:val="center"/>
        <w:rPr>
          <w:rFonts w:ascii="Times New Roman" w:hAnsi="Times New Roman" w:cs="Times New Roman"/>
          <w:b/>
          <w:bCs/>
          <w:sz w:val="24"/>
          <w:szCs w:val="24"/>
          <w:u w:val="single"/>
        </w:rPr>
      </w:pPr>
      <w:r w:rsidRPr="00DE018C">
        <w:rPr>
          <w:rFonts w:ascii="Times New Roman" w:hAnsi="Times New Roman" w:cs="Times New Roman"/>
          <w:b/>
          <w:bCs/>
          <w:sz w:val="24"/>
          <w:szCs w:val="24"/>
          <w:u w:val="single"/>
        </w:rPr>
        <w:t xml:space="preserve">Specialist </w:t>
      </w:r>
      <w:r w:rsidR="003642B3" w:rsidRPr="00DE018C">
        <w:rPr>
          <w:rFonts w:ascii="Times New Roman" w:hAnsi="Times New Roman" w:cs="Times New Roman"/>
          <w:b/>
          <w:bCs/>
          <w:sz w:val="24"/>
          <w:szCs w:val="24"/>
          <w:u w:val="single"/>
        </w:rPr>
        <w:t xml:space="preserve">Employment </w:t>
      </w:r>
      <w:r w:rsidRPr="00DE018C">
        <w:rPr>
          <w:rFonts w:ascii="Times New Roman" w:hAnsi="Times New Roman" w:cs="Times New Roman"/>
          <w:b/>
          <w:bCs/>
          <w:sz w:val="24"/>
          <w:szCs w:val="24"/>
          <w:u w:val="single"/>
        </w:rPr>
        <w:t>Law</w:t>
      </w:r>
    </w:p>
    <w:p w14:paraId="3328BEF5" w14:textId="77777777" w:rsidR="00C50A51" w:rsidRDefault="00C50A51"/>
    <w:p w14:paraId="62E6A8AF" w14:textId="77777777" w:rsidR="006648EA" w:rsidRPr="00F277B8" w:rsidRDefault="00FC39C9" w:rsidP="006648EA">
      <w:pPr>
        <w:pStyle w:val="ListParagraph"/>
        <w:numPr>
          <w:ilvl w:val="0"/>
          <w:numId w:val="11"/>
        </w:numPr>
        <w:spacing w:before="100" w:beforeAutospacing="1" w:after="100" w:afterAutospacing="1" w:line="240" w:lineRule="auto"/>
        <w:ind w:left="0"/>
        <w:rPr>
          <w:rFonts w:ascii="Times New Roman" w:eastAsia="Times New Roman" w:hAnsi="Times New Roman" w:cs="Times New Roman"/>
          <w:b/>
          <w:bCs/>
          <w:kern w:val="0"/>
          <w:sz w:val="24"/>
          <w:szCs w:val="24"/>
          <w:lang w:eastAsia="en-GB"/>
          <w14:ligatures w14:val="none"/>
        </w:rPr>
      </w:pPr>
      <w:r w:rsidRPr="00F277B8">
        <w:rPr>
          <w:rFonts w:ascii="Times New Roman" w:eastAsia="Times New Roman" w:hAnsi="Times New Roman" w:cs="Times New Roman"/>
          <w:b/>
          <w:bCs/>
          <w:kern w:val="0"/>
          <w:sz w:val="24"/>
          <w:szCs w:val="24"/>
          <w:lang w:eastAsia="en-GB"/>
          <w14:ligatures w14:val="none"/>
        </w:rPr>
        <w:t>(AC 1.1)</w:t>
      </w:r>
    </w:p>
    <w:p w14:paraId="6DD0254E" w14:textId="49F8A534" w:rsidR="006648EA" w:rsidRPr="00F277B8" w:rsidRDefault="006648EA" w:rsidP="006648EA">
      <w:pPr>
        <w:pStyle w:val="ListParagraph"/>
        <w:spacing w:before="100" w:beforeAutospacing="1" w:after="100" w:afterAutospacing="1" w:line="240" w:lineRule="auto"/>
        <w:ind w:left="0"/>
        <w:rPr>
          <w:rFonts w:ascii="Times New Roman" w:eastAsia="Times New Roman" w:hAnsi="Times New Roman" w:cs="Times New Roman"/>
          <w:b/>
          <w:bCs/>
          <w:kern w:val="0"/>
          <w:sz w:val="24"/>
          <w:szCs w:val="24"/>
          <w:lang w:eastAsia="en-GB"/>
          <w14:ligatures w14:val="none"/>
        </w:rPr>
      </w:pPr>
      <w:r w:rsidRPr="00F277B8">
        <w:rPr>
          <w:rFonts w:ascii="Times New Roman" w:hAnsi="Times New Roman" w:cs="Times New Roman"/>
          <w:sz w:val="24"/>
          <w:szCs w:val="24"/>
        </w:rPr>
        <w:t>Thank you for your email and for sharing your concern on how regulatory activities take up a significant portion of your working time. I understand your concern and appreciate your commitment to enhancing the employment experience for our colleagues at the Trust. Although you feel your time is not spent enhancing the employment experience for staff, employment regulations do play a fundamental role in creating a fair, safe, and inclusive working environment for everyone, which does improve the overall employee experience. Without these protections, workplace disputes and inequalities could escalate, leading to dissatisfaction, higher staff turnover, and reputational risks for the organisation.</w:t>
      </w:r>
    </w:p>
    <w:p w14:paraId="65341F5D" w14:textId="77777777" w:rsidR="006648EA" w:rsidRPr="00F277B8" w:rsidRDefault="006648EA" w:rsidP="006648EA">
      <w:pPr>
        <w:pStyle w:val="NormalWeb"/>
      </w:pPr>
      <w:r w:rsidRPr="00F277B8">
        <w:t xml:space="preserve">The aim of employment regulation is to protect employees’ rights and ensure fair treatment across the board. The </w:t>
      </w:r>
      <w:r w:rsidRPr="00F277B8">
        <w:rPr>
          <w:rStyle w:val="Strong"/>
          <w:rFonts w:eastAsiaTheme="majorEastAsia"/>
          <w:b w:val="0"/>
          <w:bCs w:val="0"/>
        </w:rPr>
        <w:t>Equality Act 2010</w:t>
      </w:r>
      <w:r w:rsidRPr="00F277B8">
        <w:t xml:space="preserve"> provides a framework to stop discrimination based on protected characteristics such as age, race, or gender. By working to this legislation, organisations like ours not only meet legal requirements but also develop a culture of fairness and respect, which enhances staff experience. </w:t>
      </w:r>
      <w:r w:rsidRPr="00F277B8">
        <w:rPr>
          <w:rStyle w:val="Strong"/>
          <w:rFonts w:eastAsiaTheme="majorEastAsia"/>
          <w:b w:val="0"/>
          <w:bCs w:val="0"/>
        </w:rPr>
        <w:t>Daniels (2022)</w:t>
      </w:r>
      <w:r w:rsidRPr="00F277B8">
        <w:t xml:space="preserve"> emphasises that these frameworks prevent discrimination and enable equal opportunities in recruitment, promotion, and pay, ensuring we have a diverse workforce that promotes performance and inclusivity.</w:t>
      </w:r>
    </w:p>
    <w:p w14:paraId="1BA420B5" w14:textId="77777777" w:rsidR="006648EA" w:rsidRPr="00F277B8" w:rsidRDefault="006648EA" w:rsidP="006648EA">
      <w:pPr>
        <w:pStyle w:val="NormalWeb"/>
      </w:pPr>
      <w:r w:rsidRPr="00F277B8">
        <w:t xml:space="preserve">Another objective of employment regulation is to ensure that we have safety in the workplace. The </w:t>
      </w:r>
      <w:r w:rsidRPr="00F277B8">
        <w:rPr>
          <w:rStyle w:val="Strong"/>
          <w:rFonts w:eastAsiaTheme="majorEastAsia"/>
          <w:b w:val="0"/>
          <w:bCs w:val="0"/>
        </w:rPr>
        <w:t>Health and Safety at Work Act 1974</w:t>
      </w:r>
      <w:r w:rsidRPr="00F277B8">
        <w:t xml:space="preserve"> requires that employers identify risks and put measures in place to prevent them. For a healthcare environment like ours, prioritising safety is critical to maintaining staff wellbeing and helping them to deliver high-quality care. </w:t>
      </w:r>
      <w:r w:rsidRPr="00F277B8">
        <w:rPr>
          <w:rStyle w:val="Strong"/>
          <w:rFonts w:eastAsiaTheme="majorEastAsia"/>
          <w:b w:val="0"/>
          <w:bCs w:val="0"/>
        </w:rPr>
        <w:t>Armstrong and Taylor (2022)</w:t>
      </w:r>
      <w:r w:rsidRPr="00F277B8">
        <w:t xml:space="preserve"> show that these regulations not only safeguard employees but also improve efficiency by reducing sickness and staff turnover. Furthermore, compliance with health and safety laws enhances employee confidence, knowing they are protected from workplace hazards, which ultimately contributes to their overall job satisfaction.</w:t>
      </w:r>
    </w:p>
    <w:p w14:paraId="02878524" w14:textId="77777777" w:rsidR="006648EA" w:rsidRPr="00F277B8" w:rsidRDefault="006648EA" w:rsidP="006648EA">
      <w:pPr>
        <w:pStyle w:val="NormalWeb"/>
      </w:pPr>
      <w:r w:rsidRPr="00F277B8">
        <w:t xml:space="preserve">Employment regulations also seek to look after the rights of both employees and employers. The </w:t>
      </w:r>
      <w:r w:rsidRPr="00F277B8">
        <w:rPr>
          <w:rStyle w:val="Strong"/>
          <w:rFonts w:eastAsiaTheme="majorEastAsia"/>
          <w:b w:val="0"/>
          <w:bCs w:val="0"/>
        </w:rPr>
        <w:t>Employment Rights Act 1996</w:t>
      </w:r>
      <w:r w:rsidRPr="00F277B8">
        <w:t xml:space="preserve"> provides protections against unfair dismissal and redundancy while setting out clear expectations for employers. </w:t>
      </w:r>
      <w:r w:rsidRPr="00F277B8">
        <w:rPr>
          <w:rStyle w:val="Strong"/>
          <w:rFonts w:eastAsiaTheme="majorEastAsia"/>
          <w:b w:val="0"/>
          <w:bCs w:val="0"/>
        </w:rPr>
        <w:t>The CIPD (2025)</w:t>
      </w:r>
      <w:r w:rsidRPr="00F277B8">
        <w:t xml:space="preserve"> states that following employment law strengthens integrity, improves workplace relationships, and boosts engagement. Legal frameworks ensure that both employees and employers understand their rights and obligations, reducing the likelihood of disputes and grievances escalating unnecessarily.</w:t>
      </w:r>
    </w:p>
    <w:p w14:paraId="240B7133" w14:textId="77777777" w:rsidR="006648EA" w:rsidRPr="00F277B8" w:rsidRDefault="006648EA" w:rsidP="006648EA">
      <w:pPr>
        <w:pStyle w:val="NormalWeb"/>
      </w:pPr>
      <w:r w:rsidRPr="00F277B8">
        <w:t>While it may feel that time spent on regulatory matters takes you away from other priorities, this effort does contribute to improving the Trust’s employment experience. By embedding compliance into our daily practices, we reduce risks of litigation, enhance our reputation, and create a supportive workplace where colleagues feel valued and protected. Moreover, a well-regulated organisation is more attractive to prospective employees, helping to recruit and retain top talent.</w:t>
      </w:r>
    </w:p>
    <w:p w14:paraId="66027111" w14:textId="77777777" w:rsidR="006648EA" w:rsidRPr="00F277B8" w:rsidRDefault="006648EA" w:rsidP="006648EA">
      <w:pPr>
        <w:pStyle w:val="NormalWeb"/>
      </w:pPr>
      <w:r w:rsidRPr="00F277B8">
        <w:lastRenderedPageBreak/>
        <w:t>I appreciate your efforts and encourage you to see the regulatory work you are carrying out as key to maintaining high standards. Thank you for your hard work and the vital role you play in fostering excellence within the Trust.</w:t>
      </w:r>
    </w:p>
    <w:p w14:paraId="1D245894" w14:textId="77777777" w:rsidR="006648EA" w:rsidRPr="00F277B8" w:rsidRDefault="006648EA" w:rsidP="006648EA">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3FFFA688" w14:textId="79DD533D" w:rsidR="00C50A51" w:rsidRPr="00F277B8" w:rsidRDefault="00E45BE0" w:rsidP="00B9634F">
      <w:pPr>
        <w:pStyle w:val="ListParagraph"/>
        <w:numPr>
          <w:ilvl w:val="0"/>
          <w:numId w:val="11"/>
        </w:numPr>
        <w:spacing w:before="100" w:beforeAutospacing="1" w:after="100" w:afterAutospacing="1" w:line="240" w:lineRule="auto"/>
        <w:ind w:left="0"/>
        <w:rPr>
          <w:rFonts w:ascii="Times New Roman" w:eastAsia="Times New Roman" w:hAnsi="Times New Roman" w:cs="Times New Roman"/>
          <w:b/>
          <w:bCs/>
          <w:kern w:val="0"/>
          <w:sz w:val="24"/>
          <w:szCs w:val="24"/>
          <w:lang w:eastAsia="en-GB"/>
          <w14:ligatures w14:val="none"/>
        </w:rPr>
      </w:pPr>
      <w:r w:rsidRPr="00F277B8">
        <w:rPr>
          <w:rFonts w:ascii="Times New Roman" w:eastAsia="Times New Roman" w:hAnsi="Times New Roman" w:cs="Times New Roman"/>
          <w:b/>
          <w:bCs/>
          <w:kern w:val="0"/>
          <w:sz w:val="24"/>
          <w:szCs w:val="24"/>
          <w:lang w:eastAsia="en-GB"/>
          <w14:ligatures w14:val="none"/>
        </w:rPr>
        <w:t>(</w:t>
      </w:r>
      <w:r w:rsidR="006A64F7" w:rsidRPr="00F277B8">
        <w:rPr>
          <w:rFonts w:ascii="Times New Roman" w:eastAsia="Times New Roman" w:hAnsi="Times New Roman" w:cs="Times New Roman"/>
          <w:b/>
          <w:bCs/>
          <w:kern w:val="0"/>
          <w:sz w:val="24"/>
          <w:szCs w:val="24"/>
          <w:lang w:eastAsia="en-GB"/>
          <w14:ligatures w14:val="none"/>
        </w:rPr>
        <w:t>AC 1.2</w:t>
      </w:r>
      <w:r w:rsidRPr="00F277B8">
        <w:rPr>
          <w:rFonts w:ascii="Times New Roman" w:eastAsia="Times New Roman" w:hAnsi="Times New Roman" w:cs="Times New Roman"/>
          <w:b/>
          <w:bCs/>
          <w:kern w:val="0"/>
          <w:sz w:val="24"/>
          <w:szCs w:val="24"/>
          <w:lang w:eastAsia="en-GB"/>
          <w14:ligatures w14:val="none"/>
        </w:rPr>
        <w:t>)</w:t>
      </w:r>
    </w:p>
    <w:p w14:paraId="0ED6394E" w14:textId="77777777" w:rsidR="00601C1D" w:rsidRPr="00F277B8" w:rsidRDefault="00601C1D" w:rsidP="00601C1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277B8">
        <w:rPr>
          <w:rFonts w:ascii="Times New Roman" w:eastAsia="Times New Roman" w:hAnsi="Times New Roman" w:cs="Times New Roman"/>
          <w:kern w:val="0"/>
          <w:sz w:val="24"/>
          <w:szCs w:val="24"/>
          <w:lang w:eastAsia="en-GB"/>
          <w14:ligatures w14:val="none"/>
        </w:rPr>
        <w:t>Thank you for your query regarding the status of European Court of Justice (ECJ) judgments following the UK’s departure from the European Union in 2020.</w:t>
      </w:r>
    </w:p>
    <w:p w14:paraId="6604C09D" w14:textId="708B1782" w:rsidR="00601C1D" w:rsidRPr="00F277B8" w:rsidRDefault="00601C1D" w:rsidP="00601C1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277B8">
        <w:rPr>
          <w:rFonts w:ascii="Times New Roman" w:eastAsia="Times New Roman" w:hAnsi="Times New Roman" w:cs="Times New Roman"/>
          <w:kern w:val="0"/>
          <w:sz w:val="24"/>
          <w:szCs w:val="24"/>
          <w:lang w:eastAsia="en-GB"/>
          <w14:ligatures w14:val="none"/>
        </w:rPr>
        <w:t>Before Brexit, ECJ rulings were binding on UK courts in matters of EU law, meaning they had to be followed. The EU (Withdrawal) Act 2018 and the Retained EU Law (Revocation and Reform) Act 2023 (REUL) changed this, allowing the UK to modify or remove laws previously taken from the EU. Since 1 January 2024, ECJ rulings are no longer automatically binding, though they can still be considered where relevant, particularly in areas where UK law has not yet changed. Courts now have the power to review and set aside ECJ decisions if they conflict with UK law or policy.</w:t>
      </w:r>
    </w:p>
    <w:p w14:paraId="3BA9A5D2" w14:textId="0C7A9B64" w:rsidR="00601C1D" w:rsidRPr="00F277B8" w:rsidRDefault="00601C1D" w:rsidP="00601C1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277B8">
        <w:rPr>
          <w:rFonts w:ascii="Times New Roman" w:eastAsia="Times New Roman" w:hAnsi="Times New Roman" w:cs="Times New Roman"/>
          <w:kern w:val="0"/>
          <w:sz w:val="24"/>
          <w:szCs w:val="24"/>
          <w:lang w:eastAsia="en-GB"/>
          <w14:ligatures w14:val="none"/>
        </w:rPr>
        <w:t xml:space="preserve">While UK courts no longer </w:t>
      </w:r>
      <w:proofErr w:type="gramStart"/>
      <w:r w:rsidRPr="00F277B8">
        <w:rPr>
          <w:rFonts w:ascii="Times New Roman" w:eastAsia="Times New Roman" w:hAnsi="Times New Roman" w:cs="Times New Roman"/>
          <w:kern w:val="0"/>
          <w:sz w:val="24"/>
          <w:szCs w:val="24"/>
          <w:lang w:eastAsia="en-GB"/>
          <w14:ligatures w14:val="none"/>
        </w:rPr>
        <w:t>have to</w:t>
      </w:r>
      <w:proofErr w:type="gramEnd"/>
      <w:r w:rsidRPr="00F277B8">
        <w:rPr>
          <w:rFonts w:ascii="Times New Roman" w:eastAsia="Times New Roman" w:hAnsi="Times New Roman" w:cs="Times New Roman"/>
          <w:kern w:val="0"/>
          <w:sz w:val="24"/>
          <w:szCs w:val="24"/>
          <w:lang w:eastAsia="en-GB"/>
          <w14:ligatures w14:val="none"/>
        </w:rPr>
        <w:t xml:space="preserve"> follow ECJ rulings, decisions made before Brexit still apply unless changed by UK legislation. The UK Supreme Court and Court of Appeal can now </w:t>
      </w:r>
      <w:r w:rsidR="007803A7" w:rsidRPr="00F277B8">
        <w:rPr>
          <w:rFonts w:ascii="Times New Roman" w:eastAsia="Times New Roman" w:hAnsi="Times New Roman" w:cs="Times New Roman"/>
          <w:kern w:val="0"/>
          <w:sz w:val="24"/>
          <w:szCs w:val="24"/>
          <w:lang w:eastAsia="en-GB"/>
          <w14:ligatures w14:val="none"/>
        </w:rPr>
        <w:t>move away</w:t>
      </w:r>
      <w:r w:rsidRPr="00F277B8">
        <w:rPr>
          <w:rFonts w:ascii="Times New Roman" w:eastAsia="Times New Roman" w:hAnsi="Times New Roman" w:cs="Times New Roman"/>
          <w:kern w:val="0"/>
          <w:sz w:val="24"/>
          <w:szCs w:val="24"/>
          <w:lang w:eastAsia="en-GB"/>
          <w14:ligatures w14:val="none"/>
        </w:rPr>
        <w:t xml:space="preserve"> from these rulings if necessary, ensuring that UK employment law evolves independently. Employment tribunals and the Employment Appeal Tribunal (EAT) can escalate cases involving retained EU law to higher courts for clarification.</w:t>
      </w:r>
    </w:p>
    <w:p w14:paraId="3EB1ADCD" w14:textId="77777777" w:rsidR="00601C1D" w:rsidRPr="00F277B8" w:rsidRDefault="00601C1D" w:rsidP="00601C1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277B8">
        <w:rPr>
          <w:rFonts w:ascii="Times New Roman" w:eastAsia="Times New Roman" w:hAnsi="Times New Roman" w:cs="Times New Roman"/>
          <w:kern w:val="0"/>
          <w:sz w:val="24"/>
          <w:szCs w:val="24"/>
          <w:lang w:eastAsia="en-GB"/>
          <w14:ligatures w14:val="none"/>
        </w:rPr>
        <w:t>A good example of this shift can be seen in holiday pay calculations. ECJ case law, such as British Gas Trading Ltd v Lock (2016), previously established that "normal pay" should include regular overtime and commission. UK tribunals followed this approach, but post-Brexit, courts may revisit how holiday pay is calculated under UK law.</w:t>
      </w:r>
    </w:p>
    <w:p w14:paraId="6A31B4F9" w14:textId="77777777" w:rsidR="00601C1D" w:rsidRPr="00F277B8" w:rsidRDefault="00601C1D" w:rsidP="00601C1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277B8">
        <w:rPr>
          <w:rFonts w:ascii="Times New Roman" w:eastAsia="Times New Roman" w:hAnsi="Times New Roman" w:cs="Times New Roman"/>
          <w:kern w:val="0"/>
          <w:sz w:val="24"/>
          <w:szCs w:val="24"/>
          <w:lang w:eastAsia="en-GB"/>
          <w14:ligatures w14:val="none"/>
        </w:rPr>
        <w:t>Employment tribunals continue to play a vital role in resolving workplace disputes, handling claims related to unfair dismissal, discrimination, and redundancy. They offer employees an accessible and cost-effective route to challenge unlawful employment practices, while the EAT ensures consistency in how employment law is interpreted (CIPD, 2025).</w:t>
      </w:r>
    </w:p>
    <w:p w14:paraId="533D48CF" w14:textId="77777777" w:rsidR="00601C1D" w:rsidRPr="00F277B8" w:rsidRDefault="00601C1D" w:rsidP="00601C1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277B8">
        <w:rPr>
          <w:rFonts w:ascii="Times New Roman" w:eastAsia="Times New Roman" w:hAnsi="Times New Roman" w:cs="Times New Roman"/>
          <w:kern w:val="0"/>
          <w:sz w:val="24"/>
          <w:szCs w:val="24"/>
          <w:lang w:eastAsia="en-GB"/>
          <w14:ligatures w14:val="none"/>
        </w:rPr>
        <w:t>The case of Uber BV v Aslam (2021) illustrates how UK courts enforce employment law independently of ECJ influence. The employment tribunal initially ruled that Uber drivers were "workers" rather than self-employed, meaning they were entitled to rights such as holiday pay and the national minimum wage. Uber appealed, but the UK Supreme Court upheld the ruling, reinforcing worker protections under UK law.</w:t>
      </w:r>
    </w:p>
    <w:p w14:paraId="1B56D307" w14:textId="4D106B4E" w:rsidR="006A64F7" w:rsidRPr="00F277B8" w:rsidRDefault="00601C1D" w:rsidP="00601C1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277B8">
        <w:rPr>
          <w:rFonts w:ascii="Times New Roman" w:eastAsia="Times New Roman" w:hAnsi="Times New Roman" w:cs="Times New Roman"/>
          <w:kern w:val="0"/>
          <w:sz w:val="24"/>
          <w:szCs w:val="24"/>
          <w:lang w:eastAsia="en-GB"/>
          <w14:ligatures w14:val="none"/>
        </w:rPr>
        <w:t>Although ECJ rulings remain relevant, they are no longer binding on UK courts. Employment tribunals will continue to uphold employment rights, ensuring compliance with UK-specific laws and adapting to legal changes in the post-Brexit era. If you need any further clarification, I’d be happy to discuss this in more detail.</w:t>
      </w:r>
    </w:p>
    <w:p w14:paraId="37D002FE" w14:textId="6A3F6376" w:rsidR="00C50A51" w:rsidRPr="00F277B8" w:rsidRDefault="00E45BE0" w:rsidP="00B9634F">
      <w:pPr>
        <w:pStyle w:val="ListParagraph"/>
        <w:numPr>
          <w:ilvl w:val="0"/>
          <w:numId w:val="11"/>
        </w:numPr>
        <w:spacing w:before="100" w:beforeAutospacing="1" w:after="100" w:afterAutospacing="1" w:line="240" w:lineRule="auto"/>
        <w:ind w:left="0"/>
        <w:rPr>
          <w:rFonts w:ascii="Times New Roman" w:eastAsia="Times New Roman" w:hAnsi="Times New Roman" w:cs="Times New Roman"/>
          <w:kern w:val="0"/>
          <w:sz w:val="24"/>
          <w:szCs w:val="24"/>
          <w:lang w:eastAsia="en-GB"/>
          <w14:ligatures w14:val="none"/>
        </w:rPr>
      </w:pPr>
      <w:r w:rsidRPr="00F277B8">
        <w:rPr>
          <w:rFonts w:ascii="Times New Roman" w:eastAsia="Times New Roman" w:hAnsi="Times New Roman" w:cs="Times New Roman"/>
          <w:b/>
          <w:bCs/>
          <w:kern w:val="0"/>
          <w:sz w:val="24"/>
          <w:szCs w:val="24"/>
          <w:lang w:eastAsia="en-GB"/>
          <w14:ligatures w14:val="none"/>
        </w:rPr>
        <w:t xml:space="preserve">(AC </w:t>
      </w:r>
      <w:r w:rsidR="005657B8" w:rsidRPr="00F277B8">
        <w:rPr>
          <w:rFonts w:ascii="Times New Roman" w:eastAsia="Times New Roman" w:hAnsi="Times New Roman" w:cs="Times New Roman"/>
          <w:b/>
          <w:bCs/>
          <w:kern w:val="0"/>
          <w:sz w:val="24"/>
          <w:szCs w:val="24"/>
          <w:lang w:eastAsia="en-GB"/>
          <w14:ligatures w14:val="none"/>
        </w:rPr>
        <w:t>2.1</w:t>
      </w:r>
      <w:r w:rsidRPr="00F277B8">
        <w:rPr>
          <w:rFonts w:ascii="Times New Roman" w:eastAsia="Times New Roman" w:hAnsi="Times New Roman" w:cs="Times New Roman"/>
          <w:b/>
          <w:bCs/>
          <w:kern w:val="0"/>
          <w:sz w:val="24"/>
          <w:szCs w:val="24"/>
          <w:lang w:eastAsia="en-GB"/>
          <w14:ligatures w14:val="none"/>
        </w:rPr>
        <w:t>)</w:t>
      </w:r>
    </w:p>
    <w:p w14:paraId="61A0D184" w14:textId="77777777" w:rsidR="001F6D0C" w:rsidRPr="00F277B8" w:rsidRDefault="001F6D0C" w:rsidP="001F6D0C">
      <w:pPr>
        <w:pStyle w:val="ListParagraph"/>
        <w:spacing w:before="100" w:beforeAutospacing="1" w:after="100" w:afterAutospacing="1" w:line="240" w:lineRule="auto"/>
        <w:ind w:left="0"/>
        <w:rPr>
          <w:rFonts w:ascii="Times New Roman" w:eastAsia="Times New Roman" w:hAnsi="Times New Roman" w:cs="Times New Roman"/>
          <w:kern w:val="0"/>
          <w:sz w:val="24"/>
          <w:szCs w:val="24"/>
          <w:lang w:eastAsia="en-GB"/>
          <w14:ligatures w14:val="none"/>
        </w:rPr>
      </w:pPr>
      <w:r w:rsidRPr="00F277B8">
        <w:rPr>
          <w:rFonts w:ascii="Times New Roman" w:eastAsia="Times New Roman" w:hAnsi="Times New Roman" w:cs="Times New Roman"/>
          <w:kern w:val="0"/>
          <w:sz w:val="24"/>
          <w:szCs w:val="24"/>
          <w:lang w:eastAsia="en-GB"/>
          <w14:ligatures w14:val="none"/>
        </w:rPr>
        <w:t>Under the Equality Act 2010 (</w:t>
      </w:r>
      <w:proofErr w:type="spellStart"/>
      <w:r w:rsidRPr="00F277B8">
        <w:rPr>
          <w:rFonts w:ascii="Times New Roman" w:eastAsia="Times New Roman" w:hAnsi="Times New Roman" w:cs="Times New Roman"/>
          <w:kern w:val="0"/>
          <w:sz w:val="24"/>
          <w:szCs w:val="24"/>
          <w:lang w:eastAsia="en-GB"/>
          <w14:ligatures w14:val="none"/>
        </w:rPr>
        <w:t>EqA</w:t>
      </w:r>
      <w:proofErr w:type="spellEnd"/>
      <w:r w:rsidRPr="00F277B8">
        <w:rPr>
          <w:rFonts w:ascii="Times New Roman" w:eastAsia="Times New Roman" w:hAnsi="Times New Roman" w:cs="Times New Roman"/>
          <w:kern w:val="0"/>
          <w:sz w:val="24"/>
          <w:szCs w:val="24"/>
          <w:lang w:eastAsia="en-GB"/>
          <w14:ligatures w14:val="none"/>
        </w:rPr>
        <w:t xml:space="preserve"> 2010), discrimination in recruitment and selection based on protected characteristics such as sex, race, disability, religion, or sexual orientation is generally prohibited. However, there are a few occupational exceptions, which allow an </w:t>
      </w:r>
      <w:r w:rsidRPr="00F277B8">
        <w:rPr>
          <w:rFonts w:ascii="Times New Roman" w:eastAsia="Times New Roman" w:hAnsi="Times New Roman" w:cs="Times New Roman"/>
          <w:kern w:val="0"/>
          <w:sz w:val="24"/>
          <w:szCs w:val="24"/>
          <w:lang w:eastAsia="en-GB"/>
          <w14:ligatures w14:val="none"/>
        </w:rPr>
        <w:lastRenderedPageBreak/>
        <w:t>employer to specify certain characteristics if they can justify them as a "proportionate means of achieving a legitimate aim" (</w:t>
      </w:r>
      <w:proofErr w:type="spellStart"/>
      <w:r w:rsidRPr="00F277B8">
        <w:rPr>
          <w:rFonts w:ascii="Times New Roman" w:eastAsia="Times New Roman" w:hAnsi="Times New Roman" w:cs="Times New Roman"/>
          <w:kern w:val="0"/>
          <w:sz w:val="24"/>
          <w:szCs w:val="24"/>
          <w:lang w:eastAsia="en-GB"/>
          <w14:ligatures w14:val="none"/>
        </w:rPr>
        <w:t>EqA</w:t>
      </w:r>
      <w:proofErr w:type="spellEnd"/>
      <w:r w:rsidRPr="00F277B8">
        <w:rPr>
          <w:rFonts w:ascii="Times New Roman" w:eastAsia="Times New Roman" w:hAnsi="Times New Roman" w:cs="Times New Roman"/>
          <w:kern w:val="0"/>
          <w:sz w:val="24"/>
          <w:szCs w:val="24"/>
          <w:lang w:eastAsia="en-GB"/>
          <w14:ligatures w14:val="none"/>
        </w:rPr>
        <w:t xml:space="preserve"> 2010).</w:t>
      </w:r>
    </w:p>
    <w:p w14:paraId="7192A424" w14:textId="77777777" w:rsidR="001F6D0C" w:rsidRPr="00F277B8" w:rsidRDefault="001F6D0C" w:rsidP="001F6D0C">
      <w:pPr>
        <w:pStyle w:val="ListParagraph"/>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21AFE08E" w14:textId="058D19DE" w:rsidR="001F6D0C" w:rsidRPr="00F277B8" w:rsidRDefault="001F6D0C" w:rsidP="000B4714">
      <w:pPr>
        <w:pStyle w:val="ListParagraph"/>
        <w:spacing w:before="100" w:beforeAutospacing="1" w:after="100" w:afterAutospacing="1" w:line="240" w:lineRule="auto"/>
        <w:ind w:left="0"/>
        <w:rPr>
          <w:rFonts w:ascii="Times New Roman" w:eastAsia="Times New Roman" w:hAnsi="Times New Roman" w:cs="Times New Roman"/>
          <w:kern w:val="0"/>
          <w:sz w:val="24"/>
          <w:szCs w:val="24"/>
          <w:lang w:eastAsia="en-GB"/>
          <w14:ligatures w14:val="none"/>
        </w:rPr>
      </w:pPr>
      <w:r w:rsidRPr="00F277B8">
        <w:rPr>
          <w:rFonts w:ascii="Times New Roman" w:eastAsia="Times New Roman" w:hAnsi="Times New Roman" w:cs="Times New Roman"/>
          <w:kern w:val="0"/>
          <w:sz w:val="24"/>
          <w:szCs w:val="24"/>
          <w:lang w:eastAsia="en-GB"/>
          <w14:ligatures w14:val="none"/>
        </w:rPr>
        <w:t xml:space="preserve">An occupational requirement is only allowed when the </w:t>
      </w:r>
      <w:r w:rsidR="000B4714" w:rsidRPr="00F277B8">
        <w:rPr>
          <w:rFonts w:ascii="Times New Roman" w:eastAsia="Times New Roman" w:hAnsi="Times New Roman" w:cs="Times New Roman"/>
          <w:kern w:val="0"/>
          <w:sz w:val="24"/>
          <w:szCs w:val="24"/>
          <w:lang w:eastAsia="en-GB"/>
          <w14:ligatures w14:val="none"/>
        </w:rPr>
        <w:t xml:space="preserve">job </w:t>
      </w:r>
      <w:r w:rsidRPr="00F277B8">
        <w:rPr>
          <w:rFonts w:ascii="Times New Roman" w:eastAsia="Times New Roman" w:hAnsi="Times New Roman" w:cs="Times New Roman"/>
          <w:kern w:val="0"/>
          <w:sz w:val="24"/>
          <w:szCs w:val="24"/>
          <w:lang w:eastAsia="en-GB"/>
          <w14:ligatures w14:val="none"/>
        </w:rPr>
        <w:t>role</w:t>
      </w:r>
      <w:r w:rsidR="000B4714" w:rsidRPr="00F277B8">
        <w:rPr>
          <w:rFonts w:ascii="Times New Roman" w:eastAsia="Times New Roman" w:hAnsi="Times New Roman" w:cs="Times New Roman"/>
          <w:kern w:val="0"/>
          <w:sz w:val="24"/>
          <w:szCs w:val="24"/>
          <w:lang w:eastAsia="en-GB"/>
          <w14:ligatures w14:val="none"/>
        </w:rPr>
        <w:t xml:space="preserve"> </w:t>
      </w:r>
      <w:r w:rsidRPr="00F277B8">
        <w:rPr>
          <w:rFonts w:ascii="Times New Roman" w:eastAsia="Times New Roman" w:hAnsi="Times New Roman" w:cs="Times New Roman"/>
          <w:kern w:val="0"/>
          <w:sz w:val="24"/>
          <w:szCs w:val="24"/>
          <w:lang w:eastAsia="en-GB"/>
          <w14:ligatures w14:val="none"/>
        </w:rPr>
        <w:t xml:space="preserve">makes it essential, and there is no </w:t>
      </w:r>
      <w:r w:rsidR="000B4714" w:rsidRPr="00F277B8">
        <w:rPr>
          <w:rFonts w:ascii="Times New Roman" w:eastAsia="Times New Roman" w:hAnsi="Times New Roman" w:cs="Times New Roman"/>
          <w:kern w:val="0"/>
          <w:sz w:val="24"/>
          <w:szCs w:val="24"/>
          <w:lang w:eastAsia="en-GB"/>
          <w14:ligatures w14:val="none"/>
        </w:rPr>
        <w:t>other option</w:t>
      </w:r>
      <w:r w:rsidRPr="00F277B8">
        <w:rPr>
          <w:rFonts w:ascii="Times New Roman" w:eastAsia="Times New Roman" w:hAnsi="Times New Roman" w:cs="Times New Roman"/>
          <w:kern w:val="0"/>
          <w:sz w:val="24"/>
          <w:szCs w:val="24"/>
          <w:lang w:eastAsia="en-GB"/>
          <w14:ligatures w14:val="none"/>
        </w:rPr>
        <w:t xml:space="preserve">. This </w:t>
      </w:r>
      <w:r w:rsidR="000B4714" w:rsidRPr="00F277B8">
        <w:rPr>
          <w:rFonts w:ascii="Times New Roman" w:eastAsia="Times New Roman" w:hAnsi="Times New Roman" w:cs="Times New Roman"/>
          <w:kern w:val="0"/>
          <w:sz w:val="24"/>
          <w:szCs w:val="24"/>
          <w:lang w:eastAsia="en-GB"/>
          <w14:ligatures w14:val="none"/>
        </w:rPr>
        <w:t>makes sure</w:t>
      </w:r>
      <w:r w:rsidRPr="00F277B8">
        <w:rPr>
          <w:rFonts w:ascii="Times New Roman" w:eastAsia="Times New Roman" w:hAnsi="Times New Roman" w:cs="Times New Roman"/>
          <w:kern w:val="0"/>
          <w:sz w:val="24"/>
          <w:szCs w:val="24"/>
          <w:lang w:eastAsia="en-GB"/>
          <w14:ligatures w14:val="none"/>
        </w:rPr>
        <w:t xml:space="preserve"> that the requirement is genuinely necessary rather than based on assumptions or employer preference (Daniels, 2022). A same-sex carer providing intimate personal care </w:t>
      </w:r>
      <w:r w:rsidR="000B4714" w:rsidRPr="00F277B8">
        <w:rPr>
          <w:rFonts w:ascii="Times New Roman" w:eastAsia="Times New Roman" w:hAnsi="Times New Roman" w:cs="Times New Roman"/>
          <w:kern w:val="0"/>
          <w:sz w:val="24"/>
          <w:szCs w:val="24"/>
          <w:lang w:eastAsia="en-GB"/>
          <w14:ligatures w14:val="none"/>
        </w:rPr>
        <w:t>can</w:t>
      </w:r>
      <w:r w:rsidRPr="00F277B8">
        <w:rPr>
          <w:rFonts w:ascii="Times New Roman" w:eastAsia="Times New Roman" w:hAnsi="Times New Roman" w:cs="Times New Roman"/>
          <w:kern w:val="0"/>
          <w:sz w:val="24"/>
          <w:szCs w:val="24"/>
          <w:lang w:eastAsia="en-GB"/>
          <w14:ligatures w14:val="none"/>
        </w:rPr>
        <w:t xml:space="preserve"> be justified </w:t>
      </w:r>
      <w:r w:rsidR="000B4714" w:rsidRPr="00F277B8">
        <w:rPr>
          <w:rFonts w:ascii="Times New Roman" w:eastAsia="Times New Roman" w:hAnsi="Times New Roman" w:cs="Times New Roman"/>
          <w:kern w:val="0"/>
          <w:sz w:val="24"/>
          <w:szCs w:val="24"/>
          <w:lang w:eastAsia="en-GB"/>
          <w14:ligatures w14:val="none"/>
        </w:rPr>
        <w:t xml:space="preserve">when taking </w:t>
      </w:r>
      <w:proofErr w:type="gramStart"/>
      <w:r w:rsidR="000B4714" w:rsidRPr="00F277B8">
        <w:rPr>
          <w:rFonts w:ascii="Times New Roman" w:eastAsia="Times New Roman" w:hAnsi="Times New Roman" w:cs="Times New Roman"/>
          <w:kern w:val="0"/>
          <w:sz w:val="24"/>
          <w:szCs w:val="24"/>
          <w:lang w:eastAsia="en-GB"/>
          <w14:ligatures w14:val="none"/>
        </w:rPr>
        <w:t>in to</w:t>
      </w:r>
      <w:proofErr w:type="gramEnd"/>
      <w:r w:rsidR="000B4714" w:rsidRPr="00F277B8">
        <w:rPr>
          <w:rFonts w:ascii="Times New Roman" w:eastAsia="Times New Roman" w:hAnsi="Times New Roman" w:cs="Times New Roman"/>
          <w:kern w:val="0"/>
          <w:sz w:val="24"/>
          <w:szCs w:val="24"/>
          <w:lang w:eastAsia="en-GB"/>
          <w14:ligatures w14:val="none"/>
        </w:rPr>
        <w:t xml:space="preserve"> consideration</w:t>
      </w:r>
      <w:r w:rsidRPr="00F277B8">
        <w:rPr>
          <w:rFonts w:ascii="Times New Roman" w:eastAsia="Times New Roman" w:hAnsi="Times New Roman" w:cs="Times New Roman"/>
          <w:kern w:val="0"/>
          <w:sz w:val="24"/>
          <w:szCs w:val="24"/>
          <w:lang w:eastAsia="en-GB"/>
          <w14:ligatures w14:val="none"/>
        </w:rPr>
        <w:t xml:space="preserve"> privacy and dignity (EHRC, 2024). </w:t>
      </w:r>
      <w:r w:rsidR="000B4714" w:rsidRPr="00F277B8">
        <w:rPr>
          <w:rFonts w:ascii="Times New Roman" w:eastAsia="Times New Roman" w:hAnsi="Times New Roman" w:cs="Times New Roman"/>
          <w:kern w:val="0"/>
          <w:sz w:val="24"/>
          <w:szCs w:val="24"/>
          <w:lang w:eastAsia="en-GB"/>
          <w14:ligatures w14:val="none"/>
        </w:rPr>
        <w:t>In sensitive areas such as</w:t>
      </w:r>
      <w:r w:rsidRPr="00F277B8">
        <w:rPr>
          <w:rFonts w:ascii="Times New Roman" w:eastAsia="Times New Roman" w:hAnsi="Times New Roman" w:cs="Times New Roman"/>
          <w:kern w:val="0"/>
          <w:sz w:val="24"/>
          <w:szCs w:val="24"/>
          <w:lang w:eastAsia="en-GB"/>
          <w14:ligatures w14:val="none"/>
        </w:rPr>
        <w:t xml:space="preserve"> rape crisis centre</w:t>
      </w:r>
      <w:r w:rsidR="000B4714" w:rsidRPr="00F277B8">
        <w:rPr>
          <w:rFonts w:ascii="Times New Roman" w:eastAsia="Times New Roman" w:hAnsi="Times New Roman" w:cs="Times New Roman"/>
          <w:kern w:val="0"/>
          <w:sz w:val="24"/>
          <w:szCs w:val="24"/>
          <w:lang w:eastAsia="en-GB"/>
          <w14:ligatures w14:val="none"/>
        </w:rPr>
        <w:t>s</w:t>
      </w:r>
      <w:r w:rsidRPr="00F277B8">
        <w:rPr>
          <w:rFonts w:ascii="Times New Roman" w:eastAsia="Times New Roman" w:hAnsi="Times New Roman" w:cs="Times New Roman"/>
          <w:kern w:val="0"/>
          <w:sz w:val="24"/>
          <w:szCs w:val="24"/>
          <w:lang w:eastAsia="en-GB"/>
          <w14:ligatures w14:val="none"/>
        </w:rPr>
        <w:t xml:space="preserve"> may lawfully require female counsellors to support female victims of sexual violence, as male staff could cause further distress (CIPD, 2025).</w:t>
      </w:r>
    </w:p>
    <w:p w14:paraId="73467B94" w14:textId="77777777" w:rsidR="001F6D0C" w:rsidRPr="00F277B8" w:rsidRDefault="001F6D0C" w:rsidP="000B4714">
      <w:pPr>
        <w:pStyle w:val="ListParagraph"/>
        <w:spacing w:before="100" w:beforeAutospacing="1" w:after="100" w:afterAutospacing="1" w:line="240" w:lineRule="auto"/>
        <w:ind w:left="0"/>
        <w:rPr>
          <w:rFonts w:ascii="Times New Roman" w:eastAsia="Times New Roman" w:hAnsi="Times New Roman" w:cs="Times New Roman"/>
          <w:kern w:val="0"/>
          <w:sz w:val="24"/>
          <w:szCs w:val="24"/>
          <w:lang w:eastAsia="en-GB"/>
          <w14:ligatures w14:val="none"/>
        </w:rPr>
      </w:pPr>
    </w:p>
    <w:p w14:paraId="71FFCE5B" w14:textId="2D1CA012" w:rsidR="001F6D0C" w:rsidRPr="00F277B8" w:rsidRDefault="000B4714" w:rsidP="000B4714">
      <w:pPr>
        <w:pStyle w:val="ListParagraph"/>
        <w:spacing w:before="100" w:beforeAutospacing="1" w:after="100" w:afterAutospacing="1" w:line="240" w:lineRule="auto"/>
        <w:ind w:left="0"/>
        <w:rPr>
          <w:rFonts w:ascii="Times New Roman" w:eastAsia="Times New Roman" w:hAnsi="Times New Roman" w:cs="Times New Roman"/>
          <w:kern w:val="0"/>
          <w:sz w:val="24"/>
          <w:szCs w:val="24"/>
          <w:lang w:eastAsia="en-GB"/>
          <w14:ligatures w14:val="none"/>
        </w:rPr>
      </w:pPr>
      <w:r w:rsidRPr="00F277B8">
        <w:rPr>
          <w:rFonts w:ascii="Times New Roman" w:eastAsia="Times New Roman" w:hAnsi="Times New Roman" w:cs="Times New Roman"/>
          <w:kern w:val="0"/>
          <w:sz w:val="24"/>
          <w:szCs w:val="24"/>
          <w:lang w:eastAsia="en-GB"/>
          <w14:ligatures w14:val="none"/>
        </w:rPr>
        <w:t>With all that in mind,</w:t>
      </w:r>
      <w:r w:rsidR="001F6D0C" w:rsidRPr="00F277B8">
        <w:rPr>
          <w:rFonts w:ascii="Times New Roman" w:eastAsia="Times New Roman" w:hAnsi="Times New Roman" w:cs="Times New Roman"/>
          <w:kern w:val="0"/>
          <w:sz w:val="24"/>
          <w:szCs w:val="24"/>
          <w:lang w:eastAsia="en-GB"/>
          <w14:ligatures w14:val="none"/>
        </w:rPr>
        <w:t xml:space="preserve"> requirements cannot be used to satisfy customer preferences. A company cannot justify hiring only male managers based on stereotypical assumptions about leadership ability. Likewise, a women’s clothing store cannot refuse to hire men because it assumes only women can assist female customers, as shown in Etam plc v Rowan (1989), where the tribunal ruled that male employees could perform the same duties (Daniels, 2022). In Home Office v </w:t>
      </w:r>
      <w:proofErr w:type="spellStart"/>
      <w:r w:rsidR="001F6D0C" w:rsidRPr="00F277B8">
        <w:rPr>
          <w:rFonts w:ascii="Times New Roman" w:eastAsia="Times New Roman" w:hAnsi="Times New Roman" w:cs="Times New Roman"/>
          <w:kern w:val="0"/>
          <w:sz w:val="24"/>
          <w:szCs w:val="24"/>
          <w:lang w:eastAsia="en-GB"/>
          <w14:ligatures w14:val="none"/>
        </w:rPr>
        <w:t>Moyhing</w:t>
      </w:r>
      <w:proofErr w:type="spellEnd"/>
      <w:r w:rsidR="001F6D0C" w:rsidRPr="00F277B8">
        <w:rPr>
          <w:rFonts w:ascii="Times New Roman" w:eastAsia="Times New Roman" w:hAnsi="Times New Roman" w:cs="Times New Roman"/>
          <w:kern w:val="0"/>
          <w:sz w:val="24"/>
          <w:szCs w:val="24"/>
          <w:lang w:eastAsia="en-GB"/>
          <w14:ligatures w14:val="none"/>
        </w:rPr>
        <w:t xml:space="preserve"> (2000), the courts upheld a requirement for female staff to conduct intimate searches of female detainees, as it was necessary for privacy reasons.</w:t>
      </w:r>
    </w:p>
    <w:p w14:paraId="7D9C60FB" w14:textId="77777777" w:rsidR="001F6D0C" w:rsidRPr="00F277B8" w:rsidRDefault="001F6D0C" w:rsidP="000B4714">
      <w:pPr>
        <w:pStyle w:val="ListParagraph"/>
        <w:spacing w:before="100" w:beforeAutospacing="1" w:after="100" w:afterAutospacing="1" w:line="240" w:lineRule="auto"/>
        <w:ind w:left="0"/>
        <w:rPr>
          <w:rFonts w:ascii="Times New Roman" w:eastAsia="Times New Roman" w:hAnsi="Times New Roman" w:cs="Times New Roman"/>
          <w:kern w:val="0"/>
          <w:sz w:val="24"/>
          <w:szCs w:val="24"/>
          <w:lang w:eastAsia="en-GB"/>
          <w14:ligatures w14:val="none"/>
        </w:rPr>
      </w:pPr>
    </w:p>
    <w:p w14:paraId="73417AFC" w14:textId="0B062136" w:rsidR="001F6D0C" w:rsidRPr="00F277B8" w:rsidRDefault="000B4714" w:rsidP="000B4714">
      <w:pPr>
        <w:pStyle w:val="ListParagraph"/>
        <w:spacing w:before="100" w:beforeAutospacing="1" w:after="100" w:afterAutospacing="1" w:line="240" w:lineRule="auto"/>
        <w:ind w:left="0"/>
        <w:rPr>
          <w:rFonts w:ascii="Times New Roman" w:eastAsia="Times New Roman" w:hAnsi="Times New Roman" w:cs="Times New Roman"/>
          <w:kern w:val="0"/>
          <w:sz w:val="24"/>
          <w:szCs w:val="24"/>
          <w:lang w:eastAsia="en-GB"/>
          <w14:ligatures w14:val="none"/>
        </w:rPr>
      </w:pPr>
      <w:r w:rsidRPr="00F277B8">
        <w:rPr>
          <w:rFonts w:ascii="Times New Roman" w:eastAsia="Times New Roman" w:hAnsi="Times New Roman" w:cs="Times New Roman"/>
          <w:kern w:val="0"/>
          <w:sz w:val="24"/>
          <w:szCs w:val="24"/>
          <w:lang w:eastAsia="en-GB"/>
          <w14:ligatures w14:val="none"/>
        </w:rPr>
        <w:t>Employers</w:t>
      </w:r>
      <w:r w:rsidR="001F6D0C" w:rsidRPr="00F277B8">
        <w:rPr>
          <w:rFonts w:ascii="Times New Roman" w:eastAsia="Times New Roman" w:hAnsi="Times New Roman" w:cs="Times New Roman"/>
          <w:kern w:val="0"/>
          <w:sz w:val="24"/>
          <w:szCs w:val="24"/>
          <w:lang w:eastAsia="en-GB"/>
          <w14:ligatures w14:val="none"/>
        </w:rPr>
        <w:t xml:space="preserve"> must be cautious when relying on occupational requirements to avoid claims of indirect discrimination. They must ensure that any restriction is supported by strong evidence and meets the legal test of being a fair way to achieve a legitimate aim. A key example is religious organisations, where a requirement to be of a particular faith may be justified only if it is central to the role (EHRC, 2024).</w:t>
      </w:r>
    </w:p>
    <w:p w14:paraId="321814DA" w14:textId="77777777" w:rsidR="001F6D0C" w:rsidRPr="00F277B8" w:rsidRDefault="001F6D0C" w:rsidP="000B4714">
      <w:pPr>
        <w:pStyle w:val="ListParagraph"/>
        <w:spacing w:before="100" w:beforeAutospacing="1" w:after="100" w:afterAutospacing="1" w:line="240" w:lineRule="auto"/>
        <w:ind w:left="0"/>
        <w:rPr>
          <w:rFonts w:ascii="Times New Roman" w:eastAsia="Times New Roman" w:hAnsi="Times New Roman" w:cs="Times New Roman"/>
          <w:kern w:val="0"/>
          <w:sz w:val="24"/>
          <w:szCs w:val="24"/>
          <w:lang w:eastAsia="en-GB"/>
          <w14:ligatures w14:val="none"/>
        </w:rPr>
      </w:pPr>
    </w:p>
    <w:p w14:paraId="60E4BA0C" w14:textId="540FDD9A" w:rsidR="001F6D0C" w:rsidRPr="00F277B8" w:rsidRDefault="001F6D0C" w:rsidP="000B4714">
      <w:pPr>
        <w:pStyle w:val="ListParagraph"/>
        <w:spacing w:before="100" w:beforeAutospacing="1" w:after="100" w:afterAutospacing="1" w:line="240" w:lineRule="auto"/>
        <w:ind w:left="0"/>
        <w:rPr>
          <w:rFonts w:ascii="Times New Roman" w:eastAsia="Times New Roman" w:hAnsi="Times New Roman" w:cs="Times New Roman"/>
          <w:kern w:val="0"/>
          <w:sz w:val="24"/>
          <w:szCs w:val="24"/>
          <w:lang w:eastAsia="en-GB"/>
          <w14:ligatures w14:val="none"/>
        </w:rPr>
      </w:pPr>
      <w:r w:rsidRPr="00F277B8">
        <w:rPr>
          <w:rFonts w:ascii="Times New Roman" w:eastAsia="Times New Roman" w:hAnsi="Times New Roman" w:cs="Times New Roman"/>
          <w:kern w:val="0"/>
          <w:sz w:val="24"/>
          <w:szCs w:val="24"/>
          <w:lang w:eastAsia="en-GB"/>
          <w14:ligatures w14:val="none"/>
        </w:rPr>
        <w:t xml:space="preserve">It is also important to note that occupational requirements should </w:t>
      </w:r>
      <w:r w:rsidR="000B4714" w:rsidRPr="00F277B8">
        <w:rPr>
          <w:rFonts w:ascii="Times New Roman" w:eastAsia="Times New Roman" w:hAnsi="Times New Roman" w:cs="Times New Roman"/>
          <w:kern w:val="0"/>
          <w:sz w:val="24"/>
          <w:szCs w:val="24"/>
          <w:lang w:eastAsia="en-GB"/>
          <w14:ligatures w14:val="none"/>
        </w:rPr>
        <w:t xml:space="preserve">always be </w:t>
      </w:r>
      <w:proofErr w:type="gramStart"/>
      <w:r w:rsidR="000B4714" w:rsidRPr="00F277B8">
        <w:rPr>
          <w:rFonts w:ascii="Times New Roman" w:eastAsia="Times New Roman" w:hAnsi="Times New Roman" w:cs="Times New Roman"/>
          <w:kern w:val="0"/>
          <w:sz w:val="24"/>
          <w:szCs w:val="24"/>
          <w:lang w:eastAsia="en-GB"/>
          <w14:ligatures w14:val="none"/>
        </w:rPr>
        <w:t>looked into</w:t>
      </w:r>
      <w:proofErr w:type="gramEnd"/>
      <w:r w:rsidRPr="00F277B8">
        <w:rPr>
          <w:rFonts w:ascii="Times New Roman" w:eastAsia="Times New Roman" w:hAnsi="Times New Roman" w:cs="Times New Roman"/>
          <w:kern w:val="0"/>
          <w:sz w:val="24"/>
          <w:szCs w:val="24"/>
          <w:lang w:eastAsia="en-GB"/>
          <w14:ligatures w14:val="none"/>
        </w:rPr>
        <w:t xml:space="preserve"> to ensure they remain </w:t>
      </w:r>
      <w:r w:rsidR="000B4714" w:rsidRPr="00F277B8">
        <w:rPr>
          <w:rFonts w:ascii="Times New Roman" w:eastAsia="Times New Roman" w:hAnsi="Times New Roman" w:cs="Times New Roman"/>
          <w:kern w:val="0"/>
          <w:sz w:val="24"/>
          <w:szCs w:val="24"/>
          <w:lang w:eastAsia="en-GB"/>
          <w14:ligatures w14:val="none"/>
        </w:rPr>
        <w:t>correct</w:t>
      </w:r>
      <w:r w:rsidRPr="00F277B8">
        <w:rPr>
          <w:rFonts w:ascii="Times New Roman" w:eastAsia="Times New Roman" w:hAnsi="Times New Roman" w:cs="Times New Roman"/>
          <w:kern w:val="0"/>
          <w:sz w:val="24"/>
          <w:szCs w:val="24"/>
          <w:lang w:eastAsia="en-GB"/>
          <w14:ligatures w14:val="none"/>
        </w:rPr>
        <w:t xml:space="preserve"> as workplace policies evolve. Employers should also consult guidance from the Equality and Human Rights Commission (EHRC) and CIPD to ensure compliance with the law.</w:t>
      </w:r>
    </w:p>
    <w:p w14:paraId="41C249CF" w14:textId="77777777" w:rsidR="001F6D0C" w:rsidRPr="00F277B8" w:rsidRDefault="001F6D0C" w:rsidP="001F6D0C">
      <w:pPr>
        <w:pStyle w:val="ListParagraph"/>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301A24F2" w14:textId="55964FCE" w:rsidR="001F6D0C" w:rsidRPr="00F277B8" w:rsidRDefault="001F6D0C" w:rsidP="001F6D0C">
      <w:pPr>
        <w:pStyle w:val="ListParagraph"/>
        <w:spacing w:before="100" w:beforeAutospacing="1" w:after="100" w:afterAutospacing="1" w:line="240" w:lineRule="auto"/>
        <w:ind w:left="0"/>
        <w:rPr>
          <w:rFonts w:ascii="Times New Roman" w:eastAsia="Times New Roman" w:hAnsi="Times New Roman" w:cs="Times New Roman"/>
          <w:kern w:val="0"/>
          <w:sz w:val="24"/>
          <w:szCs w:val="24"/>
          <w:lang w:eastAsia="en-GB"/>
          <w14:ligatures w14:val="none"/>
        </w:rPr>
      </w:pPr>
      <w:r w:rsidRPr="00F277B8">
        <w:rPr>
          <w:rFonts w:ascii="Times New Roman" w:eastAsia="Times New Roman" w:hAnsi="Times New Roman" w:cs="Times New Roman"/>
          <w:kern w:val="0"/>
          <w:sz w:val="24"/>
          <w:szCs w:val="24"/>
          <w:lang w:eastAsia="en-GB"/>
          <w14:ligatures w14:val="none"/>
        </w:rPr>
        <w:t>I hope this helps clarify the principles of occupational requirements. Please let me know if you need any further assistance.</w:t>
      </w:r>
    </w:p>
    <w:p w14:paraId="103E886F" w14:textId="77777777" w:rsidR="001F6D0C" w:rsidRPr="00F277B8" w:rsidRDefault="001F6D0C" w:rsidP="001F6D0C">
      <w:pPr>
        <w:pStyle w:val="ListParagraph"/>
        <w:spacing w:before="100" w:beforeAutospacing="1" w:after="100" w:afterAutospacing="1" w:line="240" w:lineRule="auto"/>
        <w:ind w:left="0"/>
        <w:rPr>
          <w:rFonts w:ascii="Times New Roman" w:eastAsia="Times New Roman" w:hAnsi="Times New Roman" w:cs="Times New Roman"/>
          <w:kern w:val="0"/>
          <w:sz w:val="24"/>
          <w:szCs w:val="24"/>
          <w:lang w:eastAsia="en-GB"/>
          <w14:ligatures w14:val="none"/>
        </w:rPr>
      </w:pPr>
    </w:p>
    <w:p w14:paraId="4D98CE87" w14:textId="77777777" w:rsidR="001F6D0C" w:rsidRPr="00F277B8" w:rsidRDefault="001F6D0C" w:rsidP="001F6D0C">
      <w:pPr>
        <w:pStyle w:val="ListParagraph"/>
        <w:spacing w:after="0" w:line="240" w:lineRule="auto"/>
        <w:ind w:left="0"/>
        <w:rPr>
          <w:rFonts w:ascii="Times New Roman" w:eastAsia="Times New Roman" w:hAnsi="Times New Roman" w:cs="Times New Roman"/>
          <w:b/>
          <w:bCs/>
          <w:kern w:val="0"/>
          <w:sz w:val="24"/>
          <w:szCs w:val="24"/>
          <w:lang w:eastAsia="en-GB"/>
          <w14:ligatures w14:val="none"/>
        </w:rPr>
      </w:pPr>
    </w:p>
    <w:p w14:paraId="513FEEFC" w14:textId="77777777" w:rsidR="001F6D0C" w:rsidRPr="00F277B8" w:rsidRDefault="001F6D0C" w:rsidP="001F6D0C">
      <w:pPr>
        <w:pStyle w:val="ListParagraph"/>
        <w:spacing w:after="0" w:line="240" w:lineRule="auto"/>
        <w:ind w:left="0"/>
        <w:rPr>
          <w:rFonts w:ascii="Times New Roman" w:eastAsia="Times New Roman" w:hAnsi="Times New Roman" w:cs="Times New Roman"/>
          <w:b/>
          <w:bCs/>
          <w:kern w:val="0"/>
          <w:sz w:val="24"/>
          <w:szCs w:val="24"/>
          <w:lang w:eastAsia="en-GB"/>
          <w14:ligatures w14:val="none"/>
        </w:rPr>
      </w:pPr>
    </w:p>
    <w:p w14:paraId="4712C237" w14:textId="53705A6E" w:rsidR="00B9634F" w:rsidRPr="00F277B8" w:rsidRDefault="00582405" w:rsidP="000B4714">
      <w:pPr>
        <w:pStyle w:val="ListParagraph"/>
        <w:numPr>
          <w:ilvl w:val="0"/>
          <w:numId w:val="11"/>
        </w:numPr>
        <w:spacing w:after="0" w:line="240" w:lineRule="auto"/>
        <w:ind w:left="0"/>
        <w:rPr>
          <w:rFonts w:ascii="Times New Roman" w:eastAsia="Times New Roman" w:hAnsi="Times New Roman" w:cs="Times New Roman"/>
          <w:b/>
          <w:bCs/>
          <w:kern w:val="0"/>
          <w:sz w:val="24"/>
          <w:szCs w:val="24"/>
          <w:lang w:eastAsia="en-GB"/>
          <w14:ligatures w14:val="none"/>
        </w:rPr>
      </w:pPr>
      <w:r w:rsidRPr="00F277B8">
        <w:rPr>
          <w:rFonts w:ascii="Times New Roman" w:eastAsia="Times New Roman" w:hAnsi="Times New Roman" w:cs="Times New Roman"/>
          <w:b/>
          <w:bCs/>
          <w:kern w:val="0"/>
          <w:sz w:val="24"/>
          <w:szCs w:val="24"/>
          <w:lang w:eastAsia="en-GB"/>
          <w14:ligatures w14:val="none"/>
        </w:rPr>
        <w:t>(AC 2.2)</w:t>
      </w:r>
    </w:p>
    <w:p w14:paraId="41894856" w14:textId="2576511E" w:rsidR="000E2D88" w:rsidRPr="00F277B8" w:rsidRDefault="000E2D88" w:rsidP="000E2D88">
      <w:pPr>
        <w:spacing w:after="0" w:line="240" w:lineRule="auto"/>
        <w:rPr>
          <w:rFonts w:ascii="Times New Roman" w:eastAsia="Times New Roman" w:hAnsi="Times New Roman" w:cs="Times New Roman"/>
          <w:kern w:val="0"/>
          <w:sz w:val="24"/>
          <w:szCs w:val="24"/>
          <w:lang w:eastAsia="en-GB"/>
          <w14:ligatures w14:val="none"/>
        </w:rPr>
      </w:pPr>
      <w:r w:rsidRPr="00F277B8">
        <w:rPr>
          <w:rFonts w:ascii="Times New Roman" w:eastAsia="Times New Roman" w:hAnsi="Times New Roman" w:cs="Times New Roman"/>
          <w:b/>
          <w:bCs/>
          <w:kern w:val="0"/>
          <w:sz w:val="24"/>
          <w:szCs w:val="24"/>
          <w:lang w:eastAsia="en-GB"/>
          <w14:ligatures w14:val="none"/>
        </w:rPr>
        <w:br/>
      </w:r>
      <w:r w:rsidRPr="00F277B8">
        <w:rPr>
          <w:rFonts w:ascii="Times New Roman" w:eastAsia="Times New Roman" w:hAnsi="Times New Roman" w:cs="Times New Roman"/>
          <w:kern w:val="0"/>
          <w:sz w:val="24"/>
          <w:szCs w:val="24"/>
          <w:lang w:eastAsia="en-GB"/>
          <w14:ligatures w14:val="none"/>
        </w:rPr>
        <w:t>Before approving, it is</w:t>
      </w:r>
      <w:r w:rsidR="003D5FC4" w:rsidRPr="00F277B8">
        <w:rPr>
          <w:rFonts w:ascii="Times New Roman" w:eastAsia="Times New Roman" w:hAnsi="Times New Roman" w:cs="Times New Roman"/>
          <w:kern w:val="0"/>
          <w:sz w:val="24"/>
          <w:szCs w:val="24"/>
          <w:lang w:eastAsia="en-GB"/>
          <w14:ligatures w14:val="none"/>
        </w:rPr>
        <w:t xml:space="preserve"> important </w:t>
      </w:r>
      <w:r w:rsidRPr="00F277B8">
        <w:rPr>
          <w:rFonts w:ascii="Times New Roman" w:eastAsia="Times New Roman" w:hAnsi="Times New Roman" w:cs="Times New Roman"/>
          <w:kern w:val="0"/>
          <w:sz w:val="24"/>
          <w:szCs w:val="24"/>
          <w:lang w:eastAsia="en-GB"/>
          <w14:ligatures w14:val="none"/>
        </w:rPr>
        <w:t>to consider the legal requirements of equal pay under the Equality Act 2010, which ensures that men and women performing the same or equivalent work receive equal pay and benefits (Equality Act 2010).</w:t>
      </w:r>
    </w:p>
    <w:p w14:paraId="4AA8DD37" w14:textId="77777777" w:rsidR="000E2D88" w:rsidRPr="00F277B8" w:rsidRDefault="000E2D88" w:rsidP="000E2D88">
      <w:pPr>
        <w:spacing w:after="0" w:line="240" w:lineRule="auto"/>
        <w:rPr>
          <w:rFonts w:ascii="Times New Roman" w:eastAsia="Times New Roman" w:hAnsi="Times New Roman" w:cs="Times New Roman"/>
          <w:kern w:val="0"/>
          <w:sz w:val="24"/>
          <w:szCs w:val="24"/>
          <w:lang w:eastAsia="en-GB"/>
          <w14:ligatures w14:val="none"/>
        </w:rPr>
      </w:pPr>
    </w:p>
    <w:p w14:paraId="4B3B55E1" w14:textId="77777777" w:rsidR="000E2D88" w:rsidRPr="00F277B8" w:rsidRDefault="000E2D88" w:rsidP="000E2D88">
      <w:pPr>
        <w:spacing w:after="0" w:line="240" w:lineRule="auto"/>
        <w:rPr>
          <w:rFonts w:ascii="Times New Roman" w:eastAsia="Times New Roman" w:hAnsi="Times New Roman" w:cs="Times New Roman"/>
          <w:kern w:val="0"/>
          <w:sz w:val="24"/>
          <w:szCs w:val="24"/>
          <w:lang w:eastAsia="en-GB"/>
          <w14:ligatures w14:val="none"/>
        </w:rPr>
      </w:pPr>
      <w:r w:rsidRPr="00F277B8">
        <w:rPr>
          <w:rFonts w:ascii="Times New Roman" w:eastAsia="Times New Roman" w:hAnsi="Times New Roman" w:cs="Times New Roman"/>
          <w:kern w:val="0"/>
          <w:sz w:val="24"/>
          <w:szCs w:val="24"/>
          <w:lang w:eastAsia="en-GB"/>
          <w14:ligatures w14:val="none"/>
        </w:rPr>
        <w:t>Equal pay law requires that employees of different genders be paid equally for like work, which involves similar tasks and responsibilities. It also applies to work rated as equivalent, where a job evaluation scheme has determined that roles are of equal worth, and work of equal value, where different jobs require comparable levels of skill, responsibility, and effort (Daniels, 2022).</w:t>
      </w:r>
    </w:p>
    <w:p w14:paraId="3E5A7CD8" w14:textId="77777777" w:rsidR="000E2D88" w:rsidRPr="00F277B8" w:rsidRDefault="000E2D88" w:rsidP="000E2D88">
      <w:pPr>
        <w:spacing w:after="0" w:line="240" w:lineRule="auto"/>
        <w:rPr>
          <w:rFonts w:ascii="Times New Roman" w:eastAsia="Times New Roman" w:hAnsi="Times New Roman" w:cs="Times New Roman"/>
          <w:kern w:val="0"/>
          <w:sz w:val="24"/>
          <w:szCs w:val="24"/>
          <w:lang w:eastAsia="en-GB"/>
          <w14:ligatures w14:val="none"/>
        </w:rPr>
      </w:pPr>
    </w:p>
    <w:p w14:paraId="307437B9" w14:textId="77777777" w:rsidR="000E2D88" w:rsidRPr="00F277B8" w:rsidRDefault="000E2D88" w:rsidP="000E2D88">
      <w:pPr>
        <w:spacing w:after="0" w:line="240" w:lineRule="auto"/>
        <w:rPr>
          <w:rFonts w:ascii="Times New Roman" w:eastAsia="Times New Roman" w:hAnsi="Times New Roman" w:cs="Times New Roman"/>
          <w:kern w:val="0"/>
          <w:sz w:val="24"/>
          <w:szCs w:val="24"/>
          <w:lang w:eastAsia="en-GB"/>
          <w14:ligatures w14:val="none"/>
        </w:rPr>
      </w:pPr>
      <w:r w:rsidRPr="00F277B8">
        <w:rPr>
          <w:rFonts w:ascii="Times New Roman" w:eastAsia="Times New Roman" w:hAnsi="Times New Roman" w:cs="Times New Roman"/>
          <w:kern w:val="0"/>
          <w:sz w:val="24"/>
          <w:szCs w:val="24"/>
          <w:lang w:eastAsia="en-GB"/>
          <w14:ligatures w14:val="none"/>
        </w:rPr>
        <w:t xml:space="preserve">Given that 80% of HCAs in the Trust are women, upgrading only the two male employees may raise concerns about indirect sex discrimination. If other HCAs, particularly women, perform similar roles at Grade A but are not considered for promotion, they may have </w:t>
      </w:r>
      <w:r w:rsidRPr="00F277B8">
        <w:rPr>
          <w:rFonts w:ascii="Times New Roman" w:eastAsia="Times New Roman" w:hAnsi="Times New Roman" w:cs="Times New Roman"/>
          <w:kern w:val="0"/>
          <w:sz w:val="24"/>
          <w:szCs w:val="24"/>
          <w:lang w:eastAsia="en-GB"/>
          <w14:ligatures w14:val="none"/>
        </w:rPr>
        <w:lastRenderedPageBreak/>
        <w:t>grounds to bring an equal pay claim. Under the law, an equal pay claim requires a comparator, meaning an individual of the opposite gender performing the same or equivalent work but receiving higher pay (ACAS, 2024). If a female HCA at Grade A can show that she performs similar work to those being upgraded but is not receiving the same benefits, this could lead to legal challenges.</w:t>
      </w:r>
    </w:p>
    <w:p w14:paraId="758A7218" w14:textId="77777777" w:rsidR="000E2D88" w:rsidRPr="00F277B8" w:rsidRDefault="000E2D88" w:rsidP="000E2D88">
      <w:pPr>
        <w:spacing w:after="0" w:line="240" w:lineRule="auto"/>
        <w:rPr>
          <w:rFonts w:ascii="Times New Roman" w:eastAsia="Times New Roman" w:hAnsi="Times New Roman" w:cs="Times New Roman"/>
          <w:kern w:val="0"/>
          <w:sz w:val="24"/>
          <w:szCs w:val="24"/>
          <w:lang w:eastAsia="en-GB"/>
          <w14:ligatures w14:val="none"/>
        </w:rPr>
      </w:pPr>
    </w:p>
    <w:p w14:paraId="5B480445" w14:textId="6E6CDF2E" w:rsidR="000E2D88" w:rsidRPr="00F277B8" w:rsidRDefault="000E2D88" w:rsidP="000E2D88">
      <w:pPr>
        <w:spacing w:after="0" w:line="240" w:lineRule="auto"/>
        <w:rPr>
          <w:rFonts w:ascii="Times New Roman" w:eastAsia="Times New Roman" w:hAnsi="Times New Roman" w:cs="Times New Roman"/>
          <w:kern w:val="0"/>
          <w:sz w:val="24"/>
          <w:szCs w:val="24"/>
          <w:lang w:eastAsia="en-GB"/>
          <w14:ligatures w14:val="none"/>
        </w:rPr>
      </w:pPr>
      <w:r w:rsidRPr="00F277B8">
        <w:rPr>
          <w:rFonts w:ascii="Times New Roman" w:eastAsia="Times New Roman" w:hAnsi="Times New Roman" w:cs="Times New Roman"/>
          <w:kern w:val="0"/>
          <w:sz w:val="24"/>
          <w:szCs w:val="24"/>
          <w:lang w:eastAsia="en-GB"/>
          <w14:ligatures w14:val="none"/>
        </w:rPr>
        <w:t xml:space="preserve">To ensure </w:t>
      </w:r>
      <w:r w:rsidR="00CA761E" w:rsidRPr="00F277B8">
        <w:rPr>
          <w:rFonts w:ascii="Times New Roman" w:eastAsia="Times New Roman" w:hAnsi="Times New Roman" w:cs="Times New Roman"/>
          <w:kern w:val="0"/>
          <w:sz w:val="24"/>
          <w:szCs w:val="24"/>
          <w:lang w:eastAsia="en-GB"/>
          <w14:ligatures w14:val="none"/>
        </w:rPr>
        <w:t>fairness</w:t>
      </w:r>
      <w:r w:rsidRPr="00F277B8">
        <w:rPr>
          <w:rFonts w:ascii="Times New Roman" w:eastAsia="Times New Roman" w:hAnsi="Times New Roman" w:cs="Times New Roman"/>
          <w:kern w:val="0"/>
          <w:sz w:val="24"/>
          <w:szCs w:val="24"/>
          <w:lang w:eastAsia="en-GB"/>
          <w14:ligatures w14:val="none"/>
        </w:rPr>
        <w:t>, the Trust must have a clear</w:t>
      </w:r>
      <w:r w:rsidR="00CA761E" w:rsidRPr="00F277B8">
        <w:rPr>
          <w:rFonts w:ascii="Times New Roman" w:eastAsia="Times New Roman" w:hAnsi="Times New Roman" w:cs="Times New Roman"/>
          <w:kern w:val="0"/>
          <w:sz w:val="24"/>
          <w:szCs w:val="24"/>
          <w:lang w:eastAsia="en-GB"/>
          <w14:ligatures w14:val="none"/>
        </w:rPr>
        <w:t xml:space="preserve"> reason</w:t>
      </w:r>
      <w:r w:rsidRPr="00F277B8">
        <w:rPr>
          <w:rFonts w:ascii="Times New Roman" w:eastAsia="Times New Roman" w:hAnsi="Times New Roman" w:cs="Times New Roman"/>
          <w:kern w:val="0"/>
          <w:sz w:val="24"/>
          <w:szCs w:val="24"/>
          <w:lang w:eastAsia="en-GB"/>
          <w14:ligatures w14:val="none"/>
        </w:rPr>
        <w:t xml:space="preserve"> for selecting these two individuals for an upgrade. The law allows pay differences if they are due to a material factor that is genuine and unrelated to gender. This could include additional qualifications or specialist training required for the higher grade, measurable performance-based criteria justifying a pay increase, or an established job evaluation scheme confirming that these roles warrant higher pay (CIPD, 2025).</w:t>
      </w:r>
    </w:p>
    <w:p w14:paraId="74D8A726" w14:textId="77777777" w:rsidR="000E2D88" w:rsidRPr="00F277B8" w:rsidRDefault="000E2D88" w:rsidP="000E2D88">
      <w:pPr>
        <w:spacing w:after="0" w:line="240" w:lineRule="auto"/>
        <w:rPr>
          <w:rFonts w:ascii="Times New Roman" w:eastAsia="Times New Roman" w:hAnsi="Times New Roman" w:cs="Times New Roman"/>
          <w:kern w:val="0"/>
          <w:sz w:val="24"/>
          <w:szCs w:val="24"/>
          <w:lang w:eastAsia="en-GB"/>
          <w14:ligatures w14:val="none"/>
        </w:rPr>
      </w:pPr>
    </w:p>
    <w:p w14:paraId="36916613" w14:textId="2960AAE6" w:rsidR="000E2D88" w:rsidRPr="00F277B8" w:rsidRDefault="000E2D88" w:rsidP="000E2D88">
      <w:pPr>
        <w:spacing w:after="0" w:line="240" w:lineRule="auto"/>
        <w:rPr>
          <w:rFonts w:ascii="Times New Roman" w:eastAsia="Times New Roman" w:hAnsi="Times New Roman" w:cs="Times New Roman"/>
          <w:kern w:val="0"/>
          <w:sz w:val="24"/>
          <w:szCs w:val="24"/>
          <w:lang w:eastAsia="en-GB"/>
          <w14:ligatures w14:val="none"/>
        </w:rPr>
      </w:pPr>
      <w:r w:rsidRPr="00F277B8">
        <w:rPr>
          <w:rFonts w:ascii="Times New Roman" w:eastAsia="Times New Roman" w:hAnsi="Times New Roman" w:cs="Times New Roman"/>
          <w:kern w:val="0"/>
          <w:sz w:val="24"/>
          <w:szCs w:val="24"/>
          <w:lang w:eastAsia="en-GB"/>
          <w14:ligatures w14:val="none"/>
        </w:rPr>
        <w:t>A</w:t>
      </w:r>
      <w:r w:rsidR="00CA761E" w:rsidRPr="00F277B8">
        <w:rPr>
          <w:rFonts w:ascii="Times New Roman" w:eastAsia="Times New Roman" w:hAnsi="Times New Roman" w:cs="Times New Roman"/>
          <w:kern w:val="0"/>
          <w:sz w:val="24"/>
          <w:szCs w:val="24"/>
          <w:lang w:eastAsia="en-GB"/>
          <w14:ligatures w14:val="none"/>
        </w:rPr>
        <w:t xml:space="preserve">n </w:t>
      </w:r>
      <w:r w:rsidRPr="00F277B8">
        <w:rPr>
          <w:rFonts w:ascii="Times New Roman" w:eastAsia="Times New Roman" w:hAnsi="Times New Roman" w:cs="Times New Roman"/>
          <w:kern w:val="0"/>
          <w:sz w:val="24"/>
          <w:szCs w:val="24"/>
          <w:lang w:eastAsia="en-GB"/>
          <w14:ligatures w14:val="none"/>
        </w:rPr>
        <w:t xml:space="preserve">example of equal pay laws can be seen in the case of the Dagenham Ford workers in 1968, where female sewing machinists at the Ford plant went on strike after </w:t>
      </w:r>
      <w:r w:rsidR="00CA761E" w:rsidRPr="00F277B8">
        <w:rPr>
          <w:rFonts w:ascii="Times New Roman" w:eastAsia="Times New Roman" w:hAnsi="Times New Roman" w:cs="Times New Roman"/>
          <w:kern w:val="0"/>
          <w:sz w:val="24"/>
          <w:szCs w:val="24"/>
          <w:lang w:eastAsia="en-GB"/>
          <w14:ligatures w14:val="none"/>
        </w:rPr>
        <w:t>finding out</w:t>
      </w:r>
      <w:r w:rsidRPr="00F277B8">
        <w:rPr>
          <w:rFonts w:ascii="Times New Roman" w:eastAsia="Times New Roman" w:hAnsi="Times New Roman" w:cs="Times New Roman"/>
          <w:kern w:val="0"/>
          <w:sz w:val="24"/>
          <w:szCs w:val="24"/>
          <w:lang w:eastAsia="en-GB"/>
          <w14:ligatures w14:val="none"/>
        </w:rPr>
        <w:t xml:space="preserve"> they were paid </w:t>
      </w:r>
      <w:r w:rsidR="00CA761E" w:rsidRPr="00F277B8">
        <w:rPr>
          <w:rFonts w:ascii="Times New Roman" w:eastAsia="Times New Roman" w:hAnsi="Times New Roman" w:cs="Times New Roman"/>
          <w:kern w:val="0"/>
          <w:sz w:val="24"/>
          <w:szCs w:val="24"/>
          <w:lang w:eastAsia="en-GB"/>
          <w14:ligatures w14:val="none"/>
        </w:rPr>
        <w:t>a lot</w:t>
      </w:r>
      <w:r w:rsidRPr="00F277B8">
        <w:rPr>
          <w:rFonts w:ascii="Times New Roman" w:eastAsia="Times New Roman" w:hAnsi="Times New Roman" w:cs="Times New Roman"/>
          <w:kern w:val="0"/>
          <w:sz w:val="24"/>
          <w:szCs w:val="24"/>
          <w:lang w:eastAsia="en-GB"/>
          <w14:ligatures w14:val="none"/>
        </w:rPr>
        <w:t xml:space="preserve"> less than </w:t>
      </w:r>
      <w:r w:rsidR="00CA761E" w:rsidRPr="00F277B8">
        <w:rPr>
          <w:rFonts w:ascii="Times New Roman" w:eastAsia="Times New Roman" w:hAnsi="Times New Roman" w:cs="Times New Roman"/>
          <w:kern w:val="0"/>
          <w:sz w:val="24"/>
          <w:szCs w:val="24"/>
          <w:lang w:eastAsia="en-GB"/>
          <w14:ligatures w14:val="none"/>
        </w:rPr>
        <w:t>male employees</w:t>
      </w:r>
      <w:r w:rsidRPr="00F277B8">
        <w:rPr>
          <w:rFonts w:ascii="Times New Roman" w:eastAsia="Times New Roman" w:hAnsi="Times New Roman" w:cs="Times New Roman"/>
          <w:kern w:val="0"/>
          <w:sz w:val="24"/>
          <w:szCs w:val="24"/>
          <w:lang w:eastAsia="en-GB"/>
          <w14:ligatures w14:val="none"/>
        </w:rPr>
        <w:t xml:space="preserve">, despite performing skilled work. Their protest led to the introduction of the Equal Pay Act 1970, which later </w:t>
      </w:r>
      <w:r w:rsidR="003E338F" w:rsidRPr="00F277B8">
        <w:rPr>
          <w:rFonts w:ascii="Times New Roman" w:eastAsia="Times New Roman" w:hAnsi="Times New Roman" w:cs="Times New Roman"/>
          <w:kern w:val="0"/>
          <w:sz w:val="24"/>
          <w:szCs w:val="24"/>
          <w:lang w:eastAsia="en-GB"/>
          <w14:ligatures w14:val="none"/>
        </w:rPr>
        <w:t>developed into</w:t>
      </w:r>
      <w:r w:rsidRPr="00F277B8">
        <w:rPr>
          <w:rFonts w:ascii="Times New Roman" w:eastAsia="Times New Roman" w:hAnsi="Times New Roman" w:cs="Times New Roman"/>
          <w:kern w:val="0"/>
          <w:sz w:val="24"/>
          <w:szCs w:val="24"/>
          <w:lang w:eastAsia="en-GB"/>
          <w14:ligatures w14:val="none"/>
        </w:rPr>
        <w:t xml:space="preserve"> the Equality Act 2010 (Daniels, 2022). Cases like this highlight why pay decisions must be based on transparent, </w:t>
      </w:r>
      <w:r w:rsidR="00CA761E" w:rsidRPr="00F277B8">
        <w:rPr>
          <w:rFonts w:ascii="Times New Roman" w:eastAsia="Times New Roman" w:hAnsi="Times New Roman" w:cs="Times New Roman"/>
          <w:kern w:val="0"/>
          <w:sz w:val="24"/>
          <w:szCs w:val="24"/>
          <w:lang w:eastAsia="en-GB"/>
          <w14:ligatures w14:val="none"/>
        </w:rPr>
        <w:t>clear</w:t>
      </w:r>
      <w:r w:rsidRPr="00F277B8">
        <w:rPr>
          <w:rFonts w:ascii="Times New Roman" w:eastAsia="Times New Roman" w:hAnsi="Times New Roman" w:cs="Times New Roman"/>
          <w:kern w:val="0"/>
          <w:sz w:val="24"/>
          <w:szCs w:val="24"/>
          <w:lang w:eastAsia="en-GB"/>
          <w14:ligatures w14:val="none"/>
        </w:rPr>
        <w:t xml:space="preserve"> criteria to avoid claims of discrimination.</w:t>
      </w:r>
    </w:p>
    <w:p w14:paraId="0305B7C1" w14:textId="77777777" w:rsidR="000E2D88" w:rsidRPr="00F277B8" w:rsidRDefault="000E2D88" w:rsidP="000E2D88">
      <w:pPr>
        <w:spacing w:after="0" w:line="240" w:lineRule="auto"/>
        <w:rPr>
          <w:rFonts w:ascii="Times New Roman" w:eastAsia="Times New Roman" w:hAnsi="Times New Roman" w:cs="Times New Roman"/>
          <w:kern w:val="0"/>
          <w:sz w:val="24"/>
          <w:szCs w:val="24"/>
          <w:lang w:eastAsia="en-GB"/>
          <w14:ligatures w14:val="none"/>
        </w:rPr>
      </w:pPr>
    </w:p>
    <w:p w14:paraId="1CB2EDFC" w14:textId="653E903F" w:rsidR="000E2D88" w:rsidRPr="00F277B8" w:rsidRDefault="000E2D88" w:rsidP="000E2D88">
      <w:pPr>
        <w:spacing w:after="0" w:line="240" w:lineRule="auto"/>
        <w:rPr>
          <w:rFonts w:ascii="Times New Roman" w:eastAsia="Times New Roman" w:hAnsi="Times New Roman" w:cs="Times New Roman"/>
          <w:kern w:val="0"/>
          <w:sz w:val="24"/>
          <w:szCs w:val="24"/>
          <w:lang w:eastAsia="en-GB"/>
          <w14:ligatures w14:val="none"/>
        </w:rPr>
      </w:pPr>
      <w:r w:rsidRPr="00F277B8">
        <w:rPr>
          <w:rFonts w:ascii="Times New Roman" w:eastAsia="Times New Roman" w:hAnsi="Times New Roman" w:cs="Times New Roman"/>
          <w:kern w:val="0"/>
          <w:sz w:val="24"/>
          <w:szCs w:val="24"/>
          <w:lang w:eastAsia="en-GB"/>
          <w14:ligatures w14:val="none"/>
        </w:rPr>
        <w:t>I recommend reviewing whether other HCAs of similar experience and responsibilities are eligible for an upgrade and ensuring that any decision is based on clear, non-discriminatory factors. Please let me know if you need further guidance on conducting an internal equal pay review.</w:t>
      </w:r>
    </w:p>
    <w:p w14:paraId="6452ADB3" w14:textId="77777777" w:rsidR="003642B3" w:rsidRPr="00F277B8" w:rsidRDefault="003642B3" w:rsidP="000E2D88">
      <w:pPr>
        <w:spacing w:after="0" w:line="240" w:lineRule="auto"/>
        <w:rPr>
          <w:rFonts w:ascii="Times New Roman" w:eastAsia="Times New Roman" w:hAnsi="Times New Roman" w:cs="Times New Roman"/>
          <w:kern w:val="0"/>
          <w:sz w:val="24"/>
          <w:szCs w:val="24"/>
          <w:lang w:eastAsia="en-GB"/>
          <w14:ligatures w14:val="none"/>
        </w:rPr>
      </w:pPr>
    </w:p>
    <w:p w14:paraId="40B9452E" w14:textId="77777777" w:rsidR="003642B3" w:rsidRPr="00F277B8" w:rsidRDefault="003642B3" w:rsidP="000E2D88">
      <w:pPr>
        <w:spacing w:after="0" w:line="240" w:lineRule="auto"/>
        <w:rPr>
          <w:rFonts w:ascii="Times New Roman" w:eastAsia="Times New Roman" w:hAnsi="Times New Roman" w:cs="Times New Roman"/>
          <w:kern w:val="0"/>
          <w:sz w:val="24"/>
          <w:szCs w:val="24"/>
          <w:lang w:eastAsia="en-GB"/>
          <w14:ligatures w14:val="none"/>
        </w:rPr>
      </w:pPr>
    </w:p>
    <w:p w14:paraId="4E6181EA" w14:textId="559F6897" w:rsidR="00C50A51" w:rsidRPr="00F277B8" w:rsidRDefault="003E338F" w:rsidP="00B9634F">
      <w:pPr>
        <w:pStyle w:val="ListParagraph"/>
        <w:numPr>
          <w:ilvl w:val="0"/>
          <w:numId w:val="11"/>
        </w:numPr>
        <w:spacing w:after="0" w:line="240" w:lineRule="auto"/>
        <w:ind w:left="0"/>
        <w:rPr>
          <w:rFonts w:ascii="Times New Roman" w:eastAsia="Times New Roman" w:hAnsi="Times New Roman" w:cs="Times New Roman"/>
          <w:b/>
          <w:bCs/>
          <w:kern w:val="0"/>
          <w:sz w:val="24"/>
          <w:szCs w:val="24"/>
          <w:lang w:eastAsia="en-GB"/>
          <w14:ligatures w14:val="none"/>
        </w:rPr>
      </w:pPr>
      <w:r w:rsidRPr="00F277B8">
        <w:rPr>
          <w:rFonts w:ascii="Times New Roman" w:eastAsia="Times New Roman" w:hAnsi="Times New Roman" w:cs="Times New Roman"/>
          <w:b/>
          <w:bCs/>
          <w:kern w:val="0"/>
          <w:sz w:val="24"/>
          <w:szCs w:val="24"/>
          <w:lang w:eastAsia="en-GB"/>
          <w14:ligatures w14:val="none"/>
        </w:rPr>
        <w:t>(AC 3.1)</w:t>
      </w:r>
    </w:p>
    <w:p w14:paraId="4B80F97D" w14:textId="19072415" w:rsidR="00AD2A4C" w:rsidRPr="00F277B8" w:rsidRDefault="00AD2A4C" w:rsidP="00AD2A4C">
      <w:pPr>
        <w:pStyle w:val="NormalWeb"/>
      </w:pPr>
      <w:r w:rsidRPr="00F277B8">
        <w:t xml:space="preserve">Constructive dismissal occurs when an employee resigns due to a serious breach of contract by their employer, making it </w:t>
      </w:r>
      <w:r w:rsidR="007F018E" w:rsidRPr="00F277B8">
        <w:t>extremely difficult</w:t>
      </w:r>
      <w:r w:rsidRPr="00F277B8">
        <w:t xml:space="preserve"> for them to continue working under the given conditions, as outlined in section 95(1)(c) of the Employment Rights Act 1996.</w:t>
      </w:r>
      <w:r w:rsidR="002C43A3" w:rsidRPr="00F277B8">
        <w:t xml:space="preserve"> An employee can only file a constructive dismissal claim if they have completed two years of continuous service. (People Management, 2017)</w:t>
      </w:r>
    </w:p>
    <w:p w14:paraId="2DF00B86" w14:textId="49293A05" w:rsidR="00AD2A4C" w:rsidRPr="00F277B8" w:rsidRDefault="00AD2A4C" w:rsidP="00AD2A4C">
      <w:pPr>
        <w:pStyle w:val="NormalWeb"/>
      </w:pPr>
      <w:r w:rsidRPr="00F277B8">
        <w:t xml:space="preserve">For a claim to succeed, the employee must </w:t>
      </w:r>
      <w:r w:rsidR="00E821E4" w:rsidRPr="00F277B8">
        <w:t>show</w:t>
      </w:r>
      <w:r w:rsidRPr="00F277B8">
        <w:t xml:space="preserve"> that their employer breach</w:t>
      </w:r>
      <w:r w:rsidR="00E821E4" w:rsidRPr="00F277B8">
        <w:t>ed the</w:t>
      </w:r>
      <w:r w:rsidRPr="00F277B8">
        <w:t xml:space="preserve"> contract</w:t>
      </w:r>
      <w:r w:rsidR="00344D3A" w:rsidRPr="00F277B8">
        <w:t xml:space="preserve"> and </w:t>
      </w:r>
      <w:r w:rsidRPr="00F277B8">
        <w:t xml:space="preserve">that they resigned </w:t>
      </w:r>
      <w:r w:rsidR="00E821E4" w:rsidRPr="00F277B8">
        <w:t>because of t</w:t>
      </w:r>
      <w:r w:rsidRPr="00F277B8">
        <w:t>his breac</w:t>
      </w:r>
      <w:r w:rsidR="00344D3A" w:rsidRPr="00F277B8">
        <w:t>h</w:t>
      </w:r>
      <w:r w:rsidRPr="00F277B8">
        <w:t xml:space="preserve">. Changes to working hours can form the basis of a constructive dismissal claim if they alter the terms of employment without the employee’s agreement. If the radiographer’s contract stated specific working hours, such as day shifts only, but they were suddenly required to work night shifts, this could be considered an unreasonable change. </w:t>
      </w:r>
      <w:r w:rsidR="00344D3A" w:rsidRPr="00F277B8">
        <w:t>A</w:t>
      </w:r>
      <w:r w:rsidRPr="00F277B8">
        <w:t xml:space="preserve"> breach of mutual trust and confidence, such as implementing changes without consultation, can support a claim (Daniels, 2022; CIPD, 2025).</w:t>
      </w:r>
    </w:p>
    <w:p w14:paraId="6CF6E8B9" w14:textId="14BE8226" w:rsidR="00AD2A4C" w:rsidRPr="00F277B8" w:rsidRDefault="00AD2A4C" w:rsidP="00AD2A4C">
      <w:pPr>
        <w:pStyle w:val="NormalWeb"/>
      </w:pPr>
      <w:r w:rsidRPr="00F277B8">
        <w:t>The Employment Tribunal time limit for bringing a claim is three months minus one day from the date of termination, as set out in section 111 of the Employment Rights Act 1996. If the radiographer does not submit their claim within this period, it is likely to be dismissed as out of time unless exceptional circumstances apply (Daniels, 2022).</w:t>
      </w:r>
    </w:p>
    <w:p w14:paraId="574AE144" w14:textId="6FEC6FB0" w:rsidR="00AD2A4C" w:rsidRPr="00F277B8" w:rsidRDefault="00AD2A4C" w:rsidP="00AD2A4C">
      <w:pPr>
        <w:pStyle w:val="NormalWeb"/>
      </w:pPr>
      <w:r w:rsidRPr="00F277B8">
        <w:t xml:space="preserve">Employers can defend against a constructive dismissal claim by demonstrating that there was no breach of contract, that the changes were </w:t>
      </w:r>
      <w:r w:rsidR="00344D3A" w:rsidRPr="00F277B8">
        <w:t xml:space="preserve">small </w:t>
      </w:r>
      <w:r w:rsidRPr="00F277B8">
        <w:t xml:space="preserve">or reasonable under the terms of employment, or that the employee accepted the changes. If the changes were necessary for </w:t>
      </w:r>
      <w:r w:rsidRPr="00F277B8">
        <w:lastRenderedPageBreak/>
        <w:t>business reasons and the Trust provided appropriate consultation and notice, this could also serve as a defence (CIPD, 2025).</w:t>
      </w:r>
    </w:p>
    <w:p w14:paraId="6EB0C272" w14:textId="4EC8FE1B" w:rsidR="00AD2A4C" w:rsidRPr="00F277B8" w:rsidRDefault="00AD2A4C" w:rsidP="00AD2A4C">
      <w:pPr>
        <w:pStyle w:val="NormalWeb"/>
      </w:pPr>
      <w:r w:rsidRPr="00F277B8">
        <w:t xml:space="preserve">If a claim is successful, compensation may include a basic award, which is calculated based on the length of service, age, and weekly pay, </w:t>
      </w:r>
      <w:r w:rsidR="00344D3A" w:rsidRPr="00F277B8">
        <w:t>like</w:t>
      </w:r>
      <w:r w:rsidRPr="00F277B8">
        <w:t xml:space="preserve"> redundancy pay. A compensatory award may also be granted, covering past and future loss of earnings, but this is subject to a statutory cap of 12 months' pay or the statutory maximum, whichever is lower. The employee must also demonstrate efforts by seeking alternative employment (ACAS, 2024).</w:t>
      </w:r>
    </w:p>
    <w:p w14:paraId="0E2079F7" w14:textId="2BC0BD3F" w:rsidR="00AD2A4C" w:rsidRPr="00F277B8" w:rsidRDefault="00AD2A4C" w:rsidP="00AD2A4C">
      <w:pPr>
        <w:pStyle w:val="NormalWeb"/>
      </w:pPr>
      <w:r w:rsidRPr="00F277B8">
        <w:t>I</w:t>
      </w:r>
      <w:r w:rsidR="00344D3A" w:rsidRPr="00F277B8">
        <w:t xml:space="preserve"> would advise to look at </w:t>
      </w:r>
      <w:r w:rsidRPr="00F277B8">
        <w:t xml:space="preserve">the radiographer’s contract and the process followed in implementing the change. If consultation took place and </w:t>
      </w:r>
      <w:r w:rsidR="00344D3A" w:rsidRPr="00F277B8">
        <w:t xml:space="preserve">it was for a good business reason </w:t>
      </w:r>
      <w:r w:rsidRPr="00F277B8">
        <w:t>this could support the Trust’s position. Please let me know if you would like further assistance in reviewing the case.</w:t>
      </w:r>
    </w:p>
    <w:p w14:paraId="0052D864" w14:textId="77777777" w:rsidR="007F018E" w:rsidRPr="00F277B8" w:rsidRDefault="007F018E" w:rsidP="00AD2A4C">
      <w:pPr>
        <w:spacing w:after="0" w:line="240" w:lineRule="auto"/>
        <w:rPr>
          <w:rFonts w:ascii="Times New Roman" w:eastAsia="Times New Roman" w:hAnsi="Times New Roman" w:cs="Times New Roman"/>
          <w:kern w:val="0"/>
          <w:sz w:val="24"/>
          <w:szCs w:val="24"/>
          <w:lang w:eastAsia="en-GB"/>
          <w14:ligatures w14:val="none"/>
        </w:rPr>
      </w:pPr>
    </w:p>
    <w:p w14:paraId="21FD0F6A" w14:textId="2507B95C" w:rsidR="007F018E" w:rsidRPr="00F277B8" w:rsidRDefault="007F018E" w:rsidP="00B9634F">
      <w:pPr>
        <w:pStyle w:val="ListParagraph"/>
        <w:numPr>
          <w:ilvl w:val="0"/>
          <w:numId w:val="11"/>
        </w:numPr>
        <w:spacing w:after="0" w:line="240" w:lineRule="auto"/>
        <w:ind w:left="0"/>
        <w:rPr>
          <w:rFonts w:ascii="Times New Roman" w:eastAsia="Times New Roman" w:hAnsi="Times New Roman" w:cs="Times New Roman"/>
          <w:b/>
          <w:bCs/>
          <w:kern w:val="0"/>
          <w:sz w:val="24"/>
          <w:szCs w:val="24"/>
          <w:lang w:eastAsia="en-GB"/>
          <w14:ligatures w14:val="none"/>
        </w:rPr>
      </w:pPr>
      <w:r w:rsidRPr="00F277B8">
        <w:rPr>
          <w:rFonts w:ascii="Times New Roman" w:eastAsia="Times New Roman" w:hAnsi="Times New Roman" w:cs="Times New Roman"/>
          <w:b/>
          <w:bCs/>
          <w:kern w:val="0"/>
          <w:sz w:val="24"/>
          <w:szCs w:val="24"/>
          <w:lang w:eastAsia="en-GB"/>
          <w14:ligatures w14:val="none"/>
        </w:rPr>
        <w:t>(A.C 3.2)</w:t>
      </w:r>
    </w:p>
    <w:p w14:paraId="1D71D5F0" w14:textId="77777777" w:rsidR="00FD71AC" w:rsidRPr="00F277B8" w:rsidRDefault="00FD71AC" w:rsidP="00FD71AC">
      <w:pPr>
        <w:pStyle w:val="NormalWeb"/>
      </w:pPr>
      <w:r w:rsidRPr="00F277B8">
        <w:t xml:space="preserve">While I understand the need to proceed efficiently, it is key that the process follows employment law to avoid legal risks and claims for unfair dismissal. The Employment Rights Act 1996 and the Trade Union and Labour Relations (Consolidation) Act 1992 (TULRCA) set out clear requirements for redundancy, particularly in cases involving </w:t>
      </w:r>
      <w:proofErr w:type="gramStart"/>
      <w:r w:rsidRPr="00F277B8">
        <w:t>a large number of</w:t>
      </w:r>
      <w:proofErr w:type="gramEnd"/>
      <w:r w:rsidRPr="00F277B8">
        <w:t xml:space="preserve"> job losses.</w:t>
      </w:r>
    </w:p>
    <w:p w14:paraId="33290871" w14:textId="77777777" w:rsidR="00FD71AC" w:rsidRPr="00F277B8" w:rsidRDefault="00FD71AC" w:rsidP="00FD71AC">
      <w:pPr>
        <w:pStyle w:val="NormalWeb"/>
      </w:pPr>
      <w:r w:rsidRPr="00F277B8">
        <w:t>Where 20 or more employees are at risk of redundancy within a 90-day period, the Trust must engage in a collective consultation with staff members, as required under TULRCA 1992, s.188 (Daniels, 2022). The information needed to be given to all employees is the reason for redundancy, how many could face redundancy, the selection process, and redundancy pay calculations. Since 50 posts are to be made redundant, the Trust must have a consultation period of at least 30 days before issuing any dismissal notices. Failure to comply could lead to claims for protective awards, requiring the employer to pay up to 90 days' pay per affected employee (CIPD, 2025).</w:t>
      </w:r>
    </w:p>
    <w:p w14:paraId="4835AFFE" w14:textId="77777777" w:rsidR="00FD71AC" w:rsidRPr="00F277B8" w:rsidRDefault="00FD71AC" w:rsidP="00FD71AC">
      <w:pPr>
        <w:pStyle w:val="NormalWeb"/>
      </w:pPr>
      <w:r w:rsidRPr="00F277B8">
        <w:t>Redundancy selections must be based on fair and objective criteria rather than automatically dismissing the "poorest performers." While performance can be a valid factor, it must be measurable, transparent, and applied consistently. Other factors, such as length of service, skills, and experience, should also be considered (Daniels, 2022). If performance is used, there should be documented evidence, such as appraisals or performance records, to support the decision. Automatically targeting underperformers without considering alternative options could expose the Trust to unfair dismissal claims under the Employment Rights Act 1996.</w:t>
      </w:r>
    </w:p>
    <w:p w14:paraId="4EAD6E0D" w14:textId="77777777" w:rsidR="00FD71AC" w:rsidRPr="00F277B8" w:rsidRDefault="00FD71AC" w:rsidP="00FD71AC">
      <w:pPr>
        <w:pStyle w:val="NormalWeb"/>
      </w:pPr>
      <w:r w:rsidRPr="00F277B8">
        <w:t>During the consultation period, employees must be given a genuine opportunity to explore alternatives to redundancy, such as redeployment, voluntary redundancy, or reduced working hours. If feasible, offering suitable alternative employment could help retain skilled staff and mitigate financial and reputational risks (ACAS, 2024).</w:t>
      </w:r>
    </w:p>
    <w:p w14:paraId="6E63CD33" w14:textId="77777777" w:rsidR="00FD71AC" w:rsidRPr="00F277B8" w:rsidRDefault="00FD71AC" w:rsidP="00FD71AC">
      <w:pPr>
        <w:pStyle w:val="NormalWeb"/>
      </w:pPr>
      <w:r w:rsidRPr="00F277B8">
        <w:t xml:space="preserve">Employees selected for redundancy must also receive their statutory redundancy pay, provided they have at least two years of continuous service. The amount is calculated based on age, length of service, and weekly pay, subject to a statutory cap (ACAS, 2024). The Trust </w:t>
      </w:r>
      <w:r w:rsidRPr="00F277B8">
        <w:lastRenderedPageBreak/>
        <w:t>must ensure redundancy dismissals are genuine and unavoidable, as failing to do so could result in claims of wrongful dismissal or breach of contract.</w:t>
      </w:r>
    </w:p>
    <w:p w14:paraId="05C40DA0" w14:textId="77777777" w:rsidR="00FD71AC" w:rsidRPr="00F277B8" w:rsidRDefault="00FD71AC" w:rsidP="00FD71AC">
      <w:pPr>
        <w:pStyle w:val="NormalWeb"/>
      </w:pPr>
      <w:r w:rsidRPr="00F277B8">
        <w:t>Taking the time to properly consult, document decisions, and explore all available options will help protect the Trust from legal risks while ensuring that affected employees are treated fairly.</w:t>
      </w:r>
    </w:p>
    <w:p w14:paraId="7C3763C2" w14:textId="77777777" w:rsidR="00387498" w:rsidRPr="00F277B8" w:rsidRDefault="00387498" w:rsidP="00D27B48">
      <w:pPr>
        <w:spacing w:after="0" w:line="240" w:lineRule="auto"/>
        <w:rPr>
          <w:rFonts w:ascii="Times New Roman" w:eastAsia="Times New Roman" w:hAnsi="Times New Roman" w:cs="Times New Roman"/>
          <w:kern w:val="0"/>
          <w:sz w:val="24"/>
          <w:szCs w:val="24"/>
          <w:lang w:eastAsia="en-GB"/>
          <w14:ligatures w14:val="none"/>
        </w:rPr>
      </w:pPr>
    </w:p>
    <w:p w14:paraId="18CB54D0" w14:textId="77777777" w:rsidR="00387498" w:rsidRPr="00F277B8" w:rsidRDefault="00387498" w:rsidP="00D27B48">
      <w:pPr>
        <w:spacing w:after="0" w:line="240" w:lineRule="auto"/>
        <w:rPr>
          <w:rFonts w:ascii="Times New Roman" w:eastAsia="Times New Roman" w:hAnsi="Times New Roman" w:cs="Times New Roman"/>
          <w:kern w:val="0"/>
          <w:sz w:val="24"/>
          <w:szCs w:val="24"/>
          <w:lang w:eastAsia="en-GB"/>
          <w14:ligatures w14:val="none"/>
        </w:rPr>
      </w:pPr>
    </w:p>
    <w:p w14:paraId="41649E67" w14:textId="7275C96F" w:rsidR="00387498" w:rsidRPr="00F277B8" w:rsidRDefault="00B36FFD" w:rsidP="00B9634F">
      <w:pPr>
        <w:pStyle w:val="ListParagraph"/>
        <w:numPr>
          <w:ilvl w:val="0"/>
          <w:numId w:val="11"/>
        </w:numPr>
        <w:spacing w:after="0" w:line="240" w:lineRule="auto"/>
        <w:ind w:left="0"/>
        <w:rPr>
          <w:rFonts w:ascii="Times New Roman" w:eastAsia="Times New Roman" w:hAnsi="Times New Roman" w:cs="Times New Roman"/>
          <w:b/>
          <w:bCs/>
          <w:kern w:val="0"/>
          <w:sz w:val="24"/>
          <w:szCs w:val="24"/>
          <w:lang w:eastAsia="en-GB"/>
          <w14:ligatures w14:val="none"/>
        </w:rPr>
      </w:pPr>
      <w:r w:rsidRPr="00F277B8">
        <w:rPr>
          <w:rFonts w:ascii="Times New Roman" w:eastAsia="Times New Roman" w:hAnsi="Times New Roman" w:cs="Times New Roman"/>
          <w:b/>
          <w:bCs/>
          <w:kern w:val="0"/>
          <w:sz w:val="24"/>
          <w:szCs w:val="24"/>
          <w:lang w:eastAsia="en-GB"/>
          <w14:ligatures w14:val="none"/>
        </w:rPr>
        <w:t>(AC 3.3)</w:t>
      </w:r>
    </w:p>
    <w:p w14:paraId="40636FA8" w14:textId="5B2E3A2C" w:rsidR="001B5481" w:rsidRPr="00F277B8" w:rsidRDefault="001B5481" w:rsidP="001B5481">
      <w:pPr>
        <w:pStyle w:val="NormalWeb"/>
      </w:pPr>
      <w:r w:rsidRPr="00F277B8">
        <w:t>As you prepare to enter discussions regarding the potential merger of our Trust’s pharmacy operations with those of our neighbouring hospital trust, it is important to consider the legal implications for employees under the Transfer of Undertakings Protection of Employment</w:t>
      </w:r>
      <w:r w:rsidRPr="00F277B8">
        <w:t xml:space="preserve"> </w:t>
      </w:r>
      <w:r w:rsidRPr="00F277B8">
        <w:t xml:space="preserve">Regulations 2006 (TUPE). If the merger proceeds and involves the transfer of an economic entity that retains its identity, TUPE will apply, ensuring that employees’ rights are protected (Daniels, 2022). This regulation is particularly important in the healthcare sector, where </w:t>
      </w:r>
      <w:r w:rsidRPr="00F277B8">
        <w:t>length</w:t>
      </w:r>
      <w:r w:rsidRPr="00F277B8">
        <w:t xml:space="preserve"> of service is essential to patient care and operational stability.</w:t>
      </w:r>
    </w:p>
    <w:p w14:paraId="41BF5034" w14:textId="77777777" w:rsidR="001B5481" w:rsidRPr="00F277B8" w:rsidRDefault="001B5481" w:rsidP="001B5481">
      <w:pPr>
        <w:pStyle w:val="NormalWeb"/>
      </w:pPr>
      <w:r w:rsidRPr="00F277B8">
        <w:t>Under TUPE, employees involved in the transferring pharmacy operations will have their contracts of employment automatically transferred to the new employer under the same terms and conditions. The new employer assumes all contractual rights, duties, and liabilities, ensuring that continuity of service is maintained and existing employment rights, such as redundancy pay and unfair dismissal protections, remain intact. Any agreements in place before the transfer continue to apply (CIPD, 2024). Employees must be reassured that their length of service and contractual entitlements will be carried over, preventing any disadvantage due to the merger.</w:t>
      </w:r>
    </w:p>
    <w:p w14:paraId="6374C25D" w14:textId="77777777" w:rsidR="001B5481" w:rsidRPr="00F277B8" w:rsidRDefault="001B5481" w:rsidP="001B5481">
      <w:pPr>
        <w:pStyle w:val="NormalWeb"/>
      </w:pPr>
      <w:r w:rsidRPr="00F277B8">
        <w:t>Dismissals linked to the transfer are automatically treated as unfair unless they are for an economic, technical, or organisational (ETO) reason entailing changes in the workforce. Employees dismissed immediately before the transfer due to reasons related to it may claim unfair dismissal. If substantial changes to working conditions occur that are detrimental to employees, they may be considered constructively dismissed (Daniels, 2022). Employers must be mindful of these risks and ensure that any restructuring is legally justified.</w:t>
      </w:r>
    </w:p>
    <w:p w14:paraId="11516412" w14:textId="7B8AADEA" w:rsidR="001B5481" w:rsidRPr="00F277B8" w:rsidRDefault="001B5481" w:rsidP="001B5481">
      <w:pPr>
        <w:pStyle w:val="NormalWeb"/>
      </w:pPr>
      <w:r w:rsidRPr="00F277B8">
        <w:t xml:space="preserve">Employers involved in the transfer must provide affected employees and their representatives with key information about the transfer, including its expected date, legal implications, and any proposed measures. If any measures are </w:t>
      </w:r>
      <w:proofErr w:type="spellStart"/>
      <w:r w:rsidRPr="00F277B8">
        <w:t>forseen</w:t>
      </w:r>
      <w:proofErr w:type="spellEnd"/>
      <w:r w:rsidRPr="00F277B8">
        <w:t xml:space="preserve">, consultation with employee representatives is required. Failure to inform and consult can result in financial penalties, including compensation of up to 13 weeks’ pay per affected employee (CIPD, 2024). </w:t>
      </w:r>
      <w:r w:rsidRPr="00F277B8">
        <w:t>Communicating</w:t>
      </w:r>
      <w:r w:rsidRPr="00F277B8">
        <w:t xml:space="preserve"> with employees early in the process helps to </w:t>
      </w:r>
      <w:r w:rsidRPr="00F277B8">
        <w:t>iron out</w:t>
      </w:r>
      <w:r w:rsidRPr="00F277B8">
        <w:t xml:space="preserve"> concerns and </w:t>
      </w:r>
      <w:r w:rsidRPr="00F277B8">
        <w:t xml:space="preserve">keep </w:t>
      </w:r>
      <w:r w:rsidRPr="00F277B8">
        <w:t>morale.</w:t>
      </w:r>
    </w:p>
    <w:p w14:paraId="7A78CACC" w14:textId="5FD36015" w:rsidR="001B5481" w:rsidRPr="00F277B8" w:rsidRDefault="001B5481" w:rsidP="001B5481">
      <w:pPr>
        <w:pStyle w:val="NormalWeb"/>
      </w:pPr>
      <w:r w:rsidRPr="00F277B8">
        <w:t>Post-transfer, contractual changes are usually void unless there is an ETO reason. These reasons must involve changes to the workforce, such as job role modifications, redundancies, or restructuring. Changes cannot be made simply because of the transfer itself (Armstrong and Taylor, 2023). It is advis</w:t>
      </w:r>
      <w:r w:rsidRPr="00F277B8">
        <w:t>ed</w:t>
      </w:r>
      <w:r w:rsidRPr="00F277B8">
        <w:t xml:space="preserve"> to review the operational structure in advance to assess whether any changes will be necessary and how they can be managed within the scope of TUPE regulations.</w:t>
      </w:r>
    </w:p>
    <w:p w14:paraId="0708E029" w14:textId="6F21DCEF" w:rsidR="001B5481" w:rsidRPr="00F277B8" w:rsidRDefault="001B5481" w:rsidP="001B5481">
      <w:pPr>
        <w:pStyle w:val="NormalWeb"/>
      </w:pPr>
      <w:r w:rsidRPr="00F277B8">
        <w:lastRenderedPageBreak/>
        <w:t xml:space="preserve">Given that our Trust will be the host for the centralised pharmacy, TUPE is likely to apply to employees from the </w:t>
      </w:r>
      <w:r w:rsidRPr="00F277B8">
        <w:t>other</w:t>
      </w:r>
      <w:r w:rsidRPr="00F277B8">
        <w:t xml:space="preserve"> Trust. A detailed assessment should be carried out to determine which employees are assigned to the pharmacy services that will transfer. Clear communication and planning with affected employees are </w:t>
      </w:r>
      <w:r w:rsidRPr="00F277B8">
        <w:t>important</w:t>
      </w:r>
      <w:r w:rsidRPr="00F277B8">
        <w:t xml:space="preserve"> for transparency and will help ensure a smooth transition. </w:t>
      </w:r>
      <w:r w:rsidRPr="00F277B8">
        <w:t>E</w:t>
      </w:r>
      <w:r w:rsidRPr="00F277B8">
        <w:t xml:space="preserve">mployees should be encouraged to raise any concerns so that they can be addressed </w:t>
      </w:r>
      <w:r w:rsidRPr="00F277B8">
        <w:t>quickly and factually</w:t>
      </w:r>
      <w:r w:rsidRPr="00F277B8">
        <w:t>, reducing uncertainty and resistance to change</w:t>
      </w:r>
      <w:r w:rsidRPr="00F277B8">
        <w:t>.</w:t>
      </w:r>
    </w:p>
    <w:p w14:paraId="22A859F9" w14:textId="77777777" w:rsidR="00B36FFD" w:rsidRPr="00F277B8" w:rsidRDefault="00B36FFD" w:rsidP="00D27B48">
      <w:pPr>
        <w:spacing w:after="0" w:line="240" w:lineRule="auto"/>
        <w:rPr>
          <w:rFonts w:ascii="Times New Roman" w:eastAsia="Times New Roman" w:hAnsi="Times New Roman" w:cs="Times New Roman"/>
          <w:b/>
          <w:bCs/>
          <w:kern w:val="0"/>
          <w:sz w:val="24"/>
          <w:szCs w:val="24"/>
          <w:lang w:eastAsia="en-GB"/>
          <w14:ligatures w14:val="none"/>
        </w:rPr>
      </w:pPr>
    </w:p>
    <w:p w14:paraId="0CE59079" w14:textId="00647F08" w:rsidR="00301552" w:rsidRPr="00F277B8" w:rsidRDefault="002832E1" w:rsidP="00B9634F">
      <w:pPr>
        <w:pStyle w:val="ListParagraph"/>
        <w:numPr>
          <w:ilvl w:val="0"/>
          <w:numId w:val="11"/>
        </w:numPr>
        <w:spacing w:after="0" w:line="240" w:lineRule="auto"/>
        <w:ind w:left="0"/>
        <w:rPr>
          <w:rFonts w:ascii="Times New Roman" w:eastAsia="Times New Roman" w:hAnsi="Times New Roman" w:cs="Times New Roman"/>
          <w:b/>
          <w:bCs/>
          <w:kern w:val="0"/>
          <w:sz w:val="24"/>
          <w:szCs w:val="24"/>
          <w:lang w:eastAsia="en-GB"/>
          <w14:ligatures w14:val="none"/>
        </w:rPr>
      </w:pPr>
      <w:r w:rsidRPr="00F277B8">
        <w:rPr>
          <w:rFonts w:ascii="Times New Roman" w:eastAsia="Times New Roman" w:hAnsi="Times New Roman" w:cs="Times New Roman"/>
          <w:b/>
          <w:bCs/>
          <w:kern w:val="0"/>
          <w:sz w:val="24"/>
          <w:szCs w:val="24"/>
          <w:lang w:eastAsia="en-GB"/>
          <w14:ligatures w14:val="none"/>
        </w:rPr>
        <w:t>(AC 4.1)</w:t>
      </w:r>
    </w:p>
    <w:p w14:paraId="375FD29D" w14:textId="77777777" w:rsidR="00C86655" w:rsidRPr="00F277B8" w:rsidRDefault="00C86655" w:rsidP="00C86655">
      <w:pPr>
        <w:pStyle w:val="ListParagraph"/>
        <w:spacing w:after="0" w:line="240" w:lineRule="auto"/>
        <w:ind w:left="0"/>
        <w:rPr>
          <w:rFonts w:ascii="Times New Roman" w:eastAsia="Times New Roman" w:hAnsi="Times New Roman" w:cs="Times New Roman"/>
          <w:b/>
          <w:bCs/>
          <w:kern w:val="0"/>
          <w:sz w:val="24"/>
          <w:szCs w:val="24"/>
          <w:lang w:eastAsia="en-GB"/>
          <w14:ligatures w14:val="none"/>
        </w:rPr>
      </w:pPr>
    </w:p>
    <w:p w14:paraId="33698149" w14:textId="074536B1" w:rsidR="00C86655" w:rsidRPr="00F277B8" w:rsidRDefault="00C86655" w:rsidP="00C86655">
      <w:pPr>
        <w:spacing w:after="0" w:line="240" w:lineRule="auto"/>
        <w:rPr>
          <w:rFonts w:ascii="Times New Roman" w:eastAsia="Times New Roman" w:hAnsi="Times New Roman" w:cs="Times New Roman"/>
          <w:kern w:val="0"/>
          <w:sz w:val="24"/>
          <w:szCs w:val="24"/>
          <w:lang w:eastAsia="en-GB"/>
          <w14:ligatures w14:val="none"/>
        </w:rPr>
      </w:pPr>
      <w:r w:rsidRPr="00F277B8">
        <w:rPr>
          <w:rFonts w:ascii="Times New Roman" w:eastAsia="Times New Roman" w:hAnsi="Times New Roman" w:cs="Times New Roman"/>
          <w:kern w:val="0"/>
          <w:sz w:val="24"/>
          <w:szCs w:val="24"/>
          <w:lang w:eastAsia="en-GB"/>
          <w14:ligatures w14:val="none"/>
        </w:rPr>
        <w:t>Under the Working Time Regulations 1998 (WTR), all workers, including those on casual and irregular-hour contracts, are entitled to a minimum of 5.6 weeks (28 days) of paid annual leave per year, which can be pro-rated based on their working patterns (ACAS, 2024). For workers with irregular hours, holiday pay should be calculated using their average weekly earnings over the previous 52 weeks, co</w:t>
      </w:r>
      <w:r w:rsidRPr="00F277B8">
        <w:rPr>
          <w:rFonts w:ascii="Times New Roman" w:eastAsia="Times New Roman" w:hAnsi="Times New Roman" w:cs="Times New Roman"/>
          <w:kern w:val="0"/>
          <w:sz w:val="24"/>
          <w:szCs w:val="24"/>
          <w:lang w:eastAsia="en-GB"/>
          <w14:ligatures w14:val="none"/>
        </w:rPr>
        <w:t xml:space="preserve">unting </w:t>
      </w:r>
      <w:r w:rsidRPr="00F277B8">
        <w:rPr>
          <w:rFonts w:ascii="Times New Roman" w:eastAsia="Times New Roman" w:hAnsi="Times New Roman" w:cs="Times New Roman"/>
          <w:kern w:val="0"/>
          <w:sz w:val="24"/>
          <w:szCs w:val="24"/>
          <w:lang w:eastAsia="en-GB"/>
          <w14:ligatures w14:val="none"/>
        </w:rPr>
        <w:t>only the weeks in which they were paid. If they have been employed for less than 52 weeks, the calculation should be based on the total number of full weeks worked (ACAS, 2024).</w:t>
      </w:r>
    </w:p>
    <w:p w14:paraId="71919BD1" w14:textId="77777777" w:rsidR="00C86655" w:rsidRPr="00F277B8" w:rsidRDefault="00C86655" w:rsidP="00C86655">
      <w:pPr>
        <w:spacing w:after="0" w:line="240" w:lineRule="auto"/>
        <w:rPr>
          <w:rFonts w:ascii="Times New Roman" w:eastAsia="Times New Roman" w:hAnsi="Times New Roman" w:cs="Times New Roman"/>
          <w:kern w:val="0"/>
          <w:sz w:val="24"/>
          <w:szCs w:val="24"/>
          <w:lang w:eastAsia="en-GB"/>
          <w14:ligatures w14:val="none"/>
        </w:rPr>
      </w:pPr>
    </w:p>
    <w:p w14:paraId="7A139A02" w14:textId="77777777" w:rsidR="00C86655" w:rsidRPr="00F277B8" w:rsidRDefault="00C86655" w:rsidP="00C86655">
      <w:pPr>
        <w:spacing w:after="0" w:line="240" w:lineRule="auto"/>
        <w:rPr>
          <w:rFonts w:ascii="Times New Roman" w:eastAsia="Times New Roman" w:hAnsi="Times New Roman" w:cs="Times New Roman"/>
          <w:kern w:val="0"/>
          <w:sz w:val="24"/>
          <w:szCs w:val="24"/>
          <w:lang w:eastAsia="en-GB"/>
          <w14:ligatures w14:val="none"/>
        </w:rPr>
      </w:pPr>
      <w:r w:rsidRPr="00F277B8">
        <w:rPr>
          <w:rFonts w:ascii="Times New Roman" w:eastAsia="Times New Roman" w:hAnsi="Times New Roman" w:cs="Times New Roman"/>
          <w:kern w:val="0"/>
          <w:sz w:val="24"/>
          <w:szCs w:val="24"/>
          <w:lang w:eastAsia="en-GB"/>
          <w14:ligatures w14:val="none"/>
        </w:rPr>
        <w:t>To ensure fairness, holiday pay must reflect the worker’s usual earnings, including commission, bonuses, and regular overtime (ACAS, 2024). If a worker’s pay cycle runs from Thursday to Wednesday instead of the standard Sunday to Saturday, their holiday pay should be calculated based on their average earnings within that Thursday-to-Wednesday cycle (ACAS, 2024). This ensures that employees receive holiday pay that reflects their typical earnings rather than a basic hourly rate, which could otherwise result in financial disadvantage.</w:t>
      </w:r>
    </w:p>
    <w:p w14:paraId="5D082CF2" w14:textId="77777777" w:rsidR="00C86655" w:rsidRPr="00F277B8" w:rsidRDefault="00C86655" w:rsidP="00C86655">
      <w:pPr>
        <w:spacing w:after="0" w:line="240" w:lineRule="auto"/>
        <w:rPr>
          <w:rFonts w:ascii="Times New Roman" w:eastAsia="Times New Roman" w:hAnsi="Times New Roman" w:cs="Times New Roman"/>
          <w:kern w:val="0"/>
          <w:sz w:val="24"/>
          <w:szCs w:val="24"/>
          <w:lang w:eastAsia="en-GB"/>
          <w14:ligatures w14:val="none"/>
        </w:rPr>
      </w:pPr>
    </w:p>
    <w:p w14:paraId="1DB12140" w14:textId="1AFCDE70" w:rsidR="00C86655" w:rsidRPr="00F277B8" w:rsidRDefault="00C86655" w:rsidP="00C86655">
      <w:pPr>
        <w:spacing w:after="0" w:line="240" w:lineRule="auto"/>
        <w:rPr>
          <w:rFonts w:ascii="Times New Roman" w:eastAsia="Times New Roman" w:hAnsi="Times New Roman" w:cs="Times New Roman"/>
          <w:kern w:val="0"/>
          <w:sz w:val="24"/>
          <w:szCs w:val="24"/>
          <w:lang w:eastAsia="en-GB"/>
          <w14:ligatures w14:val="none"/>
        </w:rPr>
      </w:pPr>
      <w:r w:rsidRPr="00F277B8">
        <w:rPr>
          <w:rFonts w:ascii="Times New Roman" w:eastAsia="Times New Roman" w:hAnsi="Times New Roman" w:cs="Times New Roman"/>
          <w:kern w:val="0"/>
          <w:sz w:val="24"/>
          <w:szCs w:val="24"/>
          <w:lang w:eastAsia="en-GB"/>
          <w14:ligatures w14:val="none"/>
        </w:rPr>
        <w:t>Recent changes have legalised rolled</w:t>
      </w:r>
      <w:r w:rsidRPr="00F277B8">
        <w:rPr>
          <w:rFonts w:ascii="Times New Roman" w:eastAsia="Times New Roman" w:hAnsi="Times New Roman" w:cs="Times New Roman"/>
          <w:kern w:val="0"/>
          <w:sz w:val="24"/>
          <w:szCs w:val="24"/>
          <w:lang w:eastAsia="en-GB"/>
          <w14:ligatures w14:val="none"/>
        </w:rPr>
        <w:t xml:space="preserve"> </w:t>
      </w:r>
      <w:r w:rsidRPr="00F277B8">
        <w:rPr>
          <w:rFonts w:ascii="Times New Roman" w:eastAsia="Times New Roman" w:hAnsi="Times New Roman" w:cs="Times New Roman"/>
          <w:kern w:val="0"/>
          <w:sz w:val="24"/>
          <w:szCs w:val="24"/>
          <w:lang w:eastAsia="en-GB"/>
          <w14:ligatures w14:val="none"/>
        </w:rPr>
        <w:t>up holiday pay for part</w:t>
      </w:r>
      <w:r w:rsidRPr="00F277B8">
        <w:rPr>
          <w:rFonts w:ascii="Times New Roman" w:eastAsia="Times New Roman" w:hAnsi="Times New Roman" w:cs="Times New Roman"/>
          <w:kern w:val="0"/>
          <w:sz w:val="24"/>
          <w:szCs w:val="24"/>
          <w:lang w:eastAsia="en-GB"/>
          <w14:ligatures w14:val="none"/>
        </w:rPr>
        <w:t xml:space="preserve"> y</w:t>
      </w:r>
      <w:r w:rsidRPr="00F277B8">
        <w:rPr>
          <w:rFonts w:ascii="Times New Roman" w:eastAsia="Times New Roman" w:hAnsi="Times New Roman" w:cs="Times New Roman"/>
          <w:kern w:val="0"/>
          <w:sz w:val="24"/>
          <w:szCs w:val="24"/>
          <w:lang w:eastAsia="en-GB"/>
          <w14:ligatures w14:val="none"/>
        </w:rPr>
        <w:t>ear and irregular</w:t>
      </w:r>
      <w:r w:rsidRPr="00F277B8">
        <w:rPr>
          <w:rFonts w:ascii="Times New Roman" w:eastAsia="Times New Roman" w:hAnsi="Times New Roman" w:cs="Times New Roman"/>
          <w:kern w:val="0"/>
          <w:sz w:val="24"/>
          <w:szCs w:val="24"/>
          <w:lang w:eastAsia="en-GB"/>
          <w14:ligatures w14:val="none"/>
        </w:rPr>
        <w:t xml:space="preserve"> </w:t>
      </w:r>
      <w:r w:rsidRPr="00F277B8">
        <w:rPr>
          <w:rFonts w:ascii="Times New Roman" w:eastAsia="Times New Roman" w:hAnsi="Times New Roman" w:cs="Times New Roman"/>
          <w:kern w:val="0"/>
          <w:sz w:val="24"/>
          <w:szCs w:val="24"/>
          <w:lang w:eastAsia="en-GB"/>
          <w14:ligatures w14:val="none"/>
        </w:rPr>
        <w:t>hours workers. Under Regulation 16A of the Working Time Regulations 1998, employers can include holiday pay within each pay period instead of paying it when leave is taken. This is known as rolled-up holiday pay and is now legal for part</w:t>
      </w:r>
      <w:r w:rsidRPr="00F277B8">
        <w:rPr>
          <w:rFonts w:ascii="Times New Roman" w:eastAsia="Times New Roman" w:hAnsi="Times New Roman" w:cs="Times New Roman"/>
          <w:kern w:val="0"/>
          <w:sz w:val="24"/>
          <w:szCs w:val="24"/>
          <w:lang w:eastAsia="en-GB"/>
          <w14:ligatures w14:val="none"/>
        </w:rPr>
        <w:t xml:space="preserve"> </w:t>
      </w:r>
      <w:r w:rsidRPr="00F277B8">
        <w:rPr>
          <w:rFonts w:ascii="Times New Roman" w:eastAsia="Times New Roman" w:hAnsi="Times New Roman" w:cs="Times New Roman"/>
          <w:kern w:val="0"/>
          <w:sz w:val="24"/>
          <w:szCs w:val="24"/>
          <w:lang w:eastAsia="en-GB"/>
          <w14:ligatures w14:val="none"/>
        </w:rPr>
        <w:t>year and irregular</w:t>
      </w:r>
      <w:r w:rsidRPr="00F277B8">
        <w:rPr>
          <w:rFonts w:ascii="Times New Roman" w:eastAsia="Times New Roman" w:hAnsi="Times New Roman" w:cs="Times New Roman"/>
          <w:kern w:val="0"/>
          <w:sz w:val="24"/>
          <w:szCs w:val="24"/>
          <w:lang w:eastAsia="en-GB"/>
          <w14:ligatures w14:val="none"/>
        </w:rPr>
        <w:t xml:space="preserve"> </w:t>
      </w:r>
      <w:r w:rsidRPr="00F277B8">
        <w:rPr>
          <w:rFonts w:ascii="Times New Roman" w:eastAsia="Times New Roman" w:hAnsi="Times New Roman" w:cs="Times New Roman"/>
          <w:kern w:val="0"/>
          <w:sz w:val="24"/>
          <w:szCs w:val="24"/>
          <w:lang w:eastAsia="en-GB"/>
          <w14:ligatures w14:val="none"/>
        </w:rPr>
        <w:t xml:space="preserve">hours workers, provided that an uplift of 12.07% is applied to their pay to reflect their holiday entitlement (ACAS, 2024). </w:t>
      </w:r>
      <w:r w:rsidRPr="00F277B8">
        <w:rPr>
          <w:rFonts w:ascii="Times New Roman" w:eastAsia="Times New Roman" w:hAnsi="Times New Roman" w:cs="Times New Roman"/>
          <w:kern w:val="0"/>
          <w:sz w:val="24"/>
          <w:szCs w:val="24"/>
          <w:lang w:eastAsia="en-GB"/>
          <w14:ligatures w14:val="none"/>
        </w:rPr>
        <w:t>T</w:t>
      </w:r>
      <w:r w:rsidRPr="00F277B8">
        <w:rPr>
          <w:rFonts w:ascii="Times New Roman" w:eastAsia="Times New Roman" w:hAnsi="Times New Roman" w:cs="Times New Roman"/>
          <w:kern w:val="0"/>
          <w:sz w:val="24"/>
          <w:szCs w:val="24"/>
          <w:lang w:eastAsia="en-GB"/>
          <w14:ligatures w14:val="none"/>
        </w:rPr>
        <w:t>his does not apply to employees on fixed</w:t>
      </w:r>
      <w:r w:rsidRPr="00F277B8">
        <w:rPr>
          <w:rFonts w:ascii="Times New Roman" w:eastAsia="Times New Roman" w:hAnsi="Times New Roman" w:cs="Times New Roman"/>
          <w:kern w:val="0"/>
          <w:sz w:val="24"/>
          <w:szCs w:val="24"/>
          <w:lang w:eastAsia="en-GB"/>
          <w14:ligatures w14:val="none"/>
        </w:rPr>
        <w:t xml:space="preserve"> </w:t>
      </w:r>
      <w:r w:rsidRPr="00F277B8">
        <w:rPr>
          <w:rFonts w:ascii="Times New Roman" w:eastAsia="Times New Roman" w:hAnsi="Times New Roman" w:cs="Times New Roman"/>
          <w:kern w:val="0"/>
          <w:sz w:val="24"/>
          <w:szCs w:val="24"/>
          <w:lang w:eastAsia="en-GB"/>
          <w14:ligatures w14:val="none"/>
        </w:rPr>
        <w:t>hour contracts, where holiday pay must still be paid separately when leave is taken</w:t>
      </w:r>
      <w:r w:rsidRPr="00F277B8">
        <w:rPr>
          <w:rFonts w:ascii="Times New Roman" w:eastAsia="Times New Roman" w:hAnsi="Times New Roman" w:cs="Times New Roman"/>
          <w:kern w:val="0"/>
          <w:sz w:val="24"/>
          <w:szCs w:val="24"/>
          <w:lang w:eastAsia="en-GB"/>
          <w14:ligatures w14:val="none"/>
        </w:rPr>
        <w:t>. Any</w:t>
      </w:r>
      <w:r w:rsidRPr="00F277B8">
        <w:rPr>
          <w:rFonts w:ascii="Times New Roman" w:eastAsia="Times New Roman" w:hAnsi="Times New Roman" w:cs="Times New Roman"/>
          <w:kern w:val="0"/>
          <w:sz w:val="24"/>
          <w:szCs w:val="24"/>
          <w:lang w:eastAsia="en-GB"/>
          <w14:ligatures w14:val="none"/>
        </w:rPr>
        <w:t xml:space="preserve"> rolled</w:t>
      </w:r>
      <w:r w:rsidRPr="00F277B8">
        <w:rPr>
          <w:rFonts w:ascii="Times New Roman" w:eastAsia="Times New Roman" w:hAnsi="Times New Roman" w:cs="Times New Roman"/>
          <w:kern w:val="0"/>
          <w:sz w:val="24"/>
          <w:szCs w:val="24"/>
          <w:lang w:eastAsia="en-GB"/>
          <w14:ligatures w14:val="none"/>
        </w:rPr>
        <w:t xml:space="preserve"> </w:t>
      </w:r>
      <w:r w:rsidRPr="00F277B8">
        <w:rPr>
          <w:rFonts w:ascii="Times New Roman" w:eastAsia="Times New Roman" w:hAnsi="Times New Roman" w:cs="Times New Roman"/>
          <w:kern w:val="0"/>
          <w:sz w:val="24"/>
          <w:szCs w:val="24"/>
          <w:lang w:eastAsia="en-GB"/>
          <w14:ligatures w14:val="none"/>
        </w:rPr>
        <w:t>up holiday pay must be clearly itemised on the worker’s payslip to ensure transparency and compliance (ACAS, 2024).</w:t>
      </w:r>
    </w:p>
    <w:p w14:paraId="2F5545DB" w14:textId="77777777" w:rsidR="00C86655" w:rsidRPr="00F277B8" w:rsidRDefault="00C86655" w:rsidP="00C86655">
      <w:pPr>
        <w:spacing w:after="0" w:line="240" w:lineRule="auto"/>
        <w:rPr>
          <w:rFonts w:ascii="Times New Roman" w:eastAsia="Times New Roman" w:hAnsi="Times New Roman" w:cs="Times New Roman"/>
          <w:kern w:val="0"/>
          <w:sz w:val="24"/>
          <w:szCs w:val="24"/>
          <w:lang w:eastAsia="en-GB"/>
          <w14:ligatures w14:val="none"/>
        </w:rPr>
      </w:pPr>
    </w:p>
    <w:p w14:paraId="75659F79" w14:textId="1918501C" w:rsidR="00C86655" w:rsidRPr="00F277B8" w:rsidRDefault="00C86655" w:rsidP="00C86655">
      <w:pPr>
        <w:spacing w:after="0" w:line="240" w:lineRule="auto"/>
        <w:rPr>
          <w:rFonts w:ascii="Times New Roman" w:eastAsia="Times New Roman" w:hAnsi="Times New Roman" w:cs="Times New Roman"/>
          <w:kern w:val="0"/>
          <w:sz w:val="24"/>
          <w:szCs w:val="24"/>
          <w:lang w:eastAsia="en-GB"/>
          <w14:ligatures w14:val="none"/>
        </w:rPr>
      </w:pPr>
      <w:r w:rsidRPr="00F277B8">
        <w:rPr>
          <w:rFonts w:ascii="Times New Roman" w:eastAsia="Times New Roman" w:hAnsi="Times New Roman" w:cs="Times New Roman"/>
          <w:kern w:val="0"/>
          <w:sz w:val="24"/>
          <w:szCs w:val="24"/>
          <w:lang w:eastAsia="en-GB"/>
          <w14:ligatures w14:val="none"/>
        </w:rPr>
        <w:t xml:space="preserve">For bank staff who work varying hours, </w:t>
      </w:r>
      <w:r w:rsidRPr="00F277B8">
        <w:rPr>
          <w:rFonts w:ascii="Times New Roman" w:eastAsia="Times New Roman" w:hAnsi="Times New Roman" w:cs="Times New Roman"/>
          <w:kern w:val="0"/>
          <w:sz w:val="24"/>
          <w:szCs w:val="24"/>
          <w:lang w:eastAsia="en-GB"/>
          <w14:ligatures w14:val="none"/>
        </w:rPr>
        <w:t>you need to</w:t>
      </w:r>
      <w:r w:rsidRPr="00F277B8">
        <w:rPr>
          <w:rFonts w:ascii="Times New Roman" w:eastAsia="Times New Roman" w:hAnsi="Times New Roman" w:cs="Times New Roman"/>
          <w:kern w:val="0"/>
          <w:sz w:val="24"/>
          <w:szCs w:val="24"/>
          <w:lang w:eastAsia="en-GB"/>
          <w14:ligatures w14:val="none"/>
        </w:rPr>
        <w:t xml:space="preserve"> ensure that their holiday entitlement is calculated fairly and does not disadvantage them compared to full</w:t>
      </w:r>
      <w:r w:rsidR="00B90A64" w:rsidRPr="00F277B8">
        <w:rPr>
          <w:rFonts w:ascii="Times New Roman" w:eastAsia="Times New Roman" w:hAnsi="Times New Roman" w:cs="Times New Roman"/>
          <w:kern w:val="0"/>
          <w:sz w:val="24"/>
          <w:szCs w:val="24"/>
          <w:lang w:eastAsia="en-GB"/>
          <w14:ligatures w14:val="none"/>
        </w:rPr>
        <w:t xml:space="preserve"> t</w:t>
      </w:r>
      <w:r w:rsidRPr="00F277B8">
        <w:rPr>
          <w:rFonts w:ascii="Times New Roman" w:eastAsia="Times New Roman" w:hAnsi="Times New Roman" w:cs="Times New Roman"/>
          <w:kern w:val="0"/>
          <w:sz w:val="24"/>
          <w:szCs w:val="24"/>
          <w:lang w:eastAsia="en-GB"/>
          <w14:ligatures w14:val="none"/>
        </w:rPr>
        <w:t xml:space="preserve">ime staff. If an employer fails to properly calculate holiday pay, this could lead to claims at an Employment Tribunal under WTR 1998 (CIPD, 2025). </w:t>
      </w:r>
      <w:r w:rsidR="00B90A64" w:rsidRPr="00F277B8">
        <w:rPr>
          <w:rFonts w:ascii="Times New Roman" w:eastAsia="Times New Roman" w:hAnsi="Times New Roman" w:cs="Times New Roman"/>
          <w:kern w:val="0"/>
          <w:sz w:val="24"/>
          <w:szCs w:val="24"/>
          <w:lang w:eastAsia="en-GB"/>
          <w14:ligatures w14:val="none"/>
        </w:rPr>
        <w:t>Employers should remember the British Gas Trading Ltd v Lock (2016) case, which confirmed that holiday pay must include regular earnings like commission and overtime, not just base salary.</w:t>
      </w:r>
    </w:p>
    <w:p w14:paraId="56A3D8A5" w14:textId="77777777" w:rsidR="00C86655" w:rsidRPr="00F277B8" w:rsidRDefault="00C86655" w:rsidP="00C86655">
      <w:pPr>
        <w:spacing w:after="0" w:line="240" w:lineRule="auto"/>
        <w:rPr>
          <w:rFonts w:ascii="Times New Roman" w:eastAsia="Times New Roman" w:hAnsi="Times New Roman" w:cs="Times New Roman"/>
          <w:kern w:val="0"/>
          <w:sz w:val="24"/>
          <w:szCs w:val="24"/>
          <w:lang w:eastAsia="en-GB"/>
          <w14:ligatures w14:val="none"/>
        </w:rPr>
      </w:pPr>
    </w:p>
    <w:p w14:paraId="66BB1D29" w14:textId="4B9B59E3" w:rsidR="00C86655" w:rsidRPr="00F277B8" w:rsidRDefault="00C86655" w:rsidP="00C86655">
      <w:pPr>
        <w:spacing w:after="0" w:line="240" w:lineRule="auto"/>
        <w:rPr>
          <w:rFonts w:ascii="Times New Roman" w:eastAsia="Times New Roman" w:hAnsi="Times New Roman" w:cs="Times New Roman"/>
          <w:kern w:val="0"/>
          <w:sz w:val="24"/>
          <w:szCs w:val="24"/>
          <w:lang w:eastAsia="en-GB"/>
          <w14:ligatures w14:val="none"/>
        </w:rPr>
      </w:pPr>
      <w:r w:rsidRPr="00F277B8">
        <w:rPr>
          <w:rFonts w:ascii="Times New Roman" w:eastAsia="Times New Roman" w:hAnsi="Times New Roman" w:cs="Times New Roman"/>
          <w:kern w:val="0"/>
          <w:sz w:val="24"/>
          <w:szCs w:val="24"/>
          <w:lang w:eastAsia="en-GB"/>
          <w14:ligatures w14:val="none"/>
        </w:rPr>
        <w:t>The Supreme Court case of Harpur Trust v Brazel (2022) also clarified that casual and zero</w:t>
      </w:r>
      <w:r w:rsidR="00B90A64" w:rsidRPr="00F277B8">
        <w:rPr>
          <w:rFonts w:ascii="Times New Roman" w:eastAsia="Times New Roman" w:hAnsi="Times New Roman" w:cs="Times New Roman"/>
          <w:kern w:val="0"/>
          <w:sz w:val="24"/>
          <w:szCs w:val="24"/>
          <w:lang w:eastAsia="en-GB"/>
          <w14:ligatures w14:val="none"/>
        </w:rPr>
        <w:t xml:space="preserve"> </w:t>
      </w:r>
      <w:r w:rsidRPr="00F277B8">
        <w:rPr>
          <w:rFonts w:ascii="Times New Roman" w:eastAsia="Times New Roman" w:hAnsi="Times New Roman" w:cs="Times New Roman"/>
          <w:kern w:val="0"/>
          <w:sz w:val="24"/>
          <w:szCs w:val="24"/>
          <w:lang w:eastAsia="en-GB"/>
          <w14:ligatures w14:val="none"/>
        </w:rPr>
        <w:t xml:space="preserve">hours workers should not have their holiday entitlement reduced proportionally using the 12.07% </w:t>
      </w:r>
      <w:proofErr w:type="gramStart"/>
      <w:r w:rsidRPr="00F277B8">
        <w:rPr>
          <w:rFonts w:ascii="Times New Roman" w:eastAsia="Times New Roman" w:hAnsi="Times New Roman" w:cs="Times New Roman"/>
          <w:kern w:val="0"/>
          <w:sz w:val="24"/>
          <w:szCs w:val="24"/>
          <w:lang w:eastAsia="en-GB"/>
          <w14:ligatures w14:val="none"/>
        </w:rPr>
        <w:t>calculation, but</w:t>
      </w:r>
      <w:proofErr w:type="gramEnd"/>
      <w:r w:rsidRPr="00F277B8">
        <w:rPr>
          <w:rFonts w:ascii="Times New Roman" w:eastAsia="Times New Roman" w:hAnsi="Times New Roman" w:cs="Times New Roman"/>
          <w:kern w:val="0"/>
          <w:sz w:val="24"/>
          <w:szCs w:val="24"/>
          <w:lang w:eastAsia="en-GB"/>
          <w14:ligatures w14:val="none"/>
        </w:rPr>
        <w:t xml:space="preserve"> instead should receive the full 5.6 weeks’ statutory leave entitlement. This means that bank nurses working irregular hours must be given their full holiday entitlement, and employers should ensure that policies align with this ruling to avoid non-compliance (Daniels, 2022).</w:t>
      </w:r>
    </w:p>
    <w:p w14:paraId="335AAB53" w14:textId="77777777" w:rsidR="00C86655" w:rsidRPr="00F277B8" w:rsidRDefault="00C86655" w:rsidP="00C86655">
      <w:pPr>
        <w:spacing w:after="0" w:line="240" w:lineRule="auto"/>
        <w:rPr>
          <w:rFonts w:ascii="Times New Roman" w:eastAsia="Times New Roman" w:hAnsi="Times New Roman" w:cs="Times New Roman"/>
          <w:kern w:val="0"/>
          <w:sz w:val="24"/>
          <w:szCs w:val="24"/>
          <w:lang w:eastAsia="en-GB"/>
          <w14:ligatures w14:val="none"/>
        </w:rPr>
      </w:pPr>
    </w:p>
    <w:p w14:paraId="386B6B8A" w14:textId="195ECC75" w:rsidR="00C86655" w:rsidRPr="00F277B8" w:rsidRDefault="00B90A64" w:rsidP="00C86655">
      <w:pPr>
        <w:spacing w:after="0" w:line="240" w:lineRule="auto"/>
        <w:rPr>
          <w:rFonts w:ascii="Times New Roman" w:eastAsia="Times New Roman" w:hAnsi="Times New Roman" w:cs="Times New Roman"/>
          <w:kern w:val="0"/>
          <w:sz w:val="24"/>
          <w:szCs w:val="24"/>
          <w:lang w:eastAsia="en-GB"/>
          <w14:ligatures w14:val="none"/>
        </w:rPr>
      </w:pPr>
      <w:r w:rsidRPr="00F277B8">
        <w:rPr>
          <w:rFonts w:ascii="Times New Roman" w:eastAsia="Times New Roman" w:hAnsi="Times New Roman" w:cs="Times New Roman"/>
          <w:kern w:val="0"/>
          <w:sz w:val="24"/>
          <w:szCs w:val="24"/>
          <w:lang w:eastAsia="en-GB"/>
          <w14:ligatures w14:val="none"/>
        </w:rPr>
        <w:lastRenderedPageBreak/>
        <w:t>When looking at</w:t>
      </w:r>
      <w:r w:rsidR="00C86655" w:rsidRPr="00F277B8">
        <w:rPr>
          <w:rFonts w:ascii="Times New Roman" w:eastAsia="Times New Roman" w:hAnsi="Times New Roman" w:cs="Times New Roman"/>
          <w:kern w:val="0"/>
          <w:sz w:val="24"/>
          <w:szCs w:val="24"/>
          <w:lang w:eastAsia="en-GB"/>
          <w14:ligatures w14:val="none"/>
        </w:rPr>
        <w:t xml:space="preserve"> holiday pay calculations for bank staff, it is advisable to keep detailed payroll records, provide clear payslips, and communicate entitlements clearly. Ensuring compliance with WTR 1998, case law, and ACAS guidance will help the Trust avoid legal disputes and promote fairness in employment practices.</w:t>
      </w:r>
    </w:p>
    <w:p w14:paraId="0C09658D" w14:textId="77777777" w:rsidR="00C86655" w:rsidRPr="00F277B8" w:rsidRDefault="00C86655" w:rsidP="00C86655">
      <w:pPr>
        <w:spacing w:after="0" w:line="240" w:lineRule="auto"/>
        <w:rPr>
          <w:rFonts w:ascii="Times New Roman" w:eastAsia="Times New Roman" w:hAnsi="Times New Roman" w:cs="Times New Roman"/>
          <w:kern w:val="0"/>
          <w:sz w:val="24"/>
          <w:szCs w:val="24"/>
          <w:lang w:eastAsia="en-GB"/>
          <w14:ligatures w14:val="none"/>
        </w:rPr>
      </w:pPr>
    </w:p>
    <w:p w14:paraId="6D9316C7" w14:textId="64D65222" w:rsidR="00C86655" w:rsidRPr="00F277B8" w:rsidRDefault="00C86655" w:rsidP="00C86655">
      <w:pPr>
        <w:spacing w:after="0" w:line="240" w:lineRule="auto"/>
        <w:rPr>
          <w:rFonts w:ascii="Times New Roman" w:eastAsia="Times New Roman" w:hAnsi="Times New Roman" w:cs="Times New Roman"/>
          <w:kern w:val="0"/>
          <w:sz w:val="24"/>
          <w:szCs w:val="24"/>
          <w:lang w:eastAsia="en-GB"/>
          <w14:ligatures w14:val="none"/>
        </w:rPr>
      </w:pPr>
      <w:r w:rsidRPr="00F277B8">
        <w:rPr>
          <w:rFonts w:ascii="Times New Roman" w:eastAsia="Times New Roman" w:hAnsi="Times New Roman" w:cs="Times New Roman"/>
          <w:kern w:val="0"/>
          <w:sz w:val="24"/>
          <w:szCs w:val="24"/>
          <w:lang w:eastAsia="en-GB"/>
          <w14:ligatures w14:val="none"/>
        </w:rPr>
        <w:t>.</w:t>
      </w:r>
    </w:p>
    <w:p w14:paraId="40562E4D" w14:textId="77777777" w:rsidR="00C86655" w:rsidRPr="00F277B8" w:rsidRDefault="00C86655" w:rsidP="00C86655">
      <w:pPr>
        <w:spacing w:after="0" w:line="240" w:lineRule="auto"/>
        <w:rPr>
          <w:rFonts w:ascii="Times New Roman" w:eastAsia="Times New Roman" w:hAnsi="Times New Roman" w:cs="Times New Roman"/>
          <w:kern w:val="0"/>
          <w:sz w:val="24"/>
          <w:szCs w:val="24"/>
          <w:lang w:eastAsia="en-GB"/>
          <w14:ligatures w14:val="none"/>
        </w:rPr>
      </w:pPr>
    </w:p>
    <w:p w14:paraId="4DCB5341" w14:textId="5AA0F957" w:rsidR="002832E1" w:rsidRPr="00F277B8" w:rsidRDefault="000940D6" w:rsidP="00B9634F">
      <w:pPr>
        <w:pStyle w:val="ListParagraph"/>
        <w:numPr>
          <w:ilvl w:val="0"/>
          <w:numId w:val="11"/>
        </w:numPr>
        <w:spacing w:after="0" w:line="240" w:lineRule="auto"/>
        <w:ind w:left="0"/>
        <w:rPr>
          <w:rFonts w:ascii="Times New Roman" w:eastAsia="Times New Roman" w:hAnsi="Times New Roman" w:cs="Times New Roman"/>
          <w:b/>
          <w:bCs/>
          <w:kern w:val="0"/>
          <w:sz w:val="24"/>
          <w:szCs w:val="24"/>
          <w:lang w:eastAsia="en-GB"/>
          <w14:ligatures w14:val="none"/>
        </w:rPr>
      </w:pPr>
      <w:r w:rsidRPr="00F277B8">
        <w:rPr>
          <w:rFonts w:ascii="Times New Roman" w:eastAsia="Times New Roman" w:hAnsi="Times New Roman" w:cs="Times New Roman"/>
          <w:b/>
          <w:bCs/>
          <w:kern w:val="0"/>
          <w:sz w:val="24"/>
          <w:szCs w:val="24"/>
          <w:lang w:eastAsia="en-GB"/>
          <w14:ligatures w14:val="none"/>
        </w:rPr>
        <w:t>(AC 4.2)</w:t>
      </w:r>
    </w:p>
    <w:p w14:paraId="2A6273E6" w14:textId="0451F545" w:rsidR="00880126" w:rsidRPr="00F277B8" w:rsidRDefault="00880126" w:rsidP="00880126">
      <w:pPr>
        <w:pStyle w:val="NormalWeb"/>
      </w:pPr>
      <w:r w:rsidRPr="00F277B8">
        <w:t xml:space="preserve">Maternity leave is a statutory entitlement for pregnant employees, allowing up to 52 weeks of leave, which includes 26 weeks of Ordinary Maternity Leave (OML) and 26 weeks of Additional Maternity Leave (AML) (Daniels, 2023). Throughout this, </w:t>
      </w:r>
      <w:r w:rsidR="001A4121" w:rsidRPr="00F277B8">
        <w:t>your</w:t>
      </w:r>
      <w:r w:rsidRPr="00F277B8">
        <w:t xml:space="preserve"> employment contract remains in place, meaning </w:t>
      </w:r>
      <w:r w:rsidR="001A4121" w:rsidRPr="00F277B8">
        <w:t xml:space="preserve">your </w:t>
      </w:r>
      <w:r w:rsidRPr="00F277B8">
        <w:t xml:space="preserve">terms and conditions </w:t>
      </w:r>
      <w:r w:rsidR="005A1503" w:rsidRPr="00F277B8">
        <w:t xml:space="preserve">remain the same </w:t>
      </w:r>
      <w:r w:rsidRPr="00F277B8">
        <w:t xml:space="preserve">except for pay. Statutory Maternity Pay (SMP) is available for up to 39 weeks, with the first six weeks paid at 90% of </w:t>
      </w:r>
      <w:r w:rsidR="001A4121" w:rsidRPr="00F277B8">
        <w:t>your</w:t>
      </w:r>
      <w:r w:rsidRPr="00F277B8">
        <w:t xml:space="preserve"> average earnings and the remaining weeks paid at a rate or 90% of earnings, whichever is lower (Maternity Action, 2024). If </w:t>
      </w:r>
      <w:r w:rsidR="001A4121" w:rsidRPr="00F277B8">
        <w:t>you</w:t>
      </w:r>
      <w:r w:rsidRPr="00F277B8">
        <w:t xml:space="preserve"> do not qualify for SMP, </w:t>
      </w:r>
      <w:r w:rsidR="001A4121" w:rsidRPr="00F277B8">
        <w:t>you</w:t>
      </w:r>
      <w:r w:rsidR="005A1503" w:rsidRPr="00F277B8">
        <w:t xml:space="preserve"> </w:t>
      </w:r>
      <w:r w:rsidRPr="00F277B8">
        <w:t>may be eligible for Maternity Allowance.</w:t>
      </w:r>
    </w:p>
    <w:p w14:paraId="1E04F9C0" w14:textId="094A6A80" w:rsidR="00880126" w:rsidRPr="00F277B8" w:rsidRDefault="00880126" w:rsidP="00880126">
      <w:pPr>
        <w:pStyle w:val="NormalWeb"/>
      </w:pPr>
      <w:r w:rsidRPr="00F277B8">
        <w:t>One key benefit of maternity leave is the right to return to the same job if OML</w:t>
      </w:r>
      <w:r w:rsidR="005A1503" w:rsidRPr="00F277B8">
        <w:t xml:space="preserve"> is taken</w:t>
      </w:r>
      <w:r w:rsidRPr="00F277B8">
        <w:t xml:space="preserve"> or a total of 26 weeks or less of leave, including any period of shared parental leave. If leave exceeds this, and </w:t>
      </w:r>
      <w:r w:rsidR="005A1503" w:rsidRPr="00F277B8">
        <w:t>the</w:t>
      </w:r>
      <w:r w:rsidRPr="00F277B8">
        <w:t xml:space="preserve"> previous role is no longer available, </w:t>
      </w:r>
      <w:r w:rsidR="001A4121" w:rsidRPr="00F277B8">
        <w:t>you</w:t>
      </w:r>
      <w:r w:rsidRPr="00F277B8">
        <w:t xml:space="preserve"> must be offered a suitable alternative with no less favourable terms and conditions (CIPD, 2024).</w:t>
      </w:r>
    </w:p>
    <w:p w14:paraId="3FEE0142" w14:textId="51E995CD" w:rsidR="00880126" w:rsidRPr="00F277B8" w:rsidRDefault="00880126" w:rsidP="00880126">
      <w:pPr>
        <w:pStyle w:val="NormalWeb"/>
      </w:pPr>
      <w:r w:rsidRPr="00F277B8">
        <w:t xml:space="preserve">Shared Parental Leave (SPL) is a more flexible option that allows eligible parents to share up to 50 weeks of leave and 37 weeks of pay, which can be taken together or separately (Maternity Action, 2024). This flexibility </w:t>
      </w:r>
      <w:r w:rsidR="005A1503" w:rsidRPr="00F277B8">
        <w:t>lets</w:t>
      </w:r>
      <w:r w:rsidRPr="00F277B8">
        <w:t xml:space="preserve"> both parents to be off work at the same time or to </w:t>
      </w:r>
      <w:r w:rsidR="005A1503" w:rsidRPr="00F277B8">
        <w:t xml:space="preserve">alternate </w:t>
      </w:r>
      <w:r w:rsidRPr="00F277B8">
        <w:t>their leave, ensuring that one parent is always at home with the child during the first year. To qualify for SPL and Shared Parental Pay (</w:t>
      </w:r>
      <w:proofErr w:type="spellStart"/>
      <w:r w:rsidRPr="00F277B8">
        <w:t>ShPP</w:t>
      </w:r>
      <w:proofErr w:type="spellEnd"/>
      <w:r w:rsidRPr="00F277B8">
        <w:t xml:space="preserve">), both </w:t>
      </w:r>
      <w:r w:rsidR="007727CC" w:rsidRPr="00F277B8">
        <w:t>parents</w:t>
      </w:r>
      <w:r w:rsidRPr="00F277B8">
        <w:t xml:space="preserve"> must meet specific eligibility criteria. </w:t>
      </w:r>
      <w:r w:rsidR="001A4121" w:rsidRPr="00F277B8">
        <w:t>You and your partner</w:t>
      </w:r>
      <w:r w:rsidRPr="00F277B8">
        <w:t xml:space="preserve"> must have worked for at least 26 weeks in the 66 weeks before the due date and earned at least £390 across any 13 of those weeks. </w:t>
      </w:r>
      <w:proofErr w:type="gramStart"/>
      <w:r w:rsidR="001A4121" w:rsidRPr="00F277B8">
        <w:t>Also</w:t>
      </w:r>
      <w:proofErr w:type="gramEnd"/>
      <w:r w:rsidR="001A4121" w:rsidRPr="00F277B8">
        <w:t xml:space="preserve"> you both</w:t>
      </w:r>
      <w:r w:rsidRPr="00F277B8">
        <w:t xml:space="preserve"> must have been continuously employed with the same employer for at least 26 weeks before the 15th week before the due date and earn at least £123 per week on average (CIPD, 2024).</w:t>
      </w:r>
    </w:p>
    <w:p w14:paraId="28B317E5" w14:textId="4FDC0F6F" w:rsidR="00880126" w:rsidRPr="00F277B8" w:rsidRDefault="00880126" w:rsidP="00880126">
      <w:pPr>
        <w:pStyle w:val="NormalWeb"/>
      </w:pPr>
      <w:r w:rsidRPr="00F277B8">
        <w:t xml:space="preserve">One of the main advantages of SPL is that it allows </w:t>
      </w:r>
      <w:r w:rsidR="001A4121" w:rsidRPr="00F277B8">
        <w:t>both you and your partner</w:t>
      </w:r>
      <w:r w:rsidRPr="00F277B8">
        <w:t xml:space="preserve"> to take time off in blocks rather than a continuous period, giving greater control over leave arrangements. However, maternity leave provides a longer period of job protection and continuity. The best option will depend on </w:t>
      </w:r>
      <w:proofErr w:type="gramStart"/>
      <w:r w:rsidR="005A1503" w:rsidRPr="00F277B8">
        <w:t xml:space="preserve">each </w:t>
      </w:r>
      <w:r w:rsidR="004A7D65" w:rsidRPr="00F277B8">
        <w:t>individual’s</w:t>
      </w:r>
      <w:proofErr w:type="gramEnd"/>
      <w:r w:rsidR="005A1503" w:rsidRPr="00F277B8">
        <w:t xml:space="preserve"> </w:t>
      </w:r>
      <w:r w:rsidRPr="00F277B8">
        <w:t xml:space="preserve">family circumstances, financial needs, and how </w:t>
      </w:r>
      <w:r w:rsidR="001A4121" w:rsidRPr="00F277B8">
        <w:t>you</w:t>
      </w:r>
      <w:r w:rsidRPr="00F277B8">
        <w:t xml:space="preserve"> want to share childcare responsibilities.</w:t>
      </w:r>
    </w:p>
    <w:p w14:paraId="067F40F3" w14:textId="77777777" w:rsidR="000940D6" w:rsidRPr="00F277B8" w:rsidRDefault="000940D6" w:rsidP="00D27B48">
      <w:pPr>
        <w:spacing w:after="0" w:line="240" w:lineRule="auto"/>
        <w:rPr>
          <w:rFonts w:ascii="Times New Roman" w:eastAsia="Times New Roman" w:hAnsi="Times New Roman" w:cs="Times New Roman"/>
          <w:b/>
          <w:bCs/>
          <w:kern w:val="0"/>
          <w:sz w:val="24"/>
          <w:szCs w:val="24"/>
          <w:lang w:eastAsia="en-GB"/>
          <w14:ligatures w14:val="none"/>
        </w:rPr>
      </w:pPr>
    </w:p>
    <w:p w14:paraId="62D5CBB4" w14:textId="73F662C3" w:rsidR="001A4121" w:rsidRPr="00F277B8" w:rsidRDefault="001A4121" w:rsidP="00B9634F">
      <w:pPr>
        <w:pStyle w:val="ListParagraph"/>
        <w:numPr>
          <w:ilvl w:val="0"/>
          <w:numId w:val="11"/>
        </w:numPr>
        <w:spacing w:after="0" w:line="240" w:lineRule="auto"/>
        <w:ind w:left="0"/>
        <w:rPr>
          <w:rFonts w:ascii="Times New Roman" w:eastAsia="Times New Roman" w:hAnsi="Times New Roman" w:cs="Times New Roman"/>
          <w:b/>
          <w:bCs/>
          <w:kern w:val="0"/>
          <w:sz w:val="24"/>
          <w:szCs w:val="24"/>
          <w:lang w:eastAsia="en-GB"/>
          <w14:ligatures w14:val="none"/>
        </w:rPr>
      </w:pPr>
      <w:r w:rsidRPr="00F277B8">
        <w:rPr>
          <w:rFonts w:ascii="Times New Roman" w:eastAsia="Times New Roman" w:hAnsi="Times New Roman" w:cs="Times New Roman"/>
          <w:b/>
          <w:bCs/>
          <w:kern w:val="0"/>
          <w:sz w:val="24"/>
          <w:szCs w:val="24"/>
          <w:lang w:eastAsia="en-GB"/>
          <w14:ligatures w14:val="none"/>
        </w:rPr>
        <w:t>(AC 4.3)</w:t>
      </w:r>
    </w:p>
    <w:p w14:paraId="058B59C8" w14:textId="77777777" w:rsidR="001A4121" w:rsidRPr="00F277B8" w:rsidRDefault="001A4121" w:rsidP="001A4121">
      <w:pPr>
        <w:spacing w:after="0" w:line="240" w:lineRule="auto"/>
        <w:rPr>
          <w:rFonts w:ascii="Times New Roman" w:eastAsia="Times New Roman" w:hAnsi="Times New Roman" w:cs="Times New Roman"/>
          <w:b/>
          <w:bCs/>
          <w:kern w:val="0"/>
          <w:sz w:val="24"/>
          <w:szCs w:val="24"/>
          <w:lang w:eastAsia="en-GB"/>
          <w14:ligatures w14:val="none"/>
        </w:rPr>
      </w:pPr>
    </w:p>
    <w:p w14:paraId="74DC7907" w14:textId="484EA83E" w:rsidR="001A4121" w:rsidRPr="00F277B8" w:rsidRDefault="001A4121" w:rsidP="001A4121">
      <w:pPr>
        <w:spacing w:after="0" w:line="240" w:lineRule="auto"/>
        <w:rPr>
          <w:rFonts w:ascii="Times New Roman" w:eastAsia="Times New Roman" w:hAnsi="Times New Roman" w:cs="Times New Roman"/>
          <w:kern w:val="0"/>
          <w:sz w:val="24"/>
          <w:szCs w:val="24"/>
          <w:lang w:eastAsia="en-GB"/>
          <w14:ligatures w14:val="none"/>
        </w:rPr>
      </w:pPr>
      <w:r w:rsidRPr="00F277B8">
        <w:rPr>
          <w:rFonts w:ascii="Times New Roman" w:hAnsi="Times New Roman" w:cs="Times New Roman"/>
          <w:sz w:val="24"/>
          <w:szCs w:val="24"/>
        </w:rPr>
        <w:t xml:space="preserve">Under the Employment Rights Act 1996, all employees have the statutory right to request flexible working, </w:t>
      </w:r>
      <w:proofErr w:type="gramStart"/>
      <w:r w:rsidRPr="00F277B8">
        <w:rPr>
          <w:rFonts w:ascii="Times New Roman" w:hAnsi="Times New Roman" w:cs="Times New Roman"/>
          <w:sz w:val="24"/>
          <w:szCs w:val="24"/>
        </w:rPr>
        <w:t>as long as</w:t>
      </w:r>
      <w:proofErr w:type="gramEnd"/>
      <w:r w:rsidRPr="00F277B8">
        <w:rPr>
          <w:rFonts w:ascii="Times New Roman" w:hAnsi="Times New Roman" w:cs="Times New Roman"/>
          <w:sz w:val="24"/>
          <w:szCs w:val="24"/>
        </w:rPr>
        <w:t xml:space="preserve"> they have been employed for at least 26 weeks and have not made more than one other request in the last 12 months (Daniels, 2023). A flexible working request can be changes to working hours, working days, or the place of work, such as remote working (CIPD, 2024). The request must be made in writing and include details of the changes, the requested start date, and whether the employee has made previous requests. </w:t>
      </w:r>
      <w:r w:rsidRPr="00F277B8">
        <w:rPr>
          <w:rFonts w:ascii="Times New Roman" w:hAnsi="Times New Roman" w:cs="Times New Roman"/>
          <w:sz w:val="24"/>
          <w:szCs w:val="24"/>
        </w:rPr>
        <w:lastRenderedPageBreak/>
        <w:t xml:space="preserve">Employers have a </w:t>
      </w:r>
      <w:r w:rsidRPr="00F277B8">
        <w:rPr>
          <w:rStyle w:val="Strong"/>
          <w:rFonts w:ascii="Times New Roman" w:hAnsi="Times New Roman" w:cs="Times New Roman"/>
          <w:b w:val="0"/>
          <w:bCs w:val="0"/>
          <w:sz w:val="24"/>
          <w:szCs w:val="24"/>
        </w:rPr>
        <w:t>legal obligation</w:t>
      </w:r>
      <w:r w:rsidRPr="00F277B8">
        <w:rPr>
          <w:rFonts w:ascii="Times New Roman" w:hAnsi="Times New Roman" w:cs="Times New Roman"/>
          <w:sz w:val="24"/>
          <w:szCs w:val="24"/>
        </w:rPr>
        <w:t xml:space="preserve"> to handle such requests in a </w:t>
      </w:r>
      <w:r w:rsidRPr="00F277B8">
        <w:rPr>
          <w:rStyle w:val="Strong"/>
          <w:rFonts w:ascii="Times New Roman" w:hAnsi="Times New Roman" w:cs="Times New Roman"/>
          <w:b w:val="0"/>
          <w:bCs w:val="0"/>
          <w:sz w:val="24"/>
          <w:szCs w:val="24"/>
        </w:rPr>
        <w:t>reasonable manner</w:t>
      </w:r>
      <w:r w:rsidRPr="00F277B8">
        <w:rPr>
          <w:rFonts w:ascii="Times New Roman" w:hAnsi="Times New Roman" w:cs="Times New Roman"/>
          <w:sz w:val="24"/>
          <w:szCs w:val="24"/>
        </w:rPr>
        <w:t xml:space="preserve"> and must decide within </w:t>
      </w:r>
      <w:r w:rsidRPr="00F277B8">
        <w:rPr>
          <w:rStyle w:val="Strong"/>
          <w:rFonts w:ascii="Times New Roman" w:hAnsi="Times New Roman" w:cs="Times New Roman"/>
          <w:b w:val="0"/>
          <w:bCs w:val="0"/>
          <w:sz w:val="24"/>
          <w:szCs w:val="24"/>
        </w:rPr>
        <w:t>two months</w:t>
      </w:r>
      <w:r w:rsidRPr="00F277B8">
        <w:rPr>
          <w:rFonts w:ascii="Times New Roman" w:hAnsi="Times New Roman" w:cs="Times New Roman"/>
          <w:sz w:val="24"/>
          <w:szCs w:val="24"/>
        </w:rPr>
        <w:t xml:space="preserve"> (CIPD, 2024).</w:t>
      </w:r>
    </w:p>
    <w:p w14:paraId="491BF396" w14:textId="464BCD0A" w:rsidR="001A4121" w:rsidRPr="00F277B8" w:rsidRDefault="001A4121" w:rsidP="001A4121">
      <w:pPr>
        <w:pStyle w:val="NormalWeb"/>
      </w:pPr>
      <w:r w:rsidRPr="00F277B8">
        <w:t xml:space="preserve">Employers can </w:t>
      </w:r>
      <w:r w:rsidRPr="00F277B8">
        <w:rPr>
          <w:rStyle w:val="Strong"/>
          <w:rFonts w:eastAsiaTheme="majorEastAsia"/>
          <w:b w:val="0"/>
          <w:bCs w:val="0"/>
        </w:rPr>
        <w:t>refuse a request</w:t>
      </w:r>
      <w:r w:rsidRPr="00F277B8">
        <w:rPr>
          <w:b/>
          <w:bCs/>
        </w:rPr>
        <w:t>,</w:t>
      </w:r>
      <w:r w:rsidRPr="00F277B8">
        <w:t xml:space="preserve"> but it must be based on one or more of the legally recognised grounds, such as </w:t>
      </w:r>
      <w:r w:rsidR="00B9634F" w:rsidRPr="00F277B8">
        <w:t>add</w:t>
      </w:r>
      <w:r w:rsidRPr="00F277B8">
        <w:t>itional costs, a</w:t>
      </w:r>
      <w:r w:rsidR="00B9634F" w:rsidRPr="00F277B8">
        <w:t xml:space="preserve">n </w:t>
      </w:r>
      <w:r w:rsidRPr="00F277B8">
        <w:t xml:space="preserve">impact on the quality of service, or </w:t>
      </w:r>
      <w:r w:rsidR="00B9634F" w:rsidRPr="00F277B8">
        <w:t>if you are not able</w:t>
      </w:r>
      <w:r w:rsidRPr="00F277B8">
        <w:t xml:space="preserve"> to reorganise work among existing staff (CIPD, 2024). If the request is </w:t>
      </w:r>
      <w:r w:rsidR="00B9634F" w:rsidRPr="00F277B8">
        <w:t>declined</w:t>
      </w:r>
      <w:r w:rsidRPr="00F277B8">
        <w:t xml:space="preserve">, the employee must be given a clear explanation of the reason, and it may be </w:t>
      </w:r>
      <w:r w:rsidR="00B9634F" w:rsidRPr="00F277B8">
        <w:t>worth giving a few options to explore</w:t>
      </w:r>
      <w:r w:rsidRPr="00F277B8">
        <w:t xml:space="preserve">, such as a trial period, to </w:t>
      </w:r>
      <w:r w:rsidR="00B9634F" w:rsidRPr="00F277B8">
        <w:t>see what it is like and what impact it has</w:t>
      </w:r>
      <w:r w:rsidRPr="00F277B8">
        <w:t xml:space="preserve"> before making a final decision.</w:t>
      </w:r>
    </w:p>
    <w:p w14:paraId="505C944A" w14:textId="208F9CA4" w:rsidR="001A4121" w:rsidRPr="00F277B8" w:rsidRDefault="00B9634F" w:rsidP="001A4121">
      <w:pPr>
        <w:pStyle w:val="NormalWeb"/>
      </w:pPr>
      <w:r w:rsidRPr="00F277B8">
        <w:t>If we don’t</w:t>
      </w:r>
      <w:r w:rsidR="001A4121" w:rsidRPr="00F277B8">
        <w:t xml:space="preserve"> </w:t>
      </w:r>
      <w:r w:rsidR="001A4121" w:rsidRPr="00F277B8">
        <w:rPr>
          <w:rStyle w:val="Strong"/>
          <w:rFonts w:eastAsiaTheme="majorEastAsia"/>
          <w:b w:val="0"/>
          <w:bCs w:val="0"/>
        </w:rPr>
        <w:t>handle a flexible working request fairly and in line with legal requirements</w:t>
      </w:r>
      <w:r w:rsidRPr="00F277B8">
        <w:t xml:space="preserve">, it </w:t>
      </w:r>
      <w:r w:rsidR="001A4121" w:rsidRPr="00F277B8">
        <w:t xml:space="preserve">can lead to claims being raised at an employment tribunal. Employees may challenge the decision if the employer does not consider their request in a reasonable manner, treats their application as </w:t>
      </w:r>
      <w:r w:rsidRPr="00F277B8">
        <w:t>no</w:t>
      </w:r>
      <w:r w:rsidR="001A4121" w:rsidRPr="00F277B8">
        <w:t xml:space="preserve"> without justification, or refuses the request based on incorrect facts (CIPD, 2024). If a tribunal finds that the employer has failed in their obligations, they can order the reconsideration of the request or award </w:t>
      </w:r>
      <w:r w:rsidR="001A4121" w:rsidRPr="00F277B8">
        <w:rPr>
          <w:rStyle w:val="Strong"/>
          <w:rFonts w:eastAsiaTheme="majorEastAsia"/>
          <w:b w:val="0"/>
          <w:bCs w:val="0"/>
        </w:rPr>
        <w:t>compensation of up to eight weeks’ pay</w:t>
      </w:r>
      <w:r w:rsidR="001A4121" w:rsidRPr="00F277B8">
        <w:t>. In cases where an employee suffers detriment, such as being unfairly dismissed due to their request, the tribunal may award reinstatement, re-engagement, or compensation (Employment Rights Act 1996</w:t>
      </w:r>
      <w:r w:rsidRPr="00F277B8">
        <w:t>)</w:t>
      </w:r>
    </w:p>
    <w:p w14:paraId="0AB1A9B6" w14:textId="6273288B" w:rsidR="001A4121" w:rsidRPr="00F277B8" w:rsidRDefault="001A4121" w:rsidP="001A4121">
      <w:pPr>
        <w:pStyle w:val="NormalWeb"/>
      </w:pPr>
      <w:r w:rsidRPr="00F277B8">
        <w:t xml:space="preserve">Given the importance of fair and consistent decision-making, it may be helpful to </w:t>
      </w:r>
      <w:r w:rsidRPr="00F277B8">
        <w:rPr>
          <w:rStyle w:val="Strong"/>
          <w:rFonts w:eastAsiaTheme="majorEastAsia"/>
          <w:b w:val="0"/>
          <w:bCs w:val="0"/>
        </w:rPr>
        <w:t>review the request on an individual basis</w:t>
      </w:r>
      <w:r w:rsidRPr="00F277B8">
        <w:t xml:space="preserve"> rather than basing the decision on concerns that others may follow suit. A discussion </w:t>
      </w:r>
      <w:r w:rsidR="00B9634F" w:rsidRPr="00F277B8">
        <w:t>would help to see if</w:t>
      </w:r>
      <w:r w:rsidRPr="00F277B8">
        <w:t xml:space="preserve"> </w:t>
      </w:r>
      <w:r w:rsidRPr="00F277B8">
        <w:rPr>
          <w:rStyle w:val="Strong"/>
          <w:rFonts w:eastAsiaTheme="majorEastAsia"/>
          <w:b w:val="0"/>
          <w:bCs w:val="0"/>
        </w:rPr>
        <w:t>alternative flexible arrangements</w:t>
      </w:r>
      <w:r w:rsidRPr="00F277B8">
        <w:t xml:space="preserve"> could be agreed upon, such as hybrid working on fewer days</w:t>
      </w:r>
      <w:r w:rsidR="00B9634F" w:rsidRPr="00F277B8">
        <w:t>,</w:t>
      </w:r>
      <w:r w:rsidRPr="00F277B8">
        <w:t xml:space="preserve"> or</w:t>
      </w:r>
      <w:r w:rsidR="00B9634F" w:rsidRPr="00F277B8">
        <w:t>, as mentioned above,</w:t>
      </w:r>
      <w:r w:rsidRPr="00F277B8">
        <w:t xml:space="preserve"> a trial period, may also be worthwhile.</w:t>
      </w:r>
    </w:p>
    <w:p w14:paraId="044F8801" w14:textId="77777777" w:rsidR="00F277B8" w:rsidRPr="00F277B8" w:rsidRDefault="00F277B8" w:rsidP="00F277B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277B8">
        <w:rPr>
          <w:rFonts w:ascii="Times New Roman" w:eastAsia="Times New Roman" w:hAnsi="Times New Roman" w:cs="Times New Roman"/>
          <w:b/>
          <w:bCs/>
          <w:kern w:val="0"/>
          <w:sz w:val="24"/>
          <w:szCs w:val="24"/>
          <w:lang w:eastAsia="en-GB"/>
          <w14:ligatures w14:val="none"/>
        </w:rPr>
        <w:t>References</w:t>
      </w:r>
    </w:p>
    <w:p w14:paraId="7A213373" w14:textId="77777777" w:rsidR="00F277B8" w:rsidRPr="00F277B8" w:rsidRDefault="00F277B8" w:rsidP="00F277B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277B8">
        <w:rPr>
          <w:rFonts w:ascii="Times New Roman" w:eastAsia="Times New Roman" w:hAnsi="Times New Roman" w:cs="Times New Roman"/>
          <w:kern w:val="0"/>
          <w:sz w:val="24"/>
          <w:szCs w:val="24"/>
          <w:lang w:eastAsia="en-GB"/>
          <w14:ligatures w14:val="none"/>
        </w:rPr>
        <w:t xml:space="preserve">ACAS (2024) ‘Constructive Dismissal: Employee Rights and Employer Defences.’ Available at: </w:t>
      </w:r>
      <w:hyperlink r:id="rId5" w:tgtFrame="_new" w:history="1">
        <w:r w:rsidRPr="00F277B8">
          <w:rPr>
            <w:rFonts w:ascii="Times New Roman" w:eastAsia="Times New Roman" w:hAnsi="Times New Roman" w:cs="Times New Roman"/>
            <w:color w:val="0000FF"/>
            <w:kern w:val="0"/>
            <w:sz w:val="24"/>
            <w:szCs w:val="24"/>
            <w:u w:val="single"/>
            <w:lang w:eastAsia="en-GB"/>
            <w14:ligatures w14:val="none"/>
          </w:rPr>
          <w:t>www.acas.org.uk</w:t>
        </w:r>
      </w:hyperlink>
      <w:r w:rsidRPr="00F277B8">
        <w:rPr>
          <w:rFonts w:ascii="Times New Roman" w:eastAsia="Times New Roman" w:hAnsi="Times New Roman" w:cs="Times New Roman"/>
          <w:kern w:val="0"/>
          <w:sz w:val="24"/>
          <w:szCs w:val="24"/>
          <w:lang w:eastAsia="en-GB"/>
          <w14:ligatures w14:val="none"/>
        </w:rPr>
        <w:t>.</w:t>
      </w:r>
    </w:p>
    <w:p w14:paraId="66BFBF9B" w14:textId="77777777" w:rsidR="00F277B8" w:rsidRPr="00F277B8" w:rsidRDefault="00F277B8" w:rsidP="00F277B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277B8">
        <w:rPr>
          <w:rFonts w:ascii="Times New Roman" w:eastAsia="Times New Roman" w:hAnsi="Times New Roman" w:cs="Times New Roman"/>
          <w:kern w:val="0"/>
          <w:sz w:val="24"/>
          <w:szCs w:val="24"/>
          <w:lang w:eastAsia="en-GB"/>
          <w14:ligatures w14:val="none"/>
        </w:rPr>
        <w:t xml:space="preserve">ACAS (2024) ‘Equal Pay and Gender Pay Gap Guidance.’ Available at: </w:t>
      </w:r>
      <w:hyperlink r:id="rId6" w:tgtFrame="_new" w:history="1">
        <w:r w:rsidRPr="00F277B8">
          <w:rPr>
            <w:rFonts w:ascii="Times New Roman" w:eastAsia="Times New Roman" w:hAnsi="Times New Roman" w:cs="Times New Roman"/>
            <w:color w:val="0000FF"/>
            <w:kern w:val="0"/>
            <w:sz w:val="24"/>
            <w:szCs w:val="24"/>
            <w:u w:val="single"/>
            <w:lang w:eastAsia="en-GB"/>
            <w14:ligatures w14:val="none"/>
          </w:rPr>
          <w:t>www.acas.org.uk</w:t>
        </w:r>
      </w:hyperlink>
      <w:r w:rsidRPr="00F277B8">
        <w:rPr>
          <w:rFonts w:ascii="Times New Roman" w:eastAsia="Times New Roman" w:hAnsi="Times New Roman" w:cs="Times New Roman"/>
          <w:kern w:val="0"/>
          <w:sz w:val="24"/>
          <w:szCs w:val="24"/>
          <w:lang w:eastAsia="en-GB"/>
          <w14:ligatures w14:val="none"/>
        </w:rPr>
        <w:t>.</w:t>
      </w:r>
    </w:p>
    <w:p w14:paraId="65268ED3" w14:textId="77777777" w:rsidR="00F277B8" w:rsidRPr="00F277B8" w:rsidRDefault="00F277B8" w:rsidP="00F277B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277B8">
        <w:rPr>
          <w:rFonts w:ascii="Times New Roman" w:eastAsia="Times New Roman" w:hAnsi="Times New Roman" w:cs="Times New Roman"/>
          <w:kern w:val="0"/>
          <w:sz w:val="24"/>
          <w:szCs w:val="24"/>
          <w:lang w:eastAsia="en-GB"/>
          <w14:ligatures w14:val="none"/>
        </w:rPr>
        <w:t xml:space="preserve">ACAS (2024) ‘Irregular hours and part-year workers: calculating holiday pay.’ Available at: </w:t>
      </w:r>
      <w:hyperlink r:id="rId7" w:tgtFrame="_new" w:history="1">
        <w:r w:rsidRPr="00F277B8">
          <w:rPr>
            <w:rFonts w:ascii="Times New Roman" w:eastAsia="Times New Roman" w:hAnsi="Times New Roman" w:cs="Times New Roman"/>
            <w:color w:val="0000FF"/>
            <w:kern w:val="0"/>
            <w:sz w:val="24"/>
            <w:szCs w:val="24"/>
            <w:u w:val="single"/>
            <w:lang w:eastAsia="en-GB"/>
            <w14:ligatures w14:val="none"/>
          </w:rPr>
          <w:t>https://www.acas.org.uk/irregular-hours-and-part-year-workers/calculating-holiday-pay</w:t>
        </w:r>
      </w:hyperlink>
      <w:r w:rsidRPr="00F277B8">
        <w:rPr>
          <w:rFonts w:ascii="Times New Roman" w:eastAsia="Times New Roman" w:hAnsi="Times New Roman" w:cs="Times New Roman"/>
          <w:kern w:val="0"/>
          <w:sz w:val="24"/>
          <w:szCs w:val="24"/>
          <w:lang w:eastAsia="en-GB"/>
          <w14:ligatures w14:val="none"/>
        </w:rPr>
        <w:t>.</w:t>
      </w:r>
    </w:p>
    <w:p w14:paraId="1342159D" w14:textId="77777777" w:rsidR="00F277B8" w:rsidRPr="00F277B8" w:rsidRDefault="00F277B8" w:rsidP="00F277B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277B8">
        <w:rPr>
          <w:rFonts w:ascii="Times New Roman" w:eastAsia="Times New Roman" w:hAnsi="Times New Roman" w:cs="Times New Roman"/>
          <w:kern w:val="0"/>
          <w:sz w:val="24"/>
          <w:szCs w:val="24"/>
          <w:lang w:eastAsia="en-GB"/>
          <w14:ligatures w14:val="none"/>
        </w:rPr>
        <w:t xml:space="preserve">ACAS (2024) ‘Redundancy: Employee Rights and Employer Obligations.’ Available at: </w:t>
      </w:r>
      <w:hyperlink r:id="rId8" w:tgtFrame="_new" w:history="1">
        <w:r w:rsidRPr="00F277B8">
          <w:rPr>
            <w:rFonts w:ascii="Times New Roman" w:eastAsia="Times New Roman" w:hAnsi="Times New Roman" w:cs="Times New Roman"/>
            <w:color w:val="0000FF"/>
            <w:kern w:val="0"/>
            <w:sz w:val="24"/>
            <w:szCs w:val="24"/>
            <w:u w:val="single"/>
            <w:lang w:eastAsia="en-GB"/>
            <w14:ligatures w14:val="none"/>
          </w:rPr>
          <w:t>www.acas.org.uk</w:t>
        </w:r>
      </w:hyperlink>
      <w:r w:rsidRPr="00F277B8">
        <w:rPr>
          <w:rFonts w:ascii="Times New Roman" w:eastAsia="Times New Roman" w:hAnsi="Times New Roman" w:cs="Times New Roman"/>
          <w:kern w:val="0"/>
          <w:sz w:val="24"/>
          <w:szCs w:val="24"/>
          <w:lang w:eastAsia="en-GB"/>
          <w14:ligatures w14:val="none"/>
        </w:rPr>
        <w:t>.</w:t>
      </w:r>
    </w:p>
    <w:p w14:paraId="6943DD28" w14:textId="77777777" w:rsidR="00F277B8" w:rsidRPr="00F277B8" w:rsidRDefault="00F277B8" w:rsidP="00F277B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277B8">
        <w:rPr>
          <w:rFonts w:ascii="Times New Roman" w:eastAsia="Times New Roman" w:hAnsi="Times New Roman" w:cs="Times New Roman"/>
          <w:kern w:val="0"/>
          <w:sz w:val="24"/>
          <w:szCs w:val="24"/>
          <w:lang w:eastAsia="en-GB"/>
          <w14:ligatures w14:val="none"/>
        </w:rPr>
        <w:t xml:space="preserve">Armstrong, M. and Taylor, S. (2022) </w:t>
      </w:r>
      <w:r w:rsidRPr="00F277B8">
        <w:rPr>
          <w:rFonts w:ascii="Times New Roman" w:eastAsia="Times New Roman" w:hAnsi="Times New Roman" w:cs="Times New Roman"/>
          <w:i/>
          <w:iCs/>
          <w:kern w:val="0"/>
          <w:sz w:val="24"/>
          <w:szCs w:val="24"/>
          <w:lang w:eastAsia="en-GB"/>
          <w14:ligatures w14:val="none"/>
        </w:rPr>
        <w:t>Armstrong’s Handbook of Human Resource Management Practice</w:t>
      </w:r>
      <w:r w:rsidRPr="00F277B8">
        <w:rPr>
          <w:rFonts w:ascii="Times New Roman" w:eastAsia="Times New Roman" w:hAnsi="Times New Roman" w:cs="Times New Roman"/>
          <w:kern w:val="0"/>
          <w:sz w:val="24"/>
          <w:szCs w:val="24"/>
          <w:lang w:eastAsia="en-GB"/>
          <w14:ligatures w14:val="none"/>
        </w:rPr>
        <w:t xml:space="preserve">. 16th </w:t>
      </w:r>
      <w:proofErr w:type="spellStart"/>
      <w:r w:rsidRPr="00F277B8">
        <w:rPr>
          <w:rFonts w:ascii="Times New Roman" w:eastAsia="Times New Roman" w:hAnsi="Times New Roman" w:cs="Times New Roman"/>
          <w:kern w:val="0"/>
          <w:sz w:val="24"/>
          <w:szCs w:val="24"/>
          <w:lang w:eastAsia="en-GB"/>
          <w14:ligatures w14:val="none"/>
        </w:rPr>
        <w:t>edn</w:t>
      </w:r>
      <w:proofErr w:type="spellEnd"/>
      <w:r w:rsidRPr="00F277B8">
        <w:rPr>
          <w:rFonts w:ascii="Times New Roman" w:eastAsia="Times New Roman" w:hAnsi="Times New Roman" w:cs="Times New Roman"/>
          <w:kern w:val="0"/>
          <w:sz w:val="24"/>
          <w:szCs w:val="24"/>
          <w:lang w:eastAsia="en-GB"/>
          <w14:ligatures w14:val="none"/>
        </w:rPr>
        <w:t>. London: Kogan Page.</w:t>
      </w:r>
    </w:p>
    <w:p w14:paraId="6B883F6A" w14:textId="77777777" w:rsidR="00F277B8" w:rsidRPr="00F277B8" w:rsidRDefault="00F277B8" w:rsidP="00F277B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277B8">
        <w:rPr>
          <w:rFonts w:ascii="Times New Roman" w:eastAsia="Times New Roman" w:hAnsi="Times New Roman" w:cs="Times New Roman"/>
          <w:kern w:val="0"/>
          <w:sz w:val="24"/>
          <w:szCs w:val="24"/>
          <w:lang w:eastAsia="en-GB"/>
          <w14:ligatures w14:val="none"/>
        </w:rPr>
        <w:t>British Gas Trading Ltd v Lock [2016] ICR 503.</w:t>
      </w:r>
    </w:p>
    <w:p w14:paraId="64F5B752" w14:textId="77777777" w:rsidR="00F277B8" w:rsidRPr="00F277B8" w:rsidRDefault="00F277B8" w:rsidP="00F277B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277B8">
        <w:rPr>
          <w:rFonts w:ascii="Times New Roman" w:eastAsia="Times New Roman" w:hAnsi="Times New Roman" w:cs="Times New Roman"/>
          <w:kern w:val="0"/>
          <w:sz w:val="24"/>
          <w:szCs w:val="24"/>
          <w:lang w:eastAsia="en-GB"/>
          <w14:ligatures w14:val="none"/>
        </w:rPr>
        <w:t xml:space="preserve">CIPD (2024) ‘A Guide for People Professionals (TUPE).’ Available at: </w:t>
      </w:r>
      <w:hyperlink r:id="rId9" w:tgtFrame="_new" w:history="1">
        <w:r w:rsidRPr="00F277B8">
          <w:rPr>
            <w:rFonts w:ascii="Times New Roman" w:eastAsia="Times New Roman" w:hAnsi="Times New Roman" w:cs="Times New Roman"/>
            <w:color w:val="0000FF"/>
            <w:kern w:val="0"/>
            <w:sz w:val="24"/>
            <w:szCs w:val="24"/>
            <w:u w:val="single"/>
            <w:lang w:eastAsia="en-GB"/>
            <w14:ligatures w14:val="none"/>
          </w:rPr>
          <w:t>https://www.cipd.co.uk/knowledge/fundamentals/emp-law</w:t>
        </w:r>
      </w:hyperlink>
      <w:r w:rsidRPr="00F277B8">
        <w:rPr>
          <w:rFonts w:ascii="Times New Roman" w:eastAsia="Times New Roman" w:hAnsi="Times New Roman" w:cs="Times New Roman"/>
          <w:kern w:val="0"/>
          <w:sz w:val="24"/>
          <w:szCs w:val="24"/>
          <w:lang w:eastAsia="en-GB"/>
          <w14:ligatures w14:val="none"/>
        </w:rPr>
        <w:t>.</w:t>
      </w:r>
    </w:p>
    <w:p w14:paraId="4186C1B2" w14:textId="77777777" w:rsidR="00F277B8" w:rsidRPr="00F277B8" w:rsidRDefault="00F277B8" w:rsidP="00F277B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277B8">
        <w:rPr>
          <w:rFonts w:ascii="Times New Roman" w:eastAsia="Times New Roman" w:hAnsi="Times New Roman" w:cs="Times New Roman"/>
          <w:kern w:val="0"/>
          <w:sz w:val="24"/>
          <w:szCs w:val="24"/>
          <w:lang w:eastAsia="en-GB"/>
          <w14:ligatures w14:val="none"/>
        </w:rPr>
        <w:t xml:space="preserve">CIPD (2024) ‘Flexible working: understanding the law and best practice.’ Available at: </w:t>
      </w:r>
      <w:hyperlink r:id="rId10" w:tgtFrame="_new" w:history="1">
        <w:r w:rsidRPr="00F277B8">
          <w:rPr>
            <w:rFonts w:ascii="Times New Roman" w:eastAsia="Times New Roman" w:hAnsi="Times New Roman" w:cs="Times New Roman"/>
            <w:color w:val="0000FF"/>
            <w:kern w:val="0"/>
            <w:sz w:val="24"/>
            <w:szCs w:val="24"/>
            <w:u w:val="single"/>
            <w:lang w:eastAsia="en-GB"/>
            <w14:ligatures w14:val="none"/>
          </w:rPr>
          <w:t>https://www.cipd.org.uk/knowledge/factsheets/flexible-working-factsheet/</w:t>
        </w:r>
      </w:hyperlink>
      <w:r w:rsidRPr="00F277B8">
        <w:rPr>
          <w:rFonts w:ascii="Times New Roman" w:eastAsia="Times New Roman" w:hAnsi="Times New Roman" w:cs="Times New Roman"/>
          <w:kern w:val="0"/>
          <w:sz w:val="24"/>
          <w:szCs w:val="24"/>
          <w:lang w:eastAsia="en-GB"/>
          <w14:ligatures w14:val="none"/>
        </w:rPr>
        <w:t>.</w:t>
      </w:r>
    </w:p>
    <w:p w14:paraId="69C19BA2" w14:textId="77777777" w:rsidR="00F277B8" w:rsidRPr="00F277B8" w:rsidRDefault="00F277B8" w:rsidP="00F277B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277B8">
        <w:rPr>
          <w:rFonts w:ascii="Times New Roman" w:eastAsia="Times New Roman" w:hAnsi="Times New Roman" w:cs="Times New Roman"/>
          <w:kern w:val="0"/>
          <w:sz w:val="24"/>
          <w:szCs w:val="24"/>
          <w:lang w:eastAsia="en-GB"/>
          <w14:ligatures w14:val="none"/>
        </w:rPr>
        <w:lastRenderedPageBreak/>
        <w:t xml:space="preserve">CIPD (2024) ‘Maternity and paternity rights.’ Available at: </w:t>
      </w:r>
      <w:hyperlink r:id="rId11" w:tgtFrame="_new" w:history="1">
        <w:r w:rsidRPr="00F277B8">
          <w:rPr>
            <w:rFonts w:ascii="Times New Roman" w:eastAsia="Times New Roman" w:hAnsi="Times New Roman" w:cs="Times New Roman"/>
            <w:color w:val="0000FF"/>
            <w:kern w:val="0"/>
            <w:sz w:val="24"/>
            <w:szCs w:val="24"/>
            <w:u w:val="single"/>
            <w:lang w:eastAsia="en-GB"/>
            <w14:ligatures w14:val="none"/>
          </w:rPr>
          <w:t>https://www.cipd.org.uk/uk/knowledge/factsheets/maternity-paternity-rights-factsheet/</w:t>
        </w:r>
      </w:hyperlink>
      <w:r w:rsidRPr="00F277B8">
        <w:rPr>
          <w:rFonts w:ascii="Times New Roman" w:eastAsia="Times New Roman" w:hAnsi="Times New Roman" w:cs="Times New Roman"/>
          <w:kern w:val="0"/>
          <w:sz w:val="24"/>
          <w:szCs w:val="24"/>
          <w:lang w:eastAsia="en-GB"/>
          <w14:ligatures w14:val="none"/>
        </w:rPr>
        <w:t>.</w:t>
      </w:r>
    </w:p>
    <w:p w14:paraId="437C8B1D" w14:textId="77777777" w:rsidR="00F277B8" w:rsidRPr="00F277B8" w:rsidRDefault="00F277B8" w:rsidP="00F277B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277B8">
        <w:rPr>
          <w:rFonts w:ascii="Times New Roman" w:eastAsia="Times New Roman" w:hAnsi="Times New Roman" w:cs="Times New Roman"/>
          <w:kern w:val="0"/>
          <w:sz w:val="24"/>
          <w:szCs w:val="24"/>
          <w:lang w:eastAsia="en-GB"/>
          <w14:ligatures w14:val="none"/>
        </w:rPr>
        <w:t xml:space="preserve">CIPD (2025) ‘Employment tribunal risks for incorrectly calculated holiday pay.’ Available at: </w:t>
      </w:r>
      <w:hyperlink r:id="rId12" w:tgtFrame="_new" w:history="1">
        <w:r w:rsidRPr="00F277B8">
          <w:rPr>
            <w:rFonts w:ascii="Times New Roman" w:eastAsia="Times New Roman" w:hAnsi="Times New Roman" w:cs="Times New Roman"/>
            <w:color w:val="0000FF"/>
            <w:kern w:val="0"/>
            <w:sz w:val="24"/>
            <w:szCs w:val="24"/>
            <w:u w:val="single"/>
            <w:lang w:eastAsia="en-GB"/>
            <w14:ligatures w14:val="none"/>
          </w:rPr>
          <w:t>www.cipd.co.uk</w:t>
        </w:r>
      </w:hyperlink>
      <w:r w:rsidRPr="00F277B8">
        <w:rPr>
          <w:rFonts w:ascii="Times New Roman" w:eastAsia="Times New Roman" w:hAnsi="Times New Roman" w:cs="Times New Roman"/>
          <w:kern w:val="0"/>
          <w:sz w:val="24"/>
          <w:szCs w:val="24"/>
          <w:lang w:eastAsia="en-GB"/>
          <w14:ligatures w14:val="none"/>
        </w:rPr>
        <w:t>.</w:t>
      </w:r>
    </w:p>
    <w:p w14:paraId="1BF1BBA4" w14:textId="77777777" w:rsidR="00F277B8" w:rsidRPr="00F277B8" w:rsidRDefault="00F277B8" w:rsidP="00F277B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277B8">
        <w:rPr>
          <w:rFonts w:ascii="Times New Roman" w:eastAsia="Times New Roman" w:hAnsi="Times New Roman" w:cs="Times New Roman"/>
          <w:kern w:val="0"/>
          <w:sz w:val="24"/>
          <w:szCs w:val="24"/>
          <w:lang w:eastAsia="en-GB"/>
          <w14:ligatures w14:val="none"/>
        </w:rPr>
        <w:t xml:space="preserve">CIPD (2025) ‘Equal Pay: Ensuring Fair and Transparent Pay Practices.’ Available at: </w:t>
      </w:r>
      <w:hyperlink r:id="rId13" w:tgtFrame="_new" w:history="1">
        <w:r w:rsidRPr="00F277B8">
          <w:rPr>
            <w:rFonts w:ascii="Times New Roman" w:eastAsia="Times New Roman" w:hAnsi="Times New Roman" w:cs="Times New Roman"/>
            <w:color w:val="0000FF"/>
            <w:kern w:val="0"/>
            <w:sz w:val="24"/>
            <w:szCs w:val="24"/>
            <w:u w:val="single"/>
            <w:lang w:eastAsia="en-GB"/>
            <w14:ligatures w14:val="none"/>
          </w:rPr>
          <w:t>www.cipd.co.uk</w:t>
        </w:r>
      </w:hyperlink>
      <w:r w:rsidRPr="00F277B8">
        <w:rPr>
          <w:rFonts w:ascii="Times New Roman" w:eastAsia="Times New Roman" w:hAnsi="Times New Roman" w:cs="Times New Roman"/>
          <w:kern w:val="0"/>
          <w:sz w:val="24"/>
          <w:szCs w:val="24"/>
          <w:lang w:eastAsia="en-GB"/>
          <w14:ligatures w14:val="none"/>
        </w:rPr>
        <w:t>.</w:t>
      </w:r>
    </w:p>
    <w:p w14:paraId="23B84FD5" w14:textId="77777777" w:rsidR="00F277B8" w:rsidRPr="00F277B8" w:rsidRDefault="00F277B8" w:rsidP="00F277B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277B8">
        <w:rPr>
          <w:rFonts w:ascii="Times New Roman" w:eastAsia="Times New Roman" w:hAnsi="Times New Roman" w:cs="Times New Roman"/>
          <w:kern w:val="0"/>
          <w:sz w:val="24"/>
          <w:szCs w:val="24"/>
          <w:lang w:eastAsia="en-GB"/>
          <w14:ligatures w14:val="none"/>
        </w:rPr>
        <w:t xml:space="preserve">CIPD (2025) ‘Managing Employment Contracts and Fair Dismissal Practices.’ Available at: </w:t>
      </w:r>
      <w:hyperlink r:id="rId14" w:tgtFrame="_new" w:history="1">
        <w:r w:rsidRPr="00F277B8">
          <w:rPr>
            <w:rFonts w:ascii="Times New Roman" w:eastAsia="Times New Roman" w:hAnsi="Times New Roman" w:cs="Times New Roman"/>
            <w:color w:val="0000FF"/>
            <w:kern w:val="0"/>
            <w:sz w:val="24"/>
            <w:szCs w:val="24"/>
            <w:u w:val="single"/>
            <w:lang w:eastAsia="en-GB"/>
            <w14:ligatures w14:val="none"/>
          </w:rPr>
          <w:t>www.cipd.co.uk</w:t>
        </w:r>
      </w:hyperlink>
      <w:r w:rsidRPr="00F277B8">
        <w:rPr>
          <w:rFonts w:ascii="Times New Roman" w:eastAsia="Times New Roman" w:hAnsi="Times New Roman" w:cs="Times New Roman"/>
          <w:kern w:val="0"/>
          <w:sz w:val="24"/>
          <w:szCs w:val="24"/>
          <w:lang w:eastAsia="en-GB"/>
          <w14:ligatures w14:val="none"/>
        </w:rPr>
        <w:t>.</w:t>
      </w:r>
    </w:p>
    <w:p w14:paraId="70DB5C44" w14:textId="77777777" w:rsidR="00F277B8" w:rsidRPr="00F277B8" w:rsidRDefault="00F277B8" w:rsidP="00F277B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277B8">
        <w:rPr>
          <w:rFonts w:ascii="Times New Roman" w:eastAsia="Times New Roman" w:hAnsi="Times New Roman" w:cs="Times New Roman"/>
          <w:kern w:val="0"/>
          <w:sz w:val="24"/>
          <w:szCs w:val="24"/>
          <w:lang w:eastAsia="en-GB"/>
          <w14:ligatures w14:val="none"/>
        </w:rPr>
        <w:t xml:space="preserve">CIPD (2025) ‘Recruitment and selection: Understanding discrimination and occupational requirements.’ Available at: </w:t>
      </w:r>
      <w:hyperlink r:id="rId15" w:tgtFrame="_new" w:history="1">
        <w:r w:rsidRPr="00F277B8">
          <w:rPr>
            <w:rFonts w:ascii="Times New Roman" w:eastAsia="Times New Roman" w:hAnsi="Times New Roman" w:cs="Times New Roman"/>
            <w:color w:val="0000FF"/>
            <w:kern w:val="0"/>
            <w:sz w:val="24"/>
            <w:szCs w:val="24"/>
            <w:u w:val="single"/>
            <w:lang w:eastAsia="en-GB"/>
            <w14:ligatures w14:val="none"/>
          </w:rPr>
          <w:t>www.cipd.co.uk</w:t>
        </w:r>
      </w:hyperlink>
      <w:r w:rsidRPr="00F277B8">
        <w:rPr>
          <w:rFonts w:ascii="Times New Roman" w:eastAsia="Times New Roman" w:hAnsi="Times New Roman" w:cs="Times New Roman"/>
          <w:kern w:val="0"/>
          <w:sz w:val="24"/>
          <w:szCs w:val="24"/>
          <w:lang w:eastAsia="en-GB"/>
          <w14:ligatures w14:val="none"/>
        </w:rPr>
        <w:t>.</w:t>
      </w:r>
    </w:p>
    <w:p w14:paraId="2A6F9E41" w14:textId="77777777" w:rsidR="00F277B8" w:rsidRPr="00F277B8" w:rsidRDefault="00F277B8" w:rsidP="00F277B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277B8">
        <w:rPr>
          <w:rFonts w:ascii="Times New Roman" w:eastAsia="Times New Roman" w:hAnsi="Times New Roman" w:cs="Times New Roman"/>
          <w:kern w:val="0"/>
          <w:sz w:val="24"/>
          <w:szCs w:val="24"/>
          <w:lang w:eastAsia="en-GB"/>
          <w14:ligatures w14:val="none"/>
        </w:rPr>
        <w:t xml:space="preserve">CIPD (2025) ‘Redundancy, Restructuring, and Consultation Best Practices.’ Available at: </w:t>
      </w:r>
      <w:hyperlink r:id="rId16" w:tgtFrame="_new" w:history="1">
        <w:r w:rsidRPr="00F277B8">
          <w:rPr>
            <w:rFonts w:ascii="Times New Roman" w:eastAsia="Times New Roman" w:hAnsi="Times New Roman" w:cs="Times New Roman"/>
            <w:color w:val="0000FF"/>
            <w:kern w:val="0"/>
            <w:sz w:val="24"/>
            <w:szCs w:val="24"/>
            <w:u w:val="single"/>
            <w:lang w:eastAsia="en-GB"/>
            <w14:ligatures w14:val="none"/>
          </w:rPr>
          <w:t>www.cipd.co.uk</w:t>
        </w:r>
      </w:hyperlink>
      <w:r w:rsidRPr="00F277B8">
        <w:rPr>
          <w:rFonts w:ascii="Times New Roman" w:eastAsia="Times New Roman" w:hAnsi="Times New Roman" w:cs="Times New Roman"/>
          <w:kern w:val="0"/>
          <w:sz w:val="24"/>
          <w:szCs w:val="24"/>
          <w:lang w:eastAsia="en-GB"/>
          <w14:ligatures w14:val="none"/>
        </w:rPr>
        <w:t>.</w:t>
      </w:r>
    </w:p>
    <w:p w14:paraId="1716FFB4" w14:textId="77777777" w:rsidR="00F277B8" w:rsidRPr="00F277B8" w:rsidRDefault="00F277B8" w:rsidP="00F277B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277B8">
        <w:rPr>
          <w:rFonts w:ascii="Times New Roman" w:eastAsia="Times New Roman" w:hAnsi="Times New Roman" w:cs="Times New Roman"/>
          <w:kern w:val="0"/>
          <w:sz w:val="24"/>
          <w:szCs w:val="24"/>
          <w:lang w:eastAsia="en-GB"/>
          <w14:ligatures w14:val="none"/>
        </w:rPr>
        <w:t xml:space="preserve">CIPD (2025) ‘The role of employment law in HR practice.’ Available at: </w:t>
      </w:r>
      <w:hyperlink r:id="rId17" w:tgtFrame="_new" w:history="1">
        <w:r w:rsidRPr="00F277B8">
          <w:rPr>
            <w:rFonts w:ascii="Times New Roman" w:eastAsia="Times New Roman" w:hAnsi="Times New Roman" w:cs="Times New Roman"/>
            <w:color w:val="0000FF"/>
            <w:kern w:val="0"/>
            <w:sz w:val="24"/>
            <w:szCs w:val="24"/>
            <w:u w:val="single"/>
            <w:lang w:eastAsia="en-GB"/>
            <w14:ligatures w14:val="none"/>
          </w:rPr>
          <w:t>www.cipd.co.uk</w:t>
        </w:r>
      </w:hyperlink>
      <w:r w:rsidRPr="00F277B8">
        <w:rPr>
          <w:rFonts w:ascii="Times New Roman" w:eastAsia="Times New Roman" w:hAnsi="Times New Roman" w:cs="Times New Roman"/>
          <w:kern w:val="0"/>
          <w:sz w:val="24"/>
          <w:szCs w:val="24"/>
          <w:lang w:eastAsia="en-GB"/>
          <w14:ligatures w14:val="none"/>
        </w:rPr>
        <w:t>.</w:t>
      </w:r>
    </w:p>
    <w:p w14:paraId="685C58EE" w14:textId="77777777" w:rsidR="00F277B8" w:rsidRPr="00F277B8" w:rsidRDefault="00F277B8" w:rsidP="00F277B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277B8">
        <w:rPr>
          <w:rFonts w:ascii="Times New Roman" w:eastAsia="Times New Roman" w:hAnsi="Times New Roman" w:cs="Times New Roman"/>
          <w:kern w:val="0"/>
          <w:sz w:val="24"/>
          <w:szCs w:val="24"/>
          <w:lang w:eastAsia="en-GB"/>
          <w14:ligatures w14:val="none"/>
        </w:rPr>
        <w:t xml:space="preserve">Daniels, K. (2022) </w:t>
      </w:r>
      <w:r w:rsidRPr="00F277B8">
        <w:rPr>
          <w:rFonts w:ascii="Times New Roman" w:eastAsia="Times New Roman" w:hAnsi="Times New Roman" w:cs="Times New Roman"/>
          <w:i/>
          <w:iCs/>
          <w:kern w:val="0"/>
          <w:sz w:val="24"/>
          <w:szCs w:val="24"/>
          <w:lang w:eastAsia="en-GB"/>
          <w14:ligatures w14:val="none"/>
        </w:rPr>
        <w:t>Introduction to Employment Law: Fundamentals for HR and Business Students</w:t>
      </w:r>
      <w:r w:rsidRPr="00F277B8">
        <w:rPr>
          <w:rFonts w:ascii="Times New Roman" w:eastAsia="Times New Roman" w:hAnsi="Times New Roman" w:cs="Times New Roman"/>
          <w:kern w:val="0"/>
          <w:sz w:val="24"/>
          <w:szCs w:val="24"/>
          <w:lang w:eastAsia="en-GB"/>
          <w14:ligatures w14:val="none"/>
        </w:rPr>
        <w:t xml:space="preserve">. 6th </w:t>
      </w:r>
      <w:proofErr w:type="spellStart"/>
      <w:r w:rsidRPr="00F277B8">
        <w:rPr>
          <w:rFonts w:ascii="Times New Roman" w:eastAsia="Times New Roman" w:hAnsi="Times New Roman" w:cs="Times New Roman"/>
          <w:kern w:val="0"/>
          <w:sz w:val="24"/>
          <w:szCs w:val="24"/>
          <w:lang w:eastAsia="en-GB"/>
          <w14:ligatures w14:val="none"/>
        </w:rPr>
        <w:t>edn</w:t>
      </w:r>
      <w:proofErr w:type="spellEnd"/>
      <w:r w:rsidRPr="00F277B8">
        <w:rPr>
          <w:rFonts w:ascii="Times New Roman" w:eastAsia="Times New Roman" w:hAnsi="Times New Roman" w:cs="Times New Roman"/>
          <w:kern w:val="0"/>
          <w:sz w:val="24"/>
          <w:szCs w:val="24"/>
          <w:lang w:eastAsia="en-GB"/>
          <w14:ligatures w14:val="none"/>
        </w:rPr>
        <w:t>. London: CIPD.</w:t>
      </w:r>
    </w:p>
    <w:p w14:paraId="39CC99AC" w14:textId="77777777" w:rsidR="00F277B8" w:rsidRPr="00F277B8" w:rsidRDefault="00F277B8" w:rsidP="00F277B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277B8">
        <w:rPr>
          <w:rFonts w:ascii="Times New Roman" w:eastAsia="Times New Roman" w:hAnsi="Times New Roman" w:cs="Times New Roman"/>
          <w:kern w:val="0"/>
          <w:sz w:val="24"/>
          <w:szCs w:val="24"/>
          <w:lang w:eastAsia="en-GB"/>
          <w14:ligatures w14:val="none"/>
        </w:rPr>
        <w:t xml:space="preserve">EHRC (2024) ‘Equality and Human Rights Commission Guidance on Discrimination in Recruitment.’ Available at: </w:t>
      </w:r>
      <w:hyperlink r:id="rId18" w:tgtFrame="_new" w:history="1">
        <w:r w:rsidRPr="00F277B8">
          <w:rPr>
            <w:rFonts w:ascii="Times New Roman" w:eastAsia="Times New Roman" w:hAnsi="Times New Roman" w:cs="Times New Roman"/>
            <w:color w:val="0000FF"/>
            <w:kern w:val="0"/>
            <w:sz w:val="24"/>
            <w:szCs w:val="24"/>
            <w:u w:val="single"/>
            <w:lang w:eastAsia="en-GB"/>
            <w14:ligatures w14:val="none"/>
          </w:rPr>
          <w:t>www.equalityhumanrights.com</w:t>
        </w:r>
      </w:hyperlink>
      <w:r w:rsidRPr="00F277B8">
        <w:rPr>
          <w:rFonts w:ascii="Times New Roman" w:eastAsia="Times New Roman" w:hAnsi="Times New Roman" w:cs="Times New Roman"/>
          <w:kern w:val="0"/>
          <w:sz w:val="24"/>
          <w:szCs w:val="24"/>
          <w:lang w:eastAsia="en-GB"/>
          <w14:ligatures w14:val="none"/>
        </w:rPr>
        <w:t>.</w:t>
      </w:r>
    </w:p>
    <w:p w14:paraId="793034F2" w14:textId="77777777" w:rsidR="00F277B8" w:rsidRPr="00F277B8" w:rsidRDefault="00F277B8" w:rsidP="00F277B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277B8">
        <w:rPr>
          <w:rFonts w:ascii="Times New Roman" w:eastAsia="Times New Roman" w:hAnsi="Times New Roman" w:cs="Times New Roman"/>
          <w:kern w:val="0"/>
          <w:sz w:val="24"/>
          <w:szCs w:val="24"/>
          <w:lang w:eastAsia="en-GB"/>
          <w14:ligatures w14:val="none"/>
        </w:rPr>
        <w:t xml:space="preserve">Employment Rights Act 1996. Available at: </w:t>
      </w:r>
      <w:hyperlink r:id="rId19" w:tgtFrame="_new" w:history="1">
        <w:r w:rsidRPr="00F277B8">
          <w:rPr>
            <w:rFonts w:ascii="Times New Roman" w:eastAsia="Times New Roman" w:hAnsi="Times New Roman" w:cs="Times New Roman"/>
            <w:color w:val="0000FF"/>
            <w:kern w:val="0"/>
            <w:sz w:val="24"/>
            <w:szCs w:val="24"/>
            <w:u w:val="single"/>
            <w:lang w:eastAsia="en-GB"/>
            <w14:ligatures w14:val="none"/>
          </w:rPr>
          <w:t>www.legislation.gov.uk</w:t>
        </w:r>
      </w:hyperlink>
      <w:r w:rsidRPr="00F277B8">
        <w:rPr>
          <w:rFonts w:ascii="Times New Roman" w:eastAsia="Times New Roman" w:hAnsi="Times New Roman" w:cs="Times New Roman"/>
          <w:kern w:val="0"/>
          <w:sz w:val="24"/>
          <w:szCs w:val="24"/>
          <w:lang w:eastAsia="en-GB"/>
          <w14:ligatures w14:val="none"/>
        </w:rPr>
        <w:t>.</w:t>
      </w:r>
    </w:p>
    <w:p w14:paraId="496C2378" w14:textId="77777777" w:rsidR="00F277B8" w:rsidRPr="00F277B8" w:rsidRDefault="00F277B8" w:rsidP="00F277B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277B8">
        <w:rPr>
          <w:rFonts w:ascii="Times New Roman" w:eastAsia="Times New Roman" w:hAnsi="Times New Roman" w:cs="Times New Roman"/>
          <w:kern w:val="0"/>
          <w:sz w:val="24"/>
          <w:szCs w:val="24"/>
          <w:lang w:eastAsia="en-GB"/>
          <w14:ligatures w14:val="none"/>
        </w:rPr>
        <w:t xml:space="preserve">Employment Rights Act 1996, s.95(1)(c) &amp; s.111. Available at: </w:t>
      </w:r>
      <w:hyperlink r:id="rId20" w:tgtFrame="_new" w:history="1">
        <w:r w:rsidRPr="00F277B8">
          <w:rPr>
            <w:rFonts w:ascii="Times New Roman" w:eastAsia="Times New Roman" w:hAnsi="Times New Roman" w:cs="Times New Roman"/>
            <w:color w:val="0000FF"/>
            <w:kern w:val="0"/>
            <w:sz w:val="24"/>
            <w:szCs w:val="24"/>
            <w:u w:val="single"/>
            <w:lang w:eastAsia="en-GB"/>
            <w14:ligatures w14:val="none"/>
          </w:rPr>
          <w:t>www.legislation.gov.uk</w:t>
        </w:r>
      </w:hyperlink>
      <w:r w:rsidRPr="00F277B8">
        <w:rPr>
          <w:rFonts w:ascii="Times New Roman" w:eastAsia="Times New Roman" w:hAnsi="Times New Roman" w:cs="Times New Roman"/>
          <w:kern w:val="0"/>
          <w:sz w:val="24"/>
          <w:szCs w:val="24"/>
          <w:lang w:eastAsia="en-GB"/>
          <w14:ligatures w14:val="none"/>
        </w:rPr>
        <w:t>.</w:t>
      </w:r>
    </w:p>
    <w:p w14:paraId="5499A0AA" w14:textId="77777777" w:rsidR="00F277B8" w:rsidRPr="00F277B8" w:rsidRDefault="00F277B8" w:rsidP="00F277B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277B8">
        <w:rPr>
          <w:rFonts w:ascii="Times New Roman" w:eastAsia="Times New Roman" w:hAnsi="Times New Roman" w:cs="Times New Roman"/>
          <w:kern w:val="0"/>
          <w:sz w:val="24"/>
          <w:szCs w:val="24"/>
          <w:lang w:eastAsia="en-GB"/>
          <w14:ligatures w14:val="none"/>
        </w:rPr>
        <w:t xml:space="preserve">Employment Rights Act 1996, s.98. Available at: </w:t>
      </w:r>
      <w:hyperlink r:id="rId21" w:tgtFrame="_new" w:history="1">
        <w:r w:rsidRPr="00F277B8">
          <w:rPr>
            <w:rFonts w:ascii="Times New Roman" w:eastAsia="Times New Roman" w:hAnsi="Times New Roman" w:cs="Times New Roman"/>
            <w:color w:val="0000FF"/>
            <w:kern w:val="0"/>
            <w:sz w:val="24"/>
            <w:szCs w:val="24"/>
            <w:u w:val="single"/>
            <w:lang w:eastAsia="en-GB"/>
            <w14:ligatures w14:val="none"/>
          </w:rPr>
          <w:t>www.legislation.gov.uk</w:t>
        </w:r>
      </w:hyperlink>
      <w:r w:rsidRPr="00F277B8">
        <w:rPr>
          <w:rFonts w:ascii="Times New Roman" w:eastAsia="Times New Roman" w:hAnsi="Times New Roman" w:cs="Times New Roman"/>
          <w:kern w:val="0"/>
          <w:sz w:val="24"/>
          <w:szCs w:val="24"/>
          <w:lang w:eastAsia="en-GB"/>
          <w14:ligatures w14:val="none"/>
        </w:rPr>
        <w:t>.</w:t>
      </w:r>
    </w:p>
    <w:p w14:paraId="24B56D14" w14:textId="77777777" w:rsidR="00F277B8" w:rsidRPr="00F277B8" w:rsidRDefault="00F277B8" w:rsidP="00F277B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277B8">
        <w:rPr>
          <w:rFonts w:ascii="Times New Roman" w:eastAsia="Times New Roman" w:hAnsi="Times New Roman" w:cs="Times New Roman"/>
          <w:kern w:val="0"/>
          <w:sz w:val="24"/>
          <w:szCs w:val="24"/>
          <w:lang w:eastAsia="en-GB"/>
          <w14:ligatures w14:val="none"/>
        </w:rPr>
        <w:t xml:space="preserve">Equal Pay Act 1970. Available at: </w:t>
      </w:r>
      <w:hyperlink r:id="rId22" w:tgtFrame="_new" w:history="1">
        <w:r w:rsidRPr="00F277B8">
          <w:rPr>
            <w:rFonts w:ascii="Times New Roman" w:eastAsia="Times New Roman" w:hAnsi="Times New Roman" w:cs="Times New Roman"/>
            <w:color w:val="0000FF"/>
            <w:kern w:val="0"/>
            <w:sz w:val="24"/>
            <w:szCs w:val="24"/>
            <w:u w:val="single"/>
            <w:lang w:eastAsia="en-GB"/>
            <w14:ligatures w14:val="none"/>
          </w:rPr>
          <w:t>www.legislation.gov.uk</w:t>
        </w:r>
      </w:hyperlink>
      <w:r w:rsidRPr="00F277B8">
        <w:rPr>
          <w:rFonts w:ascii="Times New Roman" w:eastAsia="Times New Roman" w:hAnsi="Times New Roman" w:cs="Times New Roman"/>
          <w:kern w:val="0"/>
          <w:sz w:val="24"/>
          <w:szCs w:val="24"/>
          <w:lang w:eastAsia="en-GB"/>
          <w14:ligatures w14:val="none"/>
        </w:rPr>
        <w:t>.</w:t>
      </w:r>
    </w:p>
    <w:p w14:paraId="5F267181" w14:textId="77777777" w:rsidR="00F277B8" w:rsidRPr="00F277B8" w:rsidRDefault="00F277B8" w:rsidP="00F277B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277B8">
        <w:rPr>
          <w:rFonts w:ascii="Times New Roman" w:eastAsia="Times New Roman" w:hAnsi="Times New Roman" w:cs="Times New Roman"/>
          <w:kern w:val="0"/>
          <w:sz w:val="24"/>
          <w:szCs w:val="24"/>
          <w:lang w:eastAsia="en-GB"/>
          <w14:ligatures w14:val="none"/>
        </w:rPr>
        <w:t xml:space="preserve">Equality Act 2010. Available at: </w:t>
      </w:r>
      <w:hyperlink r:id="rId23" w:tgtFrame="_new" w:history="1">
        <w:r w:rsidRPr="00F277B8">
          <w:rPr>
            <w:rFonts w:ascii="Times New Roman" w:eastAsia="Times New Roman" w:hAnsi="Times New Roman" w:cs="Times New Roman"/>
            <w:color w:val="0000FF"/>
            <w:kern w:val="0"/>
            <w:sz w:val="24"/>
            <w:szCs w:val="24"/>
            <w:u w:val="single"/>
            <w:lang w:eastAsia="en-GB"/>
            <w14:ligatures w14:val="none"/>
          </w:rPr>
          <w:t>www.legislation.gov.uk</w:t>
        </w:r>
      </w:hyperlink>
      <w:r w:rsidRPr="00F277B8">
        <w:rPr>
          <w:rFonts w:ascii="Times New Roman" w:eastAsia="Times New Roman" w:hAnsi="Times New Roman" w:cs="Times New Roman"/>
          <w:kern w:val="0"/>
          <w:sz w:val="24"/>
          <w:szCs w:val="24"/>
          <w:lang w:eastAsia="en-GB"/>
          <w14:ligatures w14:val="none"/>
        </w:rPr>
        <w:t>.</w:t>
      </w:r>
    </w:p>
    <w:p w14:paraId="60DD4883" w14:textId="77777777" w:rsidR="00F277B8" w:rsidRPr="00F277B8" w:rsidRDefault="00F277B8" w:rsidP="00F277B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277B8">
        <w:rPr>
          <w:rFonts w:ascii="Times New Roman" w:eastAsia="Times New Roman" w:hAnsi="Times New Roman" w:cs="Times New Roman"/>
          <w:kern w:val="0"/>
          <w:sz w:val="24"/>
          <w:szCs w:val="24"/>
          <w:lang w:eastAsia="en-GB"/>
          <w14:ligatures w14:val="none"/>
        </w:rPr>
        <w:t xml:space="preserve">Equality Act 2010, Schedule 9, Paragraph 1. Available at: </w:t>
      </w:r>
      <w:hyperlink r:id="rId24" w:tgtFrame="_new" w:history="1">
        <w:r w:rsidRPr="00F277B8">
          <w:rPr>
            <w:rFonts w:ascii="Times New Roman" w:eastAsia="Times New Roman" w:hAnsi="Times New Roman" w:cs="Times New Roman"/>
            <w:color w:val="0000FF"/>
            <w:kern w:val="0"/>
            <w:sz w:val="24"/>
            <w:szCs w:val="24"/>
            <w:u w:val="single"/>
            <w:lang w:eastAsia="en-GB"/>
            <w14:ligatures w14:val="none"/>
          </w:rPr>
          <w:t>www.legislation.gov.uk</w:t>
        </w:r>
      </w:hyperlink>
      <w:r w:rsidRPr="00F277B8">
        <w:rPr>
          <w:rFonts w:ascii="Times New Roman" w:eastAsia="Times New Roman" w:hAnsi="Times New Roman" w:cs="Times New Roman"/>
          <w:kern w:val="0"/>
          <w:sz w:val="24"/>
          <w:szCs w:val="24"/>
          <w:lang w:eastAsia="en-GB"/>
          <w14:ligatures w14:val="none"/>
        </w:rPr>
        <w:t>.</w:t>
      </w:r>
    </w:p>
    <w:p w14:paraId="2433C3F3" w14:textId="77777777" w:rsidR="00F277B8" w:rsidRPr="00F277B8" w:rsidRDefault="00F277B8" w:rsidP="00F277B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277B8">
        <w:rPr>
          <w:rFonts w:ascii="Times New Roman" w:eastAsia="Times New Roman" w:hAnsi="Times New Roman" w:cs="Times New Roman"/>
          <w:kern w:val="0"/>
          <w:sz w:val="24"/>
          <w:szCs w:val="24"/>
          <w:lang w:eastAsia="en-GB"/>
          <w14:ligatures w14:val="none"/>
        </w:rPr>
        <w:t xml:space="preserve">Equality Act 2010, s.66. Available at: </w:t>
      </w:r>
      <w:hyperlink r:id="rId25" w:tgtFrame="_new" w:history="1">
        <w:r w:rsidRPr="00F277B8">
          <w:rPr>
            <w:rFonts w:ascii="Times New Roman" w:eastAsia="Times New Roman" w:hAnsi="Times New Roman" w:cs="Times New Roman"/>
            <w:color w:val="0000FF"/>
            <w:kern w:val="0"/>
            <w:sz w:val="24"/>
            <w:szCs w:val="24"/>
            <w:u w:val="single"/>
            <w:lang w:eastAsia="en-GB"/>
            <w14:ligatures w14:val="none"/>
          </w:rPr>
          <w:t>www.legislation.gov.uk</w:t>
        </w:r>
      </w:hyperlink>
      <w:r w:rsidRPr="00F277B8">
        <w:rPr>
          <w:rFonts w:ascii="Times New Roman" w:eastAsia="Times New Roman" w:hAnsi="Times New Roman" w:cs="Times New Roman"/>
          <w:kern w:val="0"/>
          <w:sz w:val="24"/>
          <w:szCs w:val="24"/>
          <w:lang w:eastAsia="en-GB"/>
          <w14:ligatures w14:val="none"/>
        </w:rPr>
        <w:t>.</w:t>
      </w:r>
    </w:p>
    <w:p w14:paraId="70F10C81" w14:textId="77777777" w:rsidR="00F277B8" w:rsidRPr="00F277B8" w:rsidRDefault="00F277B8" w:rsidP="00F277B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277B8">
        <w:rPr>
          <w:rFonts w:ascii="Times New Roman" w:eastAsia="Times New Roman" w:hAnsi="Times New Roman" w:cs="Times New Roman"/>
          <w:kern w:val="0"/>
          <w:sz w:val="24"/>
          <w:szCs w:val="24"/>
          <w:lang w:eastAsia="en-GB"/>
          <w14:ligatures w14:val="none"/>
        </w:rPr>
        <w:t>Etam plc v Rowan [1989] IRLR 150.</w:t>
      </w:r>
    </w:p>
    <w:p w14:paraId="6A7998C9" w14:textId="77777777" w:rsidR="00F277B8" w:rsidRPr="00F277B8" w:rsidRDefault="00F277B8" w:rsidP="00F277B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277B8">
        <w:rPr>
          <w:rFonts w:ascii="Times New Roman" w:eastAsia="Times New Roman" w:hAnsi="Times New Roman" w:cs="Times New Roman"/>
          <w:kern w:val="0"/>
          <w:sz w:val="24"/>
          <w:szCs w:val="24"/>
          <w:lang w:eastAsia="en-GB"/>
          <w14:ligatures w14:val="none"/>
        </w:rPr>
        <w:t>Harpur Trust v Brazel [2022] UKSC 21.</w:t>
      </w:r>
    </w:p>
    <w:p w14:paraId="55E754D3" w14:textId="77777777" w:rsidR="00F277B8" w:rsidRPr="00F277B8" w:rsidRDefault="00F277B8" w:rsidP="00F277B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277B8">
        <w:rPr>
          <w:rFonts w:ascii="Times New Roman" w:eastAsia="Times New Roman" w:hAnsi="Times New Roman" w:cs="Times New Roman"/>
          <w:kern w:val="0"/>
          <w:sz w:val="24"/>
          <w:szCs w:val="24"/>
          <w:lang w:eastAsia="en-GB"/>
          <w14:ligatures w14:val="none"/>
        </w:rPr>
        <w:t xml:space="preserve">Health and Safety at Work Act 1974. Available at: </w:t>
      </w:r>
      <w:hyperlink r:id="rId26" w:tgtFrame="_new" w:history="1">
        <w:r w:rsidRPr="00F277B8">
          <w:rPr>
            <w:rFonts w:ascii="Times New Roman" w:eastAsia="Times New Roman" w:hAnsi="Times New Roman" w:cs="Times New Roman"/>
            <w:color w:val="0000FF"/>
            <w:kern w:val="0"/>
            <w:sz w:val="24"/>
            <w:szCs w:val="24"/>
            <w:u w:val="single"/>
            <w:lang w:eastAsia="en-GB"/>
            <w14:ligatures w14:val="none"/>
          </w:rPr>
          <w:t>www.legislation.gov.uk</w:t>
        </w:r>
      </w:hyperlink>
      <w:r w:rsidRPr="00F277B8">
        <w:rPr>
          <w:rFonts w:ascii="Times New Roman" w:eastAsia="Times New Roman" w:hAnsi="Times New Roman" w:cs="Times New Roman"/>
          <w:kern w:val="0"/>
          <w:sz w:val="24"/>
          <w:szCs w:val="24"/>
          <w:lang w:eastAsia="en-GB"/>
          <w14:ligatures w14:val="none"/>
        </w:rPr>
        <w:t>.</w:t>
      </w:r>
    </w:p>
    <w:p w14:paraId="26ADFB85" w14:textId="77777777" w:rsidR="00F277B8" w:rsidRPr="00F277B8" w:rsidRDefault="00F277B8" w:rsidP="00F277B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277B8">
        <w:rPr>
          <w:rFonts w:ascii="Times New Roman" w:eastAsia="Times New Roman" w:hAnsi="Times New Roman" w:cs="Times New Roman"/>
          <w:kern w:val="0"/>
          <w:sz w:val="24"/>
          <w:szCs w:val="24"/>
          <w:lang w:eastAsia="en-GB"/>
          <w14:ligatures w14:val="none"/>
        </w:rPr>
        <w:t xml:space="preserve">Home Office v </w:t>
      </w:r>
      <w:proofErr w:type="spellStart"/>
      <w:r w:rsidRPr="00F277B8">
        <w:rPr>
          <w:rFonts w:ascii="Times New Roman" w:eastAsia="Times New Roman" w:hAnsi="Times New Roman" w:cs="Times New Roman"/>
          <w:kern w:val="0"/>
          <w:sz w:val="24"/>
          <w:szCs w:val="24"/>
          <w:lang w:eastAsia="en-GB"/>
          <w14:ligatures w14:val="none"/>
        </w:rPr>
        <w:t>Moyhing</w:t>
      </w:r>
      <w:proofErr w:type="spellEnd"/>
      <w:r w:rsidRPr="00F277B8">
        <w:rPr>
          <w:rFonts w:ascii="Times New Roman" w:eastAsia="Times New Roman" w:hAnsi="Times New Roman" w:cs="Times New Roman"/>
          <w:kern w:val="0"/>
          <w:sz w:val="24"/>
          <w:szCs w:val="24"/>
          <w:lang w:eastAsia="en-GB"/>
          <w14:ligatures w14:val="none"/>
        </w:rPr>
        <w:t xml:space="preserve"> [2000] IRLR 185.</w:t>
      </w:r>
    </w:p>
    <w:p w14:paraId="7B96E120" w14:textId="77777777" w:rsidR="00F277B8" w:rsidRPr="00F277B8" w:rsidRDefault="00F277B8" w:rsidP="00F277B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277B8">
        <w:rPr>
          <w:rFonts w:ascii="Times New Roman" w:eastAsia="Times New Roman" w:hAnsi="Times New Roman" w:cs="Times New Roman"/>
          <w:kern w:val="0"/>
          <w:sz w:val="24"/>
          <w:szCs w:val="24"/>
          <w:lang w:eastAsia="en-GB"/>
          <w14:ligatures w14:val="none"/>
        </w:rPr>
        <w:t xml:space="preserve">Maternity Action (2024) ‘Maternity and parental leave rights.’ Available at: </w:t>
      </w:r>
      <w:hyperlink r:id="rId27" w:tgtFrame="_new" w:history="1">
        <w:r w:rsidRPr="00F277B8">
          <w:rPr>
            <w:rFonts w:ascii="Times New Roman" w:eastAsia="Times New Roman" w:hAnsi="Times New Roman" w:cs="Times New Roman"/>
            <w:color w:val="0000FF"/>
            <w:kern w:val="0"/>
            <w:sz w:val="24"/>
            <w:szCs w:val="24"/>
            <w:u w:val="single"/>
            <w:lang w:eastAsia="en-GB"/>
            <w14:ligatures w14:val="none"/>
          </w:rPr>
          <w:t>https://maternityaction.org.uk/</w:t>
        </w:r>
      </w:hyperlink>
      <w:r w:rsidRPr="00F277B8">
        <w:rPr>
          <w:rFonts w:ascii="Times New Roman" w:eastAsia="Times New Roman" w:hAnsi="Times New Roman" w:cs="Times New Roman"/>
          <w:kern w:val="0"/>
          <w:sz w:val="24"/>
          <w:szCs w:val="24"/>
          <w:lang w:eastAsia="en-GB"/>
          <w14:ligatures w14:val="none"/>
        </w:rPr>
        <w:t>.</w:t>
      </w:r>
    </w:p>
    <w:p w14:paraId="66477139" w14:textId="77777777" w:rsidR="00F277B8" w:rsidRPr="00F277B8" w:rsidRDefault="00F277B8" w:rsidP="00F277B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277B8">
        <w:rPr>
          <w:rFonts w:ascii="Times New Roman" w:eastAsia="Times New Roman" w:hAnsi="Times New Roman" w:cs="Times New Roman"/>
          <w:kern w:val="0"/>
          <w:sz w:val="24"/>
          <w:szCs w:val="24"/>
          <w:lang w:eastAsia="en-GB"/>
          <w14:ligatures w14:val="none"/>
        </w:rPr>
        <w:lastRenderedPageBreak/>
        <w:t xml:space="preserve">People Management (2017) ‘Constructive dismissal: a guide for employers.’ Available at: </w:t>
      </w:r>
      <w:hyperlink r:id="rId28" w:tgtFrame="_new" w:history="1">
        <w:r w:rsidRPr="00F277B8">
          <w:rPr>
            <w:rFonts w:ascii="Times New Roman" w:eastAsia="Times New Roman" w:hAnsi="Times New Roman" w:cs="Times New Roman"/>
            <w:color w:val="0000FF"/>
            <w:kern w:val="0"/>
            <w:sz w:val="24"/>
            <w:szCs w:val="24"/>
            <w:u w:val="single"/>
            <w:lang w:eastAsia="en-GB"/>
            <w14:ligatures w14:val="none"/>
          </w:rPr>
          <w:t>https://www.peoplemanagement.co.uk/article/1743377/constructive-dismissal-guide</w:t>
        </w:r>
      </w:hyperlink>
      <w:r w:rsidRPr="00F277B8">
        <w:rPr>
          <w:rFonts w:ascii="Times New Roman" w:eastAsia="Times New Roman" w:hAnsi="Times New Roman" w:cs="Times New Roman"/>
          <w:kern w:val="0"/>
          <w:sz w:val="24"/>
          <w:szCs w:val="24"/>
          <w:lang w:eastAsia="en-GB"/>
          <w14:ligatures w14:val="none"/>
        </w:rPr>
        <w:t>.</w:t>
      </w:r>
    </w:p>
    <w:p w14:paraId="5DCF876C" w14:textId="77777777" w:rsidR="00F277B8" w:rsidRPr="00F277B8" w:rsidRDefault="00F277B8" w:rsidP="00F277B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277B8">
        <w:rPr>
          <w:rFonts w:ascii="Times New Roman" w:eastAsia="Times New Roman" w:hAnsi="Times New Roman" w:cs="Times New Roman"/>
          <w:kern w:val="0"/>
          <w:sz w:val="24"/>
          <w:szCs w:val="24"/>
          <w:lang w:eastAsia="en-GB"/>
          <w14:ligatures w14:val="none"/>
        </w:rPr>
        <w:t xml:space="preserve">People Management (2024) ‘Legal Issues in Employment Contract Variations.’ Available at: </w:t>
      </w:r>
      <w:hyperlink r:id="rId29" w:tgtFrame="_new" w:history="1">
        <w:r w:rsidRPr="00F277B8">
          <w:rPr>
            <w:rFonts w:ascii="Times New Roman" w:eastAsia="Times New Roman" w:hAnsi="Times New Roman" w:cs="Times New Roman"/>
            <w:color w:val="0000FF"/>
            <w:kern w:val="0"/>
            <w:sz w:val="24"/>
            <w:szCs w:val="24"/>
            <w:u w:val="single"/>
            <w:lang w:eastAsia="en-GB"/>
            <w14:ligatures w14:val="none"/>
          </w:rPr>
          <w:t>www.peoplemanagement.co.uk</w:t>
        </w:r>
      </w:hyperlink>
      <w:r w:rsidRPr="00F277B8">
        <w:rPr>
          <w:rFonts w:ascii="Times New Roman" w:eastAsia="Times New Roman" w:hAnsi="Times New Roman" w:cs="Times New Roman"/>
          <w:kern w:val="0"/>
          <w:sz w:val="24"/>
          <w:szCs w:val="24"/>
          <w:lang w:eastAsia="en-GB"/>
          <w14:ligatures w14:val="none"/>
        </w:rPr>
        <w:t>.</w:t>
      </w:r>
    </w:p>
    <w:p w14:paraId="7D8B33C4" w14:textId="77777777" w:rsidR="00F277B8" w:rsidRPr="00F277B8" w:rsidRDefault="00F277B8" w:rsidP="00F277B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277B8">
        <w:rPr>
          <w:rFonts w:ascii="Times New Roman" w:eastAsia="Times New Roman" w:hAnsi="Times New Roman" w:cs="Times New Roman"/>
          <w:kern w:val="0"/>
          <w:sz w:val="24"/>
          <w:szCs w:val="24"/>
          <w:lang w:eastAsia="en-GB"/>
          <w14:ligatures w14:val="none"/>
        </w:rPr>
        <w:t>Retained EU Law (Revocation and Reform) Act 2023.</w:t>
      </w:r>
    </w:p>
    <w:p w14:paraId="604DD7DE" w14:textId="77777777" w:rsidR="00F277B8" w:rsidRPr="00F277B8" w:rsidRDefault="00F277B8" w:rsidP="00F277B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277B8">
        <w:rPr>
          <w:rFonts w:ascii="Times New Roman" w:eastAsia="Times New Roman" w:hAnsi="Times New Roman" w:cs="Times New Roman"/>
          <w:kern w:val="0"/>
          <w:sz w:val="24"/>
          <w:szCs w:val="24"/>
          <w:lang w:eastAsia="en-GB"/>
          <w14:ligatures w14:val="none"/>
        </w:rPr>
        <w:t xml:space="preserve">Trade Union and Labour Relations (Consolidation) Act 1992, s.188. Available at: </w:t>
      </w:r>
      <w:hyperlink r:id="rId30" w:tgtFrame="_new" w:history="1">
        <w:r w:rsidRPr="00F277B8">
          <w:rPr>
            <w:rFonts w:ascii="Times New Roman" w:eastAsia="Times New Roman" w:hAnsi="Times New Roman" w:cs="Times New Roman"/>
            <w:color w:val="0000FF"/>
            <w:kern w:val="0"/>
            <w:sz w:val="24"/>
            <w:szCs w:val="24"/>
            <w:u w:val="single"/>
            <w:lang w:eastAsia="en-GB"/>
            <w14:ligatures w14:val="none"/>
          </w:rPr>
          <w:t>www.legislation.gov.uk</w:t>
        </w:r>
      </w:hyperlink>
      <w:r w:rsidRPr="00F277B8">
        <w:rPr>
          <w:rFonts w:ascii="Times New Roman" w:eastAsia="Times New Roman" w:hAnsi="Times New Roman" w:cs="Times New Roman"/>
          <w:kern w:val="0"/>
          <w:sz w:val="24"/>
          <w:szCs w:val="24"/>
          <w:lang w:eastAsia="en-GB"/>
          <w14:ligatures w14:val="none"/>
        </w:rPr>
        <w:t>.</w:t>
      </w:r>
    </w:p>
    <w:p w14:paraId="255F4E9F" w14:textId="77777777" w:rsidR="00F277B8" w:rsidRPr="00F277B8" w:rsidRDefault="00F277B8" w:rsidP="00F277B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277B8">
        <w:rPr>
          <w:rFonts w:ascii="Times New Roman" w:eastAsia="Times New Roman" w:hAnsi="Times New Roman" w:cs="Times New Roman"/>
          <w:kern w:val="0"/>
          <w:sz w:val="24"/>
          <w:szCs w:val="24"/>
          <w:lang w:eastAsia="en-GB"/>
          <w14:ligatures w14:val="none"/>
        </w:rPr>
        <w:t>Uber BV v Aslam [2021] UKSC 5.</w:t>
      </w:r>
    </w:p>
    <w:p w14:paraId="6E013170" w14:textId="77777777" w:rsidR="00523605" w:rsidRDefault="00523605" w:rsidP="0052360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7FA97F1F" w14:textId="77777777" w:rsidR="00B9634F" w:rsidRDefault="00B9634F" w:rsidP="00B9634F">
      <w:pPr>
        <w:pStyle w:val="NormalWeb"/>
      </w:pPr>
    </w:p>
    <w:p w14:paraId="6D4CEEC7" w14:textId="77777777" w:rsidR="00B9634F" w:rsidRDefault="00B9634F" w:rsidP="00B9634F">
      <w:pPr>
        <w:pStyle w:val="NormalWeb"/>
      </w:pPr>
    </w:p>
    <w:p w14:paraId="7FE1CA01" w14:textId="77777777" w:rsidR="00B9634F" w:rsidRPr="00E45BE0" w:rsidRDefault="00B9634F" w:rsidP="00B9634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6E7B2407" w14:textId="77777777" w:rsidR="00B9634F" w:rsidRDefault="00B9634F" w:rsidP="00B9634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37E94838" w14:textId="77777777" w:rsidR="00B9634F" w:rsidRPr="00C50A51" w:rsidRDefault="00B9634F" w:rsidP="00B9634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07EC04EE" w14:textId="77777777" w:rsidR="00B9634F" w:rsidRDefault="00B9634F" w:rsidP="00B9634F">
      <w:pPr>
        <w:pStyle w:val="NormalWeb"/>
      </w:pPr>
    </w:p>
    <w:p w14:paraId="42ABE771" w14:textId="77777777" w:rsidR="00B9634F" w:rsidRDefault="00B9634F" w:rsidP="001A412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338BCFC8" w14:textId="77777777" w:rsidR="00B9634F" w:rsidRPr="001A4121" w:rsidRDefault="00B9634F" w:rsidP="001A412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0F9F0BF6" w14:textId="77777777" w:rsidR="001A4121" w:rsidRPr="003E338F" w:rsidRDefault="001A4121" w:rsidP="00D27B48">
      <w:pPr>
        <w:spacing w:after="0" w:line="240" w:lineRule="auto"/>
        <w:rPr>
          <w:rFonts w:ascii="Times New Roman" w:eastAsia="Times New Roman" w:hAnsi="Times New Roman" w:cs="Times New Roman"/>
          <w:b/>
          <w:bCs/>
          <w:kern w:val="0"/>
          <w:sz w:val="24"/>
          <w:szCs w:val="24"/>
          <w:lang w:eastAsia="en-GB"/>
          <w14:ligatures w14:val="none"/>
        </w:rPr>
      </w:pPr>
    </w:p>
    <w:sectPr w:rsidR="001A4121" w:rsidRPr="003E33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E2130F"/>
    <w:multiLevelType w:val="multilevel"/>
    <w:tmpl w:val="A3C2C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AE1896"/>
    <w:multiLevelType w:val="hybridMultilevel"/>
    <w:tmpl w:val="C8B45A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0871699"/>
    <w:multiLevelType w:val="multilevel"/>
    <w:tmpl w:val="5B0E96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9C46EE"/>
    <w:multiLevelType w:val="multilevel"/>
    <w:tmpl w:val="BA9095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F231F2"/>
    <w:multiLevelType w:val="multilevel"/>
    <w:tmpl w:val="865E6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E04501"/>
    <w:multiLevelType w:val="multilevel"/>
    <w:tmpl w:val="E97E0C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3726304"/>
    <w:multiLevelType w:val="multilevel"/>
    <w:tmpl w:val="B890E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E862837"/>
    <w:multiLevelType w:val="multilevel"/>
    <w:tmpl w:val="E17251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C7F49FE"/>
    <w:multiLevelType w:val="multilevel"/>
    <w:tmpl w:val="B2505B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261438F"/>
    <w:multiLevelType w:val="multilevel"/>
    <w:tmpl w:val="FAE48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78623D5"/>
    <w:multiLevelType w:val="multilevel"/>
    <w:tmpl w:val="C276B7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04557938">
    <w:abstractNumId w:val="0"/>
  </w:num>
  <w:num w:numId="2" w16cid:durableId="1672180638">
    <w:abstractNumId w:val="2"/>
  </w:num>
  <w:num w:numId="3" w16cid:durableId="630551549">
    <w:abstractNumId w:val="5"/>
  </w:num>
  <w:num w:numId="4" w16cid:durableId="293565802">
    <w:abstractNumId w:val="8"/>
  </w:num>
  <w:num w:numId="5" w16cid:durableId="1319384479">
    <w:abstractNumId w:val="10"/>
  </w:num>
  <w:num w:numId="6" w16cid:durableId="1736271407">
    <w:abstractNumId w:val="7"/>
  </w:num>
  <w:num w:numId="7" w16cid:durableId="1874340457">
    <w:abstractNumId w:val="9"/>
  </w:num>
  <w:num w:numId="8" w16cid:durableId="1559321687">
    <w:abstractNumId w:val="4"/>
  </w:num>
  <w:num w:numId="9" w16cid:durableId="311180901">
    <w:abstractNumId w:val="3"/>
  </w:num>
  <w:num w:numId="10" w16cid:durableId="284434878">
    <w:abstractNumId w:val="6"/>
  </w:num>
  <w:num w:numId="11" w16cid:durableId="16987689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0A51"/>
    <w:rsid w:val="00025681"/>
    <w:rsid w:val="00046EEA"/>
    <w:rsid w:val="00084A8B"/>
    <w:rsid w:val="000940D6"/>
    <w:rsid w:val="000B4714"/>
    <w:rsid w:val="000C2232"/>
    <w:rsid w:val="000E2D88"/>
    <w:rsid w:val="00164BE7"/>
    <w:rsid w:val="001A4121"/>
    <w:rsid w:val="001B1D1D"/>
    <w:rsid w:val="001B2E2E"/>
    <w:rsid w:val="001B5481"/>
    <w:rsid w:val="001C2DBD"/>
    <w:rsid w:val="001F6D0C"/>
    <w:rsid w:val="00221BCF"/>
    <w:rsid w:val="00254671"/>
    <w:rsid w:val="002832E1"/>
    <w:rsid w:val="002B4576"/>
    <w:rsid w:val="002C43A3"/>
    <w:rsid w:val="00301552"/>
    <w:rsid w:val="00322BF0"/>
    <w:rsid w:val="00344D3A"/>
    <w:rsid w:val="003642B3"/>
    <w:rsid w:val="00387498"/>
    <w:rsid w:val="003D5FC4"/>
    <w:rsid w:val="003E338F"/>
    <w:rsid w:val="003E4FD2"/>
    <w:rsid w:val="00482E10"/>
    <w:rsid w:val="004A7D65"/>
    <w:rsid w:val="004B7AF1"/>
    <w:rsid w:val="00523605"/>
    <w:rsid w:val="005657B8"/>
    <w:rsid w:val="005664F8"/>
    <w:rsid w:val="00582405"/>
    <w:rsid w:val="005A1503"/>
    <w:rsid w:val="005D23CC"/>
    <w:rsid w:val="005E02E6"/>
    <w:rsid w:val="00601C1D"/>
    <w:rsid w:val="006518EA"/>
    <w:rsid w:val="006648EA"/>
    <w:rsid w:val="006860FE"/>
    <w:rsid w:val="0069026E"/>
    <w:rsid w:val="006A64F7"/>
    <w:rsid w:val="00720A0A"/>
    <w:rsid w:val="007727CC"/>
    <w:rsid w:val="0077447D"/>
    <w:rsid w:val="007803A7"/>
    <w:rsid w:val="007B25FC"/>
    <w:rsid w:val="007F018E"/>
    <w:rsid w:val="00823025"/>
    <w:rsid w:val="008372CA"/>
    <w:rsid w:val="0084659C"/>
    <w:rsid w:val="00880126"/>
    <w:rsid w:val="008A0475"/>
    <w:rsid w:val="00951809"/>
    <w:rsid w:val="00973CE9"/>
    <w:rsid w:val="009A3EE8"/>
    <w:rsid w:val="00A34C96"/>
    <w:rsid w:val="00AD2A4C"/>
    <w:rsid w:val="00B31C43"/>
    <w:rsid w:val="00B36FFD"/>
    <w:rsid w:val="00B66326"/>
    <w:rsid w:val="00B90A64"/>
    <w:rsid w:val="00B9634F"/>
    <w:rsid w:val="00BF39FD"/>
    <w:rsid w:val="00C12FCB"/>
    <w:rsid w:val="00C50A51"/>
    <w:rsid w:val="00C86655"/>
    <w:rsid w:val="00CA761E"/>
    <w:rsid w:val="00D2698D"/>
    <w:rsid w:val="00D2702D"/>
    <w:rsid w:val="00D27B48"/>
    <w:rsid w:val="00D45C26"/>
    <w:rsid w:val="00D51255"/>
    <w:rsid w:val="00D61B67"/>
    <w:rsid w:val="00DC4FE4"/>
    <w:rsid w:val="00DC7629"/>
    <w:rsid w:val="00DE018C"/>
    <w:rsid w:val="00E2363A"/>
    <w:rsid w:val="00E45BE0"/>
    <w:rsid w:val="00E821E4"/>
    <w:rsid w:val="00E92AAC"/>
    <w:rsid w:val="00E97E87"/>
    <w:rsid w:val="00EA5902"/>
    <w:rsid w:val="00EE16B8"/>
    <w:rsid w:val="00F277B8"/>
    <w:rsid w:val="00F865F8"/>
    <w:rsid w:val="00FC39C9"/>
    <w:rsid w:val="00FD71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4659CC"/>
  <w15:chartTrackingRefBased/>
  <w15:docId w15:val="{CAC2D2F3-C292-4AF3-8ED0-87D5BEAAF9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0A51"/>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C50A51"/>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C50A51"/>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C50A51"/>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C50A51"/>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C50A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0A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0A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0A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0A51"/>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C50A51"/>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C50A51"/>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C50A51"/>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C50A51"/>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C50A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0A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0A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0A51"/>
    <w:rPr>
      <w:rFonts w:eastAsiaTheme="majorEastAsia" w:cstheme="majorBidi"/>
      <w:color w:val="272727" w:themeColor="text1" w:themeTint="D8"/>
    </w:rPr>
  </w:style>
  <w:style w:type="paragraph" w:styleId="Title">
    <w:name w:val="Title"/>
    <w:basedOn w:val="Normal"/>
    <w:next w:val="Normal"/>
    <w:link w:val="TitleChar"/>
    <w:uiPriority w:val="10"/>
    <w:qFormat/>
    <w:rsid w:val="00C50A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0A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0A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0A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0A51"/>
    <w:pPr>
      <w:spacing w:before="160"/>
      <w:jc w:val="center"/>
    </w:pPr>
    <w:rPr>
      <w:i/>
      <w:iCs/>
      <w:color w:val="404040" w:themeColor="text1" w:themeTint="BF"/>
    </w:rPr>
  </w:style>
  <w:style w:type="character" w:customStyle="1" w:styleId="QuoteChar">
    <w:name w:val="Quote Char"/>
    <w:basedOn w:val="DefaultParagraphFont"/>
    <w:link w:val="Quote"/>
    <w:uiPriority w:val="29"/>
    <w:rsid w:val="00C50A51"/>
    <w:rPr>
      <w:i/>
      <w:iCs/>
      <w:color w:val="404040" w:themeColor="text1" w:themeTint="BF"/>
    </w:rPr>
  </w:style>
  <w:style w:type="paragraph" w:styleId="ListParagraph">
    <w:name w:val="List Paragraph"/>
    <w:basedOn w:val="Normal"/>
    <w:uiPriority w:val="34"/>
    <w:qFormat/>
    <w:rsid w:val="00C50A51"/>
    <w:pPr>
      <w:ind w:left="720"/>
      <w:contextualSpacing/>
    </w:pPr>
  </w:style>
  <w:style w:type="character" w:styleId="IntenseEmphasis">
    <w:name w:val="Intense Emphasis"/>
    <w:basedOn w:val="DefaultParagraphFont"/>
    <w:uiPriority w:val="21"/>
    <w:qFormat/>
    <w:rsid w:val="00C50A51"/>
    <w:rPr>
      <w:i/>
      <w:iCs/>
      <w:color w:val="2E74B5" w:themeColor="accent1" w:themeShade="BF"/>
    </w:rPr>
  </w:style>
  <w:style w:type="paragraph" w:styleId="IntenseQuote">
    <w:name w:val="Intense Quote"/>
    <w:basedOn w:val="Normal"/>
    <w:next w:val="Normal"/>
    <w:link w:val="IntenseQuoteChar"/>
    <w:uiPriority w:val="30"/>
    <w:qFormat/>
    <w:rsid w:val="00C50A51"/>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C50A51"/>
    <w:rPr>
      <w:i/>
      <w:iCs/>
      <w:color w:val="2E74B5" w:themeColor="accent1" w:themeShade="BF"/>
    </w:rPr>
  </w:style>
  <w:style w:type="character" w:styleId="IntenseReference">
    <w:name w:val="Intense Reference"/>
    <w:basedOn w:val="DefaultParagraphFont"/>
    <w:uiPriority w:val="32"/>
    <w:qFormat/>
    <w:rsid w:val="00C50A51"/>
    <w:rPr>
      <w:b/>
      <w:bCs/>
      <w:smallCaps/>
      <w:color w:val="2E74B5" w:themeColor="accent1" w:themeShade="BF"/>
      <w:spacing w:val="5"/>
    </w:rPr>
  </w:style>
  <w:style w:type="paragraph" w:styleId="NormalWeb">
    <w:name w:val="Normal (Web)"/>
    <w:basedOn w:val="Normal"/>
    <w:uiPriority w:val="99"/>
    <w:unhideWhenUsed/>
    <w:rsid w:val="00D61B6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D61B67"/>
    <w:rPr>
      <w:i/>
      <w:iCs/>
    </w:rPr>
  </w:style>
  <w:style w:type="character" w:styleId="Hyperlink">
    <w:name w:val="Hyperlink"/>
    <w:basedOn w:val="DefaultParagraphFont"/>
    <w:uiPriority w:val="99"/>
    <w:unhideWhenUsed/>
    <w:rsid w:val="00E45BE0"/>
    <w:rPr>
      <w:color w:val="0563C1" w:themeColor="hyperlink"/>
      <w:u w:val="single"/>
    </w:rPr>
  </w:style>
  <w:style w:type="character" w:styleId="UnresolvedMention">
    <w:name w:val="Unresolved Mention"/>
    <w:basedOn w:val="DefaultParagraphFont"/>
    <w:uiPriority w:val="99"/>
    <w:semiHidden/>
    <w:unhideWhenUsed/>
    <w:rsid w:val="00E45BE0"/>
    <w:rPr>
      <w:color w:val="605E5C"/>
      <w:shd w:val="clear" w:color="auto" w:fill="E1DFDD"/>
    </w:rPr>
  </w:style>
  <w:style w:type="character" w:styleId="Strong">
    <w:name w:val="Strong"/>
    <w:basedOn w:val="DefaultParagraphFont"/>
    <w:uiPriority w:val="22"/>
    <w:qFormat/>
    <w:rsid w:val="00B36FF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2482763">
      <w:bodyDiv w:val="1"/>
      <w:marLeft w:val="0"/>
      <w:marRight w:val="0"/>
      <w:marTop w:val="0"/>
      <w:marBottom w:val="0"/>
      <w:divBdr>
        <w:top w:val="none" w:sz="0" w:space="0" w:color="auto"/>
        <w:left w:val="none" w:sz="0" w:space="0" w:color="auto"/>
        <w:bottom w:val="none" w:sz="0" w:space="0" w:color="auto"/>
        <w:right w:val="none" w:sz="0" w:space="0" w:color="auto"/>
      </w:divBdr>
    </w:div>
    <w:div w:id="290938177">
      <w:bodyDiv w:val="1"/>
      <w:marLeft w:val="0"/>
      <w:marRight w:val="0"/>
      <w:marTop w:val="0"/>
      <w:marBottom w:val="0"/>
      <w:divBdr>
        <w:top w:val="none" w:sz="0" w:space="0" w:color="auto"/>
        <w:left w:val="none" w:sz="0" w:space="0" w:color="auto"/>
        <w:bottom w:val="none" w:sz="0" w:space="0" w:color="auto"/>
        <w:right w:val="none" w:sz="0" w:space="0" w:color="auto"/>
      </w:divBdr>
    </w:div>
    <w:div w:id="320742576">
      <w:bodyDiv w:val="1"/>
      <w:marLeft w:val="0"/>
      <w:marRight w:val="0"/>
      <w:marTop w:val="0"/>
      <w:marBottom w:val="0"/>
      <w:divBdr>
        <w:top w:val="none" w:sz="0" w:space="0" w:color="auto"/>
        <w:left w:val="none" w:sz="0" w:space="0" w:color="auto"/>
        <w:bottom w:val="none" w:sz="0" w:space="0" w:color="auto"/>
        <w:right w:val="none" w:sz="0" w:space="0" w:color="auto"/>
      </w:divBdr>
    </w:div>
    <w:div w:id="379135282">
      <w:bodyDiv w:val="1"/>
      <w:marLeft w:val="0"/>
      <w:marRight w:val="0"/>
      <w:marTop w:val="0"/>
      <w:marBottom w:val="0"/>
      <w:divBdr>
        <w:top w:val="none" w:sz="0" w:space="0" w:color="auto"/>
        <w:left w:val="none" w:sz="0" w:space="0" w:color="auto"/>
        <w:bottom w:val="none" w:sz="0" w:space="0" w:color="auto"/>
        <w:right w:val="none" w:sz="0" w:space="0" w:color="auto"/>
      </w:divBdr>
    </w:div>
    <w:div w:id="443765216">
      <w:bodyDiv w:val="1"/>
      <w:marLeft w:val="0"/>
      <w:marRight w:val="0"/>
      <w:marTop w:val="0"/>
      <w:marBottom w:val="0"/>
      <w:divBdr>
        <w:top w:val="none" w:sz="0" w:space="0" w:color="auto"/>
        <w:left w:val="none" w:sz="0" w:space="0" w:color="auto"/>
        <w:bottom w:val="none" w:sz="0" w:space="0" w:color="auto"/>
        <w:right w:val="none" w:sz="0" w:space="0" w:color="auto"/>
      </w:divBdr>
    </w:div>
    <w:div w:id="468010818">
      <w:bodyDiv w:val="1"/>
      <w:marLeft w:val="0"/>
      <w:marRight w:val="0"/>
      <w:marTop w:val="0"/>
      <w:marBottom w:val="0"/>
      <w:divBdr>
        <w:top w:val="none" w:sz="0" w:space="0" w:color="auto"/>
        <w:left w:val="none" w:sz="0" w:space="0" w:color="auto"/>
        <w:bottom w:val="none" w:sz="0" w:space="0" w:color="auto"/>
        <w:right w:val="none" w:sz="0" w:space="0" w:color="auto"/>
      </w:divBdr>
    </w:div>
    <w:div w:id="481240294">
      <w:bodyDiv w:val="1"/>
      <w:marLeft w:val="0"/>
      <w:marRight w:val="0"/>
      <w:marTop w:val="0"/>
      <w:marBottom w:val="0"/>
      <w:divBdr>
        <w:top w:val="none" w:sz="0" w:space="0" w:color="auto"/>
        <w:left w:val="none" w:sz="0" w:space="0" w:color="auto"/>
        <w:bottom w:val="none" w:sz="0" w:space="0" w:color="auto"/>
        <w:right w:val="none" w:sz="0" w:space="0" w:color="auto"/>
      </w:divBdr>
    </w:div>
    <w:div w:id="484126237">
      <w:bodyDiv w:val="1"/>
      <w:marLeft w:val="0"/>
      <w:marRight w:val="0"/>
      <w:marTop w:val="0"/>
      <w:marBottom w:val="0"/>
      <w:divBdr>
        <w:top w:val="none" w:sz="0" w:space="0" w:color="auto"/>
        <w:left w:val="none" w:sz="0" w:space="0" w:color="auto"/>
        <w:bottom w:val="none" w:sz="0" w:space="0" w:color="auto"/>
        <w:right w:val="none" w:sz="0" w:space="0" w:color="auto"/>
      </w:divBdr>
    </w:div>
    <w:div w:id="561982798">
      <w:bodyDiv w:val="1"/>
      <w:marLeft w:val="0"/>
      <w:marRight w:val="0"/>
      <w:marTop w:val="0"/>
      <w:marBottom w:val="0"/>
      <w:divBdr>
        <w:top w:val="none" w:sz="0" w:space="0" w:color="auto"/>
        <w:left w:val="none" w:sz="0" w:space="0" w:color="auto"/>
        <w:bottom w:val="none" w:sz="0" w:space="0" w:color="auto"/>
        <w:right w:val="none" w:sz="0" w:space="0" w:color="auto"/>
      </w:divBdr>
    </w:div>
    <w:div w:id="586840047">
      <w:bodyDiv w:val="1"/>
      <w:marLeft w:val="0"/>
      <w:marRight w:val="0"/>
      <w:marTop w:val="0"/>
      <w:marBottom w:val="0"/>
      <w:divBdr>
        <w:top w:val="none" w:sz="0" w:space="0" w:color="auto"/>
        <w:left w:val="none" w:sz="0" w:space="0" w:color="auto"/>
        <w:bottom w:val="none" w:sz="0" w:space="0" w:color="auto"/>
        <w:right w:val="none" w:sz="0" w:space="0" w:color="auto"/>
      </w:divBdr>
    </w:div>
    <w:div w:id="609168276">
      <w:bodyDiv w:val="1"/>
      <w:marLeft w:val="0"/>
      <w:marRight w:val="0"/>
      <w:marTop w:val="0"/>
      <w:marBottom w:val="0"/>
      <w:divBdr>
        <w:top w:val="none" w:sz="0" w:space="0" w:color="auto"/>
        <w:left w:val="none" w:sz="0" w:space="0" w:color="auto"/>
        <w:bottom w:val="none" w:sz="0" w:space="0" w:color="auto"/>
        <w:right w:val="none" w:sz="0" w:space="0" w:color="auto"/>
      </w:divBdr>
    </w:div>
    <w:div w:id="733048739">
      <w:bodyDiv w:val="1"/>
      <w:marLeft w:val="0"/>
      <w:marRight w:val="0"/>
      <w:marTop w:val="0"/>
      <w:marBottom w:val="0"/>
      <w:divBdr>
        <w:top w:val="none" w:sz="0" w:space="0" w:color="auto"/>
        <w:left w:val="none" w:sz="0" w:space="0" w:color="auto"/>
        <w:bottom w:val="none" w:sz="0" w:space="0" w:color="auto"/>
        <w:right w:val="none" w:sz="0" w:space="0" w:color="auto"/>
      </w:divBdr>
    </w:div>
    <w:div w:id="735083942">
      <w:bodyDiv w:val="1"/>
      <w:marLeft w:val="0"/>
      <w:marRight w:val="0"/>
      <w:marTop w:val="0"/>
      <w:marBottom w:val="0"/>
      <w:divBdr>
        <w:top w:val="none" w:sz="0" w:space="0" w:color="auto"/>
        <w:left w:val="none" w:sz="0" w:space="0" w:color="auto"/>
        <w:bottom w:val="none" w:sz="0" w:space="0" w:color="auto"/>
        <w:right w:val="none" w:sz="0" w:space="0" w:color="auto"/>
      </w:divBdr>
    </w:div>
    <w:div w:id="764571111">
      <w:bodyDiv w:val="1"/>
      <w:marLeft w:val="0"/>
      <w:marRight w:val="0"/>
      <w:marTop w:val="0"/>
      <w:marBottom w:val="0"/>
      <w:divBdr>
        <w:top w:val="none" w:sz="0" w:space="0" w:color="auto"/>
        <w:left w:val="none" w:sz="0" w:space="0" w:color="auto"/>
        <w:bottom w:val="none" w:sz="0" w:space="0" w:color="auto"/>
        <w:right w:val="none" w:sz="0" w:space="0" w:color="auto"/>
      </w:divBdr>
    </w:div>
    <w:div w:id="814612874">
      <w:bodyDiv w:val="1"/>
      <w:marLeft w:val="0"/>
      <w:marRight w:val="0"/>
      <w:marTop w:val="0"/>
      <w:marBottom w:val="0"/>
      <w:divBdr>
        <w:top w:val="none" w:sz="0" w:space="0" w:color="auto"/>
        <w:left w:val="none" w:sz="0" w:space="0" w:color="auto"/>
        <w:bottom w:val="none" w:sz="0" w:space="0" w:color="auto"/>
        <w:right w:val="none" w:sz="0" w:space="0" w:color="auto"/>
      </w:divBdr>
    </w:div>
    <w:div w:id="960573338">
      <w:bodyDiv w:val="1"/>
      <w:marLeft w:val="0"/>
      <w:marRight w:val="0"/>
      <w:marTop w:val="0"/>
      <w:marBottom w:val="0"/>
      <w:divBdr>
        <w:top w:val="none" w:sz="0" w:space="0" w:color="auto"/>
        <w:left w:val="none" w:sz="0" w:space="0" w:color="auto"/>
        <w:bottom w:val="none" w:sz="0" w:space="0" w:color="auto"/>
        <w:right w:val="none" w:sz="0" w:space="0" w:color="auto"/>
      </w:divBdr>
      <w:divsChild>
        <w:div w:id="322242273">
          <w:marLeft w:val="0"/>
          <w:marRight w:val="0"/>
          <w:marTop w:val="0"/>
          <w:marBottom w:val="0"/>
          <w:divBdr>
            <w:top w:val="none" w:sz="0" w:space="0" w:color="auto"/>
            <w:left w:val="none" w:sz="0" w:space="0" w:color="auto"/>
            <w:bottom w:val="none" w:sz="0" w:space="0" w:color="auto"/>
            <w:right w:val="none" w:sz="0" w:space="0" w:color="auto"/>
          </w:divBdr>
        </w:div>
        <w:div w:id="898395478">
          <w:marLeft w:val="0"/>
          <w:marRight w:val="0"/>
          <w:marTop w:val="0"/>
          <w:marBottom w:val="0"/>
          <w:divBdr>
            <w:top w:val="none" w:sz="0" w:space="0" w:color="auto"/>
            <w:left w:val="none" w:sz="0" w:space="0" w:color="auto"/>
            <w:bottom w:val="none" w:sz="0" w:space="0" w:color="auto"/>
            <w:right w:val="none" w:sz="0" w:space="0" w:color="auto"/>
          </w:divBdr>
        </w:div>
        <w:div w:id="910581988">
          <w:marLeft w:val="0"/>
          <w:marRight w:val="0"/>
          <w:marTop w:val="0"/>
          <w:marBottom w:val="0"/>
          <w:divBdr>
            <w:top w:val="none" w:sz="0" w:space="0" w:color="auto"/>
            <w:left w:val="none" w:sz="0" w:space="0" w:color="auto"/>
            <w:bottom w:val="none" w:sz="0" w:space="0" w:color="auto"/>
            <w:right w:val="none" w:sz="0" w:space="0" w:color="auto"/>
          </w:divBdr>
        </w:div>
        <w:div w:id="954867944">
          <w:marLeft w:val="0"/>
          <w:marRight w:val="0"/>
          <w:marTop w:val="0"/>
          <w:marBottom w:val="0"/>
          <w:divBdr>
            <w:top w:val="none" w:sz="0" w:space="0" w:color="auto"/>
            <w:left w:val="none" w:sz="0" w:space="0" w:color="auto"/>
            <w:bottom w:val="none" w:sz="0" w:space="0" w:color="auto"/>
            <w:right w:val="none" w:sz="0" w:space="0" w:color="auto"/>
          </w:divBdr>
        </w:div>
        <w:div w:id="1205287402">
          <w:marLeft w:val="0"/>
          <w:marRight w:val="0"/>
          <w:marTop w:val="0"/>
          <w:marBottom w:val="0"/>
          <w:divBdr>
            <w:top w:val="none" w:sz="0" w:space="0" w:color="auto"/>
            <w:left w:val="none" w:sz="0" w:space="0" w:color="auto"/>
            <w:bottom w:val="none" w:sz="0" w:space="0" w:color="auto"/>
            <w:right w:val="none" w:sz="0" w:space="0" w:color="auto"/>
          </w:divBdr>
        </w:div>
        <w:div w:id="1285774180">
          <w:marLeft w:val="0"/>
          <w:marRight w:val="0"/>
          <w:marTop w:val="0"/>
          <w:marBottom w:val="0"/>
          <w:divBdr>
            <w:top w:val="none" w:sz="0" w:space="0" w:color="auto"/>
            <w:left w:val="none" w:sz="0" w:space="0" w:color="auto"/>
            <w:bottom w:val="none" w:sz="0" w:space="0" w:color="auto"/>
            <w:right w:val="none" w:sz="0" w:space="0" w:color="auto"/>
          </w:divBdr>
        </w:div>
        <w:div w:id="1464275129">
          <w:marLeft w:val="0"/>
          <w:marRight w:val="0"/>
          <w:marTop w:val="0"/>
          <w:marBottom w:val="0"/>
          <w:divBdr>
            <w:top w:val="none" w:sz="0" w:space="0" w:color="auto"/>
            <w:left w:val="none" w:sz="0" w:space="0" w:color="auto"/>
            <w:bottom w:val="none" w:sz="0" w:space="0" w:color="auto"/>
            <w:right w:val="none" w:sz="0" w:space="0" w:color="auto"/>
          </w:divBdr>
        </w:div>
        <w:div w:id="1747409532">
          <w:marLeft w:val="0"/>
          <w:marRight w:val="0"/>
          <w:marTop w:val="0"/>
          <w:marBottom w:val="0"/>
          <w:divBdr>
            <w:top w:val="none" w:sz="0" w:space="0" w:color="auto"/>
            <w:left w:val="none" w:sz="0" w:space="0" w:color="auto"/>
            <w:bottom w:val="none" w:sz="0" w:space="0" w:color="auto"/>
            <w:right w:val="none" w:sz="0" w:space="0" w:color="auto"/>
          </w:divBdr>
        </w:div>
        <w:div w:id="2072264576">
          <w:marLeft w:val="0"/>
          <w:marRight w:val="0"/>
          <w:marTop w:val="0"/>
          <w:marBottom w:val="0"/>
          <w:divBdr>
            <w:top w:val="none" w:sz="0" w:space="0" w:color="auto"/>
            <w:left w:val="none" w:sz="0" w:space="0" w:color="auto"/>
            <w:bottom w:val="none" w:sz="0" w:space="0" w:color="auto"/>
            <w:right w:val="none" w:sz="0" w:space="0" w:color="auto"/>
          </w:divBdr>
        </w:div>
      </w:divsChild>
    </w:div>
    <w:div w:id="1189027262">
      <w:bodyDiv w:val="1"/>
      <w:marLeft w:val="0"/>
      <w:marRight w:val="0"/>
      <w:marTop w:val="0"/>
      <w:marBottom w:val="0"/>
      <w:divBdr>
        <w:top w:val="none" w:sz="0" w:space="0" w:color="auto"/>
        <w:left w:val="none" w:sz="0" w:space="0" w:color="auto"/>
        <w:bottom w:val="none" w:sz="0" w:space="0" w:color="auto"/>
        <w:right w:val="none" w:sz="0" w:space="0" w:color="auto"/>
      </w:divBdr>
    </w:div>
    <w:div w:id="1246302362">
      <w:bodyDiv w:val="1"/>
      <w:marLeft w:val="0"/>
      <w:marRight w:val="0"/>
      <w:marTop w:val="0"/>
      <w:marBottom w:val="0"/>
      <w:divBdr>
        <w:top w:val="none" w:sz="0" w:space="0" w:color="auto"/>
        <w:left w:val="none" w:sz="0" w:space="0" w:color="auto"/>
        <w:bottom w:val="none" w:sz="0" w:space="0" w:color="auto"/>
        <w:right w:val="none" w:sz="0" w:space="0" w:color="auto"/>
      </w:divBdr>
    </w:div>
    <w:div w:id="1255743793">
      <w:bodyDiv w:val="1"/>
      <w:marLeft w:val="0"/>
      <w:marRight w:val="0"/>
      <w:marTop w:val="0"/>
      <w:marBottom w:val="0"/>
      <w:divBdr>
        <w:top w:val="none" w:sz="0" w:space="0" w:color="auto"/>
        <w:left w:val="none" w:sz="0" w:space="0" w:color="auto"/>
        <w:bottom w:val="none" w:sz="0" w:space="0" w:color="auto"/>
        <w:right w:val="none" w:sz="0" w:space="0" w:color="auto"/>
      </w:divBdr>
    </w:div>
    <w:div w:id="1407146215">
      <w:bodyDiv w:val="1"/>
      <w:marLeft w:val="0"/>
      <w:marRight w:val="0"/>
      <w:marTop w:val="0"/>
      <w:marBottom w:val="0"/>
      <w:divBdr>
        <w:top w:val="none" w:sz="0" w:space="0" w:color="auto"/>
        <w:left w:val="none" w:sz="0" w:space="0" w:color="auto"/>
        <w:bottom w:val="none" w:sz="0" w:space="0" w:color="auto"/>
        <w:right w:val="none" w:sz="0" w:space="0" w:color="auto"/>
      </w:divBdr>
    </w:div>
    <w:div w:id="1426222470">
      <w:bodyDiv w:val="1"/>
      <w:marLeft w:val="0"/>
      <w:marRight w:val="0"/>
      <w:marTop w:val="0"/>
      <w:marBottom w:val="0"/>
      <w:divBdr>
        <w:top w:val="none" w:sz="0" w:space="0" w:color="auto"/>
        <w:left w:val="none" w:sz="0" w:space="0" w:color="auto"/>
        <w:bottom w:val="none" w:sz="0" w:space="0" w:color="auto"/>
        <w:right w:val="none" w:sz="0" w:space="0" w:color="auto"/>
      </w:divBdr>
    </w:div>
    <w:div w:id="1950309797">
      <w:bodyDiv w:val="1"/>
      <w:marLeft w:val="0"/>
      <w:marRight w:val="0"/>
      <w:marTop w:val="0"/>
      <w:marBottom w:val="0"/>
      <w:divBdr>
        <w:top w:val="none" w:sz="0" w:space="0" w:color="auto"/>
        <w:left w:val="none" w:sz="0" w:space="0" w:color="auto"/>
        <w:bottom w:val="none" w:sz="0" w:space="0" w:color="auto"/>
        <w:right w:val="none" w:sz="0" w:space="0" w:color="auto"/>
      </w:divBdr>
    </w:div>
    <w:div w:id="1964654676">
      <w:bodyDiv w:val="1"/>
      <w:marLeft w:val="0"/>
      <w:marRight w:val="0"/>
      <w:marTop w:val="0"/>
      <w:marBottom w:val="0"/>
      <w:divBdr>
        <w:top w:val="none" w:sz="0" w:space="0" w:color="auto"/>
        <w:left w:val="none" w:sz="0" w:space="0" w:color="auto"/>
        <w:bottom w:val="none" w:sz="0" w:space="0" w:color="auto"/>
        <w:right w:val="none" w:sz="0" w:space="0" w:color="auto"/>
      </w:divBdr>
    </w:div>
    <w:div w:id="1994672012">
      <w:bodyDiv w:val="1"/>
      <w:marLeft w:val="0"/>
      <w:marRight w:val="0"/>
      <w:marTop w:val="0"/>
      <w:marBottom w:val="0"/>
      <w:divBdr>
        <w:top w:val="none" w:sz="0" w:space="0" w:color="auto"/>
        <w:left w:val="none" w:sz="0" w:space="0" w:color="auto"/>
        <w:bottom w:val="none" w:sz="0" w:space="0" w:color="auto"/>
        <w:right w:val="none" w:sz="0" w:space="0" w:color="auto"/>
      </w:divBdr>
    </w:div>
    <w:div w:id="20402768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cas.org.uk" TargetMode="External"/><Relationship Id="rId13" Type="http://schemas.openxmlformats.org/officeDocument/2006/relationships/hyperlink" Target="http://www.cipd.co.uk" TargetMode="External"/><Relationship Id="rId18" Type="http://schemas.openxmlformats.org/officeDocument/2006/relationships/hyperlink" Target="http://www.equalityhumanrights.com" TargetMode="External"/><Relationship Id="rId26" Type="http://schemas.openxmlformats.org/officeDocument/2006/relationships/hyperlink" Target="http://www.legislation.gov.uk" TargetMode="External"/><Relationship Id="rId3" Type="http://schemas.openxmlformats.org/officeDocument/2006/relationships/settings" Target="settings.xml"/><Relationship Id="rId21" Type="http://schemas.openxmlformats.org/officeDocument/2006/relationships/hyperlink" Target="http://www.legislation.gov.uk" TargetMode="External"/><Relationship Id="rId7" Type="http://schemas.openxmlformats.org/officeDocument/2006/relationships/hyperlink" Target="https://www.acas.org.uk/irregular-hours-and-part-year-workers/calculating-holiday-pay" TargetMode="External"/><Relationship Id="rId12" Type="http://schemas.openxmlformats.org/officeDocument/2006/relationships/hyperlink" Target="http://www.cipd.co.uk" TargetMode="External"/><Relationship Id="rId17" Type="http://schemas.openxmlformats.org/officeDocument/2006/relationships/hyperlink" Target="http://www.cipd.co.uk" TargetMode="External"/><Relationship Id="rId25" Type="http://schemas.openxmlformats.org/officeDocument/2006/relationships/hyperlink" Target="http://www.legislation.gov.uk" TargetMode="External"/><Relationship Id="rId2" Type="http://schemas.openxmlformats.org/officeDocument/2006/relationships/styles" Target="styles.xml"/><Relationship Id="rId16" Type="http://schemas.openxmlformats.org/officeDocument/2006/relationships/hyperlink" Target="http://www.cipd.co.uk" TargetMode="External"/><Relationship Id="rId20" Type="http://schemas.openxmlformats.org/officeDocument/2006/relationships/hyperlink" Target="http://www.legislation.gov.uk" TargetMode="External"/><Relationship Id="rId29" Type="http://schemas.openxmlformats.org/officeDocument/2006/relationships/hyperlink" Target="http://www.peoplemanagement.co.uk" TargetMode="External"/><Relationship Id="rId1" Type="http://schemas.openxmlformats.org/officeDocument/2006/relationships/numbering" Target="numbering.xml"/><Relationship Id="rId6" Type="http://schemas.openxmlformats.org/officeDocument/2006/relationships/hyperlink" Target="http://www.acas.org.uk" TargetMode="External"/><Relationship Id="rId11" Type="http://schemas.openxmlformats.org/officeDocument/2006/relationships/hyperlink" Target="https://www.cipd.org.uk/uk/knowledge/factsheets/maternity-paternity-rights-factsheet/" TargetMode="External"/><Relationship Id="rId24" Type="http://schemas.openxmlformats.org/officeDocument/2006/relationships/hyperlink" Target="http://www.legislation.gov.uk" TargetMode="External"/><Relationship Id="rId32" Type="http://schemas.openxmlformats.org/officeDocument/2006/relationships/theme" Target="theme/theme1.xml"/><Relationship Id="rId5" Type="http://schemas.openxmlformats.org/officeDocument/2006/relationships/hyperlink" Target="http://www.acas.org.uk" TargetMode="External"/><Relationship Id="rId15" Type="http://schemas.openxmlformats.org/officeDocument/2006/relationships/hyperlink" Target="http://www.cipd.co.uk" TargetMode="External"/><Relationship Id="rId23" Type="http://schemas.openxmlformats.org/officeDocument/2006/relationships/hyperlink" Target="http://www.legislation.gov.uk" TargetMode="External"/><Relationship Id="rId28" Type="http://schemas.openxmlformats.org/officeDocument/2006/relationships/hyperlink" Target="https://www.peoplemanagement.co.uk/article/1743377/constructive-dismissal-guide" TargetMode="External"/><Relationship Id="rId10" Type="http://schemas.openxmlformats.org/officeDocument/2006/relationships/hyperlink" Target="https://www.cipd.org.uk/knowledge/factsheets/flexible-working-factsheet/" TargetMode="External"/><Relationship Id="rId19" Type="http://schemas.openxmlformats.org/officeDocument/2006/relationships/hyperlink" Target="http://www.legislation.gov.uk"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cipd.co.uk/knowledge/fundamentals/emp-law" TargetMode="External"/><Relationship Id="rId14" Type="http://schemas.openxmlformats.org/officeDocument/2006/relationships/hyperlink" Target="http://www.cipd.co.uk" TargetMode="External"/><Relationship Id="rId22" Type="http://schemas.openxmlformats.org/officeDocument/2006/relationships/hyperlink" Target="http://www.legislation.gov.uk" TargetMode="External"/><Relationship Id="rId27" Type="http://schemas.openxmlformats.org/officeDocument/2006/relationships/hyperlink" Target="https://maternityaction.org.uk/" TargetMode="External"/><Relationship Id="rId30" Type="http://schemas.openxmlformats.org/officeDocument/2006/relationships/hyperlink" Target="http://www.legislation.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4766</Words>
  <Characters>27170</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31873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Warrender, Jacqueline</dc:creator>
  <cp:keywords/>
  <dc:description/>
  <cp:lastModifiedBy>Warrender, Jacqueline</cp:lastModifiedBy>
  <cp:revision>2</cp:revision>
  <dcterms:created xsi:type="dcterms:W3CDTF">2025-03-14T22:15:00Z</dcterms:created>
  <dcterms:modified xsi:type="dcterms:W3CDTF">2025-03-14T22:15:00Z</dcterms:modified>
</cp:coreProperties>
</file>