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BC6662" w14:textId="5E7F906B" w:rsidR="00870234" w:rsidRDefault="006D3131">
      <w:pPr>
        <w:spacing w:after="480"/>
        <w:jc w:val="both"/>
        <w:rPr>
          <w:lang w:val="en-GB"/>
        </w:rPr>
      </w:pPr>
      <w:r w:rsidRPr="00C16FA8">
        <w:rPr>
          <w:sz w:val="28"/>
          <w:szCs w:val="28"/>
          <w:lang w:val="en-GB"/>
        </w:rPr>
        <w:t>MODULE NAME</w:t>
      </w:r>
      <w:r w:rsidR="00C16FA8">
        <w:rPr>
          <w:sz w:val="28"/>
          <w:szCs w:val="28"/>
          <w:lang w:val="en-GB"/>
        </w:rPr>
        <w:t>:</w:t>
      </w:r>
      <w:r w:rsidRPr="00C16FA8">
        <w:rPr>
          <w:sz w:val="28"/>
          <w:szCs w:val="28"/>
          <w:lang w:val="en-GB"/>
        </w:rPr>
        <w:t xml:space="preserve"> INTRODUCTION TO HEALTH AND SOCIAL CARE</w:t>
      </w:r>
      <w:r w:rsidR="00C16FA8">
        <w:rPr>
          <w:sz w:val="28"/>
          <w:szCs w:val="28"/>
          <w:lang w:val="en-GB"/>
        </w:rPr>
        <w:t xml:space="preserve">    </w:t>
      </w:r>
      <w:r w:rsidRPr="00C16FA8">
        <w:rPr>
          <w:sz w:val="28"/>
          <w:szCs w:val="28"/>
          <w:lang w:val="en-GB"/>
        </w:rPr>
        <w:t xml:space="preserve"> LCHS4003</w:t>
      </w:r>
      <w:r>
        <w:rPr>
          <w:lang w:val="en-GB"/>
        </w:rPr>
        <w:t xml:space="preserve"> </w:t>
      </w:r>
    </w:p>
    <w:p w14:paraId="0BB09FFC" w14:textId="77777777" w:rsidR="00870234" w:rsidRDefault="006D3131">
      <w:pPr>
        <w:pStyle w:val="Heading1"/>
        <w:spacing w:before="240" w:after="240"/>
      </w:pPr>
      <w:r>
        <w:rPr>
          <w:color w:val="003366"/>
        </w:rPr>
        <w:t>Task 1: Guided Scenario (Mini Report)</w:t>
      </w:r>
    </w:p>
    <w:tbl>
      <w:tblPr>
        <w:tblStyle w:val="TableGrid"/>
        <w:tblW w:w="0" w:type="auto"/>
        <w:tblLook w:val="04A0" w:firstRow="1" w:lastRow="0" w:firstColumn="1" w:lastColumn="0" w:noHBand="0" w:noVBand="1"/>
      </w:tblPr>
      <w:tblGrid>
        <w:gridCol w:w="4675"/>
        <w:gridCol w:w="4675"/>
      </w:tblGrid>
      <w:tr w:rsidR="00870234" w14:paraId="1D0F2FED" w14:textId="77777777">
        <w:tc>
          <w:tcPr>
            <w:tcW w:w="4680" w:type="dxa"/>
            <w:shd w:val="clear" w:color="auto" w:fill="F2F2F2"/>
          </w:tcPr>
          <w:p w14:paraId="11F64CFC" w14:textId="77777777" w:rsidR="00870234" w:rsidRDefault="006D3131">
            <w:pPr>
              <w:spacing w:line="240" w:lineRule="auto"/>
            </w:pPr>
            <w:r>
              <w:rPr>
                <w:b/>
              </w:rPr>
              <w:t>To:</w:t>
            </w:r>
          </w:p>
        </w:tc>
        <w:tc>
          <w:tcPr>
            <w:tcW w:w="4680" w:type="dxa"/>
          </w:tcPr>
          <w:p w14:paraId="30F40922" w14:textId="1257AE54" w:rsidR="00870234" w:rsidRDefault="00C16FA8">
            <w:pPr>
              <w:spacing w:line="240" w:lineRule="auto"/>
            </w:pPr>
            <w:r>
              <w:t>Councilor</w:t>
            </w:r>
            <w:r w:rsidR="006D3131">
              <w:t xml:space="preserve"> </w:t>
            </w:r>
            <w:r w:rsidR="006D3131">
              <w:rPr>
                <w:lang w:val="en-GB"/>
              </w:rPr>
              <w:t>Zaker Choudhry</w:t>
            </w:r>
            <w:r w:rsidR="006D3131">
              <w:t xml:space="preserve">, </w:t>
            </w:r>
            <w:r w:rsidR="00D832EE">
              <w:rPr>
                <w:lang w:val="en-GB"/>
              </w:rPr>
              <w:t>South Yardley</w:t>
            </w:r>
            <w:r w:rsidR="006D3131">
              <w:rPr>
                <w:lang w:val="en-GB"/>
              </w:rPr>
              <w:t xml:space="preserve"> </w:t>
            </w:r>
            <w:r w:rsidR="000C01E0">
              <w:rPr>
                <w:lang w:val="en-GB"/>
              </w:rPr>
              <w:t>Ward,</w:t>
            </w:r>
            <w:r w:rsidR="000C01E0">
              <w:t xml:space="preserve"> Birmingham</w:t>
            </w:r>
            <w:r w:rsidR="006D3131">
              <w:t xml:space="preserve"> City Council</w:t>
            </w:r>
          </w:p>
        </w:tc>
      </w:tr>
      <w:tr w:rsidR="00870234" w14:paraId="541033E3" w14:textId="77777777">
        <w:tc>
          <w:tcPr>
            <w:tcW w:w="4680" w:type="dxa"/>
            <w:shd w:val="clear" w:color="auto" w:fill="F2F2F2"/>
          </w:tcPr>
          <w:p w14:paraId="6AAE5104" w14:textId="77777777" w:rsidR="00870234" w:rsidRDefault="006D3131">
            <w:pPr>
              <w:spacing w:line="240" w:lineRule="auto"/>
            </w:pPr>
            <w:r>
              <w:rPr>
                <w:b/>
              </w:rPr>
              <w:t>Subject:</w:t>
            </w:r>
          </w:p>
        </w:tc>
        <w:tc>
          <w:tcPr>
            <w:tcW w:w="4680" w:type="dxa"/>
          </w:tcPr>
          <w:p w14:paraId="3C66EFF4" w14:textId="77777777" w:rsidR="00870234" w:rsidRDefault="006D3131">
            <w:pPr>
              <w:spacing w:line="240" w:lineRule="auto"/>
            </w:pPr>
            <w:r>
              <w:t>Addressing the Shortage of Community Mental Health Services in Birmingham</w:t>
            </w:r>
          </w:p>
        </w:tc>
      </w:tr>
      <w:tr w:rsidR="00870234" w14:paraId="74BF6D0C" w14:textId="77777777">
        <w:tc>
          <w:tcPr>
            <w:tcW w:w="4680" w:type="dxa"/>
            <w:shd w:val="clear" w:color="auto" w:fill="F2F2F2"/>
          </w:tcPr>
          <w:p w14:paraId="0CA379EA" w14:textId="77777777" w:rsidR="00870234" w:rsidRDefault="006D3131">
            <w:pPr>
              <w:spacing w:line="240" w:lineRule="auto"/>
            </w:pPr>
            <w:r>
              <w:rPr>
                <w:b/>
              </w:rPr>
              <w:t>Prepared by:</w:t>
            </w:r>
          </w:p>
        </w:tc>
        <w:tc>
          <w:tcPr>
            <w:tcW w:w="4680" w:type="dxa"/>
          </w:tcPr>
          <w:p w14:paraId="7688AF71" w14:textId="77777777" w:rsidR="00870234" w:rsidRDefault="006D3131">
            <w:pPr>
              <w:spacing w:line="240" w:lineRule="auto"/>
              <w:rPr>
                <w:lang w:val="en-GB"/>
              </w:rPr>
            </w:pPr>
            <w:r>
              <w:rPr>
                <w:lang w:val="en-GB"/>
              </w:rPr>
              <w:t>Samina Nazli (ID 2539712)</w:t>
            </w:r>
          </w:p>
        </w:tc>
      </w:tr>
      <w:tr w:rsidR="00870234" w14:paraId="0C669638" w14:textId="77777777">
        <w:trPr>
          <w:trHeight w:val="876"/>
        </w:trPr>
        <w:tc>
          <w:tcPr>
            <w:tcW w:w="4680" w:type="dxa"/>
            <w:shd w:val="clear" w:color="auto" w:fill="F2F2F2"/>
          </w:tcPr>
          <w:p w14:paraId="6EC74DE2" w14:textId="77777777" w:rsidR="00870234" w:rsidRDefault="006D3131">
            <w:pPr>
              <w:spacing w:line="240" w:lineRule="auto"/>
              <w:rPr>
                <w:b/>
              </w:rPr>
            </w:pPr>
            <w:r>
              <w:rPr>
                <w:b/>
              </w:rPr>
              <w:t>Date:</w:t>
            </w:r>
          </w:p>
          <w:p w14:paraId="6F03BFEC" w14:textId="77777777" w:rsidR="00870234" w:rsidRDefault="00870234">
            <w:pPr>
              <w:spacing w:line="240" w:lineRule="auto"/>
              <w:rPr>
                <w:b/>
              </w:rPr>
            </w:pPr>
          </w:p>
          <w:p w14:paraId="7DE6C56E" w14:textId="77777777" w:rsidR="00870234" w:rsidRDefault="006D3131">
            <w:pPr>
              <w:spacing w:line="240" w:lineRule="auto"/>
              <w:rPr>
                <w:b/>
                <w:lang w:val="en-GB"/>
              </w:rPr>
            </w:pPr>
            <w:r>
              <w:rPr>
                <w:b/>
                <w:lang w:val="en-GB"/>
              </w:rPr>
              <w:t>Lecturer’s Name</w:t>
            </w:r>
          </w:p>
        </w:tc>
        <w:tc>
          <w:tcPr>
            <w:tcW w:w="4680" w:type="dxa"/>
          </w:tcPr>
          <w:p w14:paraId="1931012D" w14:textId="77777777" w:rsidR="00870234" w:rsidRDefault="006D3131">
            <w:pPr>
              <w:spacing w:line="240" w:lineRule="auto"/>
              <w:rPr>
                <w:lang w:val="en-GB"/>
              </w:rPr>
            </w:pPr>
            <w:r>
              <w:rPr>
                <w:lang w:val="en-GB"/>
              </w:rPr>
              <w:t xml:space="preserve">16.10.2026   </w:t>
            </w:r>
          </w:p>
          <w:p w14:paraId="0806EAB3" w14:textId="77777777" w:rsidR="00870234" w:rsidRDefault="006D3131">
            <w:pPr>
              <w:spacing w:line="240" w:lineRule="auto"/>
              <w:rPr>
                <w:lang w:val="en-GB"/>
              </w:rPr>
            </w:pPr>
            <w:r>
              <w:rPr>
                <w:lang w:val="en-GB"/>
              </w:rPr>
              <w:t xml:space="preserve">                                                                                                                                          Dr Helen Parsons</w:t>
            </w:r>
          </w:p>
        </w:tc>
      </w:tr>
    </w:tbl>
    <w:p w14:paraId="569D96DE" w14:textId="77777777" w:rsidR="00870234" w:rsidRDefault="00870234">
      <w:pPr>
        <w:spacing w:after="240"/>
        <w:rPr>
          <w:lang w:val="en-GB"/>
        </w:rPr>
      </w:pPr>
    </w:p>
    <w:p w14:paraId="76B1A926" w14:textId="0F5C5B47" w:rsidR="00870234" w:rsidRDefault="006D3131">
      <w:pPr>
        <w:pStyle w:val="Heading2"/>
      </w:pPr>
      <w:r>
        <w:t>Introduction</w:t>
      </w:r>
    </w:p>
    <w:p w14:paraId="331B1D08" w14:textId="77777777" w:rsidR="00C16FA8" w:rsidRPr="00C16FA8" w:rsidRDefault="00C16FA8" w:rsidP="00C16FA8">
      <w:pPr>
        <w:spacing w:line="360" w:lineRule="auto"/>
        <w:rPr>
          <w:lang w:val="en-GB"/>
        </w:rPr>
      </w:pPr>
      <w:r w:rsidRPr="00C16FA8">
        <w:rPr>
          <w:lang w:val="en-GB"/>
        </w:rPr>
        <w:t>Community mental health services represent a vital infrastructure within contemporary social care systems, essential for ensuring the safety, health, and stability of vulnerable populations. In Birmingham, the rising prevalence of complex psychological conditions has outpaced localized support networks, leading to a critical shortage of professional provisions (Birmingham City Council, 2023). Under Part 1 of the Care Act 2014, local authorities hold a clear statutory duty to promote individual well-being and safeguard personal dignity. This introductory section argues that access to comprehensive mental health interventions is not merely a clinical necessity but a foundational right that underpins community cohesion. By establishing timely preventative services, the local authority can prevent individuals from reaching crisis points that require restrictive, high-cost institutional care. Therefore, this mini report evaluates the profound socio-economic pressures exerted by current service shortfalls, examines the human toll on Birmingham residents, and provides evidence-based recommendations aligned with the core legal duties outlined in the Care Act 2014 framework.</w:t>
      </w:r>
    </w:p>
    <w:p w14:paraId="5B16BC77" w14:textId="77777777" w:rsidR="00C16FA8" w:rsidRPr="00C16FA8" w:rsidRDefault="00C16FA8" w:rsidP="00C16FA8">
      <w:pPr>
        <w:spacing w:line="360" w:lineRule="auto"/>
      </w:pPr>
    </w:p>
    <w:p w14:paraId="18B3033B" w14:textId="77777777" w:rsidR="00870234" w:rsidRDefault="006D3131">
      <w:pPr>
        <w:pStyle w:val="Heading2"/>
      </w:pPr>
      <w:r>
        <w:t>Impact on the Community</w:t>
      </w:r>
    </w:p>
    <w:p w14:paraId="268F9B9E" w14:textId="77777777" w:rsidR="00870234" w:rsidRDefault="006D3131" w:rsidP="00C16FA8">
      <w:pPr>
        <w:spacing w:line="360" w:lineRule="auto"/>
      </w:pPr>
      <w:r>
        <w:t xml:space="preserve">The acute shortage of community-based mental health provisions has generated widespread destabilization across Birmingham's social landscape. When local individuals cannot access timely secondary psychiatric support, counseling, or therapeutic interventions, their conditions invariably deteriorate. This directly conflicts with the primary mandate of the Care Act 2014, </w:t>
      </w:r>
      <w:r>
        <w:lastRenderedPageBreak/>
        <w:t xml:space="preserve">which explicitly emphasizes the principle of prevention and early intervention to minimize the </w:t>
      </w:r>
      <w:r>
        <w:t>d</w:t>
      </w:r>
      <w:r>
        <w:t xml:space="preserve">evelopment of long-term care needs. Instead, the current delivery deficit forces individuals to rely heavily on emergency hospital admissions or crisis teams, placing an unsustainable financial and operational burden on the wider health and social care sector (King's Fund, 2021). Furthermore, the absence of robust community support systems leaves families and informal caregivers to shoulder complex psychiatric care without adequate training, precipitating severe burnout and secondary psychological distress </w:t>
      </w:r>
      <w:r>
        <w:t>within households.</w:t>
      </w:r>
    </w:p>
    <w:p w14:paraId="6E51C42D" w14:textId="77777777" w:rsidR="00870234" w:rsidRDefault="006D3131" w:rsidP="00C16FA8">
      <w:pPr>
        <w:spacing w:line="360" w:lineRule="auto"/>
      </w:pPr>
      <w:r>
        <w:t>On a societal level, this operational shortfall significantly exacerbates existing patterns of social isolation and economic inequality. Vulnerable service users lacking targeted psychiatric stability find themselves disproportionately excluded from employment and educational pathways, compounding local poverty cycles. The lack of structured day services or neighborhood mental health hubs strips individuals of their independence, creating a cycle of institutional dependency and chronic alienation. By failin</w:t>
      </w:r>
      <w:r>
        <w:t>g to provide stable, accessible care near patients' residences, the community experiences heightened rates of homelessness, relationship breakdowns, and avoidable interactions with the criminal justice system. Consequently, the systemic gap in community services acts as a structural amplifier of inequality, preventing marginalized Birmingham citizens from exercising their fundamental right to independent living and community contribution.</w:t>
      </w:r>
    </w:p>
    <w:p w14:paraId="51DFF300" w14:textId="77777777" w:rsidR="00870234" w:rsidRDefault="006D3131">
      <w:pPr>
        <w:pStyle w:val="Heading2"/>
      </w:pPr>
      <w:r>
        <w:t>Recommendations</w:t>
      </w:r>
    </w:p>
    <w:p w14:paraId="177A1C32" w14:textId="77777777" w:rsidR="00870234" w:rsidRDefault="006D3131" w:rsidP="00C16FA8">
      <w:pPr>
        <w:spacing w:line="360" w:lineRule="auto"/>
      </w:pPr>
      <w:r>
        <w:t>To rectify these structural vulnerabilities and align municipal practice with the statutory duties of the Care Act 2014, Birmingham City Council must implement a multi-faceted strategy focused on resource reallocation and service co-production. First, the local authority must expand integrated multi-disciplinary community mental health hubs across the city's most underserved wards. This recommendation directly fulfills the core principle of meeting care and support needs through proactive neighborhood local</w:t>
      </w:r>
      <w:r>
        <w:t>ization, rather than reactive centralized treatment. These localized hubs should seamlessly unite psychiatric nurses, social workers, and third-sector advocates to offer immediate, open-access crisis support and peer mentoring, thereby directly reducing systemic isolation and shielding patients from severe clinical decline.</w:t>
      </w:r>
    </w:p>
    <w:p w14:paraId="429871CC" w14:textId="77777777" w:rsidR="00870234" w:rsidRDefault="006D3131" w:rsidP="009E661F">
      <w:pPr>
        <w:spacing w:line="360" w:lineRule="auto"/>
      </w:pPr>
      <w:r>
        <w:t xml:space="preserve">Second, Birmingham City Council should actively prioritize long-term investment in community-led prevention and early intervention programs, utilizing co-production frameworks endorsed by the Social Care Institute for Excellence (SCIE, 2022). By co-designing mental well-being initiatives alongside service users and local community leaders, the council can establish culturally sensitive support networks that reduce stigma and detect early warning signs of </w:t>
      </w:r>
      <w:r>
        <w:lastRenderedPageBreak/>
        <w:t>psychiatric distress. To ensure long-term viability, it is recommended that the council implement a revised funding strategy that redirects resources away from high-cost acute hospital placements toward sustainable, independent living support grants. Implementing these targeted, evidence-based interventions will guarantee that Birmingham City Council satisfies its legal obligations under the Care Act 2014, fundamentally promoting individual well-being and restoring equitable social care outcomes for all res</w:t>
      </w:r>
      <w:r>
        <w:t>idents.</w:t>
      </w:r>
    </w:p>
    <w:p w14:paraId="6D526B75" w14:textId="77777777" w:rsidR="00870234" w:rsidRDefault="006D3131" w:rsidP="009E661F">
      <w:pPr>
        <w:spacing w:line="360" w:lineRule="auto"/>
      </w:pPr>
      <w:r>
        <w:br w:type="page"/>
      </w:r>
    </w:p>
    <w:p w14:paraId="0DF16B3B" w14:textId="77777777" w:rsidR="00870234" w:rsidRDefault="006D3131">
      <w:pPr>
        <w:pStyle w:val="Heading1"/>
      </w:pPr>
      <w:r>
        <w:rPr>
          <w:color w:val="003366"/>
        </w:rPr>
        <w:lastRenderedPageBreak/>
        <w:t>Task 2: Academic Essay</w:t>
      </w:r>
    </w:p>
    <w:p w14:paraId="01AB7680" w14:textId="77777777" w:rsidR="00870234" w:rsidRDefault="006D3131">
      <w:pPr>
        <w:pStyle w:val="Heading2"/>
      </w:pPr>
      <w:r>
        <w:t>NHS General Dentistry Services: Evolution, Function, and Patient Impact</w:t>
      </w:r>
    </w:p>
    <w:p w14:paraId="29EDCB97" w14:textId="77777777" w:rsidR="00870234" w:rsidRDefault="006D3131">
      <w:pPr>
        <w:pStyle w:val="Heading3"/>
      </w:pPr>
      <w:r>
        <w:t>Introduction</w:t>
      </w:r>
    </w:p>
    <w:p w14:paraId="22A83773" w14:textId="77777777" w:rsidR="00870234" w:rsidRDefault="006D3131" w:rsidP="00C16FA8">
      <w:pPr>
        <w:spacing w:line="360" w:lineRule="auto"/>
      </w:pPr>
      <w:r>
        <w:t>NHS General Dental Services (GDS) form a cornerstone of the primary healthcare system in the United Kingdom, providing vital preventative and restorative oral care to millions of citizens. Reliable oral health is not merely a cosmetic concern; it is fundamentally linked to overall systemic health, speech capabilities, and nutritional intake (National Institute for Health and Care Excellence [NICE], 2020). This essay will examine the structural layout of NHS dentistry services, tracing their historical traje</w:t>
      </w:r>
      <w:r>
        <w:t xml:space="preserve">ctory from the inception of the welfare state to contemporary frameworks. Furthermore, it will critically evaluate the current operational mechanisms of these services, balancing their clinical strengths against systemic accessibility barriers. Ultimately, the </w:t>
      </w:r>
      <w:r>
        <w:rPr>
          <w:lang w:val="en-GB"/>
        </w:rPr>
        <w:t>essay</w:t>
      </w:r>
      <w:r>
        <w:t xml:space="preserve"> analyzes how public dental provisions influence service user outcomes, highlighting the profound link between equitable dental care access and a patient's overall psychosocial well-being and quality of life (Social Care Institute for Excellence [SCIE], 2022).</w:t>
      </w:r>
    </w:p>
    <w:p w14:paraId="2A640E38" w14:textId="77777777" w:rsidR="00870234" w:rsidRDefault="006D3131">
      <w:pPr>
        <w:pStyle w:val="Heading3"/>
      </w:pPr>
      <w:r>
        <w:t>Historical Context and Current Function</w:t>
      </w:r>
    </w:p>
    <w:p w14:paraId="5B825335" w14:textId="77777777" w:rsidR="00870234" w:rsidRDefault="006D3131" w:rsidP="00C16FA8">
      <w:pPr>
        <w:spacing w:line="360" w:lineRule="auto"/>
      </w:pPr>
      <w:r>
        <w:t xml:space="preserve">The historical foundation of public dentistry shifted dramatically with the establishment of the National Health Service (NHS) in 1948. Prior to this landmark legislation, dental care was largely a luxury reserved for the </w:t>
      </w:r>
      <w:r>
        <w:rPr>
          <w:lang w:val="en-GB"/>
        </w:rPr>
        <w:t>rich</w:t>
      </w:r>
      <w:r>
        <w:t>, leaving the working-class population to rely on substandard extractions or self-treatment. The introduction of free universal dental care revolutionized public health, leading to an initial surge in demand that highlighted a massive backlog of untreated dental disease. However, shifting economic landscapes led to the introduction of patient charges in 1951, altering the universal nature of the service. Over the subsequent decades, the most significant modern shift occurred with the 2006 NHS Dental Contrac</w:t>
      </w:r>
      <w:r>
        <w:t>t, which fundamentally altered how dentists were compensated. Instead of a fee-for-service model, reimbursement was tied to Units of Dental Activity (UDAs).</w:t>
      </w:r>
    </w:p>
    <w:p w14:paraId="31BF026E" w14:textId="77777777" w:rsidR="00870234" w:rsidRDefault="006D3131" w:rsidP="00C16FA8">
      <w:pPr>
        <w:spacing w:line="360" w:lineRule="auto"/>
      </w:pPr>
      <w:r>
        <w:t>In its current function, NHS dentistry operates primarily through independent dental practitioners contracted by local integrated care boards. These services provide primary care interventions categorized into three distinct treatment bands, covering everything from routine clinical examinations and scaling to complex restorative work such as root canals and crowns (Department of Health and Social Care [DHSC], 2024). The contemporary mandate of the service emphasizes preventative interventions, shifting pub</w:t>
      </w:r>
      <w:r>
        <w:t>lic dental goals toward long-term oral health maintenance rather than reactive emergency treatment.</w:t>
      </w:r>
    </w:p>
    <w:p w14:paraId="07CCF834" w14:textId="77777777" w:rsidR="00870234" w:rsidRDefault="006D3131">
      <w:pPr>
        <w:pStyle w:val="Heading3"/>
      </w:pPr>
      <w:r>
        <w:lastRenderedPageBreak/>
        <w:t>Critical Evaluation and Significance for Service Users</w:t>
      </w:r>
    </w:p>
    <w:p w14:paraId="5D5A85E1" w14:textId="77777777" w:rsidR="00870234" w:rsidRDefault="006D3131" w:rsidP="009E661F">
      <w:pPr>
        <w:spacing w:line="360" w:lineRule="auto"/>
      </w:pPr>
      <w:r>
        <w:t>A critical evaluation of NHS dental services reveals a stark contrast between its clinical efficacy and its contemporary systemic limitations. On a structural level, the primary strength of the service is its heavily subsidized cost structure, which shields vulnerable demographics—such as children, pregnant women, and low-income citizens—from financial hardship. Clinical guidelines from organizations like NICE (2020) ensure that the treatments provided are strictly evidence-based and highly standardized.</w:t>
      </w:r>
    </w:p>
    <w:p w14:paraId="74CF0245" w14:textId="462EAA1F" w:rsidR="00870234" w:rsidRDefault="006D3131" w:rsidP="009E661F">
      <w:pPr>
        <w:spacing w:line="360" w:lineRule="auto"/>
      </w:pPr>
      <w:r>
        <w:t>However, a critical weakness lies in the current commissioning framework. Academic literature and recent government reports highlight a widespread crisis in NHS dental accessibility (DHSC, 2024). The rigid UDA contract system creates a perverse financial disincentive for dentists to take on high-</w:t>
      </w:r>
      <w:r w:rsidR="00DC3A73">
        <w:t>needed</w:t>
      </w:r>
      <w:r>
        <w:t xml:space="preserve"> patients, as complex treatments yield the same contractual reward as simple procedures. Consequently, vast geographical regions have become "dental deserts," forcing lower-income service users to face prolonged waiting lists or rely on emergency departments.</w:t>
      </w:r>
    </w:p>
    <w:p w14:paraId="449702BC" w14:textId="77777777" w:rsidR="00870234" w:rsidRDefault="006D3131" w:rsidP="009E661F">
      <w:pPr>
        <w:spacing w:line="360" w:lineRule="auto"/>
      </w:pPr>
      <w:r>
        <w:t>The significance of these operational barriers on service user outcomes is profound. For patients, timely access to a dentist avoids dental decay progressing into debilitating chronic pain, systemic infections, or tooth loss. Conversely, when the system fails to provide timely interventions, the impact extends far beyond physical discomfort. Poor oral health carries immense psychological weight, damaging self-esteem, causing social withdrawal, and impeding employment opportunities due to visible tooth decay</w:t>
      </w:r>
      <w:r>
        <w:t xml:space="preserve"> (SCIE, 2022). Therefore, while NHS dental services possess the clinical capacity to vastly improve a service user's quality of life, current delivery bottlenecks directly undermine health equity and disadvantage the most vulnerable.</w:t>
      </w:r>
    </w:p>
    <w:p w14:paraId="7050AEE6" w14:textId="77777777" w:rsidR="00870234" w:rsidRDefault="006D3131">
      <w:pPr>
        <w:pStyle w:val="Heading3"/>
      </w:pPr>
      <w:r>
        <w:t>Conclusion</w:t>
      </w:r>
    </w:p>
    <w:p w14:paraId="6252AE21" w14:textId="77777777" w:rsidR="00870234" w:rsidRDefault="006D3131" w:rsidP="009E661F">
      <w:pPr>
        <w:spacing w:line="360" w:lineRule="auto"/>
      </w:pPr>
      <w:r>
        <w:t>In conclusion, NHS General Dental Services have evolved from an unregulated, elitist commodity prior to 1948 into a highly structured public health necessity. While the transition toward a prevention-oriented clinical approach represents a major historical milestone, the contemporary contract model introduces substantial structural vulnerabilities that restrict equitable access (DHSC, 2024). The evidence clearly demonstrates that when dental services function effectively, they fundamentally elevate a servic</w:t>
      </w:r>
      <w:r>
        <w:t>e user’s physical, psychological, and social well-being (SCIE, 2022). To safeguard these outcomes and ensure the service continues to fulfill its original welfare mandate, urgent systemic reform is required to bridge the gap between clinical quality and public accessibility.</w:t>
      </w:r>
    </w:p>
    <w:p w14:paraId="18EF1C81" w14:textId="77777777" w:rsidR="00870234" w:rsidRDefault="006D3131" w:rsidP="009E661F">
      <w:pPr>
        <w:spacing w:line="360" w:lineRule="auto"/>
      </w:pPr>
      <w:r>
        <w:br w:type="page"/>
      </w:r>
    </w:p>
    <w:p w14:paraId="282545A6" w14:textId="77777777" w:rsidR="00870234" w:rsidRDefault="006D3131">
      <w:pPr>
        <w:pStyle w:val="Heading1"/>
      </w:pPr>
      <w:r>
        <w:rPr>
          <w:color w:val="003366"/>
        </w:rPr>
        <w:lastRenderedPageBreak/>
        <w:t>References</w:t>
      </w:r>
    </w:p>
    <w:p w14:paraId="38EDC167" w14:textId="77777777" w:rsidR="00870234" w:rsidRDefault="006D3131" w:rsidP="00D832EE">
      <w:pPr>
        <w:spacing w:line="360" w:lineRule="auto"/>
        <w:ind w:left="720" w:hanging="720"/>
      </w:pPr>
      <w:r>
        <w:t>Birmingham City Council (2023). Local mental health needs assessment and community provision review. Birmingham: Birmingham City Council.</w:t>
      </w:r>
    </w:p>
    <w:p w14:paraId="14216CEE" w14:textId="22014703" w:rsidR="00870234" w:rsidRDefault="006D3131" w:rsidP="00D832EE">
      <w:pPr>
        <w:spacing w:line="360" w:lineRule="auto"/>
        <w:ind w:left="720" w:hanging="720"/>
      </w:pPr>
      <w:r>
        <w:t xml:space="preserve">Department of Health and Social Care (2024). NHS dental services recovery and reform plan. London: Open Government </w:t>
      </w:r>
      <w:r w:rsidR="00DC3A73">
        <w:t>License.</w:t>
      </w:r>
    </w:p>
    <w:p w14:paraId="615C9823" w14:textId="77777777" w:rsidR="00870234" w:rsidRDefault="006D3131" w:rsidP="00D832EE">
      <w:pPr>
        <w:spacing w:line="360" w:lineRule="auto"/>
        <w:ind w:left="720" w:hanging="720"/>
      </w:pPr>
      <w:r>
        <w:t>King's Fund (2021). Mental health and primary care integration: learning from local areas. London: The King's Fund.</w:t>
      </w:r>
    </w:p>
    <w:p w14:paraId="384560F7" w14:textId="77777777" w:rsidR="00870234" w:rsidRDefault="006D3131" w:rsidP="00D832EE">
      <w:pPr>
        <w:spacing w:line="360" w:lineRule="auto"/>
        <w:ind w:left="720" w:hanging="720"/>
      </w:pPr>
      <w:r>
        <w:t>National Institute for Health and Care Excellence (NICE) (2020). Dental health: routine oral health care for all patients. London: NICE.</w:t>
      </w:r>
    </w:p>
    <w:p w14:paraId="58A5ACEF" w14:textId="77777777" w:rsidR="00870234" w:rsidRDefault="006D3131" w:rsidP="00D832EE">
      <w:pPr>
        <w:spacing w:line="360" w:lineRule="auto"/>
        <w:ind w:left="720" w:hanging="720"/>
      </w:pPr>
      <w:r>
        <w:t>Social Care Institute for Excellence (SCIE) (2022). Co-producing health and social care services with marginalized communities. London: SCIE.</w:t>
      </w:r>
    </w:p>
    <w:sectPr w:rsidR="00870234">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44D5FA" w14:textId="77777777" w:rsidR="006D3131" w:rsidRDefault="006D3131">
      <w:pPr>
        <w:spacing w:line="240" w:lineRule="auto"/>
      </w:pPr>
      <w:r>
        <w:separator/>
      </w:r>
    </w:p>
  </w:endnote>
  <w:endnote w:type="continuationSeparator" w:id="0">
    <w:p w14:paraId="279A201C" w14:textId="77777777" w:rsidR="006D3131" w:rsidRDefault="006D313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8466347"/>
      <w:docPartObj>
        <w:docPartGallery w:val="Page Numbers (Bottom of Page)"/>
        <w:docPartUnique/>
      </w:docPartObj>
    </w:sdtPr>
    <w:sdtContent>
      <w:p w14:paraId="4D45ACD1" w14:textId="1F4A3D46" w:rsidR="00321E61" w:rsidRDefault="00321E61">
        <w:pPr>
          <w:pStyle w:val="Footer"/>
          <w:jc w:val="right"/>
        </w:pPr>
        <w:r>
          <w:fldChar w:fldCharType="begin"/>
        </w:r>
        <w:r>
          <w:instrText>PAGE   \* MERGEFORMAT</w:instrText>
        </w:r>
        <w:r>
          <w:fldChar w:fldCharType="separate"/>
        </w:r>
        <w:r>
          <w:rPr>
            <w:lang w:val="en-GB"/>
          </w:rPr>
          <w:t>2</w:t>
        </w:r>
        <w:r>
          <w:fldChar w:fldCharType="end"/>
        </w:r>
      </w:p>
    </w:sdtContent>
  </w:sdt>
  <w:p w14:paraId="5D4C6926" w14:textId="77777777" w:rsidR="00321E61" w:rsidRDefault="00321E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723283" w14:textId="77777777" w:rsidR="006D3131" w:rsidRDefault="006D3131">
      <w:pPr>
        <w:spacing w:after="0"/>
      </w:pPr>
      <w:r>
        <w:separator/>
      </w:r>
    </w:p>
  </w:footnote>
  <w:footnote w:type="continuationSeparator" w:id="0">
    <w:p w14:paraId="43F07374" w14:textId="77777777" w:rsidR="006D3131" w:rsidRDefault="006D313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FFFFF7E"/>
    <w:lvl w:ilvl="0">
      <w:start w:val="1"/>
      <w:numFmt w:val="decimal"/>
      <w:pStyle w:val="ListNumber3"/>
      <w:lvlText w:val="%1."/>
      <w:lvlJc w:val="left"/>
      <w:pPr>
        <w:tabs>
          <w:tab w:val="left" w:pos="1080"/>
        </w:tabs>
        <w:ind w:left="1080" w:hanging="360"/>
      </w:pPr>
    </w:lvl>
  </w:abstractNum>
  <w:abstractNum w:abstractNumId="1" w15:restartNumberingAfterBreak="0">
    <w:nsid w:val="FFFFFF7F"/>
    <w:multiLevelType w:val="singleLevel"/>
    <w:tmpl w:val="FFFFFF7F"/>
    <w:lvl w:ilvl="0">
      <w:start w:val="1"/>
      <w:numFmt w:val="decimal"/>
      <w:pStyle w:val="ListNumber2"/>
      <w:lvlText w:val="%1."/>
      <w:lvlJc w:val="left"/>
      <w:pPr>
        <w:tabs>
          <w:tab w:val="left" w:pos="720"/>
        </w:tabs>
        <w:ind w:left="720" w:hanging="360"/>
      </w:pPr>
    </w:lvl>
  </w:abstractNum>
  <w:abstractNum w:abstractNumId="2" w15:restartNumberingAfterBreak="0">
    <w:nsid w:val="FFFFFF82"/>
    <w:multiLevelType w:val="singleLevel"/>
    <w:tmpl w:val="FFFFFF82"/>
    <w:lvl w:ilvl="0">
      <w:start w:val="1"/>
      <w:numFmt w:val="bullet"/>
      <w:pStyle w:val="ListBullet3"/>
      <w:lvlText w:val=""/>
      <w:lvlJc w:val="left"/>
      <w:pPr>
        <w:tabs>
          <w:tab w:val="left" w:pos="1080"/>
        </w:tabs>
        <w:ind w:left="1080" w:hanging="360"/>
      </w:pPr>
      <w:rPr>
        <w:rFonts w:ascii="Symbol" w:hAnsi="Symbol" w:hint="default"/>
      </w:rPr>
    </w:lvl>
  </w:abstractNum>
  <w:abstractNum w:abstractNumId="3" w15:restartNumberingAfterBreak="0">
    <w:nsid w:val="FFFFFF83"/>
    <w:multiLevelType w:val="singleLevel"/>
    <w:tmpl w:val="FFFFFF83"/>
    <w:lvl w:ilvl="0">
      <w:start w:val="1"/>
      <w:numFmt w:val="bullet"/>
      <w:pStyle w:val="ListBullet2"/>
      <w:lvlText w:val=""/>
      <w:lvlJc w:val="left"/>
      <w:pPr>
        <w:tabs>
          <w:tab w:val="left" w:pos="720"/>
        </w:tabs>
        <w:ind w:left="720" w:hanging="360"/>
      </w:pPr>
      <w:rPr>
        <w:rFonts w:ascii="Symbol" w:hAnsi="Symbol" w:hint="default"/>
      </w:rPr>
    </w:lvl>
  </w:abstractNum>
  <w:abstractNum w:abstractNumId="4" w15:restartNumberingAfterBreak="0">
    <w:nsid w:val="FFFFFF88"/>
    <w:multiLevelType w:val="singleLevel"/>
    <w:tmpl w:val="FFFFFF88"/>
    <w:lvl w:ilvl="0">
      <w:start w:val="1"/>
      <w:numFmt w:val="decimal"/>
      <w:pStyle w:val="ListNumber"/>
      <w:lvlText w:val="%1."/>
      <w:lvlJc w:val="left"/>
      <w:pPr>
        <w:tabs>
          <w:tab w:val="left" w:pos="360"/>
        </w:tabs>
        <w:ind w:left="360" w:hanging="360"/>
      </w:pPr>
    </w:lvl>
  </w:abstractNum>
  <w:abstractNum w:abstractNumId="5" w15:restartNumberingAfterBreak="0">
    <w:nsid w:val="FFFFFF89"/>
    <w:multiLevelType w:val="singleLevel"/>
    <w:tmpl w:val="FFFFFF89"/>
    <w:lvl w:ilvl="0">
      <w:start w:val="1"/>
      <w:numFmt w:val="bullet"/>
      <w:pStyle w:val="ListBullet"/>
      <w:lvlText w:val=""/>
      <w:lvlJc w:val="left"/>
      <w:pPr>
        <w:tabs>
          <w:tab w:val="left" w:pos="360"/>
        </w:tabs>
        <w:ind w:left="360" w:hanging="360"/>
      </w:pPr>
      <w:rPr>
        <w:rFonts w:ascii="Symbol" w:hAnsi="Symbol" w:hint="default"/>
      </w:rPr>
    </w:lvl>
  </w:abstractNum>
  <w:num w:numId="1" w16cid:durableId="479275215">
    <w:abstractNumId w:val="5"/>
  </w:num>
  <w:num w:numId="2" w16cid:durableId="1231962964">
    <w:abstractNumId w:val="3"/>
  </w:num>
  <w:num w:numId="3" w16cid:durableId="1455100157">
    <w:abstractNumId w:val="2"/>
  </w:num>
  <w:num w:numId="4" w16cid:durableId="175316669">
    <w:abstractNumId w:val="4"/>
  </w:num>
  <w:num w:numId="5" w16cid:durableId="131563170">
    <w:abstractNumId w:val="1"/>
  </w:num>
  <w:num w:numId="6" w16cid:durableId="10718067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C01E0"/>
    <w:rsid w:val="00131CD9"/>
    <w:rsid w:val="00134DCD"/>
    <w:rsid w:val="0015074B"/>
    <w:rsid w:val="00166229"/>
    <w:rsid w:val="0020198D"/>
    <w:rsid w:val="0029639D"/>
    <w:rsid w:val="00321E61"/>
    <w:rsid w:val="00326F90"/>
    <w:rsid w:val="00363A83"/>
    <w:rsid w:val="005A7FDE"/>
    <w:rsid w:val="006B6726"/>
    <w:rsid w:val="006D3131"/>
    <w:rsid w:val="00870234"/>
    <w:rsid w:val="008D0144"/>
    <w:rsid w:val="009666BF"/>
    <w:rsid w:val="009C2358"/>
    <w:rsid w:val="009C5472"/>
    <w:rsid w:val="009E661F"/>
    <w:rsid w:val="00AA1D8D"/>
    <w:rsid w:val="00AC23FB"/>
    <w:rsid w:val="00AC6390"/>
    <w:rsid w:val="00B0699A"/>
    <w:rsid w:val="00B47730"/>
    <w:rsid w:val="00C16FA8"/>
    <w:rsid w:val="00C57AC9"/>
    <w:rsid w:val="00C603A0"/>
    <w:rsid w:val="00CB0664"/>
    <w:rsid w:val="00CD2290"/>
    <w:rsid w:val="00CF13EC"/>
    <w:rsid w:val="00D832EE"/>
    <w:rsid w:val="00DC3A73"/>
    <w:rsid w:val="00EA3786"/>
    <w:rsid w:val="00ED5123"/>
    <w:rsid w:val="00ED6CCF"/>
    <w:rsid w:val="00F10FBF"/>
    <w:rsid w:val="00F11A30"/>
    <w:rsid w:val="00FC693F"/>
    <w:rsid w:val="019E58B5"/>
    <w:rsid w:val="084602A2"/>
    <w:rsid w:val="08631DD0"/>
    <w:rsid w:val="08CC5F7D"/>
    <w:rsid w:val="0C5E5E59"/>
    <w:rsid w:val="0CC64583"/>
    <w:rsid w:val="0E5F68A3"/>
    <w:rsid w:val="165669B3"/>
    <w:rsid w:val="18BB7122"/>
    <w:rsid w:val="1C353ED6"/>
    <w:rsid w:val="1C361957"/>
    <w:rsid w:val="1CBA412F"/>
    <w:rsid w:val="1E996BC3"/>
    <w:rsid w:val="1FEB2CED"/>
    <w:rsid w:val="204E750E"/>
    <w:rsid w:val="284705A3"/>
    <w:rsid w:val="2CAC6259"/>
    <w:rsid w:val="2D4227EC"/>
    <w:rsid w:val="3025300D"/>
    <w:rsid w:val="32422082"/>
    <w:rsid w:val="348957C0"/>
    <w:rsid w:val="35717CBC"/>
    <w:rsid w:val="3709455A"/>
    <w:rsid w:val="397101CC"/>
    <w:rsid w:val="3CE81A7C"/>
    <w:rsid w:val="3F690816"/>
    <w:rsid w:val="414B422F"/>
    <w:rsid w:val="443416F4"/>
    <w:rsid w:val="44364BF7"/>
    <w:rsid w:val="45537DEC"/>
    <w:rsid w:val="4568626D"/>
    <w:rsid w:val="47652830"/>
    <w:rsid w:val="49AB04EC"/>
    <w:rsid w:val="4D627302"/>
    <w:rsid w:val="4E925476"/>
    <w:rsid w:val="4E9563FB"/>
    <w:rsid w:val="4FA61ABB"/>
    <w:rsid w:val="509074BA"/>
    <w:rsid w:val="50D83132"/>
    <w:rsid w:val="50F70163"/>
    <w:rsid w:val="535A53CF"/>
    <w:rsid w:val="555A2916"/>
    <w:rsid w:val="566F245E"/>
    <w:rsid w:val="568C3F8D"/>
    <w:rsid w:val="57BF5603"/>
    <w:rsid w:val="5A04583D"/>
    <w:rsid w:val="5D9B1BA1"/>
    <w:rsid w:val="60E76D8A"/>
    <w:rsid w:val="60E8480C"/>
    <w:rsid w:val="628110AA"/>
    <w:rsid w:val="632F7F49"/>
    <w:rsid w:val="64814073"/>
    <w:rsid w:val="694A3FCB"/>
    <w:rsid w:val="6BAB02B2"/>
    <w:rsid w:val="6BAF473A"/>
    <w:rsid w:val="6CE25DB1"/>
    <w:rsid w:val="6F44559B"/>
    <w:rsid w:val="6FA8783E"/>
    <w:rsid w:val="6FAA2D41"/>
    <w:rsid w:val="70776C11"/>
    <w:rsid w:val="72764159"/>
    <w:rsid w:val="73401623"/>
    <w:rsid w:val="74DB6E46"/>
    <w:rsid w:val="76704CDE"/>
    <w:rsid w:val="76F96104"/>
    <w:rsid w:val="77EB7A4D"/>
    <w:rsid w:val="79A44820"/>
    <w:rsid w:val="7AD75E97"/>
    <w:rsid w:val="7CA8560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2165B42"/>
  <w14:defaultImageDpi w14:val="300"/>
  <w15:docId w15:val="{2F2C86C4-33BA-4E05-BC41-784772F55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unhideWhenUsed="1" w:qFormat="1"/>
    <w:lsdException w:name="toa heading" w:semiHidden="1" w:unhideWhenUsed="1"/>
    <w:lsdException w:name="List" w:unhideWhenUsed="1" w:qFormat="1"/>
    <w:lsdException w:name="List Bullet" w:unhideWhenUsed="1" w:qFormat="1"/>
    <w:lsdException w:name="List Number" w:unhideWhenUsed="1" w:qFormat="1"/>
    <w:lsdException w:name="List 2" w:unhideWhenUsed="1" w:qFormat="1"/>
    <w:lsdException w:name="List 3" w:unhideWhenUsed="1" w:qFormat="1"/>
    <w:lsdException w:name="List 4" w:semiHidden="1" w:unhideWhenUsed="1"/>
    <w:lsdException w:name="List 5" w:semiHidden="1" w:unhideWhenUsed="1"/>
    <w:lsdException w:name="List Bullet 2" w:unhideWhenUsed="1" w:qFormat="1"/>
    <w:lsdException w:name="List Bullet 3" w:unhideWhenUsed="1" w:qFormat="1"/>
    <w:lsdException w:name="List Bullet 4" w:semiHidden="1" w:unhideWhenUsed="1"/>
    <w:lsdException w:name="List Bullet 5" w:semiHidden="1" w:unhideWhenUsed="1"/>
    <w:lsdException w:name="List Number 2" w:unhideWhenUsed="1" w:qFormat="1"/>
    <w:lsdException w:name="List Number 3" w:unhideWhenUsed="1"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nhideWhenUsed="1"/>
    <w:lsdException w:name="Body Text Indent" w:semiHidden="1" w:unhideWhenUsed="1"/>
    <w:lsdException w:name="List Continue" w:unhideWhenUsed="1" w:qFormat="1"/>
    <w:lsdException w:name="List Continue 2" w:unhideWhenUsed="1" w:qFormat="1"/>
    <w:lsdException w:name="List Continue 3" w:unhideWhenUsed="1" w:qFormat="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nhideWhenUsed="1" w:qFormat="1"/>
    <w:lsdException w:name="Body Text 3"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qFormat="1"/>
    <w:lsdException w:name="Light List" w:uiPriority="61"/>
    <w:lsdException w:name="Light Grid" w:uiPriority="62"/>
    <w:lsdException w:name="Medium Shading 1" w:uiPriority="63" w:qFormat="1"/>
    <w:lsdException w:name="Medium Shading 2" w:uiPriority="64" w:qFormat="1"/>
    <w:lsdException w:name="Medium List 1" w:uiPriority="65"/>
    <w:lsdException w:name="Medium List 2" w:uiPriority="66" w:qFormat="1"/>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qFormat="1"/>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qFormat="1"/>
    <w:lsdException w:name="Medium Grid 1 Accent 1" w:uiPriority="67"/>
    <w:lsdException w:name="Medium Grid 2 Accent 1" w:uiPriority="68" w:qFormat="1"/>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qFormat="1"/>
    <w:lsdException w:name="Light List Accent 2" w:uiPriority="61" w:qFormat="1"/>
    <w:lsdException w:name="Light Grid Accent 2" w:uiPriority="62"/>
    <w:lsdException w:name="Medium Shading 1 Accent 2" w:uiPriority="63"/>
    <w:lsdException w:name="Medium Shading 2 Accent 2" w:uiPriority="64" w:qFormat="1"/>
    <w:lsdException w:name="Medium List 1 Accent 2" w:uiPriority="65"/>
    <w:lsdException w:name="Medium List 2 Accent 2" w:uiPriority="66"/>
    <w:lsdException w:name="Medium Grid 1 Accent 2" w:uiPriority="67"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qFormat="1"/>
    <w:lsdException w:name="Light List Accent 3" w:uiPriority="61"/>
    <w:lsdException w:name="Light Grid Accent 3" w:uiPriority="62"/>
    <w:lsdException w:name="Medium Shading 1 Accent 3" w:uiPriority="63" w:qFormat="1"/>
    <w:lsdException w:name="Medium Shading 2 Accent 3" w:uiPriority="64" w:qFormat="1"/>
    <w:lsdException w:name="Medium List 1 Accent 3" w:uiPriority="65"/>
    <w:lsdException w:name="Medium List 2 Accent 3" w:uiPriority="66"/>
    <w:lsdException w:name="Medium Grid 1 Accent 3" w:uiPriority="67" w:qFormat="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qFormat="1"/>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qFormat="1"/>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qFormat="1"/>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qFormat="1"/>
    <w:lsdException w:name="Medium Shading 1 Accent 6" w:uiPriority="63"/>
    <w:lsdException w:name="Medium Shading 2 Accent 6" w:uiPriority="64"/>
    <w:lsdException w:name="Medium List 1 Accent 6" w:uiPriority="65"/>
    <w:lsdException w:name="Medium List 2 Accent 6" w:uiPriority="66" w:qFormat="1"/>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276" w:lineRule="auto"/>
    </w:pPr>
    <w:rPr>
      <w:rFonts w:ascii="Arial" w:hAnsi="Arial"/>
      <w:sz w:val="22"/>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244061" w:themeColor="accent1" w:themeShade="80"/>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244061" w:themeColor="accent1" w:themeShade="80"/>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style>
  <w:style w:type="paragraph" w:styleId="BodyText2">
    <w:name w:val="Body Text 2"/>
    <w:basedOn w:val="Normal"/>
    <w:link w:val="BodyText2Char"/>
    <w:uiPriority w:val="99"/>
    <w:unhideWhenUsed/>
    <w:qFormat/>
    <w:pPr>
      <w:spacing w:line="480" w:lineRule="auto"/>
    </w:pPr>
  </w:style>
  <w:style w:type="paragraph" w:styleId="BodyText3">
    <w:name w:val="Body Text 3"/>
    <w:basedOn w:val="Normal"/>
    <w:link w:val="BodyText3Char"/>
    <w:uiPriority w:val="99"/>
    <w:unhideWhenUsed/>
    <w:qFormat/>
    <w:rPr>
      <w:sz w:val="16"/>
      <w:szCs w:val="16"/>
    </w:rPr>
  </w:style>
  <w:style w:type="paragraph" w:styleId="Caption">
    <w:name w:val="caption"/>
    <w:basedOn w:val="Normal"/>
    <w:next w:val="Normal"/>
    <w:uiPriority w:val="35"/>
    <w:semiHidden/>
    <w:unhideWhenUsed/>
    <w:qFormat/>
    <w:pPr>
      <w:spacing w:line="240" w:lineRule="auto"/>
    </w:pPr>
    <w:rPr>
      <w:b/>
      <w:bCs/>
      <w:color w:val="4F81BD" w:themeColor="accent1"/>
      <w:sz w:val="18"/>
      <w:szCs w:val="18"/>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iPriority w:val="99"/>
    <w:unhideWhenUsed/>
    <w:pPr>
      <w:tabs>
        <w:tab w:val="center" w:pos="4680"/>
        <w:tab w:val="right" w:pos="9360"/>
      </w:tabs>
      <w:spacing w:after="0" w:line="240" w:lineRule="auto"/>
    </w:pPr>
  </w:style>
  <w:style w:type="paragraph" w:styleId="List">
    <w:name w:val="List"/>
    <w:basedOn w:val="Normal"/>
    <w:uiPriority w:val="99"/>
    <w:unhideWhenUsed/>
    <w:qFormat/>
    <w:pPr>
      <w:ind w:left="360" w:hanging="360"/>
      <w:contextualSpacing/>
    </w:pPr>
  </w:style>
  <w:style w:type="paragraph" w:styleId="List2">
    <w:name w:val="List 2"/>
    <w:basedOn w:val="Normal"/>
    <w:uiPriority w:val="99"/>
    <w:unhideWhenUsed/>
    <w:qFormat/>
    <w:pPr>
      <w:ind w:left="720" w:hanging="360"/>
      <w:contextualSpacing/>
    </w:pPr>
  </w:style>
  <w:style w:type="paragraph" w:styleId="List3">
    <w:name w:val="List 3"/>
    <w:basedOn w:val="Normal"/>
    <w:uiPriority w:val="99"/>
    <w:unhideWhenUsed/>
    <w:qFormat/>
    <w:pPr>
      <w:ind w:left="1080" w:hanging="360"/>
      <w:contextualSpacing/>
    </w:pPr>
  </w:style>
  <w:style w:type="paragraph" w:styleId="ListBullet">
    <w:name w:val="List Bullet"/>
    <w:basedOn w:val="Normal"/>
    <w:uiPriority w:val="99"/>
    <w:unhideWhenUsed/>
    <w:qFormat/>
    <w:pPr>
      <w:numPr>
        <w:numId w:val="1"/>
      </w:numPr>
      <w:contextualSpacing/>
    </w:pPr>
  </w:style>
  <w:style w:type="paragraph" w:styleId="ListBullet2">
    <w:name w:val="List Bullet 2"/>
    <w:basedOn w:val="Normal"/>
    <w:uiPriority w:val="99"/>
    <w:unhideWhenUsed/>
    <w:qFormat/>
    <w:pPr>
      <w:numPr>
        <w:numId w:val="2"/>
      </w:numPr>
      <w:contextualSpacing/>
    </w:pPr>
  </w:style>
  <w:style w:type="paragraph" w:styleId="ListBullet3">
    <w:name w:val="List Bullet 3"/>
    <w:basedOn w:val="Normal"/>
    <w:uiPriority w:val="99"/>
    <w:unhideWhenUsed/>
    <w:qFormat/>
    <w:pPr>
      <w:numPr>
        <w:numId w:val="3"/>
      </w:numPr>
      <w:contextualSpacing/>
    </w:pPr>
  </w:style>
  <w:style w:type="paragraph" w:styleId="ListContinue">
    <w:name w:val="List Continue"/>
    <w:basedOn w:val="Normal"/>
    <w:uiPriority w:val="99"/>
    <w:unhideWhenUsed/>
    <w:qFormat/>
    <w:pPr>
      <w:ind w:left="360"/>
      <w:contextualSpacing/>
    </w:pPr>
  </w:style>
  <w:style w:type="paragraph" w:styleId="ListContinue2">
    <w:name w:val="List Continue 2"/>
    <w:basedOn w:val="Normal"/>
    <w:uiPriority w:val="99"/>
    <w:unhideWhenUsed/>
    <w:qFormat/>
    <w:pPr>
      <w:ind w:left="720"/>
      <w:contextualSpacing/>
    </w:pPr>
  </w:style>
  <w:style w:type="paragraph" w:styleId="ListContinue3">
    <w:name w:val="List Continue 3"/>
    <w:basedOn w:val="Normal"/>
    <w:uiPriority w:val="99"/>
    <w:unhideWhenUsed/>
    <w:qFormat/>
    <w:pPr>
      <w:ind w:left="1080"/>
      <w:contextualSpacing/>
    </w:pPr>
  </w:style>
  <w:style w:type="paragraph" w:styleId="ListNumber">
    <w:name w:val="List Number"/>
    <w:basedOn w:val="Normal"/>
    <w:uiPriority w:val="99"/>
    <w:unhideWhenUsed/>
    <w:qFormat/>
    <w:pPr>
      <w:numPr>
        <w:numId w:val="4"/>
      </w:numPr>
      <w:contextualSpacing/>
    </w:pPr>
  </w:style>
  <w:style w:type="paragraph" w:styleId="ListNumber2">
    <w:name w:val="List Number 2"/>
    <w:basedOn w:val="Normal"/>
    <w:uiPriority w:val="99"/>
    <w:unhideWhenUsed/>
    <w:qFormat/>
    <w:pPr>
      <w:numPr>
        <w:numId w:val="5"/>
      </w:numPr>
      <w:contextualSpacing/>
    </w:pPr>
  </w:style>
  <w:style w:type="paragraph" w:styleId="ListNumber3">
    <w:name w:val="List Number 3"/>
    <w:basedOn w:val="Normal"/>
    <w:uiPriority w:val="99"/>
    <w:unhideWhenUsed/>
    <w:qFormat/>
    <w:pPr>
      <w:numPr>
        <w:numId w:val="6"/>
      </w:numPr>
      <w:contextualSpacing/>
    </w:pPr>
  </w:style>
  <w:style w:type="paragraph" w:styleId="MacroText">
    <w:name w:val="macro"/>
    <w:link w:val="MacroTextChar"/>
    <w:uiPriority w:val="99"/>
    <w:unhideWhenUsed/>
    <w:qFormat/>
    <w:pPr>
      <w:tabs>
        <w:tab w:val="left" w:pos="576"/>
        <w:tab w:val="left" w:pos="1152"/>
        <w:tab w:val="left" w:pos="1728"/>
        <w:tab w:val="left" w:pos="2304"/>
        <w:tab w:val="left" w:pos="2880"/>
        <w:tab w:val="left" w:pos="3456"/>
        <w:tab w:val="left" w:pos="4032"/>
      </w:tabs>
      <w:spacing w:after="200" w:line="276" w:lineRule="auto"/>
    </w:pPr>
    <w:rPr>
      <w:rFonts w:ascii="Courier" w:hAnsi="Courier"/>
      <w:lang w:val="en-US" w:eastAsia="en-US"/>
    </w:rPr>
  </w:style>
  <w:style w:type="character" w:styleId="Strong">
    <w:name w:val="Strong"/>
    <w:basedOn w:val="DefaultParagraphFont"/>
    <w:uiPriority w:val="22"/>
    <w:qFormat/>
    <w:rPr>
      <w:b/>
      <w:bCs/>
    </w:rPr>
  </w:style>
  <w:style w:type="paragraph" w:styleId="Subtitle">
    <w:name w:val="Subtitle"/>
    <w:basedOn w:val="Normal"/>
    <w:next w:val="Normal"/>
    <w:link w:val="SubtitleChar"/>
    <w:uiPriority w:val="11"/>
    <w:qFormat/>
    <w:rPr>
      <w:rFonts w:asciiTheme="majorHAnsi" w:eastAsiaTheme="majorEastAsia" w:hAnsiTheme="majorHAnsi" w:cstheme="majorBidi"/>
      <w:i/>
      <w:iCs/>
      <w:color w:val="4F81BD" w:themeColor="accent1"/>
      <w:spacing w:val="15"/>
      <w:sz w:val="24"/>
      <w:szCs w:val="24"/>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table" w:styleId="LightShading">
    <w:name w:val="Light Shading"/>
    <w:basedOn w:val="TableNormal"/>
    <w:uiPriority w:val="60"/>
    <w:qFormat/>
    <w:rPr>
      <w:color w:val="000000" w:themeColor="text1" w:themeShade="BF"/>
    </w:rPr>
    <w:tblPr>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qFormat/>
    <w:rPr>
      <w:color w:val="365F91" w:themeColor="accent1" w:themeShade="BF"/>
    </w:rPr>
    <w:tblPr>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qFormat/>
    <w:rPr>
      <w:color w:val="943634" w:themeColor="accent2" w:themeShade="BF"/>
    </w:rPr>
    <w:tblPr>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qFormat/>
    <w:rPr>
      <w:color w:val="76923C" w:themeColor="accent3" w:themeShade="BF"/>
    </w:rPr>
    <w:tblPr>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qFormat/>
    <w:rPr>
      <w:color w:val="5F497A" w:themeColor="accent4" w:themeShade="BF"/>
    </w:rPr>
    <w:tblPr>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Pr>
      <w:color w:val="31849B" w:themeColor="accent5" w:themeShade="BF"/>
    </w:rPr>
    <w:tblPr>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Pr>
      <w:color w:val="E36C0A" w:themeColor="accent6" w:themeShade="BF"/>
    </w:rPr>
    <w:tblPr>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tblPr>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qFormat/>
    <w:tblPr>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tblPr>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tblPr>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tblPr>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tcPr>
    </w:tblStylePr>
  </w:style>
  <w:style w:type="table" w:styleId="LightGrid-Accent1">
    <w:name w:val="Light Grid Accent 1"/>
    <w:basedOn w:val="TableNormal"/>
    <w:uiPriority w:val="62"/>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tcPr>
    </w:tblStylePr>
  </w:style>
  <w:style w:type="table" w:styleId="LightGrid-Accent2">
    <w:name w:val="Light Grid Accent 2"/>
    <w:basedOn w:val="TableNormal"/>
    <w:uiPriority w:val="62"/>
    <w:tblPr>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auto"/>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auto"/>
        </w:tcBorders>
      </w:tcPr>
    </w:tblStylePr>
  </w:style>
  <w:style w:type="table" w:styleId="LightGrid-Accent3">
    <w:name w:val="Light Grid Accent 3"/>
    <w:basedOn w:val="TableNormal"/>
    <w:uiPriority w:val="62"/>
    <w:tblPr>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auto"/>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auto"/>
        </w:tcBorders>
      </w:tcPr>
    </w:tblStylePr>
  </w:style>
  <w:style w:type="table" w:styleId="LightGrid-Accent4">
    <w:name w:val="Light Grid Accent 4"/>
    <w:basedOn w:val="TableNormal"/>
    <w:uiPriority w:val="62"/>
    <w:tblPr>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auto"/>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auto"/>
        </w:tcBorders>
      </w:tcPr>
    </w:tblStylePr>
  </w:style>
  <w:style w:type="table" w:styleId="LightGrid-Accent5">
    <w:name w:val="Light Grid Accent 5"/>
    <w:basedOn w:val="TableNormal"/>
    <w:uiPriority w:val="62"/>
    <w:tblPr>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auto"/>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auto"/>
        </w:tcBorders>
      </w:tcPr>
    </w:tblStylePr>
  </w:style>
  <w:style w:type="table" w:styleId="LightGrid-Accent6">
    <w:name w:val="Light Grid Accent 6"/>
    <w:basedOn w:val="TableNormal"/>
    <w:uiPriority w:val="62"/>
    <w:qFormat/>
    <w:tblPr>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auto"/>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auto"/>
        </w:tcBorders>
      </w:tcPr>
    </w:tblStylePr>
  </w:style>
  <w:style w:type="table" w:styleId="MediumShading1">
    <w:name w:val="Medium Shading 1"/>
    <w:basedOn w:val="TableNormal"/>
    <w:uiPriority w:val="63"/>
    <w:qFormat/>
    <w:tblPr>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tblPr>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tblPr>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qFormat/>
    <w:tblPr>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tblPr>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tblPr>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tblPr>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Pr>
      <w:color w:val="000000" w:themeColor="text1"/>
    </w:rPr>
    <w:tblPr>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qFormat/>
    <w:rPr>
      <w:color w:val="000000" w:themeColor="text1"/>
    </w:rPr>
    <w:tblPr>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Pr>
      <w:color w:val="000000" w:themeColor="text1"/>
    </w:rPr>
    <w:tblPr>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Pr>
      <w:color w:val="000000" w:themeColor="text1"/>
    </w:rPr>
    <w:tblPr>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Pr>
      <w:color w:val="000000" w:themeColor="text1"/>
    </w:rPr>
    <w:tblPr>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Pr>
      <w:color w:val="000000" w:themeColor="text1"/>
    </w:rPr>
    <w:tblPr>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Pr>
      <w:color w:val="000000" w:themeColor="text1"/>
    </w:rPr>
    <w:tblPr>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qFormat/>
    <w:rPr>
      <w:rFonts w:asciiTheme="majorHAnsi" w:eastAsiaTheme="majorEastAsia" w:hAnsiTheme="majorHAnsi" w:cstheme="majorBidi"/>
      <w:color w:val="000000" w:themeColor="text1"/>
    </w:rPr>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qFormat/>
    <w:rPr>
      <w:rFonts w:asciiTheme="majorHAnsi" w:eastAsiaTheme="majorEastAsia" w:hAnsiTheme="majorHAnsi" w:cstheme="majorBidi"/>
      <w:color w:val="000000" w:themeColor="text1"/>
    </w:rPr>
    <w:tblPr>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Pr>
      <w:rFonts w:asciiTheme="majorHAnsi" w:eastAsiaTheme="majorEastAsia" w:hAnsiTheme="majorHAnsi" w:cstheme="majorBidi"/>
      <w:color w:val="000000" w:themeColor="text1"/>
    </w:rPr>
    <w:tblPr>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Pr>
      <w:rFonts w:asciiTheme="majorHAnsi" w:eastAsiaTheme="majorEastAsia" w:hAnsiTheme="majorHAnsi" w:cstheme="majorBidi"/>
      <w:color w:val="000000" w:themeColor="text1"/>
    </w:rPr>
    <w:tblPr>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Pr>
      <w:rFonts w:asciiTheme="majorHAnsi" w:eastAsiaTheme="majorEastAsia" w:hAnsiTheme="majorHAnsi" w:cstheme="majorBidi"/>
      <w:color w:val="000000" w:themeColor="text1"/>
    </w:rPr>
    <w:tblPr>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Pr>
      <w:rFonts w:asciiTheme="majorHAnsi" w:eastAsiaTheme="majorEastAsia" w:hAnsiTheme="majorHAnsi" w:cstheme="majorBidi"/>
      <w:color w:val="000000" w:themeColor="text1"/>
    </w:rPr>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qFormat/>
    <w:rPr>
      <w:rFonts w:asciiTheme="majorHAnsi" w:eastAsiaTheme="majorEastAsia" w:hAnsiTheme="majorHAnsi" w:cstheme="majorBidi"/>
      <w:color w:val="000000" w:themeColor="text1"/>
    </w:rPr>
    <w:tblPr>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tblPr>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tblPr>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qFormat/>
    <w:tblPr>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qFormat/>
    <w:tblPr>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qFormat/>
    <w:tblPr>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qFormat/>
    <w:tblPr>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tblPr>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Pr>
      <w:rFonts w:asciiTheme="majorHAnsi" w:eastAsiaTheme="majorEastAsia" w:hAnsiTheme="majorHAnsi" w:cstheme="majorBidi"/>
      <w:color w:val="000000" w:themeColor="text1"/>
    </w:rPr>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auto"/>
          <w:insideV w:val="single" w:sz="6" w:space="0" w:color="auto"/>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qFormat/>
    <w:rPr>
      <w:rFonts w:asciiTheme="majorHAnsi" w:eastAsiaTheme="majorEastAsia" w:hAnsiTheme="majorHAnsi" w:cstheme="majorBidi"/>
      <w:color w:val="000000" w:themeColor="text1"/>
    </w:rPr>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auto"/>
          <w:insideV w:val="single" w:sz="6" w:space="0" w:color="auto"/>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Pr>
      <w:rFonts w:asciiTheme="majorHAnsi" w:eastAsiaTheme="majorEastAsia" w:hAnsiTheme="majorHAnsi" w:cstheme="majorBidi"/>
      <w:color w:val="000000" w:themeColor="text1"/>
    </w:rPr>
    <w:tblPr>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auto"/>
          <w:insideV w:val="single" w:sz="6" w:space="0" w:color="auto"/>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Pr>
      <w:rFonts w:asciiTheme="majorHAnsi" w:eastAsiaTheme="majorEastAsia" w:hAnsiTheme="majorHAnsi" w:cstheme="majorBidi"/>
      <w:color w:val="000000" w:themeColor="text1"/>
    </w:rPr>
    <w:tblPr>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auto"/>
          <w:insideV w:val="single" w:sz="6" w:space="0" w:color="auto"/>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Pr>
      <w:rFonts w:asciiTheme="majorHAnsi" w:eastAsiaTheme="majorEastAsia" w:hAnsiTheme="majorHAnsi" w:cstheme="majorBidi"/>
      <w:color w:val="000000" w:themeColor="text1"/>
    </w:rPr>
    <w:tblPr>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auto"/>
          <w:insideV w:val="single" w:sz="6" w:space="0" w:color="auto"/>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Pr>
      <w:rFonts w:asciiTheme="majorHAnsi" w:eastAsiaTheme="majorEastAsia" w:hAnsiTheme="majorHAnsi" w:cstheme="majorBidi"/>
      <w:color w:val="000000" w:themeColor="text1"/>
    </w:rPr>
    <w:tblPr>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auto"/>
          <w:insideV w:val="single" w:sz="6" w:space="0" w:color="auto"/>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Pr>
      <w:rFonts w:asciiTheme="majorHAnsi" w:eastAsiaTheme="majorEastAsia" w:hAnsiTheme="majorHAnsi" w:cstheme="majorBidi"/>
      <w:color w:val="000000" w:themeColor="text1"/>
    </w:rPr>
    <w:tblPr>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auto"/>
          <w:insideV w:val="single" w:sz="6" w:space="0" w:color="auto"/>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808080" w:themeFill="text1" w:themeFillTint="7F"/>
      </w:tcPr>
    </w:tblStylePr>
  </w:style>
  <w:style w:type="table" w:styleId="MediumGrid3-Accent1">
    <w:name w:val="Medium Grid 3 Accent 1"/>
    <w:basedOn w:val="TableNormal"/>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7BFDE" w:themeFill="accent1" w:themeFillTint="7F"/>
      </w:tcPr>
    </w:tblStylePr>
  </w:style>
  <w:style w:type="table" w:styleId="MediumGrid3-Accent2">
    <w:name w:val="Medium Grid 3 Accent 2"/>
    <w:basedOn w:val="TableNormal"/>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DFA7A6" w:themeFill="accent2" w:themeFillTint="7F"/>
      </w:tcPr>
    </w:tblStylePr>
  </w:style>
  <w:style w:type="table" w:styleId="MediumGrid3-Accent3">
    <w:name w:val="Medium Grid 3 Accent 3"/>
    <w:basedOn w:val="TableNormal"/>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CDDDAC" w:themeFill="accent3" w:themeFillTint="7F"/>
      </w:tcPr>
    </w:tblStylePr>
  </w:style>
  <w:style w:type="table" w:styleId="MediumGrid3-Accent4">
    <w:name w:val="Medium Grid 3 Accent 4"/>
    <w:basedOn w:val="TableNormal"/>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BFB1D0" w:themeFill="accent4" w:themeFillTint="7F"/>
      </w:tcPr>
    </w:tblStylePr>
  </w:style>
  <w:style w:type="table" w:styleId="MediumGrid3-Accent5">
    <w:name w:val="Medium Grid 3 Accent 5"/>
    <w:basedOn w:val="TableNormal"/>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5D5E2" w:themeFill="accent5" w:themeFillTint="7F"/>
      </w:tcPr>
    </w:tblStylePr>
  </w:style>
  <w:style w:type="table" w:styleId="MediumGrid3-Accent6">
    <w:name w:val="Medium Grid 3 Accent 6"/>
    <w:basedOn w:val="TableNormal"/>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FBCAA2" w:themeFill="accent6" w:themeFillTint="7F"/>
      </w:tcPr>
    </w:tblStylePr>
  </w:style>
  <w:style w:type="table" w:styleId="DarkList">
    <w:name w:val="Dark List"/>
    <w:basedOn w:val="TableNormal"/>
    <w:uiPriority w:val="70"/>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Pr>
      <w:color w:val="000000" w:themeColor="text1"/>
    </w:rPr>
    <w:tblPr>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Pr>
      <w:color w:val="000000" w:themeColor="text1"/>
    </w:rPr>
    <w:tblPr>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Pr>
      <w:color w:val="000000" w:themeColor="text1"/>
    </w:rPr>
    <w:tblPr>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Pr>
      <w:color w:val="000000" w:themeColor="text1"/>
    </w:rPr>
    <w:tblPr>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Pr>
      <w:color w:val="000000" w:themeColor="text1"/>
    </w:rPr>
    <w:tblPr>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Pr>
      <w:color w:val="000000" w:themeColor="text1"/>
    </w:rPr>
    <w:tblPr>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Pr>
      <w:color w:val="000000" w:themeColor="text1"/>
    </w:rPr>
    <w:tblPr>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Pr>
      <w:color w:val="000000" w:themeColor="text1"/>
    </w:rPr>
    <w:tblPr>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Pr>
      <w:color w:val="000000" w:themeColor="text1"/>
    </w:rPr>
    <w:tblPr>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Pr>
      <w:color w:val="000000" w:themeColor="text1"/>
    </w:rPr>
    <w:tblPr>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Pr>
      <w:color w:val="000000" w:themeColor="text1"/>
    </w:rPr>
    <w:tblPr>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Pr>
      <w:color w:val="000000" w:themeColor="text1"/>
    </w:rPr>
    <w:tblPr>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Pr>
      <w:color w:val="000000" w:themeColor="text1"/>
    </w:rPr>
    <w:tblPr>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Pr>
      <w:color w:val="000000" w:themeColor="text1"/>
    </w:rPr>
    <w:tblPr>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paragraph" w:styleId="NoSpacing">
    <w:name w:val="No Spacing"/>
    <w:uiPriority w:val="1"/>
    <w:qFormat/>
    <w:rPr>
      <w:sz w:val="22"/>
      <w:szCs w:val="22"/>
      <w:lang w:val="en-US" w:eastAsia="en-US"/>
    </w:r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b/>
      <w:bCs/>
      <w:color w:val="4F81BD" w:themeColor="accent1"/>
    </w:rPr>
  </w:style>
  <w:style w:type="character" w:customStyle="1" w:styleId="TitleChar">
    <w:name w:val="Title Char"/>
    <w:basedOn w:val="DefaultParagraphFont"/>
    <w:link w:val="Title"/>
    <w:uiPriority w:val="10"/>
    <w:rPr>
      <w:rFonts w:asciiTheme="majorHAnsi" w:eastAsiaTheme="majorEastAsia" w:hAnsiTheme="majorHAnsi" w:cstheme="majorBidi"/>
      <w:color w:val="17365D" w:themeColor="text2" w:themeShade="BF"/>
      <w:spacing w:val="5"/>
      <w:kern w:val="28"/>
      <w:sz w:val="52"/>
      <w:szCs w:val="52"/>
    </w:rPr>
  </w:style>
  <w:style w:type="character" w:customStyle="1" w:styleId="SubtitleChar">
    <w:name w:val="Subtitle Char"/>
    <w:basedOn w:val="DefaultParagraphFont"/>
    <w:link w:val="Subtitle"/>
    <w:uiPriority w:val="11"/>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pPr>
      <w:ind w:left="720"/>
      <w:contextualSpacing/>
    </w:pPr>
  </w:style>
  <w:style w:type="character" w:customStyle="1" w:styleId="BodyTextChar">
    <w:name w:val="Body Text Char"/>
    <w:basedOn w:val="DefaultParagraphFont"/>
    <w:link w:val="BodyText"/>
    <w:uiPriority w:val="99"/>
  </w:style>
  <w:style w:type="character" w:customStyle="1" w:styleId="BodyText2Char">
    <w:name w:val="Body Text 2 Char"/>
    <w:basedOn w:val="DefaultParagraphFont"/>
    <w:link w:val="BodyText2"/>
    <w:uiPriority w:val="99"/>
    <w:qFormat/>
  </w:style>
  <w:style w:type="character" w:customStyle="1" w:styleId="BodyText3Char">
    <w:name w:val="Body Text 3 Char"/>
    <w:basedOn w:val="DefaultParagraphFont"/>
    <w:link w:val="BodyText3"/>
    <w:uiPriority w:val="99"/>
    <w:qFormat/>
    <w:rPr>
      <w:sz w:val="16"/>
      <w:szCs w:val="16"/>
    </w:rPr>
  </w:style>
  <w:style w:type="character" w:customStyle="1" w:styleId="MacroTextChar">
    <w:name w:val="Macro Text Char"/>
    <w:basedOn w:val="DefaultParagraphFont"/>
    <w:link w:val="MacroText"/>
    <w:uiPriority w:val="99"/>
    <w:qFormat/>
    <w:rPr>
      <w:rFonts w:ascii="Courier" w:hAnsi="Courier"/>
      <w:sz w:val="20"/>
      <w:szCs w:val="20"/>
    </w:rPr>
  </w:style>
  <w:style w:type="paragraph" w:styleId="Quote">
    <w:name w:val="Quote"/>
    <w:basedOn w:val="Normal"/>
    <w:next w:val="Normal"/>
    <w:link w:val="QuoteChar"/>
    <w:uiPriority w:val="29"/>
    <w:qFormat/>
    <w:rPr>
      <w:i/>
      <w:iCs/>
      <w:color w:val="000000" w:themeColor="text1"/>
    </w:rPr>
  </w:style>
  <w:style w:type="character" w:customStyle="1" w:styleId="QuoteChar">
    <w:name w:val="Quote Char"/>
    <w:basedOn w:val="DefaultParagraphFont"/>
    <w:link w:val="Quote"/>
    <w:uiPriority w:val="29"/>
    <w:qFormat/>
    <w:rPr>
      <w:i/>
      <w:iCs/>
      <w:color w:val="000000" w:themeColor="text1"/>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44061" w:themeColor="accent1" w:themeShade="80"/>
    </w:rPr>
  </w:style>
  <w:style w:type="character" w:customStyle="1" w:styleId="Heading6Char">
    <w:name w:val="Heading 6 Char"/>
    <w:basedOn w:val="DefaultParagraphFont"/>
    <w:link w:val="Heading6"/>
    <w:uiPriority w:val="9"/>
    <w:semiHidden/>
    <w:qFormat/>
    <w:rPr>
      <w:rFonts w:asciiTheme="majorHAnsi" w:eastAsiaTheme="majorEastAsia" w:hAnsiTheme="majorHAnsi" w:cstheme="majorBidi"/>
      <w:i/>
      <w:iCs/>
      <w:color w:val="244061" w:themeColor="accent1" w:themeShade="80"/>
    </w:rPr>
  </w:style>
  <w:style w:type="character" w:customStyle="1" w:styleId="Heading7Char">
    <w:name w:val="Heading 7 Char"/>
    <w:basedOn w:val="DefaultParagraphFont"/>
    <w:link w:val="Heading7"/>
    <w:uiPriority w:val="9"/>
    <w:semiHidden/>
    <w:qFormat/>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qFormat/>
    <w:rPr>
      <w:rFonts w:asciiTheme="majorHAnsi" w:eastAsiaTheme="majorEastAsia" w:hAnsiTheme="majorHAnsi" w:cstheme="majorBidi"/>
      <w:i/>
      <w:iCs/>
      <w:color w:val="404040" w:themeColor="text1" w:themeTint="BF"/>
      <w:sz w:val="20"/>
      <w:szCs w:val="20"/>
    </w:rPr>
  </w:style>
  <w:style w:type="paragraph" w:styleId="IntenseQuote">
    <w:name w:val="Intense Quote"/>
    <w:basedOn w:val="Normal"/>
    <w:next w:val="Normal"/>
    <w:link w:val="IntenseQuoteChar"/>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qFormat/>
    <w:rPr>
      <w:b/>
      <w:bCs/>
      <w:i/>
      <w:iCs/>
      <w:color w:val="4F81BD" w:themeColor="accent1"/>
    </w:rPr>
  </w:style>
  <w:style w:type="character" w:customStyle="1" w:styleId="SubtleEmphasis1">
    <w:name w:val="Subtle Emphasis1"/>
    <w:basedOn w:val="DefaultParagraphFont"/>
    <w:uiPriority w:val="19"/>
    <w:qFormat/>
    <w:rPr>
      <w:i/>
      <w:iCs/>
      <w:color w:val="7F7F7F" w:themeColor="text1" w:themeTint="80"/>
    </w:rPr>
  </w:style>
  <w:style w:type="character" w:customStyle="1" w:styleId="IntenseEmphasis1">
    <w:name w:val="Intense Emphasis1"/>
    <w:basedOn w:val="DefaultParagraphFont"/>
    <w:uiPriority w:val="21"/>
    <w:qFormat/>
    <w:rPr>
      <w:b/>
      <w:bCs/>
      <w:i/>
      <w:iCs/>
      <w:color w:val="4F81BD" w:themeColor="accent1"/>
    </w:rPr>
  </w:style>
  <w:style w:type="character" w:customStyle="1" w:styleId="SubtleReference1">
    <w:name w:val="Subtle Reference1"/>
    <w:basedOn w:val="DefaultParagraphFont"/>
    <w:uiPriority w:val="31"/>
    <w:qFormat/>
    <w:rPr>
      <w:smallCaps/>
      <w:color w:val="C0504D" w:themeColor="accent2"/>
      <w:u w:val="single"/>
    </w:rPr>
  </w:style>
  <w:style w:type="character" w:customStyle="1" w:styleId="IntenseReference1">
    <w:name w:val="Intense Reference1"/>
    <w:basedOn w:val="DefaultParagraphFont"/>
    <w:uiPriority w:val="32"/>
    <w:qFormat/>
    <w:rPr>
      <w:b/>
      <w:bCs/>
      <w:smallCaps/>
      <w:color w:val="C0504D" w:themeColor="accent2"/>
      <w:spacing w:val="5"/>
      <w:u w:val="single"/>
    </w:rPr>
  </w:style>
  <w:style w:type="character" w:customStyle="1" w:styleId="BookTitle1">
    <w:name w:val="Book Title1"/>
    <w:basedOn w:val="DefaultParagraphFont"/>
    <w:uiPriority w:val="33"/>
    <w:qFormat/>
    <w:rPr>
      <w:b/>
      <w:bCs/>
      <w:smallCaps/>
      <w:spacing w:val="5"/>
    </w:rPr>
  </w:style>
  <w:style w:type="paragraph" w:customStyle="1" w:styleId="TOCHeading1">
    <w:name w:val="TOC Heading1"/>
    <w:basedOn w:val="Heading1"/>
    <w:next w:val="Normal"/>
    <w:uiPriority w:val="39"/>
    <w:semiHidden/>
    <w:unhideWhenUsed/>
    <w:qFormat/>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1723</Words>
  <Characters>9822</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Sam Sung</cp:lastModifiedBy>
  <cp:revision>2</cp:revision>
  <dcterms:created xsi:type="dcterms:W3CDTF">2026-10-16T19:44:00Z</dcterms:created>
  <dcterms:modified xsi:type="dcterms:W3CDTF">2026-10-16T19:44:00Z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eyJoZGlkIjoiOTU4MzQzY2I2ODZhMDRiOWFhMzdjYTc2NTgzYjU3OTIifQ==</vt:lpwstr>
  </property>
  <property fmtid="{D5CDD505-2E9C-101B-9397-08002B2CF9AE}" pid="3" name="KSOProductBuildVer">
    <vt:lpwstr>1033-12.1.0.28485</vt:lpwstr>
  </property>
  <property fmtid="{D5CDD505-2E9C-101B-9397-08002B2CF9AE}" pid="4" name="ICV">
    <vt:lpwstr>1432421D7F524B988DD5514CABC0A266_12</vt:lpwstr>
  </property>
</Properties>
</file>