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825391592"/>
        <w:docPartObj>
          <w:docPartGallery w:val="Cover Pages"/>
          <w:docPartUnique/>
        </w:docPartObj>
      </w:sdtPr>
      <w:sdtEndPr>
        <w:rPr>
          <w:color w:val="auto"/>
        </w:rPr>
      </w:sdtEndPr>
      <w:sdtContent>
        <w:p w14:paraId="0B332F85" w14:textId="286B45F0" w:rsidR="00CB244E" w:rsidRDefault="00CB244E">
          <w:pPr>
            <w:pStyle w:val="NoSpacing"/>
            <w:spacing w:before="1540" w:after="240"/>
            <w:jc w:val="center"/>
            <w:rPr>
              <w:color w:val="4F81BD" w:themeColor="accent1"/>
            </w:rPr>
          </w:pPr>
          <w:r>
            <w:rPr>
              <w:noProof/>
              <w:color w:val="4F81BD" w:themeColor="accent1"/>
            </w:rPr>
            <w:drawing>
              <wp:inline distT="0" distB="0" distL="0" distR="0" wp14:anchorId="361400F3" wp14:editId="3875413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erChar"/>
              <w:rFonts w:asciiTheme="majorHAnsi" w:eastAsiaTheme="majorEastAsia" w:hAnsiTheme="majorHAnsi" w:cstheme="majorBidi"/>
              <w:color w:val="17365D" w:themeColor="text2" w:themeShade="BF"/>
              <w:spacing w:val="5"/>
              <w:kern w:val="28"/>
              <w:sz w:val="72"/>
              <w:szCs w:val="72"/>
            </w:rPr>
            <w:alias w:val="Title"/>
            <w:tag w:val=""/>
            <w:id w:val="1735040861"/>
            <w:placeholder>
              <w:docPart w:val="773AFB64BFE04FDABF3A466060E7698F"/>
            </w:placeholder>
            <w:dataBinding w:prefixMappings="xmlns:ns0='http://purl.org/dc/elements/1.1/' xmlns:ns1='http://schemas.openxmlformats.org/package/2006/metadata/core-properties' " w:xpath="/ns1:coreProperties[1]/ns0:title[1]" w:storeItemID="{6C3C8BC8-F283-45AE-878A-BAB7291924A1}"/>
            <w:text/>
          </w:sdtPr>
          <w:sdtEndPr>
            <w:rPr>
              <w:rStyle w:val="HeaderChar"/>
            </w:rPr>
          </w:sdtEndPr>
          <w:sdtContent>
            <w:p w14:paraId="45B2C294" w14:textId="048432F9" w:rsidR="00CB244E" w:rsidRDefault="00CB244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Style w:val="HeaderChar"/>
                  <w:rFonts w:asciiTheme="majorHAnsi" w:eastAsiaTheme="majorEastAsia" w:hAnsiTheme="majorHAnsi" w:cstheme="majorBidi"/>
                  <w:color w:val="17365D" w:themeColor="text2" w:themeShade="BF"/>
                  <w:spacing w:val="5"/>
                  <w:kern w:val="28"/>
                  <w:sz w:val="72"/>
                  <w:szCs w:val="72"/>
                </w:rPr>
                <w:t>Network and Cybersecurity Essentials Report</w:t>
              </w:r>
            </w:p>
          </w:sdtContent>
        </w:sdt>
        <w:sdt>
          <w:sdtPr>
            <w:rPr>
              <w:color w:val="404040" w:themeColor="text1" w:themeTint="BF"/>
              <w:sz w:val="36"/>
              <w:szCs w:val="36"/>
            </w:rPr>
            <w:alias w:val="Subtitle"/>
            <w:tag w:val=""/>
            <w:id w:val="328029620"/>
            <w:placeholder>
              <w:docPart w:val="4E11887A123A4030A772018A6392AFBB"/>
            </w:placeholder>
            <w:dataBinding w:prefixMappings="xmlns:ns0='http://purl.org/dc/elements/1.1/' xmlns:ns1='http://schemas.openxmlformats.org/package/2006/metadata/core-properties' " w:xpath="/ns1:coreProperties[1]/ns0:subject[1]" w:storeItemID="{6C3C8BC8-F283-45AE-878A-BAB7291924A1}"/>
            <w:text/>
          </w:sdtPr>
          <w:sdtEndPr/>
          <w:sdtContent>
            <w:p w14:paraId="75DF899E" w14:textId="122DF152" w:rsidR="00CB244E" w:rsidRDefault="00CB244E">
              <w:pPr>
                <w:pStyle w:val="NoSpacing"/>
                <w:jc w:val="center"/>
                <w:rPr>
                  <w:color w:val="4F81BD" w:themeColor="accent1"/>
                  <w:sz w:val="28"/>
                  <w:szCs w:val="28"/>
                </w:rPr>
              </w:pPr>
              <w:r>
                <w:rPr>
                  <w:color w:val="404040" w:themeColor="text1" w:themeTint="BF"/>
                  <w:sz w:val="36"/>
                  <w:szCs w:val="36"/>
                </w:rPr>
                <w:t>February 2026</w:t>
              </w:r>
            </w:p>
          </w:sdtContent>
        </w:sdt>
        <w:p w14:paraId="1BAF7B25" w14:textId="77777777" w:rsidR="00CB244E" w:rsidRDefault="00CB244E">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4144" behindDoc="0" locked="0" layoutInCell="1" allowOverlap="1" wp14:anchorId="0552E99E" wp14:editId="58D90CB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7227D" w14:textId="49055516" w:rsidR="00CB244E" w:rsidRDefault="00CB244E">
                                <w:pPr>
                                  <w:pStyle w:val="NoSpacing"/>
                                  <w:spacing w:after="40"/>
                                  <w:jc w:val="center"/>
                                  <w:rPr>
                                    <w:caps/>
                                    <w:color w:val="4F81BD" w:themeColor="accent1"/>
                                    <w:sz w:val="28"/>
                                    <w:szCs w:val="28"/>
                                  </w:rPr>
                                </w:pPr>
                              </w:p>
                              <w:p w14:paraId="2BC2D5A0" w14:textId="6BA5B1DA" w:rsidR="00CB244E" w:rsidRDefault="006D322D">
                                <w:pPr>
                                  <w:pStyle w:val="NoSpacing"/>
                                  <w:jc w:val="center"/>
                                  <w:rPr>
                                    <w:color w:val="4F81BD" w:themeColor="accent1"/>
                                  </w:rPr>
                                </w:pPr>
                                <w:sdt>
                                  <w:sdtPr>
                                    <w:rPr>
                                      <w:color w:val="4F81BD"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EndPr/>
                                  <w:sdtContent>
                                    <w:r>
                                      <w:rPr>
                                        <w:color w:val="4F81BD" w:themeColor="accent1"/>
                                        <w:sz w:val="26"/>
                                        <w:szCs w:val="26"/>
                                      </w:rPr>
                                      <w:t>University of Wales Trinity Saint David (UWTSD)</w:t>
                                    </w:r>
                                  </w:sdtContent>
                                </w:sdt>
                              </w:p>
                              <w:p w14:paraId="6C8A2826" w14:textId="491EF7F8" w:rsidR="00CB244E" w:rsidRDefault="006D322D">
                                <w:pPr>
                                  <w:pStyle w:val="NoSpacing"/>
                                  <w:jc w:val="center"/>
                                  <w:rPr>
                                    <w:color w:val="4F81BD" w:themeColor="accent1"/>
                                  </w:rPr>
                                </w:pPr>
                                <w:sdt>
                                  <w:sdtPr>
                                    <w:rPr>
                                      <w:caps/>
                                      <w:color w:val="595959" w:themeColor="text1" w:themeTint="A6"/>
                                      <w:sz w:val="20"/>
                                      <w:szCs w:val="20"/>
                                    </w:rPr>
                                    <w:alias w:val="Address"/>
                                    <w:tag w:val=""/>
                                    <w:id w:val="-726379553"/>
                                    <w:dataBinding w:prefixMappings="xmlns:ns0='http://schemas.microsoft.com/office/2006/coverPageProps' " w:xpath="/ns0:CoverPageProperties[1]/ns0:CompanyAddress[1]" w:storeItemID="{55AF091B-3C7A-41E3-B477-F2FDAA23CFDA}"/>
                                    <w:text/>
                                  </w:sdtPr>
                                  <w:sdtEndPr/>
                                  <w:sdtContent>
                                    <w:r>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52E99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414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B07227D" w14:textId="49055516" w:rsidR="00CB244E" w:rsidRDefault="00CB244E">
                          <w:pPr>
                            <w:pStyle w:val="NoSpacing"/>
                            <w:spacing w:after="40"/>
                            <w:jc w:val="center"/>
                            <w:rPr>
                              <w:caps/>
                              <w:color w:val="4F81BD" w:themeColor="accent1"/>
                              <w:sz w:val="28"/>
                              <w:szCs w:val="28"/>
                            </w:rPr>
                          </w:pPr>
                        </w:p>
                        <w:p w14:paraId="2BC2D5A0" w14:textId="6BA5B1DA" w:rsidR="00CB244E" w:rsidRDefault="006D322D">
                          <w:pPr>
                            <w:pStyle w:val="NoSpacing"/>
                            <w:jc w:val="center"/>
                            <w:rPr>
                              <w:color w:val="4F81BD" w:themeColor="accent1"/>
                            </w:rPr>
                          </w:pPr>
                          <w:sdt>
                            <w:sdtPr>
                              <w:rPr>
                                <w:color w:val="4F81BD"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EndPr/>
                            <w:sdtContent>
                              <w:r>
                                <w:rPr>
                                  <w:color w:val="4F81BD" w:themeColor="accent1"/>
                                  <w:sz w:val="26"/>
                                  <w:szCs w:val="26"/>
                                </w:rPr>
                                <w:t>University of Wales Trinity Saint David (UWTSD)</w:t>
                              </w:r>
                            </w:sdtContent>
                          </w:sdt>
                        </w:p>
                        <w:p w14:paraId="6C8A2826" w14:textId="491EF7F8" w:rsidR="00CB244E" w:rsidRDefault="006D322D">
                          <w:pPr>
                            <w:pStyle w:val="NoSpacing"/>
                            <w:jc w:val="center"/>
                            <w:rPr>
                              <w:color w:val="4F81BD" w:themeColor="accent1"/>
                            </w:rPr>
                          </w:pPr>
                          <w:sdt>
                            <w:sdtPr>
                              <w:rPr>
                                <w:caps/>
                                <w:color w:val="595959" w:themeColor="text1" w:themeTint="A6"/>
                                <w:sz w:val="20"/>
                                <w:szCs w:val="20"/>
                              </w:rPr>
                              <w:alias w:val="Address"/>
                              <w:tag w:val=""/>
                              <w:id w:val="-726379553"/>
                              <w:dataBinding w:prefixMappings="xmlns:ns0='http://schemas.microsoft.com/office/2006/coverPageProps' " w:xpath="/ns0:CoverPageProperties[1]/ns0:CompanyAddress[1]" w:storeItemID="{55AF091B-3C7A-41E3-B477-F2FDAA23CFDA}"/>
                              <w:text/>
                            </w:sdtPr>
                            <w:sdtEndPr/>
                            <w:sdtContent>
                              <w:r>
                                <w:rPr>
                                  <w:caps/>
                                  <w:color w:val="595959" w:themeColor="text1" w:themeTint="A6"/>
                                  <w:sz w:val="20"/>
                                  <w:szCs w:val="20"/>
                                </w:rPr>
                                <w:t>LONDON CAMPUS</w:t>
                              </w:r>
                            </w:sdtContent>
                          </w:sdt>
                        </w:p>
                      </w:txbxContent>
                    </v:textbox>
                    <w10:wrap anchorx="margin" anchory="page"/>
                  </v:shape>
                </w:pict>
              </mc:Fallback>
            </mc:AlternateContent>
          </w:r>
          <w:r>
            <w:rPr>
              <w:noProof/>
              <w:color w:val="4F81BD" w:themeColor="accent1"/>
            </w:rPr>
            <w:drawing>
              <wp:inline distT="0" distB="0" distL="0" distR="0" wp14:anchorId="19C8C848" wp14:editId="46B82DC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F88B5B" w14:textId="14E1B93E" w:rsidR="00CB244E" w:rsidRDefault="00CB244E">
          <w:r>
            <w:rPr>
              <w:noProof/>
            </w:rPr>
            <mc:AlternateContent>
              <mc:Choice Requires="wps">
                <w:drawing>
                  <wp:anchor distT="0" distB="0" distL="114300" distR="114300" simplePos="0" relativeHeight="251659264" behindDoc="0" locked="0" layoutInCell="1" allowOverlap="1" wp14:anchorId="328C38FF" wp14:editId="2B98F101">
                    <wp:simplePos x="0" y="0"/>
                    <wp:positionH relativeFrom="column">
                      <wp:posOffset>457200</wp:posOffset>
                    </wp:positionH>
                    <wp:positionV relativeFrom="paragraph">
                      <wp:posOffset>343535</wp:posOffset>
                    </wp:positionV>
                    <wp:extent cx="5006340" cy="2133600"/>
                    <wp:effectExtent l="0" t="0" r="22860" b="19050"/>
                    <wp:wrapNone/>
                    <wp:docPr id="2020370964" name="Text Box 1"/>
                    <wp:cNvGraphicFramePr/>
                    <a:graphic xmlns:a="http://schemas.openxmlformats.org/drawingml/2006/main">
                      <a:graphicData uri="http://schemas.microsoft.com/office/word/2010/wordprocessingShape">
                        <wps:wsp>
                          <wps:cNvSpPr txBox="1"/>
                          <wps:spPr>
                            <a:xfrm>
                              <a:off x="0" y="0"/>
                              <a:ext cx="5006340" cy="2133600"/>
                            </a:xfrm>
                            <a:prstGeom prst="rect">
                              <a:avLst/>
                            </a:prstGeom>
                            <a:solidFill>
                              <a:schemeClr val="lt1"/>
                            </a:solidFill>
                            <a:ln w="6350">
                              <a:solidFill>
                                <a:prstClr val="black"/>
                              </a:solidFill>
                            </a:ln>
                          </wps:spPr>
                          <wps:txbx>
                            <w:txbxContent>
                              <w:p w14:paraId="7A72EF78" w14:textId="77777777" w:rsidR="00CB244E" w:rsidRPr="000E5CA4" w:rsidRDefault="00CB244E" w:rsidP="00CB244E">
                                <w:pPr>
                                  <w:pStyle w:val="NoSpacing"/>
                                  <w:rPr>
                                    <w:b/>
                                    <w:bCs/>
                                    <w:sz w:val="32"/>
                                    <w:szCs w:val="32"/>
                                    <w:u w:val="single"/>
                                  </w:rPr>
                                </w:pPr>
                                <w:r>
                                  <w:rPr>
                                    <w:rFonts w:eastAsiaTheme="minorHAnsi"/>
                                    <w:sz w:val="32"/>
                                    <w:szCs w:val="32"/>
                                    <w:u w:val="single"/>
                                    <w:lang w:val="en-GB"/>
                                  </w:rPr>
                                  <w:t>Module Name</w:t>
                                </w:r>
                                <w:r>
                                  <w:rPr>
                                    <w:rFonts w:eastAsiaTheme="minorHAnsi"/>
                                    <w:b/>
                                    <w:bCs/>
                                    <w:sz w:val="32"/>
                                    <w:szCs w:val="32"/>
                                    <w:u w:val="single"/>
                                    <w:lang w:val="en-GB"/>
                                  </w:rPr>
                                  <w:t xml:space="preserve">:       </w:t>
                                </w:r>
                                <w:r>
                                  <w:rPr>
                                    <w:b/>
                                    <w:bCs/>
                                    <w:sz w:val="32"/>
                                    <w:szCs w:val="32"/>
                                    <w:u w:val="single"/>
                                  </w:rPr>
                                  <w:t>Network and Cybersecurity</w:t>
                                </w:r>
                              </w:p>
                              <w:p w14:paraId="4E250FBC" w14:textId="0456D29C" w:rsidR="00CB244E" w:rsidRDefault="00CB244E" w:rsidP="00CB244E">
                                <w:pPr>
                                  <w:pStyle w:val="NoSpacing"/>
                                  <w:rPr>
                                    <w:rFonts w:eastAsiaTheme="minorHAnsi"/>
                                    <w:sz w:val="32"/>
                                    <w:szCs w:val="32"/>
                                    <w:lang w:val="en-GB"/>
                                  </w:rPr>
                                </w:pPr>
                                <w:r>
                                  <w:rPr>
                                    <w:b/>
                                    <w:bCs/>
                                    <w:sz w:val="32"/>
                                    <w:szCs w:val="32"/>
                                  </w:rPr>
                                  <w:t xml:space="preserve">                                   </w:t>
                                </w:r>
                                <w:r>
                                  <w:rPr>
                                    <w:b/>
                                    <w:bCs/>
                                    <w:sz w:val="32"/>
                                    <w:szCs w:val="32"/>
                                    <w:u w:val="single"/>
                                  </w:rPr>
                                  <w:t>Essentials</w:t>
                                </w:r>
                              </w:p>
                              <w:p w14:paraId="2659D026" w14:textId="38CA90E2" w:rsidR="00CB244E" w:rsidRPr="000E5CA4" w:rsidRDefault="00CB244E" w:rsidP="00CB244E">
                                <w:pPr>
                                  <w:pStyle w:val="NoSpacing"/>
                                  <w:rPr>
                                    <w:rFonts w:eastAsiaTheme="minorHAnsi"/>
                                    <w:sz w:val="32"/>
                                    <w:szCs w:val="32"/>
                                    <w:u w:val="single"/>
                                    <w:lang w:val="en-GB"/>
                                  </w:rPr>
                                </w:pPr>
                                <w:r>
                                  <w:rPr>
                                    <w:rFonts w:eastAsiaTheme="minorHAnsi"/>
                                    <w:sz w:val="32"/>
                                    <w:szCs w:val="32"/>
                                    <w:u w:val="single"/>
                                    <w:lang w:val="en-GB"/>
                                  </w:rPr>
                                  <w:t xml:space="preserve">Module Code:         </w:t>
                                </w:r>
                                <w:r>
                                  <w:rPr>
                                    <w:b/>
                                    <w:bCs/>
                                    <w:sz w:val="32"/>
                                    <w:szCs w:val="32"/>
                                    <w:u w:val="single"/>
                                    <w:lang w:val="en-GB"/>
                                  </w:rPr>
                                  <w:t xml:space="preserve">ACCA </w:t>
                                </w:r>
                                <w:r>
                                  <w:rPr>
                                    <w:b/>
                                    <w:bCs/>
                                    <w:sz w:val="32"/>
                                    <w:szCs w:val="32"/>
                                    <w:u w:val="single"/>
                                  </w:rPr>
                                  <w:t>4024</w:t>
                                </w:r>
                                <w:r>
                                  <w:rPr>
                                    <w:rFonts w:eastAsiaTheme="minorHAnsi"/>
                                    <w:sz w:val="32"/>
                                    <w:szCs w:val="32"/>
                                    <w:lang w:val="en-GB"/>
                                  </w:rPr>
                                  <w:br/>
                                </w:r>
                                <w:r>
                                  <w:rPr>
                                    <w:rFonts w:eastAsiaTheme="minorHAnsi"/>
                                    <w:sz w:val="32"/>
                                    <w:szCs w:val="32"/>
                                    <w:u w:val="single"/>
                                    <w:lang w:val="en-GB"/>
                                  </w:rPr>
                                  <w:t>Student Name</w:t>
                                </w:r>
                                <w:r>
                                  <w:rPr>
                                    <w:rFonts w:eastAsiaTheme="minorHAnsi"/>
                                    <w:b/>
                                    <w:bCs/>
                                    <w:sz w:val="32"/>
                                    <w:szCs w:val="32"/>
                                    <w:u w:val="single"/>
                                    <w:lang w:val="en-GB"/>
                                  </w:rPr>
                                  <w:t>:       Md Atiqur Rahman</w:t>
                                </w:r>
                                <w:r>
                                  <w:rPr>
                                    <w:rFonts w:eastAsiaTheme="minorHAnsi"/>
                                    <w:sz w:val="32"/>
                                    <w:szCs w:val="32"/>
                                    <w:lang w:val="en-GB"/>
                                  </w:rPr>
                                  <w:br/>
                                </w:r>
                                <w:r>
                                  <w:rPr>
                                    <w:rFonts w:eastAsiaTheme="minorHAnsi"/>
                                    <w:sz w:val="32"/>
                                    <w:szCs w:val="32"/>
                                    <w:u w:val="single"/>
                                    <w:lang w:val="en-GB"/>
                                  </w:rPr>
                                  <w:t xml:space="preserve">Student ID:              </w:t>
                                </w:r>
                                <w:r>
                                  <w:rPr>
                                    <w:rFonts w:eastAsiaTheme="minorHAnsi"/>
                                    <w:b/>
                                    <w:bCs/>
                                    <w:sz w:val="32"/>
                                    <w:szCs w:val="32"/>
                                    <w:u w:val="single"/>
                                    <w:lang w:val="en-GB"/>
                                  </w:rPr>
                                  <w:t>2442128</w:t>
                                </w:r>
                                <w:r>
                                  <w:rPr>
                                    <w:rFonts w:eastAsiaTheme="minorHAnsi"/>
                                    <w:sz w:val="32"/>
                                    <w:szCs w:val="32"/>
                                    <w:lang w:val="en-GB"/>
                                  </w:rPr>
                                  <w:br/>
                                </w:r>
                                <w:r>
                                  <w:rPr>
                                    <w:rFonts w:eastAsiaTheme="minorHAnsi"/>
                                    <w:sz w:val="32"/>
                                    <w:szCs w:val="32"/>
                                    <w:u w:val="single"/>
                                    <w:lang w:val="en-GB"/>
                                  </w:rPr>
                                  <w:t xml:space="preserve">Group:                       </w:t>
                                </w:r>
                                <w:r>
                                  <w:rPr>
                                    <w:rFonts w:eastAsiaTheme="minorHAnsi"/>
                                    <w:b/>
                                    <w:bCs/>
                                    <w:sz w:val="32"/>
                                    <w:szCs w:val="32"/>
                                    <w:u w:val="single"/>
                                    <w:lang w:val="en-GB"/>
                                  </w:rPr>
                                  <w:t>2</w:t>
                                </w:r>
                              </w:p>
                              <w:p w14:paraId="0A90AF21" w14:textId="09520764" w:rsidR="00CB244E" w:rsidRDefault="00CB244E" w:rsidP="00CB244E">
                                <w:r>
                                  <w:rPr>
                                    <w:rFonts w:eastAsiaTheme="minorHAnsi"/>
                                    <w:sz w:val="32"/>
                                    <w:szCs w:val="32"/>
                                    <w:u w:val="single"/>
                                    <w:lang w:val="en-GB"/>
                                  </w:rPr>
                                  <w:t xml:space="preserve">Lecturer’s Name:   </w:t>
                                </w:r>
                                <w:r>
                                  <w:rPr>
                                    <w:rFonts w:eastAsiaTheme="minorHAnsi"/>
                                    <w:b/>
                                    <w:bCs/>
                                    <w:sz w:val="32"/>
                                    <w:szCs w:val="32"/>
                                    <w:u w:val="single"/>
                                    <w:lang w:val="en-GB"/>
                                  </w:rPr>
                                  <w:t>Amit Naik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C38FF" id="Text Box 1" o:spid="_x0000_s1027" type="#_x0000_t202" style="position:absolute;margin-left:36pt;margin-top:27.05pt;width:394.2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" fillcolor="white [3201]" strokeweight=".5pt">
                    <v:textbox>
                      <w:txbxContent>
                        <w:p w14:paraId="7A72EF78" w14:textId="77777777" w:rsidR="00CB244E" w:rsidRPr="000E5CA4" w:rsidRDefault="00CB244E" w:rsidP="00CB244E">
                          <w:pPr>
                            <w:pStyle w:val="NoSpacing"/>
                            <w:rPr>
                              <w:b/>
                              <w:bCs/>
                              <w:sz w:val="32"/>
                              <w:szCs w:val="32"/>
                              <w:u w:val="single"/>
                            </w:rPr>
                          </w:pPr>
                          <w:r>
                            <w:rPr>
                              <w:rFonts w:eastAsiaTheme="minorHAnsi"/>
                              <w:sz w:val="32"/>
                              <w:szCs w:val="32"/>
                              <w:u w:val="single"/>
                              <w:lang w:val="en-GB"/>
                            </w:rPr>
                            <w:t>Module Name</w:t>
                          </w:r>
                          <w:r>
                            <w:rPr>
                              <w:rFonts w:eastAsiaTheme="minorHAnsi"/>
                              <w:b/>
                              <w:bCs/>
                              <w:sz w:val="32"/>
                              <w:szCs w:val="32"/>
                              <w:u w:val="single"/>
                              <w:lang w:val="en-GB"/>
                            </w:rPr>
                            <w:t xml:space="preserve">:       </w:t>
                          </w:r>
                          <w:r>
                            <w:rPr>
                              <w:b/>
                              <w:bCs/>
                              <w:sz w:val="32"/>
                              <w:szCs w:val="32"/>
                              <w:u w:val="single"/>
                            </w:rPr>
                            <w:t>Network and Cybersecurity</w:t>
                          </w:r>
                        </w:p>
                        <w:p w14:paraId="4E250FBC" w14:textId="0456D29C" w:rsidR="00CB244E" w:rsidRDefault="00CB244E" w:rsidP="00CB244E">
                          <w:pPr>
                            <w:pStyle w:val="NoSpacing"/>
                            <w:rPr>
                              <w:rFonts w:eastAsiaTheme="minorHAnsi"/>
                              <w:sz w:val="32"/>
                              <w:szCs w:val="32"/>
                              <w:lang w:val="en-GB"/>
                            </w:rPr>
                          </w:pPr>
                          <w:r>
                            <w:rPr>
                              <w:b/>
                              <w:bCs/>
                              <w:sz w:val="32"/>
                              <w:szCs w:val="32"/>
                            </w:rPr>
                            <w:t xml:space="preserve">                                   </w:t>
                          </w:r>
                          <w:r>
                            <w:rPr>
                              <w:b/>
                              <w:bCs/>
                              <w:sz w:val="32"/>
                              <w:szCs w:val="32"/>
                              <w:u w:val="single"/>
                            </w:rPr>
                            <w:t>Essentials</w:t>
                          </w:r>
                        </w:p>
                        <w:p w14:paraId="2659D026" w14:textId="38CA90E2" w:rsidR="00CB244E" w:rsidRPr="000E5CA4" w:rsidRDefault="00CB244E" w:rsidP="00CB244E">
                          <w:pPr>
                            <w:pStyle w:val="NoSpacing"/>
                            <w:rPr>
                              <w:rFonts w:eastAsiaTheme="minorHAnsi"/>
                              <w:sz w:val="32"/>
                              <w:szCs w:val="32"/>
                              <w:u w:val="single"/>
                              <w:lang w:val="en-GB"/>
                            </w:rPr>
                          </w:pPr>
                          <w:r>
                            <w:rPr>
                              <w:rFonts w:eastAsiaTheme="minorHAnsi"/>
                              <w:sz w:val="32"/>
                              <w:szCs w:val="32"/>
                              <w:u w:val="single"/>
                              <w:lang w:val="en-GB"/>
                            </w:rPr>
                            <w:t xml:space="preserve">Module Code:         </w:t>
                          </w:r>
                          <w:r>
                            <w:rPr>
                              <w:b/>
                              <w:bCs/>
                              <w:sz w:val="32"/>
                              <w:szCs w:val="32"/>
                              <w:u w:val="single"/>
                              <w:lang w:val="en-GB"/>
                            </w:rPr>
                            <w:t xml:space="preserve">ACCA </w:t>
                          </w:r>
                          <w:r>
                            <w:rPr>
                              <w:b/>
                              <w:bCs/>
                              <w:sz w:val="32"/>
                              <w:szCs w:val="32"/>
                              <w:u w:val="single"/>
                            </w:rPr>
                            <w:t>4024</w:t>
                          </w:r>
                          <w:r>
                            <w:rPr>
                              <w:rFonts w:eastAsiaTheme="minorHAnsi"/>
                              <w:sz w:val="32"/>
                              <w:szCs w:val="32"/>
                              <w:lang w:val="en-GB"/>
                            </w:rPr>
                            <w:br/>
                          </w:r>
                          <w:r>
                            <w:rPr>
                              <w:rFonts w:eastAsiaTheme="minorHAnsi"/>
                              <w:sz w:val="32"/>
                              <w:szCs w:val="32"/>
                              <w:u w:val="single"/>
                              <w:lang w:val="en-GB"/>
                            </w:rPr>
                            <w:t>Student Name</w:t>
                          </w:r>
                          <w:r>
                            <w:rPr>
                              <w:rFonts w:eastAsiaTheme="minorHAnsi"/>
                              <w:b/>
                              <w:bCs/>
                              <w:sz w:val="32"/>
                              <w:szCs w:val="32"/>
                              <w:u w:val="single"/>
                              <w:lang w:val="en-GB"/>
                            </w:rPr>
                            <w:t>:       Md Atiqur Rahman</w:t>
                          </w:r>
                          <w:r>
                            <w:rPr>
                              <w:rFonts w:eastAsiaTheme="minorHAnsi"/>
                              <w:sz w:val="32"/>
                              <w:szCs w:val="32"/>
                              <w:lang w:val="en-GB"/>
                            </w:rPr>
                            <w:br/>
                          </w:r>
                          <w:r>
                            <w:rPr>
                              <w:rFonts w:eastAsiaTheme="minorHAnsi"/>
                              <w:sz w:val="32"/>
                              <w:szCs w:val="32"/>
                              <w:u w:val="single"/>
                              <w:lang w:val="en-GB"/>
                            </w:rPr>
                            <w:t xml:space="preserve">Student ID:              </w:t>
                          </w:r>
                          <w:r>
                            <w:rPr>
                              <w:rFonts w:eastAsiaTheme="minorHAnsi"/>
                              <w:b/>
                              <w:bCs/>
                              <w:sz w:val="32"/>
                              <w:szCs w:val="32"/>
                              <w:u w:val="single"/>
                              <w:lang w:val="en-GB"/>
                            </w:rPr>
                            <w:t>2442128</w:t>
                          </w:r>
                          <w:r>
                            <w:rPr>
                              <w:rFonts w:eastAsiaTheme="minorHAnsi"/>
                              <w:sz w:val="32"/>
                              <w:szCs w:val="32"/>
                              <w:lang w:val="en-GB"/>
                            </w:rPr>
                            <w:br/>
                          </w:r>
                          <w:r>
                            <w:rPr>
                              <w:rFonts w:eastAsiaTheme="minorHAnsi"/>
                              <w:sz w:val="32"/>
                              <w:szCs w:val="32"/>
                              <w:u w:val="single"/>
                              <w:lang w:val="en-GB"/>
                            </w:rPr>
                            <w:t xml:space="preserve">Group:                       </w:t>
                          </w:r>
                          <w:r>
                            <w:rPr>
                              <w:rFonts w:eastAsiaTheme="minorHAnsi"/>
                              <w:b/>
                              <w:bCs/>
                              <w:sz w:val="32"/>
                              <w:szCs w:val="32"/>
                              <w:u w:val="single"/>
                              <w:lang w:val="en-GB"/>
                            </w:rPr>
                            <w:t>2</w:t>
                          </w:r>
                        </w:p>
                        <w:p w14:paraId="0A90AF21" w14:textId="09520764" w:rsidR="00CB244E" w:rsidRDefault="00CB244E" w:rsidP="00CB244E">
                          <w:r>
                            <w:rPr>
                              <w:rFonts w:eastAsiaTheme="minorHAnsi"/>
                              <w:sz w:val="32"/>
                              <w:szCs w:val="32"/>
                              <w:u w:val="single"/>
                              <w:lang w:val="en-GB"/>
                            </w:rPr>
                            <w:t xml:space="preserve">Lecturer’s Name:   </w:t>
                          </w:r>
                          <w:r>
                            <w:rPr>
                              <w:rFonts w:eastAsiaTheme="minorHAnsi"/>
                              <w:b/>
                              <w:bCs/>
                              <w:sz w:val="32"/>
                              <w:szCs w:val="32"/>
                              <w:u w:val="single"/>
                              <w:lang w:val="en-GB"/>
                            </w:rPr>
                            <w:t>Amit Naik</w:t>
                          </w:r>
                        </w:p>
                      </w:txbxContent>
                    </v:textbox>
                  </v:shape>
                </w:pict>
              </mc:Fallback>
            </mc:AlternateContent>
          </w:r>
          <w:r>
            <w:br w:type="page"/>
          </w:r>
        </w:p>
      </w:sdtContent>
    </w:sdt>
    <w:p w14:paraId="1F963198" w14:textId="77777777" w:rsidR="004F72DE" w:rsidRDefault="004F72DE">
      <w:pPr>
        <w:spacing w:before="1200"/>
        <w:jc w:val="center"/>
        <w:rPr>
          <w:rFonts w:ascii="Aptos" w:hAnsi="Aptos"/>
          <w:b/>
          <w:color w:val="1F497D"/>
          <w:sz w:val="44"/>
        </w:rPr>
      </w:pPr>
    </w:p>
    <w:p w14:paraId="78F68E0B" w14:textId="77777777" w:rsidR="00616156" w:rsidRDefault="00616156">
      <w:pPr>
        <w:spacing w:before="1200"/>
        <w:jc w:val="center"/>
        <w:rPr>
          <w:rFonts w:ascii="Aptos" w:hAnsi="Aptos"/>
          <w:b/>
          <w:color w:val="1F497D"/>
          <w:sz w:val="44"/>
        </w:rPr>
      </w:pPr>
    </w:p>
    <w:p w14:paraId="7A57D1FA" w14:textId="669B902A" w:rsidR="009C525A" w:rsidRPr="004E76CB" w:rsidRDefault="006D322D">
      <w:pPr>
        <w:spacing w:before="1200"/>
        <w:jc w:val="center"/>
        <w:rPr>
          <w:rFonts w:ascii="Aptos" w:hAnsi="Aptos"/>
        </w:rPr>
      </w:pPr>
      <w:r>
        <w:rPr>
          <w:rFonts w:ascii="Aptos" w:hAnsi="Aptos"/>
          <w:b/>
          <w:color w:val="1F497D"/>
          <w:sz w:val="44"/>
        </w:rPr>
        <w:t>HealthPlus Analytics (HPA)</w:t>
      </w:r>
    </w:p>
    <w:p w14:paraId="161F5C9C" w14:textId="77777777" w:rsidR="009C525A" w:rsidRPr="004E76CB" w:rsidRDefault="006D322D">
      <w:pPr>
        <w:jc w:val="center"/>
        <w:rPr>
          <w:rFonts w:ascii="Aptos" w:hAnsi="Aptos"/>
        </w:rPr>
      </w:pPr>
      <w:r>
        <w:rPr>
          <w:rFonts w:ascii="Aptos" w:hAnsi="Aptos"/>
          <w:b/>
          <w:color w:val="2E74B5"/>
          <w:sz w:val="36"/>
        </w:rPr>
        <w:t>Data Security &amp; Governance Framework</w:t>
      </w:r>
    </w:p>
    <w:p w14:paraId="7A919068" w14:textId="77777777" w:rsidR="009C525A" w:rsidRPr="004E76CB" w:rsidRDefault="006D322D">
      <w:pPr>
        <w:jc w:val="center"/>
        <w:rPr>
          <w:rFonts w:ascii="Aptos" w:hAnsi="Aptos"/>
        </w:rPr>
      </w:pPr>
      <w:r>
        <w:rPr>
          <w:rFonts w:ascii="Aptos" w:hAnsi="Aptos"/>
          <w:i/>
          <w:sz w:val="28"/>
        </w:rPr>
        <w:t>Comprehensive Cybersecurity Report</w:t>
      </w:r>
    </w:p>
    <w:p w14:paraId="3D5DDBA5" w14:textId="77777777" w:rsidR="009C525A" w:rsidRPr="004E76CB" w:rsidRDefault="009C525A">
      <w:pPr>
        <w:rPr>
          <w:rFonts w:ascii="Aptos" w:hAnsi="Aptos"/>
        </w:rPr>
      </w:pPr>
    </w:p>
    <w:p w14:paraId="54C01824" w14:textId="77777777" w:rsidR="009C525A" w:rsidRPr="004E76CB" w:rsidRDefault="009C525A">
      <w:pPr>
        <w:rPr>
          <w:rFonts w:ascii="Aptos" w:hAnsi="Aptos"/>
        </w:rPr>
      </w:pPr>
    </w:p>
    <w:p w14:paraId="118660B9" w14:textId="77777777" w:rsidR="00063A9B" w:rsidRDefault="00063A9B">
      <w:pPr>
        <w:jc w:val="center"/>
        <w:rPr>
          <w:rFonts w:ascii="Aptos" w:hAnsi="Aptos"/>
        </w:rPr>
      </w:pPr>
    </w:p>
    <w:p w14:paraId="7E64265F" w14:textId="77777777" w:rsidR="00063A9B" w:rsidRDefault="00063A9B">
      <w:pPr>
        <w:jc w:val="center"/>
        <w:rPr>
          <w:rFonts w:ascii="Aptos" w:hAnsi="Aptos"/>
        </w:rPr>
      </w:pPr>
    </w:p>
    <w:p w14:paraId="03BC3637" w14:textId="77777777" w:rsidR="00063A9B" w:rsidRDefault="00063A9B">
      <w:pPr>
        <w:jc w:val="center"/>
        <w:rPr>
          <w:rFonts w:ascii="Aptos" w:hAnsi="Aptos"/>
        </w:rPr>
      </w:pPr>
    </w:p>
    <w:p w14:paraId="526A68F9" w14:textId="77777777" w:rsidR="001B32E3" w:rsidRPr="001B32E3" w:rsidRDefault="006D322D">
      <w:pPr>
        <w:jc w:val="center"/>
        <w:rPr>
          <w:rFonts w:ascii="Aptos" w:hAnsi="Aptos"/>
        </w:rPr>
      </w:pPr>
      <w:r w:rsidRPr="001B32E3">
        <w:rPr>
          <w:rFonts w:ascii="Aptos" w:hAnsi="Aptos"/>
        </w:rPr>
        <w:t>Prepared by:</w:t>
      </w:r>
    </w:p>
    <w:p w14:paraId="5F71520D" w14:textId="066100DA" w:rsidR="00063A9B" w:rsidRDefault="006D322D" w:rsidP="001B32E3">
      <w:pPr>
        <w:spacing w:after="0"/>
        <w:jc w:val="center"/>
        <w:rPr>
          <w:rFonts w:ascii="Aptos" w:hAnsi="Aptos"/>
        </w:rPr>
      </w:pPr>
      <w:r>
        <w:rPr>
          <w:rFonts w:ascii="Aptos" w:hAnsi="Aptos"/>
        </w:rPr>
        <w:t xml:space="preserve"> </w:t>
      </w:r>
      <w:r w:rsidR="00063A9B" w:rsidRPr="001B32E3">
        <w:rPr>
          <w:rFonts w:ascii="Aptos" w:hAnsi="Aptos"/>
          <w:b/>
          <w:bCs/>
          <w:sz w:val="28"/>
          <w:szCs w:val="28"/>
        </w:rPr>
        <w:t xml:space="preserve">Md Atiqur </w:t>
      </w:r>
      <w:r w:rsidR="001B32E3" w:rsidRPr="001B32E3">
        <w:rPr>
          <w:rFonts w:ascii="Aptos" w:hAnsi="Aptos"/>
          <w:b/>
          <w:bCs/>
          <w:sz w:val="28"/>
          <w:szCs w:val="28"/>
        </w:rPr>
        <w:t>Rahman</w:t>
      </w:r>
    </w:p>
    <w:p w14:paraId="686AF6B1" w14:textId="5E8996F6" w:rsidR="009C525A" w:rsidRPr="004E76CB" w:rsidRDefault="006D322D" w:rsidP="001B32E3">
      <w:pPr>
        <w:spacing w:after="0"/>
        <w:jc w:val="center"/>
        <w:rPr>
          <w:rFonts w:ascii="Aptos" w:hAnsi="Aptos"/>
        </w:rPr>
      </w:pPr>
      <w:r>
        <w:rPr>
          <w:rFonts w:ascii="Aptos" w:hAnsi="Aptos"/>
        </w:rPr>
        <w:t>IT Security Manager, HealthPlus Analytics</w:t>
      </w:r>
      <w:r>
        <w:rPr>
          <w:rFonts w:ascii="Aptos" w:hAnsi="Aptos"/>
        </w:rPr>
        <w:br/>
        <w:t>Date: April 2026</w:t>
      </w:r>
      <w:r>
        <w:rPr>
          <w:rFonts w:ascii="Aptos" w:hAnsi="Aptos"/>
        </w:rPr>
        <w:br/>
        <w:t>Classification: CONFIDENTIAL</w:t>
      </w:r>
    </w:p>
    <w:p w14:paraId="6A86C76E" w14:textId="77777777" w:rsidR="009C525A" w:rsidRDefault="006D322D">
      <w:pPr>
        <w:rPr>
          <w:rFonts w:ascii="Aptos" w:hAnsi="Aptos"/>
        </w:rPr>
      </w:pPr>
      <w:r>
        <w:rPr>
          <w:rFonts w:ascii="Aptos" w:hAnsi="Aptos"/>
        </w:rPr>
        <w:br w:type="page"/>
      </w:r>
    </w:p>
    <w:sdt>
      <w:sdtPr>
        <w:rPr>
          <w:rFonts w:asciiTheme="minorHAnsi" w:eastAsiaTheme="minorEastAsia" w:hAnsiTheme="minorHAnsi" w:cstheme="minorBidi"/>
          <w:b w:val="0"/>
          <w:bCs w:val="0"/>
          <w:color w:val="auto"/>
          <w:sz w:val="22"/>
          <w:szCs w:val="22"/>
          <w:lang w:val="en-GB"/>
        </w:rPr>
        <w:id w:val="1975794548"/>
        <w:docPartObj>
          <w:docPartGallery w:val="Table of Contents"/>
          <w:docPartUnique/>
        </w:docPartObj>
      </w:sdtPr>
      <w:sdtEndPr>
        <w:rPr>
          <w:lang w:val="en-US"/>
        </w:rPr>
      </w:sdtEndPr>
      <w:sdtContent>
        <w:p w14:paraId="06D5C4E4" w14:textId="4F1D8775" w:rsidR="004E76CB" w:rsidRDefault="004E76CB">
          <w:pPr>
            <w:pStyle w:val="TOCHeading"/>
          </w:pPr>
          <w:r>
            <w:rPr>
              <w:lang w:val="en-GB"/>
            </w:rPr>
            <w:t>Table of Contents</w:t>
          </w:r>
        </w:p>
        <w:p w14:paraId="3F2B14C6" w14:textId="7E3872C8" w:rsidR="00FC2015" w:rsidRDefault="004E76CB">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28152690" w:history="1">
            <w:r w:rsidR="00FC2015" w:rsidRPr="00227CBE">
              <w:rPr>
                <w:rStyle w:val="Hyperlink"/>
                <w:noProof/>
              </w:rPr>
              <w:t>Executive Summary</w:t>
            </w:r>
            <w:r w:rsidR="00FC2015">
              <w:rPr>
                <w:noProof/>
                <w:webHidden/>
              </w:rPr>
              <w:tab/>
            </w:r>
            <w:r w:rsidR="00FC2015">
              <w:rPr>
                <w:noProof/>
                <w:webHidden/>
              </w:rPr>
              <w:fldChar w:fldCharType="begin"/>
            </w:r>
            <w:r w:rsidR="00FC2015">
              <w:rPr>
                <w:noProof/>
                <w:webHidden/>
              </w:rPr>
              <w:instrText xml:space="preserve"> PAGEREF _Toc228152690 \h </w:instrText>
            </w:r>
            <w:r w:rsidR="00FC2015">
              <w:rPr>
                <w:noProof/>
                <w:webHidden/>
              </w:rPr>
            </w:r>
            <w:r w:rsidR="00FC2015">
              <w:rPr>
                <w:noProof/>
                <w:webHidden/>
              </w:rPr>
              <w:fldChar w:fldCharType="separate"/>
            </w:r>
            <w:r w:rsidR="00FC2015">
              <w:rPr>
                <w:noProof/>
                <w:webHidden/>
              </w:rPr>
              <w:t>3</w:t>
            </w:r>
            <w:r w:rsidR="00FC2015">
              <w:rPr>
                <w:noProof/>
                <w:webHidden/>
              </w:rPr>
              <w:fldChar w:fldCharType="end"/>
            </w:r>
          </w:hyperlink>
        </w:p>
        <w:p w14:paraId="72C8CB1D" w14:textId="2CB11F4B" w:rsidR="00FC2015" w:rsidRDefault="00FC2015">
          <w:pPr>
            <w:pStyle w:val="TOC1"/>
            <w:tabs>
              <w:tab w:val="right" w:leader="dot" w:pos="8630"/>
            </w:tabs>
            <w:rPr>
              <w:noProof/>
              <w:kern w:val="2"/>
              <w:sz w:val="24"/>
              <w:szCs w:val="24"/>
              <w:lang w:val="en-GB" w:eastAsia="en-GB"/>
              <w14:ligatures w14:val="standardContextual"/>
            </w:rPr>
          </w:pPr>
          <w:hyperlink w:anchor="_Toc228152691" w:history="1">
            <w:r w:rsidRPr="00227CBE">
              <w:rPr>
                <w:rStyle w:val="Hyperlink"/>
                <w:rFonts w:ascii="Aptos" w:hAnsi="Aptos"/>
                <w:noProof/>
              </w:rPr>
              <w:t>1. Background &amp; Scope</w:t>
            </w:r>
            <w:r>
              <w:rPr>
                <w:noProof/>
                <w:webHidden/>
              </w:rPr>
              <w:tab/>
            </w:r>
            <w:r>
              <w:rPr>
                <w:noProof/>
                <w:webHidden/>
              </w:rPr>
              <w:fldChar w:fldCharType="begin"/>
            </w:r>
            <w:r>
              <w:rPr>
                <w:noProof/>
                <w:webHidden/>
              </w:rPr>
              <w:instrText xml:space="preserve"> PAGEREF _Toc228152691 \h </w:instrText>
            </w:r>
            <w:r>
              <w:rPr>
                <w:noProof/>
                <w:webHidden/>
              </w:rPr>
            </w:r>
            <w:r>
              <w:rPr>
                <w:noProof/>
                <w:webHidden/>
              </w:rPr>
              <w:fldChar w:fldCharType="separate"/>
            </w:r>
            <w:r>
              <w:rPr>
                <w:noProof/>
                <w:webHidden/>
              </w:rPr>
              <w:t>4</w:t>
            </w:r>
            <w:r>
              <w:rPr>
                <w:noProof/>
                <w:webHidden/>
              </w:rPr>
              <w:fldChar w:fldCharType="end"/>
            </w:r>
          </w:hyperlink>
        </w:p>
        <w:p w14:paraId="1C2519EA" w14:textId="7DC5227C" w:rsidR="00FC2015" w:rsidRDefault="00FC2015">
          <w:pPr>
            <w:pStyle w:val="TOC2"/>
            <w:tabs>
              <w:tab w:val="right" w:leader="dot" w:pos="8630"/>
            </w:tabs>
            <w:rPr>
              <w:noProof/>
              <w:kern w:val="2"/>
              <w:sz w:val="24"/>
              <w:szCs w:val="24"/>
              <w:lang w:val="en-GB" w:eastAsia="en-GB"/>
              <w14:ligatures w14:val="standardContextual"/>
            </w:rPr>
          </w:pPr>
          <w:hyperlink w:anchor="_Toc228152692" w:history="1">
            <w:r w:rsidRPr="00227CBE">
              <w:rPr>
                <w:rStyle w:val="Hyperlink"/>
                <w:rFonts w:ascii="Aptos" w:hAnsi="Aptos"/>
                <w:noProof/>
              </w:rPr>
              <w:t>Regulatory Context</w:t>
            </w:r>
            <w:r>
              <w:rPr>
                <w:noProof/>
                <w:webHidden/>
              </w:rPr>
              <w:tab/>
            </w:r>
            <w:r>
              <w:rPr>
                <w:noProof/>
                <w:webHidden/>
              </w:rPr>
              <w:fldChar w:fldCharType="begin"/>
            </w:r>
            <w:r>
              <w:rPr>
                <w:noProof/>
                <w:webHidden/>
              </w:rPr>
              <w:instrText xml:space="preserve"> PAGEREF _Toc228152692 \h </w:instrText>
            </w:r>
            <w:r>
              <w:rPr>
                <w:noProof/>
                <w:webHidden/>
              </w:rPr>
            </w:r>
            <w:r>
              <w:rPr>
                <w:noProof/>
                <w:webHidden/>
              </w:rPr>
              <w:fldChar w:fldCharType="separate"/>
            </w:r>
            <w:r>
              <w:rPr>
                <w:noProof/>
                <w:webHidden/>
              </w:rPr>
              <w:t>4</w:t>
            </w:r>
            <w:r>
              <w:rPr>
                <w:noProof/>
                <w:webHidden/>
              </w:rPr>
              <w:fldChar w:fldCharType="end"/>
            </w:r>
          </w:hyperlink>
        </w:p>
        <w:p w14:paraId="565FDB95" w14:textId="4EBD0E58" w:rsidR="00FC2015" w:rsidRDefault="00FC2015">
          <w:pPr>
            <w:pStyle w:val="TOC1"/>
            <w:tabs>
              <w:tab w:val="right" w:leader="dot" w:pos="8630"/>
            </w:tabs>
            <w:rPr>
              <w:noProof/>
              <w:kern w:val="2"/>
              <w:sz w:val="24"/>
              <w:szCs w:val="24"/>
              <w:lang w:val="en-GB" w:eastAsia="en-GB"/>
              <w14:ligatures w14:val="standardContextual"/>
            </w:rPr>
          </w:pPr>
          <w:hyperlink w:anchor="_Toc228152693" w:history="1">
            <w:r w:rsidRPr="00227CBE">
              <w:rPr>
                <w:rStyle w:val="Hyperlink"/>
                <w:rFonts w:ascii="Aptos" w:hAnsi="Aptos"/>
                <w:noProof/>
              </w:rPr>
              <w:t>2. Threat Identification</w:t>
            </w:r>
            <w:r>
              <w:rPr>
                <w:noProof/>
                <w:webHidden/>
              </w:rPr>
              <w:tab/>
            </w:r>
            <w:r>
              <w:rPr>
                <w:noProof/>
                <w:webHidden/>
              </w:rPr>
              <w:fldChar w:fldCharType="begin"/>
            </w:r>
            <w:r>
              <w:rPr>
                <w:noProof/>
                <w:webHidden/>
              </w:rPr>
              <w:instrText xml:space="preserve"> PAGEREF _Toc228152693 \h </w:instrText>
            </w:r>
            <w:r>
              <w:rPr>
                <w:noProof/>
                <w:webHidden/>
              </w:rPr>
            </w:r>
            <w:r>
              <w:rPr>
                <w:noProof/>
                <w:webHidden/>
              </w:rPr>
              <w:fldChar w:fldCharType="separate"/>
            </w:r>
            <w:r>
              <w:rPr>
                <w:noProof/>
                <w:webHidden/>
              </w:rPr>
              <w:t>5</w:t>
            </w:r>
            <w:r>
              <w:rPr>
                <w:noProof/>
                <w:webHidden/>
              </w:rPr>
              <w:fldChar w:fldCharType="end"/>
            </w:r>
          </w:hyperlink>
        </w:p>
        <w:p w14:paraId="3677B819" w14:textId="2710CD24" w:rsidR="00FC2015" w:rsidRDefault="00FC2015">
          <w:pPr>
            <w:pStyle w:val="TOC2"/>
            <w:tabs>
              <w:tab w:val="right" w:leader="dot" w:pos="8630"/>
            </w:tabs>
            <w:rPr>
              <w:noProof/>
              <w:kern w:val="2"/>
              <w:sz w:val="24"/>
              <w:szCs w:val="24"/>
              <w:lang w:val="en-GB" w:eastAsia="en-GB"/>
              <w14:ligatures w14:val="standardContextual"/>
            </w:rPr>
          </w:pPr>
          <w:hyperlink w:anchor="_Toc228152694" w:history="1">
            <w:r w:rsidRPr="00227CBE">
              <w:rPr>
                <w:rStyle w:val="Hyperlink"/>
                <w:rFonts w:ascii="Aptos" w:hAnsi="Aptos"/>
                <w:noProof/>
              </w:rPr>
              <w:t>2.1 External Threats</w:t>
            </w:r>
            <w:r>
              <w:rPr>
                <w:noProof/>
                <w:webHidden/>
              </w:rPr>
              <w:tab/>
            </w:r>
            <w:r>
              <w:rPr>
                <w:noProof/>
                <w:webHidden/>
              </w:rPr>
              <w:fldChar w:fldCharType="begin"/>
            </w:r>
            <w:r>
              <w:rPr>
                <w:noProof/>
                <w:webHidden/>
              </w:rPr>
              <w:instrText xml:space="preserve"> PAGEREF _Toc228152694 \h </w:instrText>
            </w:r>
            <w:r>
              <w:rPr>
                <w:noProof/>
                <w:webHidden/>
              </w:rPr>
            </w:r>
            <w:r>
              <w:rPr>
                <w:noProof/>
                <w:webHidden/>
              </w:rPr>
              <w:fldChar w:fldCharType="separate"/>
            </w:r>
            <w:r>
              <w:rPr>
                <w:noProof/>
                <w:webHidden/>
              </w:rPr>
              <w:t>5</w:t>
            </w:r>
            <w:r>
              <w:rPr>
                <w:noProof/>
                <w:webHidden/>
              </w:rPr>
              <w:fldChar w:fldCharType="end"/>
            </w:r>
          </w:hyperlink>
        </w:p>
        <w:p w14:paraId="29DE702C" w14:textId="2C85E46F" w:rsidR="00FC2015" w:rsidRDefault="00FC2015">
          <w:pPr>
            <w:pStyle w:val="TOC2"/>
            <w:tabs>
              <w:tab w:val="right" w:leader="dot" w:pos="8630"/>
            </w:tabs>
            <w:rPr>
              <w:noProof/>
              <w:kern w:val="2"/>
              <w:sz w:val="24"/>
              <w:szCs w:val="24"/>
              <w:lang w:val="en-GB" w:eastAsia="en-GB"/>
              <w14:ligatures w14:val="standardContextual"/>
            </w:rPr>
          </w:pPr>
          <w:hyperlink w:anchor="_Toc228152695" w:history="1">
            <w:r w:rsidRPr="00227CBE">
              <w:rPr>
                <w:rStyle w:val="Hyperlink"/>
                <w:rFonts w:ascii="Aptos" w:hAnsi="Aptos"/>
                <w:noProof/>
              </w:rPr>
              <w:t>2.2 Internal Threats</w:t>
            </w:r>
            <w:r>
              <w:rPr>
                <w:noProof/>
                <w:webHidden/>
              </w:rPr>
              <w:tab/>
            </w:r>
            <w:r>
              <w:rPr>
                <w:noProof/>
                <w:webHidden/>
              </w:rPr>
              <w:fldChar w:fldCharType="begin"/>
            </w:r>
            <w:r>
              <w:rPr>
                <w:noProof/>
                <w:webHidden/>
              </w:rPr>
              <w:instrText xml:space="preserve"> PAGEREF _Toc228152695 \h </w:instrText>
            </w:r>
            <w:r>
              <w:rPr>
                <w:noProof/>
                <w:webHidden/>
              </w:rPr>
            </w:r>
            <w:r>
              <w:rPr>
                <w:noProof/>
                <w:webHidden/>
              </w:rPr>
              <w:fldChar w:fldCharType="separate"/>
            </w:r>
            <w:r>
              <w:rPr>
                <w:noProof/>
                <w:webHidden/>
              </w:rPr>
              <w:t>5</w:t>
            </w:r>
            <w:r>
              <w:rPr>
                <w:noProof/>
                <w:webHidden/>
              </w:rPr>
              <w:fldChar w:fldCharType="end"/>
            </w:r>
          </w:hyperlink>
        </w:p>
        <w:p w14:paraId="558220B3" w14:textId="3BAE7A95" w:rsidR="00FC2015" w:rsidRDefault="00FC2015">
          <w:pPr>
            <w:pStyle w:val="TOC1"/>
            <w:tabs>
              <w:tab w:val="right" w:leader="dot" w:pos="8630"/>
            </w:tabs>
            <w:rPr>
              <w:noProof/>
              <w:kern w:val="2"/>
              <w:sz w:val="24"/>
              <w:szCs w:val="24"/>
              <w:lang w:val="en-GB" w:eastAsia="en-GB"/>
              <w14:ligatures w14:val="standardContextual"/>
            </w:rPr>
          </w:pPr>
          <w:hyperlink w:anchor="_Toc228152696" w:history="1">
            <w:r w:rsidRPr="00227CBE">
              <w:rPr>
                <w:rStyle w:val="Hyperlink"/>
                <w:rFonts w:ascii="Aptos" w:hAnsi="Aptos"/>
                <w:noProof/>
              </w:rPr>
              <w:t>3. Security Policies</w:t>
            </w:r>
            <w:r>
              <w:rPr>
                <w:noProof/>
                <w:webHidden/>
              </w:rPr>
              <w:tab/>
            </w:r>
            <w:r>
              <w:rPr>
                <w:noProof/>
                <w:webHidden/>
              </w:rPr>
              <w:fldChar w:fldCharType="begin"/>
            </w:r>
            <w:r>
              <w:rPr>
                <w:noProof/>
                <w:webHidden/>
              </w:rPr>
              <w:instrText xml:space="preserve"> PAGEREF _Toc228152696 \h </w:instrText>
            </w:r>
            <w:r>
              <w:rPr>
                <w:noProof/>
                <w:webHidden/>
              </w:rPr>
            </w:r>
            <w:r>
              <w:rPr>
                <w:noProof/>
                <w:webHidden/>
              </w:rPr>
              <w:fldChar w:fldCharType="separate"/>
            </w:r>
            <w:r>
              <w:rPr>
                <w:noProof/>
                <w:webHidden/>
              </w:rPr>
              <w:t>6</w:t>
            </w:r>
            <w:r>
              <w:rPr>
                <w:noProof/>
                <w:webHidden/>
              </w:rPr>
              <w:fldChar w:fldCharType="end"/>
            </w:r>
          </w:hyperlink>
        </w:p>
        <w:p w14:paraId="7C2D4F43" w14:textId="613004D8" w:rsidR="00FC2015" w:rsidRDefault="00FC2015">
          <w:pPr>
            <w:pStyle w:val="TOC2"/>
            <w:tabs>
              <w:tab w:val="right" w:leader="dot" w:pos="8630"/>
            </w:tabs>
            <w:rPr>
              <w:noProof/>
              <w:kern w:val="2"/>
              <w:sz w:val="24"/>
              <w:szCs w:val="24"/>
              <w:lang w:val="en-GB" w:eastAsia="en-GB"/>
              <w14:ligatures w14:val="standardContextual"/>
            </w:rPr>
          </w:pPr>
          <w:hyperlink w:anchor="_Toc228152697" w:history="1">
            <w:r w:rsidRPr="00227CBE">
              <w:rPr>
                <w:rStyle w:val="Hyperlink"/>
                <w:rFonts w:ascii="Aptos" w:hAnsi="Aptos"/>
                <w:noProof/>
              </w:rPr>
              <w:t>3.1 Information Security Policy</w:t>
            </w:r>
            <w:r>
              <w:rPr>
                <w:noProof/>
                <w:webHidden/>
              </w:rPr>
              <w:tab/>
            </w:r>
            <w:r>
              <w:rPr>
                <w:noProof/>
                <w:webHidden/>
              </w:rPr>
              <w:fldChar w:fldCharType="begin"/>
            </w:r>
            <w:r>
              <w:rPr>
                <w:noProof/>
                <w:webHidden/>
              </w:rPr>
              <w:instrText xml:space="preserve"> PAGEREF _Toc228152697 \h </w:instrText>
            </w:r>
            <w:r>
              <w:rPr>
                <w:noProof/>
                <w:webHidden/>
              </w:rPr>
            </w:r>
            <w:r>
              <w:rPr>
                <w:noProof/>
                <w:webHidden/>
              </w:rPr>
              <w:fldChar w:fldCharType="separate"/>
            </w:r>
            <w:r>
              <w:rPr>
                <w:noProof/>
                <w:webHidden/>
              </w:rPr>
              <w:t>6</w:t>
            </w:r>
            <w:r>
              <w:rPr>
                <w:noProof/>
                <w:webHidden/>
              </w:rPr>
              <w:fldChar w:fldCharType="end"/>
            </w:r>
          </w:hyperlink>
        </w:p>
        <w:p w14:paraId="7146AE2E" w14:textId="6EB3C1E9" w:rsidR="00FC2015" w:rsidRDefault="00FC2015">
          <w:pPr>
            <w:pStyle w:val="TOC2"/>
            <w:tabs>
              <w:tab w:val="right" w:leader="dot" w:pos="8630"/>
            </w:tabs>
            <w:rPr>
              <w:noProof/>
              <w:kern w:val="2"/>
              <w:sz w:val="24"/>
              <w:szCs w:val="24"/>
              <w:lang w:val="en-GB" w:eastAsia="en-GB"/>
              <w14:ligatures w14:val="standardContextual"/>
            </w:rPr>
          </w:pPr>
          <w:hyperlink w:anchor="_Toc228152698" w:history="1">
            <w:r w:rsidRPr="00227CBE">
              <w:rPr>
                <w:rStyle w:val="Hyperlink"/>
                <w:rFonts w:ascii="Aptos" w:hAnsi="Aptos"/>
                <w:noProof/>
              </w:rPr>
              <w:t>3.2 Access Control &amp; Identity Management Policy</w:t>
            </w:r>
            <w:r>
              <w:rPr>
                <w:noProof/>
                <w:webHidden/>
              </w:rPr>
              <w:tab/>
            </w:r>
            <w:r>
              <w:rPr>
                <w:noProof/>
                <w:webHidden/>
              </w:rPr>
              <w:fldChar w:fldCharType="begin"/>
            </w:r>
            <w:r>
              <w:rPr>
                <w:noProof/>
                <w:webHidden/>
              </w:rPr>
              <w:instrText xml:space="preserve"> PAGEREF _Toc228152698 \h </w:instrText>
            </w:r>
            <w:r>
              <w:rPr>
                <w:noProof/>
                <w:webHidden/>
              </w:rPr>
            </w:r>
            <w:r>
              <w:rPr>
                <w:noProof/>
                <w:webHidden/>
              </w:rPr>
              <w:fldChar w:fldCharType="separate"/>
            </w:r>
            <w:r>
              <w:rPr>
                <w:noProof/>
                <w:webHidden/>
              </w:rPr>
              <w:t>6</w:t>
            </w:r>
            <w:r>
              <w:rPr>
                <w:noProof/>
                <w:webHidden/>
              </w:rPr>
              <w:fldChar w:fldCharType="end"/>
            </w:r>
          </w:hyperlink>
        </w:p>
        <w:p w14:paraId="3F9509D4" w14:textId="37A344FF" w:rsidR="00FC2015" w:rsidRDefault="00FC2015">
          <w:pPr>
            <w:pStyle w:val="TOC2"/>
            <w:tabs>
              <w:tab w:val="right" w:leader="dot" w:pos="8630"/>
            </w:tabs>
            <w:rPr>
              <w:noProof/>
              <w:kern w:val="2"/>
              <w:sz w:val="24"/>
              <w:szCs w:val="24"/>
              <w:lang w:val="en-GB" w:eastAsia="en-GB"/>
              <w14:ligatures w14:val="standardContextual"/>
            </w:rPr>
          </w:pPr>
          <w:hyperlink w:anchor="_Toc228152699" w:history="1">
            <w:r w:rsidRPr="00227CBE">
              <w:rPr>
                <w:rStyle w:val="Hyperlink"/>
                <w:rFonts w:ascii="Aptos" w:hAnsi="Aptos"/>
                <w:noProof/>
              </w:rPr>
              <w:t>3.3 Data Classification &amp; Handling Policy</w:t>
            </w:r>
            <w:r>
              <w:rPr>
                <w:noProof/>
                <w:webHidden/>
              </w:rPr>
              <w:tab/>
            </w:r>
            <w:r>
              <w:rPr>
                <w:noProof/>
                <w:webHidden/>
              </w:rPr>
              <w:fldChar w:fldCharType="begin"/>
            </w:r>
            <w:r>
              <w:rPr>
                <w:noProof/>
                <w:webHidden/>
              </w:rPr>
              <w:instrText xml:space="preserve"> PAGEREF _Toc228152699 \h </w:instrText>
            </w:r>
            <w:r>
              <w:rPr>
                <w:noProof/>
                <w:webHidden/>
              </w:rPr>
            </w:r>
            <w:r>
              <w:rPr>
                <w:noProof/>
                <w:webHidden/>
              </w:rPr>
              <w:fldChar w:fldCharType="separate"/>
            </w:r>
            <w:r>
              <w:rPr>
                <w:noProof/>
                <w:webHidden/>
              </w:rPr>
              <w:t>6</w:t>
            </w:r>
            <w:r>
              <w:rPr>
                <w:noProof/>
                <w:webHidden/>
              </w:rPr>
              <w:fldChar w:fldCharType="end"/>
            </w:r>
          </w:hyperlink>
        </w:p>
        <w:p w14:paraId="53A6F23D" w14:textId="04CC80D5" w:rsidR="00FC2015" w:rsidRDefault="00FC2015">
          <w:pPr>
            <w:pStyle w:val="TOC2"/>
            <w:tabs>
              <w:tab w:val="right" w:leader="dot" w:pos="8630"/>
            </w:tabs>
            <w:rPr>
              <w:noProof/>
              <w:kern w:val="2"/>
              <w:sz w:val="24"/>
              <w:szCs w:val="24"/>
              <w:lang w:val="en-GB" w:eastAsia="en-GB"/>
              <w14:ligatures w14:val="standardContextual"/>
            </w:rPr>
          </w:pPr>
          <w:hyperlink w:anchor="_Toc228152700" w:history="1">
            <w:r w:rsidRPr="00227CBE">
              <w:rPr>
                <w:rStyle w:val="Hyperlink"/>
                <w:rFonts w:ascii="Aptos" w:hAnsi="Aptos"/>
                <w:noProof/>
              </w:rPr>
              <w:t>3.4 Acceptable Use &amp; BYOD Policy</w:t>
            </w:r>
            <w:r>
              <w:rPr>
                <w:noProof/>
                <w:webHidden/>
              </w:rPr>
              <w:tab/>
            </w:r>
            <w:r>
              <w:rPr>
                <w:noProof/>
                <w:webHidden/>
              </w:rPr>
              <w:fldChar w:fldCharType="begin"/>
            </w:r>
            <w:r>
              <w:rPr>
                <w:noProof/>
                <w:webHidden/>
              </w:rPr>
              <w:instrText xml:space="preserve"> PAGEREF _Toc228152700 \h </w:instrText>
            </w:r>
            <w:r>
              <w:rPr>
                <w:noProof/>
                <w:webHidden/>
              </w:rPr>
            </w:r>
            <w:r>
              <w:rPr>
                <w:noProof/>
                <w:webHidden/>
              </w:rPr>
              <w:fldChar w:fldCharType="separate"/>
            </w:r>
            <w:r>
              <w:rPr>
                <w:noProof/>
                <w:webHidden/>
              </w:rPr>
              <w:t>6</w:t>
            </w:r>
            <w:r>
              <w:rPr>
                <w:noProof/>
                <w:webHidden/>
              </w:rPr>
              <w:fldChar w:fldCharType="end"/>
            </w:r>
          </w:hyperlink>
        </w:p>
        <w:p w14:paraId="46A80166" w14:textId="5857CFB2" w:rsidR="00FC2015" w:rsidRDefault="00FC2015">
          <w:pPr>
            <w:pStyle w:val="TOC2"/>
            <w:tabs>
              <w:tab w:val="right" w:leader="dot" w:pos="8630"/>
            </w:tabs>
            <w:rPr>
              <w:noProof/>
              <w:kern w:val="2"/>
              <w:sz w:val="24"/>
              <w:szCs w:val="24"/>
              <w:lang w:val="en-GB" w:eastAsia="en-GB"/>
              <w14:ligatures w14:val="standardContextual"/>
            </w:rPr>
          </w:pPr>
          <w:hyperlink w:anchor="_Toc228152701" w:history="1">
            <w:r w:rsidRPr="00227CBE">
              <w:rPr>
                <w:rStyle w:val="Hyperlink"/>
                <w:rFonts w:ascii="Aptos" w:hAnsi="Aptos"/>
                <w:noProof/>
              </w:rPr>
              <w:t>3.5 Patch Management Policy</w:t>
            </w:r>
            <w:r>
              <w:rPr>
                <w:noProof/>
                <w:webHidden/>
              </w:rPr>
              <w:tab/>
            </w:r>
            <w:r>
              <w:rPr>
                <w:noProof/>
                <w:webHidden/>
              </w:rPr>
              <w:fldChar w:fldCharType="begin"/>
            </w:r>
            <w:r>
              <w:rPr>
                <w:noProof/>
                <w:webHidden/>
              </w:rPr>
              <w:instrText xml:space="preserve"> PAGEREF _Toc228152701 \h </w:instrText>
            </w:r>
            <w:r>
              <w:rPr>
                <w:noProof/>
                <w:webHidden/>
              </w:rPr>
            </w:r>
            <w:r>
              <w:rPr>
                <w:noProof/>
                <w:webHidden/>
              </w:rPr>
              <w:fldChar w:fldCharType="separate"/>
            </w:r>
            <w:r>
              <w:rPr>
                <w:noProof/>
                <w:webHidden/>
              </w:rPr>
              <w:t>7</w:t>
            </w:r>
            <w:r>
              <w:rPr>
                <w:noProof/>
                <w:webHidden/>
              </w:rPr>
              <w:fldChar w:fldCharType="end"/>
            </w:r>
          </w:hyperlink>
        </w:p>
        <w:p w14:paraId="364A8DD5" w14:textId="7A3543BC" w:rsidR="00FC2015" w:rsidRDefault="00FC2015">
          <w:pPr>
            <w:pStyle w:val="TOC2"/>
            <w:tabs>
              <w:tab w:val="right" w:leader="dot" w:pos="8630"/>
            </w:tabs>
            <w:rPr>
              <w:noProof/>
              <w:kern w:val="2"/>
              <w:sz w:val="24"/>
              <w:szCs w:val="24"/>
              <w:lang w:val="en-GB" w:eastAsia="en-GB"/>
              <w14:ligatures w14:val="standardContextual"/>
            </w:rPr>
          </w:pPr>
          <w:hyperlink w:anchor="_Toc228152702" w:history="1">
            <w:r w:rsidRPr="00227CBE">
              <w:rPr>
                <w:rStyle w:val="Hyperlink"/>
                <w:rFonts w:ascii="Aptos" w:hAnsi="Aptos"/>
                <w:noProof/>
              </w:rPr>
              <w:t>3.6 Incident Response Policy</w:t>
            </w:r>
            <w:r>
              <w:rPr>
                <w:noProof/>
                <w:webHidden/>
              </w:rPr>
              <w:tab/>
            </w:r>
            <w:r>
              <w:rPr>
                <w:noProof/>
                <w:webHidden/>
              </w:rPr>
              <w:fldChar w:fldCharType="begin"/>
            </w:r>
            <w:r>
              <w:rPr>
                <w:noProof/>
                <w:webHidden/>
              </w:rPr>
              <w:instrText xml:space="preserve"> PAGEREF _Toc228152702 \h </w:instrText>
            </w:r>
            <w:r>
              <w:rPr>
                <w:noProof/>
                <w:webHidden/>
              </w:rPr>
            </w:r>
            <w:r>
              <w:rPr>
                <w:noProof/>
                <w:webHidden/>
              </w:rPr>
              <w:fldChar w:fldCharType="separate"/>
            </w:r>
            <w:r>
              <w:rPr>
                <w:noProof/>
                <w:webHidden/>
              </w:rPr>
              <w:t>7</w:t>
            </w:r>
            <w:r>
              <w:rPr>
                <w:noProof/>
                <w:webHidden/>
              </w:rPr>
              <w:fldChar w:fldCharType="end"/>
            </w:r>
          </w:hyperlink>
        </w:p>
        <w:p w14:paraId="652FEDCF" w14:textId="5A2D4881" w:rsidR="00FC2015" w:rsidRDefault="00FC2015">
          <w:pPr>
            <w:pStyle w:val="TOC2"/>
            <w:tabs>
              <w:tab w:val="right" w:leader="dot" w:pos="8630"/>
            </w:tabs>
            <w:rPr>
              <w:noProof/>
              <w:kern w:val="2"/>
              <w:sz w:val="24"/>
              <w:szCs w:val="24"/>
              <w:lang w:val="en-GB" w:eastAsia="en-GB"/>
              <w14:ligatures w14:val="standardContextual"/>
            </w:rPr>
          </w:pPr>
          <w:hyperlink w:anchor="_Toc228152703" w:history="1">
            <w:r w:rsidRPr="00227CBE">
              <w:rPr>
                <w:rStyle w:val="Hyperlink"/>
                <w:rFonts w:ascii="Aptos" w:hAnsi="Aptos"/>
                <w:noProof/>
              </w:rPr>
              <w:t>3.7 Third-Party &amp; Supplier Security Policy</w:t>
            </w:r>
            <w:r>
              <w:rPr>
                <w:noProof/>
                <w:webHidden/>
              </w:rPr>
              <w:tab/>
            </w:r>
            <w:r>
              <w:rPr>
                <w:noProof/>
                <w:webHidden/>
              </w:rPr>
              <w:fldChar w:fldCharType="begin"/>
            </w:r>
            <w:r>
              <w:rPr>
                <w:noProof/>
                <w:webHidden/>
              </w:rPr>
              <w:instrText xml:space="preserve"> PAGEREF _Toc228152703 \h </w:instrText>
            </w:r>
            <w:r>
              <w:rPr>
                <w:noProof/>
                <w:webHidden/>
              </w:rPr>
            </w:r>
            <w:r>
              <w:rPr>
                <w:noProof/>
                <w:webHidden/>
              </w:rPr>
              <w:fldChar w:fldCharType="separate"/>
            </w:r>
            <w:r>
              <w:rPr>
                <w:noProof/>
                <w:webHidden/>
              </w:rPr>
              <w:t>7</w:t>
            </w:r>
            <w:r>
              <w:rPr>
                <w:noProof/>
                <w:webHidden/>
              </w:rPr>
              <w:fldChar w:fldCharType="end"/>
            </w:r>
          </w:hyperlink>
        </w:p>
        <w:p w14:paraId="7AC2F856" w14:textId="2FF1EE1C" w:rsidR="00FC2015" w:rsidRDefault="00FC2015">
          <w:pPr>
            <w:pStyle w:val="TOC1"/>
            <w:tabs>
              <w:tab w:val="right" w:leader="dot" w:pos="8630"/>
            </w:tabs>
            <w:rPr>
              <w:noProof/>
              <w:kern w:val="2"/>
              <w:sz w:val="24"/>
              <w:szCs w:val="24"/>
              <w:lang w:val="en-GB" w:eastAsia="en-GB"/>
              <w14:ligatures w14:val="standardContextual"/>
            </w:rPr>
          </w:pPr>
          <w:hyperlink w:anchor="_Toc228152704" w:history="1">
            <w:r w:rsidRPr="00227CBE">
              <w:rPr>
                <w:rStyle w:val="Hyperlink"/>
                <w:rFonts w:ascii="Aptos" w:hAnsi="Aptos"/>
                <w:noProof/>
              </w:rPr>
              <w:t>4. Mitigation Measures</w:t>
            </w:r>
            <w:r>
              <w:rPr>
                <w:noProof/>
                <w:webHidden/>
              </w:rPr>
              <w:tab/>
            </w:r>
            <w:r>
              <w:rPr>
                <w:noProof/>
                <w:webHidden/>
              </w:rPr>
              <w:fldChar w:fldCharType="begin"/>
            </w:r>
            <w:r>
              <w:rPr>
                <w:noProof/>
                <w:webHidden/>
              </w:rPr>
              <w:instrText xml:space="preserve"> PAGEREF _Toc228152704 \h </w:instrText>
            </w:r>
            <w:r>
              <w:rPr>
                <w:noProof/>
                <w:webHidden/>
              </w:rPr>
            </w:r>
            <w:r>
              <w:rPr>
                <w:noProof/>
                <w:webHidden/>
              </w:rPr>
              <w:fldChar w:fldCharType="separate"/>
            </w:r>
            <w:r>
              <w:rPr>
                <w:noProof/>
                <w:webHidden/>
              </w:rPr>
              <w:t>8</w:t>
            </w:r>
            <w:r>
              <w:rPr>
                <w:noProof/>
                <w:webHidden/>
              </w:rPr>
              <w:fldChar w:fldCharType="end"/>
            </w:r>
          </w:hyperlink>
        </w:p>
        <w:p w14:paraId="24BDE8CA" w14:textId="46F65535" w:rsidR="00FC2015" w:rsidRDefault="00FC2015">
          <w:pPr>
            <w:pStyle w:val="TOC2"/>
            <w:tabs>
              <w:tab w:val="right" w:leader="dot" w:pos="8630"/>
            </w:tabs>
            <w:rPr>
              <w:noProof/>
              <w:kern w:val="2"/>
              <w:sz w:val="24"/>
              <w:szCs w:val="24"/>
              <w:lang w:val="en-GB" w:eastAsia="en-GB"/>
              <w14:ligatures w14:val="standardContextual"/>
            </w:rPr>
          </w:pPr>
          <w:hyperlink w:anchor="_Toc228152705" w:history="1">
            <w:r w:rsidRPr="00227CBE">
              <w:rPr>
                <w:rStyle w:val="Hyperlink"/>
                <w:rFonts w:ascii="Aptos" w:hAnsi="Aptos"/>
                <w:noProof/>
              </w:rPr>
              <w:t>4.1 Technical Controls</w:t>
            </w:r>
            <w:r>
              <w:rPr>
                <w:noProof/>
                <w:webHidden/>
              </w:rPr>
              <w:tab/>
            </w:r>
            <w:r>
              <w:rPr>
                <w:noProof/>
                <w:webHidden/>
              </w:rPr>
              <w:fldChar w:fldCharType="begin"/>
            </w:r>
            <w:r>
              <w:rPr>
                <w:noProof/>
                <w:webHidden/>
              </w:rPr>
              <w:instrText xml:space="preserve"> PAGEREF _Toc228152705 \h </w:instrText>
            </w:r>
            <w:r>
              <w:rPr>
                <w:noProof/>
                <w:webHidden/>
              </w:rPr>
            </w:r>
            <w:r>
              <w:rPr>
                <w:noProof/>
                <w:webHidden/>
              </w:rPr>
              <w:fldChar w:fldCharType="separate"/>
            </w:r>
            <w:r>
              <w:rPr>
                <w:noProof/>
                <w:webHidden/>
              </w:rPr>
              <w:t>8</w:t>
            </w:r>
            <w:r>
              <w:rPr>
                <w:noProof/>
                <w:webHidden/>
              </w:rPr>
              <w:fldChar w:fldCharType="end"/>
            </w:r>
          </w:hyperlink>
        </w:p>
        <w:p w14:paraId="24985671" w14:textId="0826182B" w:rsidR="00FC2015" w:rsidRDefault="00FC2015">
          <w:pPr>
            <w:pStyle w:val="TOC2"/>
            <w:tabs>
              <w:tab w:val="right" w:leader="dot" w:pos="8630"/>
            </w:tabs>
            <w:rPr>
              <w:noProof/>
              <w:kern w:val="2"/>
              <w:sz w:val="24"/>
              <w:szCs w:val="24"/>
              <w:lang w:val="en-GB" w:eastAsia="en-GB"/>
              <w14:ligatures w14:val="standardContextual"/>
            </w:rPr>
          </w:pPr>
          <w:hyperlink w:anchor="_Toc228152706" w:history="1">
            <w:r w:rsidRPr="00227CBE">
              <w:rPr>
                <w:rStyle w:val="Hyperlink"/>
                <w:rFonts w:ascii="Aptos" w:hAnsi="Aptos"/>
                <w:noProof/>
              </w:rPr>
              <w:t>4.2 Administrative Controls</w:t>
            </w:r>
            <w:r>
              <w:rPr>
                <w:noProof/>
                <w:webHidden/>
              </w:rPr>
              <w:tab/>
            </w:r>
            <w:r>
              <w:rPr>
                <w:noProof/>
                <w:webHidden/>
              </w:rPr>
              <w:fldChar w:fldCharType="begin"/>
            </w:r>
            <w:r>
              <w:rPr>
                <w:noProof/>
                <w:webHidden/>
              </w:rPr>
              <w:instrText xml:space="preserve"> PAGEREF _Toc228152706 \h </w:instrText>
            </w:r>
            <w:r>
              <w:rPr>
                <w:noProof/>
                <w:webHidden/>
              </w:rPr>
            </w:r>
            <w:r>
              <w:rPr>
                <w:noProof/>
                <w:webHidden/>
              </w:rPr>
              <w:fldChar w:fldCharType="separate"/>
            </w:r>
            <w:r>
              <w:rPr>
                <w:noProof/>
                <w:webHidden/>
              </w:rPr>
              <w:t>9</w:t>
            </w:r>
            <w:r>
              <w:rPr>
                <w:noProof/>
                <w:webHidden/>
              </w:rPr>
              <w:fldChar w:fldCharType="end"/>
            </w:r>
          </w:hyperlink>
        </w:p>
        <w:p w14:paraId="0338E45A" w14:textId="3720CE60" w:rsidR="00FC2015" w:rsidRDefault="00FC2015">
          <w:pPr>
            <w:pStyle w:val="TOC2"/>
            <w:tabs>
              <w:tab w:val="right" w:leader="dot" w:pos="8630"/>
            </w:tabs>
            <w:rPr>
              <w:noProof/>
              <w:kern w:val="2"/>
              <w:sz w:val="24"/>
              <w:szCs w:val="24"/>
              <w:lang w:val="en-GB" w:eastAsia="en-GB"/>
              <w14:ligatures w14:val="standardContextual"/>
            </w:rPr>
          </w:pPr>
          <w:hyperlink w:anchor="_Toc228152707" w:history="1">
            <w:r w:rsidRPr="00227CBE">
              <w:rPr>
                <w:rStyle w:val="Hyperlink"/>
                <w:rFonts w:ascii="Aptos" w:hAnsi="Aptos"/>
                <w:noProof/>
              </w:rPr>
              <w:t>4.3 Physical Controls</w:t>
            </w:r>
            <w:r>
              <w:rPr>
                <w:noProof/>
                <w:webHidden/>
              </w:rPr>
              <w:tab/>
            </w:r>
            <w:r>
              <w:rPr>
                <w:noProof/>
                <w:webHidden/>
              </w:rPr>
              <w:fldChar w:fldCharType="begin"/>
            </w:r>
            <w:r>
              <w:rPr>
                <w:noProof/>
                <w:webHidden/>
              </w:rPr>
              <w:instrText xml:space="preserve"> PAGEREF _Toc228152707 \h </w:instrText>
            </w:r>
            <w:r>
              <w:rPr>
                <w:noProof/>
                <w:webHidden/>
              </w:rPr>
            </w:r>
            <w:r>
              <w:rPr>
                <w:noProof/>
                <w:webHidden/>
              </w:rPr>
              <w:fldChar w:fldCharType="separate"/>
            </w:r>
            <w:r>
              <w:rPr>
                <w:noProof/>
                <w:webHidden/>
              </w:rPr>
              <w:t>9</w:t>
            </w:r>
            <w:r>
              <w:rPr>
                <w:noProof/>
                <w:webHidden/>
              </w:rPr>
              <w:fldChar w:fldCharType="end"/>
            </w:r>
          </w:hyperlink>
        </w:p>
        <w:p w14:paraId="389D061F" w14:textId="2F20A6EF" w:rsidR="00FC2015" w:rsidRDefault="00FC2015">
          <w:pPr>
            <w:pStyle w:val="TOC1"/>
            <w:tabs>
              <w:tab w:val="right" w:leader="dot" w:pos="8630"/>
            </w:tabs>
            <w:rPr>
              <w:noProof/>
              <w:kern w:val="2"/>
              <w:sz w:val="24"/>
              <w:szCs w:val="24"/>
              <w:lang w:val="en-GB" w:eastAsia="en-GB"/>
              <w14:ligatures w14:val="standardContextual"/>
            </w:rPr>
          </w:pPr>
          <w:hyperlink w:anchor="_Toc228152708" w:history="1">
            <w:r w:rsidRPr="00227CBE">
              <w:rPr>
                <w:rStyle w:val="Hyperlink"/>
                <w:rFonts w:ascii="Aptos" w:hAnsi="Aptos"/>
                <w:noProof/>
              </w:rPr>
              <w:t>5. Monitoring &amp; Incident Response</w:t>
            </w:r>
            <w:r>
              <w:rPr>
                <w:noProof/>
                <w:webHidden/>
              </w:rPr>
              <w:tab/>
            </w:r>
            <w:r>
              <w:rPr>
                <w:noProof/>
                <w:webHidden/>
              </w:rPr>
              <w:fldChar w:fldCharType="begin"/>
            </w:r>
            <w:r>
              <w:rPr>
                <w:noProof/>
                <w:webHidden/>
              </w:rPr>
              <w:instrText xml:space="preserve"> PAGEREF _Toc228152708 \h </w:instrText>
            </w:r>
            <w:r>
              <w:rPr>
                <w:noProof/>
                <w:webHidden/>
              </w:rPr>
            </w:r>
            <w:r>
              <w:rPr>
                <w:noProof/>
                <w:webHidden/>
              </w:rPr>
              <w:fldChar w:fldCharType="separate"/>
            </w:r>
            <w:r>
              <w:rPr>
                <w:noProof/>
                <w:webHidden/>
              </w:rPr>
              <w:t>10</w:t>
            </w:r>
            <w:r>
              <w:rPr>
                <w:noProof/>
                <w:webHidden/>
              </w:rPr>
              <w:fldChar w:fldCharType="end"/>
            </w:r>
          </w:hyperlink>
        </w:p>
        <w:p w14:paraId="7B009A4B" w14:textId="27B10C6B" w:rsidR="00FC2015" w:rsidRDefault="00FC2015">
          <w:pPr>
            <w:pStyle w:val="TOC2"/>
            <w:tabs>
              <w:tab w:val="right" w:leader="dot" w:pos="8630"/>
            </w:tabs>
            <w:rPr>
              <w:noProof/>
              <w:kern w:val="2"/>
              <w:sz w:val="24"/>
              <w:szCs w:val="24"/>
              <w:lang w:val="en-GB" w:eastAsia="en-GB"/>
              <w14:ligatures w14:val="standardContextual"/>
            </w:rPr>
          </w:pPr>
          <w:hyperlink w:anchor="_Toc228152709" w:history="1">
            <w:r w:rsidRPr="00227CBE">
              <w:rPr>
                <w:rStyle w:val="Hyperlink"/>
                <w:rFonts w:ascii="Aptos" w:hAnsi="Aptos"/>
                <w:noProof/>
              </w:rPr>
              <w:t>5.1 Continuous Monitoring Architecture</w:t>
            </w:r>
            <w:r>
              <w:rPr>
                <w:noProof/>
                <w:webHidden/>
              </w:rPr>
              <w:tab/>
            </w:r>
            <w:r>
              <w:rPr>
                <w:noProof/>
                <w:webHidden/>
              </w:rPr>
              <w:fldChar w:fldCharType="begin"/>
            </w:r>
            <w:r>
              <w:rPr>
                <w:noProof/>
                <w:webHidden/>
              </w:rPr>
              <w:instrText xml:space="preserve"> PAGEREF _Toc228152709 \h </w:instrText>
            </w:r>
            <w:r>
              <w:rPr>
                <w:noProof/>
                <w:webHidden/>
              </w:rPr>
            </w:r>
            <w:r>
              <w:rPr>
                <w:noProof/>
                <w:webHidden/>
              </w:rPr>
              <w:fldChar w:fldCharType="separate"/>
            </w:r>
            <w:r>
              <w:rPr>
                <w:noProof/>
                <w:webHidden/>
              </w:rPr>
              <w:t>10</w:t>
            </w:r>
            <w:r>
              <w:rPr>
                <w:noProof/>
                <w:webHidden/>
              </w:rPr>
              <w:fldChar w:fldCharType="end"/>
            </w:r>
          </w:hyperlink>
        </w:p>
        <w:p w14:paraId="612C2794" w14:textId="1145F6E9" w:rsidR="00FC2015" w:rsidRDefault="00FC2015">
          <w:pPr>
            <w:pStyle w:val="TOC2"/>
            <w:tabs>
              <w:tab w:val="right" w:leader="dot" w:pos="8630"/>
            </w:tabs>
            <w:rPr>
              <w:noProof/>
              <w:kern w:val="2"/>
              <w:sz w:val="24"/>
              <w:szCs w:val="24"/>
              <w:lang w:val="en-GB" w:eastAsia="en-GB"/>
              <w14:ligatures w14:val="standardContextual"/>
            </w:rPr>
          </w:pPr>
          <w:hyperlink w:anchor="_Toc228152710" w:history="1">
            <w:r w:rsidRPr="00227CBE">
              <w:rPr>
                <w:rStyle w:val="Hyperlink"/>
                <w:rFonts w:ascii="Aptos" w:hAnsi="Aptos"/>
                <w:noProof/>
              </w:rPr>
              <w:t>5.2 Incident Response Flowchart</w:t>
            </w:r>
            <w:r>
              <w:rPr>
                <w:noProof/>
                <w:webHidden/>
              </w:rPr>
              <w:tab/>
            </w:r>
            <w:r>
              <w:rPr>
                <w:noProof/>
                <w:webHidden/>
              </w:rPr>
              <w:fldChar w:fldCharType="begin"/>
            </w:r>
            <w:r>
              <w:rPr>
                <w:noProof/>
                <w:webHidden/>
              </w:rPr>
              <w:instrText xml:space="preserve"> PAGEREF _Toc228152710 \h </w:instrText>
            </w:r>
            <w:r>
              <w:rPr>
                <w:noProof/>
                <w:webHidden/>
              </w:rPr>
            </w:r>
            <w:r>
              <w:rPr>
                <w:noProof/>
                <w:webHidden/>
              </w:rPr>
              <w:fldChar w:fldCharType="separate"/>
            </w:r>
            <w:r>
              <w:rPr>
                <w:noProof/>
                <w:webHidden/>
              </w:rPr>
              <w:t>10</w:t>
            </w:r>
            <w:r>
              <w:rPr>
                <w:noProof/>
                <w:webHidden/>
              </w:rPr>
              <w:fldChar w:fldCharType="end"/>
            </w:r>
          </w:hyperlink>
        </w:p>
        <w:p w14:paraId="75F74E2D" w14:textId="4DB71EED" w:rsidR="00FC2015" w:rsidRDefault="00FC2015">
          <w:pPr>
            <w:pStyle w:val="TOC2"/>
            <w:tabs>
              <w:tab w:val="right" w:leader="dot" w:pos="8630"/>
            </w:tabs>
            <w:rPr>
              <w:noProof/>
              <w:kern w:val="2"/>
              <w:sz w:val="24"/>
              <w:szCs w:val="24"/>
              <w:lang w:val="en-GB" w:eastAsia="en-GB"/>
              <w14:ligatures w14:val="standardContextual"/>
            </w:rPr>
          </w:pPr>
          <w:hyperlink w:anchor="_Toc228152711" w:history="1">
            <w:r w:rsidRPr="00227CBE">
              <w:rPr>
                <w:rStyle w:val="Hyperlink"/>
                <w:rFonts w:ascii="Aptos" w:hAnsi="Aptos"/>
                <w:noProof/>
              </w:rPr>
              <w:t>5.3 Key Performance Indicators (KPIs)</w:t>
            </w:r>
            <w:r>
              <w:rPr>
                <w:noProof/>
                <w:webHidden/>
              </w:rPr>
              <w:tab/>
            </w:r>
            <w:r>
              <w:rPr>
                <w:noProof/>
                <w:webHidden/>
              </w:rPr>
              <w:fldChar w:fldCharType="begin"/>
            </w:r>
            <w:r>
              <w:rPr>
                <w:noProof/>
                <w:webHidden/>
              </w:rPr>
              <w:instrText xml:space="preserve"> PAGEREF _Toc228152711 \h </w:instrText>
            </w:r>
            <w:r>
              <w:rPr>
                <w:noProof/>
                <w:webHidden/>
              </w:rPr>
            </w:r>
            <w:r>
              <w:rPr>
                <w:noProof/>
                <w:webHidden/>
              </w:rPr>
              <w:fldChar w:fldCharType="separate"/>
            </w:r>
            <w:r>
              <w:rPr>
                <w:noProof/>
                <w:webHidden/>
              </w:rPr>
              <w:t>11</w:t>
            </w:r>
            <w:r>
              <w:rPr>
                <w:noProof/>
                <w:webHidden/>
              </w:rPr>
              <w:fldChar w:fldCharType="end"/>
            </w:r>
          </w:hyperlink>
        </w:p>
        <w:p w14:paraId="2B7F0664" w14:textId="3F86167E" w:rsidR="00FC2015" w:rsidRDefault="00FC2015">
          <w:pPr>
            <w:pStyle w:val="TOC1"/>
            <w:tabs>
              <w:tab w:val="right" w:leader="dot" w:pos="8630"/>
            </w:tabs>
            <w:rPr>
              <w:noProof/>
              <w:kern w:val="2"/>
              <w:sz w:val="24"/>
              <w:szCs w:val="24"/>
              <w:lang w:val="en-GB" w:eastAsia="en-GB"/>
              <w14:ligatures w14:val="standardContextual"/>
            </w:rPr>
          </w:pPr>
          <w:hyperlink w:anchor="_Toc228152712" w:history="1">
            <w:r w:rsidRPr="00227CBE">
              <w:rPr>
                <w:rStyle w:val="Hyperlink"/>
                <w:rFonts w:ascii="Aptos" w:hAnsi="Aptos"/>
                <w:noProof/>
              </w:rPr>
              <w:t>6. Staff Training &amp; Awareness Programme</w:t>
            </w:r>
            <w:r>
              <w:rPr>
                <w:noProof/>
                <w:webHidden/>
              </w:rPr>
              <w:tab/>
            </w:r>
            <w:r>
              <w:rPr>
                <w:noProof/>
                <w:webHidden/>
              </w:rPr>
              <w:fldChar w:fldCharType="begin"/>
            </w:r>
            <w:r>
              <w:rPr>
                <w:noProof/>
                <w:webHidden/>
              </w:rPr>
              <w:instrText xml:space="preserve"> PAGEREF _Toc228152712 \h </w:instrText>
            </w:r>
            <w:r>
              <w:rPr>
                <w:noProof/>
                <w:webHidden/>
              </w:rPr>
            </w:r>
            <w:r>
              <w:rPr>
                <w:noProof/>
                <w:webHidden/>
              </w:rPr>
              <w:fldChar w:fldCharType="separate"/>
            </w:r>
            <w:r>
              <w:rPr>
                <w:noProof/>
                <w:webHidden/>
              </w:rPr>
              <w:t>12</w:t>
            </w:r>
            <w:r>
              <w:rPr>
                <w:noProof/>
                <w:webHidden/>
              </w:rPr>
              <w:fldChar w:fldCharType="end"/>
            </w:r>
          </w:hyperlink>
        </w:p>
        <w:p w14:paraId="4324EF7D" w14:textId="72B93BCD" w:rsidR="00FC2015" w:rsidRDefault="00FC2015">
          <w:pPr>
            <w:pStyle w:val="TOC2"/>
            <w:tabs>
              <w:tab w:val="right" w:leader="dot" w:pos="8630"/>
            </w:tabs>
            <w:rPr>
              <w:noProof/>
              <w:kern w:val="2"/>
              <w:sz w:val="24"/>
              <w:szCs w:val="24"/>
              <w:lang w:val="en-GB" w:eastAsia="en-GB"/>
              <w14:ligatures w14:val="standardContextual"/>
            </w:rPr>
          </w:pPr>
          <w:hyperlink w:anchor="_Toc228152713" w:history="1">
            <w:r w:rsidRPr="00227CBE">
              <w:rPr>
                <w:rStyle w:val="Hyperlink"/>
                <w:rFonts w:ascii="Aptos" w:hAnsi="Aptos"/>
                <w:noProof/>
              </w:rPr>
              <w:t>6.1 Programme Structure</w:t>
            </w:r>
            <w:r>
              <w:rPr>
                <w:noProof/>
                <w:webHidden/>
              </w:rPr>
              <w:tab/>
            </w:r>
            <w:r>
              <w:rPr>
                <w:noProof/>
                <w:webHidden/>
              </w:rPr>
              <w:fldChar w:fldCharType="begin"/>
            </w:r>
            <w:r>
              <w:rPr>
                <w:noProof/>
                <w:webHidden/>
              </w:rPr>
              <w:instrText xml:space="preserve"> PAGEREF _Toc228152713 \h </w:instrText>
            </w:r>
            <w:r>
              <w:rPr>
                <w:noProof/>
                <w:webHidden/>
              </w:rPr>
            </w:r>
            <w:r>
              <w:rPr>
                <w:noProof/>
                <w:webHidden/>
              </w:rPr>
              <w:fldChar w:fldCharType="separate"/>
            </w:r>
            <w:r>
              <w:rPr>
                <w:noProof/>
                <w:webHidden/>
              </w:rPr>
              <w:t>12</w:t>
            </w:r>
            <w:r>
              <w:rPr>
                <w:noProof/>
                <w:webHidden/>
              </w:rPr>
              <w:fldChar w:fldCharType="end"/>
            </w:r>
          </w:hyperlink>
        </w:p>
        <w:p w14:paraId="7B045AFC" w14:textId="4E995D90" w:rsidR="00FC2015" w:rsidRDefault="00FC2015">
          <w:pPr>
            <w:pStyle w:val="TOC2"/>
            <w:tabs>
              <w:tab w:val="right" w:leader="dot" w:pos="8630"/>
            </w:tabs>
            <w:rPr>
              <w:noProof/>
              <w:kern w:val="2"/>
              <w:sz w:val="24"/>
              <w:szCs w:val="24"/>
              <w:lang w:val="en-GB" w:eastAsia="en-GB"/>
              <w14:ligatures w14:val="standardContextual"/>
            </w:rPr>
          </w:pPr>
          <w:hyperlink w:anchor="_Toc228152714" w:history="1">
            <w:r w:rsidRPr="00227CBE">
              <w:rPr>
                <w:rStyle w:val="Hyperlink"/>
                <w:rFonts w:ascii="Aptos" w:hAnsi="Aptos"/>
                <w:noProof/>
              </w:rPr>
              <w:t>6.2 Delivery Methods</w:t>
            </w:r>
            <w:r>
              <w:rPr>
                <w:noProof/>
                <w:webHidden/>
              </w:rPr>
              <w:tab/>
            </w:r>
            <w:r>
              <w:rPr>
                <w:noProof/>
                <w:webHidden/>
              </w:rPr>
              <w:fldChar w:fldCharType="begin"/>
            </w:r>
            <w:r>
              <w:rPr>
                <w:noProof/>
                <w:webHidden/>
              </w:rPr>
              <w:instrText xml:space="preserve"> PAGEREF _Toc228152714 \h </w:instrText>
            </w:r>
            <w:r>
              <w:rPr>
                <w:noProof/>
                <w:webHidden/>
              </w:rPr>
            </w:r>
            <w:r>
              <w:rPr>
                <w:noProof/>
                <w:webHidden/>
              </w:rPr>
              <w:fldChar w:fldCharType="separate"/>
            </w:r>
            <w:r>
              <w:rPr>
                <w:noProof/>
                <w:webHidden/>
              </w:rPr>
              <w:t>12</w:t>
            </w:r>
            <w:r>
              <w:rPr>
                <w:noProof/>
                <w:webHidden/>
              </w:rPr>
              <w:fldChar w:fldCharType="end"/>
            </w:r>
          </w:hyperlink>
        </w:p>
        <w:p w14:paraId="712367CF" w14:textId="69A79A8C" w:rsidR="00FC2015" w:rsidRDefault="00FC2015">
          <w:pPr>
            <w:pStyle w:val="TOC2"/>
            <w:tabs>
              <w:tab w:val="right" w:leader="dot" w:pos="8630"/>
            </w:tabs>
            <w:rPr>
              <w:noProof/>
              <w:kern w:val="2"/>
              <w:sz w:val="24"/>
              <w:szCs w:val="24"/>
              <w:lang w:val="en-GB" w:eastAsia="en-GB"/>
              <w14:ligatures w14:val="standardContextual"/>
            </w:rPr>
          </w:pPr>
          <w:hyperlink w:anchor="_Toc228152715" w:history="1">
            <w:r w:rsidRPr="00227CBE">
              <w:rPr>
                <w:rStyle w:val="Hyperlink"/>
                <w:rFonts w:ascii="Aptos" w:hAnsi="Aptos"/>
                <w:noProof/>
              </w:rPr>
              <w:t>6.3 Measuring Effectiveness</w:t>
            </w:r>
            <w:r>
              <w:rPr>
                <w:noProof/>
                <w:webHidden/>
              </w:rPr>
              <w:tab/>
            </w:r>
            <w:r>
              <w:rPr>
                <w:noProof/>
                <w:webHidden/>
              </w:rPr>
              <w:fldChar w:fldCharType="begin"/>
            </w:r>
            <w:r>
              <w:rPr>
                <w:noProof/>
                <w:webHidden/>
              </w:rPr>
              <w:instrText xml:space="preserve"> PAGEREF _Toc228152715 \h </w:instrText>
            </w:r>
            <w:r>
              <w:rPr>
                <w:noProof/>
                <w:webHidden/>
              </w:rPr>
            </w:r>
            <w:r>
              <w:rPr>
                <w:noProof/>
                <w:webHidden/>
              </w:rPr>
              <w:fldChar w:fldCharType="separate"/>
            </w:r>
            <w:r>
              <w:rPr>
                <w:noProof/>
                <w:webHidden/>
              </w:rPr>
              <w:t>13</w:t>
            </w:r>
            <w:r>
              <w:rPr>
                <w:noProof/>
                <w:webHidden/>
              </w:rPr>
              <w:fldChar w:fldCharType="end"/>
            </w:r>
          </w:hyperlink>
        </w:p>
        <w:p w14:paraId="7652708C" w14:textId="182A198A" w:rsidR="00FC2015" w:rsidRDefault="00FC2015">
          <w:pPr>
            <w:pStyle w:val="TOC1"/>
            <w:tabs>
              <w:tab w:val="right" w:leader="dot" w:pos="8630"/>
            </w:tabs>
            <w:rPr>
              <w:noProof/>
              <w:kern w:val="2"/>
              <w:sz w:val="24"/>
              <w:szCs w:val="24"/>
              <w:lang w:val="en-GB" w:eastAsia="en-GB"/>
              <w14:ligatures w14:val="standardContextual"/>
            </w:rPr>
          </w:pPr>
          <w:hyperlink w:anchor="_Toc228152716" w:history="1">
            <w:r w:rsidRPr="00227CBE">
              <w:rPr>
                <w:rStyle w:val="Hyperlink"/>
                <w:rFonts w:ascii="Aptos" w:hAnsi="Aptos"/>
                <w:noProof/>
              </w:rPr>
              <w:t>7. Conclusion</w:t>
            </w:r>
            <w:r>
              <w:rPr>
                <w:noProof/>
                <w:webHidden/>
              </w:rPr>
              <w:tab/>
            </w:r>
            <w:r>
              <w:rPr>
                <w:noProof/>
                <w:webHidden/>
              </w:rPr>
              <w:fldChar w:fldCharType="begin"/>
            </w:r>
            <w:r>
              <w:rPr>
                <w:noProof/>
                <w:webHidden/>
              </w:rPr>
              <w:instrText xml:space="preserve"> PAGEREF _Toc228152716 \h </w:instrText>
            </w:r>
            <w:r>
              <w:rPr>
                <w:noProof/>
                <w:webHidden/>
              </w:rPr>
            </w:r>
            <w:r>
              <w:rPr>
                <w:noProof/>
                <w:webHidden/>
              </w:rPr>
              <w:fldChar w:fldCharType="separate"/>
            </w:r>
            <w:r>
              <w:rPr>
                <w:noProof/>
                <w:webHidden/>
              </w:rPr>
              <w:t>14</w:t>
            </w:r>
            <w:r>
              <w:rPr>
                <w:noProof/>
                <w:webHidden/>
              </w:rPr>
              <w:fldChar w:fldCharType="end"/>
            </w:r>
          </w:hyperlink>
        </w:p>
        <w:p w14:paraId="53B4B0E8" w14:textId="22186EB9" w:rsidR="00FC2015" w:rsidRDefault="00FC2015">
          <w:pPr>
            <w:pStyle w:val="TOC1"/>
            <w:tabs>
              <w:tab w:val="right" w:leader="dot" w:pos="8630"/>
            </w:tabs>
            <w:rPr>
              <w:noProof/>
              <w:kern w:val="2"/>
              <w:sz w:val="24"/>
              <w:szCs w:val="24"/>
              <w:lang w:val="en-GB" w:eastAsia="en-GB"/>
              <w14:ligatures w14:val="standardContextual"/>
            </w:rPr>
          </w:pPr>
          <w:hyperlink w:anchor="_Toc228152717" w:history="1">
            <w:r w:rsidRPr="00227CBE">
              <w:rPr>
                <w:rStyle w:val="Hyperlink"/>
                <w:rFonts w:ascii="Aptos" w:hAnsi="Aptos"/>
                <w:noProof/>
              </w:rPr>
              <w:t>8. References</w:t>
            </w:r>
            <w:r>
              <w:rPr>
                <w:noProof/>
                <w:webHidden/>
              </w:rPr>
              <w:tab/>
            </w:r>
            <w:r>
              <w:rPr>
                <w:noProof/>
                <w:webHidden/>
              </w:rPr>
              <w:fldChar w:fldCharType="begin"/>
            </w:r>
            <w:r>
              <w:rPr>
                <w:noProof/>
                <w:webHidden/>
              </w:rPr>
              <w:instrText xml:space="preserve"> PAGEREF _Toc228152717 \h </w:instrText>
            </w:r>
            <w:r>
              <w:rPr>
                <w:noProof/>
                <w:webHidden/>
              </w:rPr>
            </w:r>
            <w:r>
              <w:rPr>
                <w:noProof/>
                <w:webHidden/>
              </w:rPr>
              <w:fldChar w:fldCharType="separate"/>
            </w:r>
            <w:r>
              <w:rPr>
                <w:noProof/>
                <w:webHidden/>
              </w:rPr>
              <w:t>15</w:t>
            </w:r>
            <w:r>
              <w:rPr>
                <w:noProof/>
                <w:webHidden/>
              </w:rPr>
              <w:fldChar w:fldCharType="end"/>
            </w:r>
          </w:hyperlink>
        </w:p>
        <w:p w14:paraId="51EF0291" w14:textId="55F38C79" w:rsidR="004E76CB" w:rsidRDefault="004E76CB">
          <w:r>
            <w:rPr>
              <w:b/>
              <w:bCs/>
            </w:rPr>
            <w:fldChar w:fldCharType="end"/>
          </w:r>
        </w:p>
      </w:sdtContent>
    </w:sdt>
    <w:p w14:paraId="54BDA2C7" w14:textId="77777777" w:rsidR="009C525A" w:rsidRPr="00F374F5" w:rsidRDefault="006D322D" w:rsidP="004E76CB">
      <w:pPr>
        <w:pStyle w:val="Heading1"/>
        <w:rPr>
          <w:sz w:val="36"/>
          <w:szCs w:val="36"/>
        </w:rPr>
      </w:pPr>
      <w:bookmarkStart w:id="0" w:name="_Toc228152690"/>
      <w:r>
        <w:rPr>
          <w:sz w:val="36"/>
          <w:szCs w:val="36"/>
        </w:rPr>
        <w:lastRenderedPageBreak/>
        <w:t>Executive Summary</w:t>
      </w:r>
      <w:bookmarkEnd w:id="0"/>
    </w:p>
    <w:p w14:paraId="42849AF0" w14:textId="77777777" w:rsidR="004E76CB" w:rsidRPr="004E76CB" w:rsidRDefault="004E76CB" w:rsidP="004E76CB"/>
    <w:p w14:paraId="0A1A9C85" w14:textId="457A7459" w:rsidR="009C525A" w:rsidRPr="004E76CB" w:rsidRDefault="006D322D" w:rsidP="00CB244E">
      <w:pPr>
        <w:spacing w:before="40" w:after="120" w:line="360" w:lineRule="auto"/>
        <w:jc w:val="both"/>
        <w:rPr>
          <w:rFonts w:ascii="Aptos" w:hAnsi="Aptos"/>
        </w:rPr>
      </w:pPr>
      <w:r>
        <w:rPr>
          <w:rFonts w:ascii="Aptos" w:hAnsi="Aptos"/>
        </w:rPr>
        <w:t>HealthPlus Analytics (HPA) processes and stores sensitive patient information on behalf of hospitals and clinics across the UK. Recent incidents</w:t>
      </w:r>
      <w:r>
        <w:rPr>
          <w:rFonts w:ascii="Aptos" w:hAnsi="Aptos"/>
        </w:rPr>
        <w:t xml:space="preserve"> including unauthorised access to cloud-stored patient data and a ransomware attack on analytics servers</w:t>
      </w:r>
      <w:r>
        <w:rPr>
          <w:rFonts w:ascii="Aptos" w:hAnsi="Aptos"/>
        </w:rPr>
        <w:t xml:space="preserve"> have exposed critical vulnerabilities in the </w:t>
      </w:r>
      <w:r w:rsidR="00B602A9">
        <w:rPr>
          <w:rFonts w:ascii="Aptos" w:hAnsi="Aptos"/>
        </w:rPr>
        <w:t>organi</w:t>
      </w:r>
      <w:r w:rsidR="0096067A">
        <w:rPr>
          <w:rFonts w:ascii="Aptos" w:hAnsi="Aptos"/>
        </w:rPr>
        <w:t>s</w:t>
      </w:r>
      <w:r w:rsidR="00B602A9">
        <w:rPr>
          <w:rFonts w:ascii="Aptos" w:hAnsi="Aptos"/>
        </w:rPr>
        <w:t>ation’s</w:t>
      </w:r>
      <w:r>
        <w:rPr>
          <w:rFonts w:ascii="Aptos" w:hAnsi="Aptos"/>
        </w:rPr>
        <w:t xml:space="preserve"> security posture and raised concerns regarding compliance with the UK General Data Protection Regulation (UK GDPR) </w:t>
      </w:r>
      <w:r>
        <w:rPr>
          <w:rFonts w:ascii="Aptos" w:hAnsi="Aptos"/>
        </w:rPr>
        <w:t xml:space="preserve">and NHS Digital Security Standards </w:t>
      </w:r>
      <w:sdt>
        <w:sdtPr>
          <w:rPr>
            <w:rFonts w:ascii="Aptos" w:hAnsi="Aptos"/>
            <w:color w:val="000000"/>
            <w:highlight w:val="white"/>
          </w:rPr>
          <w:alias w:val="Citation"/>
          <w:tag w:val="{&quot;referencesIds&quot;:[&quot;doc:69eebca49b71e06b12c40a5c&quot;],&quot;referencesOptions&quot;:{&quot;doc:69eebca49b71e06b12c40a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1337731"/>
          <w:placeholder>
            <w:docPart w:val="C3FDD42078994301AB2497A56D108568"/>
          </w:placeholder>
        </w:sdtPr>
        <w:sdtContent>
          <w:r w:rsidR="00520932">
            <w:rPr>
              <w:rFonts w:ascii="Aptos" w:eastAsia="Times New Roman" w:hAnsi="Aptos"/>
              <w:color w:val="000000"/>
            </w:rPr>
            <w:t>[1]</w:t>
          </w:r>
        </w:sdtContent>
      </w:sdt>
      <w:r>
        <w:rPr>
          <w:rFonts w:ascii="Aptos" w:hAnsi="Aptos"/>
        </w:rPr>
        <w:t>.</w:t>
      </w:r>
    </w:p>
    <w:p w14:paraId="4236255F" w14:textId="77777777" w:rsidR="000B37A8" w:rsidRDefault="006D322D" w:rsidP="00CB244E">
      <w:pPr>
        <w:spacing w:before="40" w:after="120" w:line="360" w:lineRule="auto"/>
        <w:jc w:val="both"/>
        <w:rPr>
          <w:rFonts w:ascii="Aptos" w:hAnsi="Aptos"/>
        </w:rPr>
      </w:pPr>
      <w:r>
        <w:rPr>
          <w:rFonts w:ascii="Aptos" w:hAnsi="Aptos"/>
        </w:rPr>
        <w:t xml:space="preserve">This report presents a comprehensive Data Security and Governance Framework structured around five pillars: </w:t>
      </w:r>
    </w:p>
    <w:p w14:paraId="3EE3568A" w14:textId="50FD9471"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Threat Identification, </w:t>
      </w:r>
    </w:p>
    <w:p w14:paraId="525DE802" w14:textId="73CCE8BA"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Security Policies, </w:t>
      </w:r>
    </w:p>
    <w:p w14:paraId="792092E6" w14:textId="180F017B"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Mitigation Measures, </w:t>
      </w:r>
    </w:p>
    <w:p w14:paraId="19F3524C" w14:textId="76920172"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Monitoring &amp; Incident Response, and </w:t>
      </w:r>
    </w:p>
    <w:p w14:paraId="39D54363" w14:textId="1CB23DC1"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Staff Training &amp; Awareness. </w:t>
      </w:r>
    </w:p>
    <w:p w14:paraId="6917B669" w14:textId="77777777" w:rsidR="008E4077" w:rsidRDefault="008E4077" w:rsidP="008E4077">
      <w:pPr>
        <w:spacing w:after="0" w:line="240" w:lineRule="auto"/>
        <w:jc w:val="both"/>
        <w:rPr>
          <w:rFonts w:ascii="Aptos" w:hAnsi="Aptos"/>
        </w:rPr>
      </w:pPr>
    </w:p>
    <w:p w14:paraId="39F35968" w14:textId="6ABD7176" w:rsidR="009C525A" w:rsidRPr="004E76CB" w:rsidRDefault="006D322D" w:rsidP="00CB244E">
      <w:pPr>
        <w:spacing w:before="40" w:after="120" w:line="360" w:lineRule="auto"/>
        <w:jc w:val="both"/>
        <w:rPr>
          <w:rFonts w:ascii="Aptos" w:hAnsi="Aptos"/>
        </w:rPr>
      </w:pPr>
      <w:r>
        <w:rPr>
          <w:rFonts w:ascii="Aptos" w:hAnsi="Aptos"/>
        </w:rPr>
        <w:t xml:space="preserve">The framework draws on ISO 27001 </w:t>
      </w:r>
      <w:sdt>
        <w:sdtPr>
          <w:rPr>
            <w:rFonts w:ascii="Aptos" w:hAnsi="Aptos"/>
            <w:color w:val="000000"/>
            <w:highlight w:val="white"/>
          </w:rPr>
          <w:alias w:val="Citation"/>
          <w:tag w:val="{&quot;referencesIds&quot;:[&quot;doc:69eeba749b71e06b12c40a43&quot;],&quot;referencesOptions&quot;:{&quot;doc:69eeba749b71e06b12c40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7988013"/>
          <w:placeholder>
            <w:docPart w:val="3B727C0665BD426C91A0AB82FB44B254"/>
          </w:placeholder>
        </w:sdtPr>
        <w:sdtContent>
          <w:r w:rsidR="00520932">
            <w:rPr>
              <w:rFonts w:ascii="Aptos" w:eastAsia="Times New Roman" w:hAnsi="Aptos"/>
              <w:color w:val="000000"/>
            </w:rPr>
            <w:t>[2]</w:t>
          </w:r>
        </w:sdtContent>
      </w:sdt>
      <w:r>
        <w:rPr>
          <w:rFonts w:ascii="Aptos" w:hAnsi="Aptos"/>
        </w:rPr>
        <w:t xml:space="preserve">, the NIST Cybersecurity Framework </w:t>
      </w:r>
      <w:sdt>
        <w:sdtPr>
          <w:rPr>
            <w:rFonts w:ascii="Aptos" w:hAnsi="Aptos"/>
            <w:color w:val="000000"/>
            <w:highlight w:val="white"/>
          </w:rPr>
          <w:alias w:val="Citation"/>
          <w:tag w:val="{&quot;referencesIds&quot;:[&quot;doc:69eebad43bff2d11e7c3d505&quot;],&quot;referencesOptions&quot;:{&quot;doc:69eebad43bff2d11e7c3d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363155"/>
          <w:placeholder>
            <w:docPart w:val="B7F3FB3C1E2042BF9C2D6F00272FB5A8"/>
          </w:placeholder>
        </w:sdtPr>
        <w:sdtContent>
          <w:r w:rsidR="00520932">
            <w:rPr>
              <w:rFonts w:ascii="Aptos" w:eastAsia="Times New Roman" w:hAnsi="Aptos"/>
              <w:color w:val="000000"/>
            </w:rPr>
            <w:t>[3]</w:t>
          </w:r>
        </w:sdtContent>
      </w:sdt>
      <w:r>
        <w:rPr>
          <w:rFonts w:ascii="Aptos" w:hAnsi="Aptos"/>
        </w:rPr>
        <w:t>, and the CIA Triad (Confidentiality, Integrity, Availability) to provide actionable, standards-aligned recommendations.</w:t>
      </w:r>
    </w:p>
    <w:p w14:paraId="47B9C25F" w14:textId="3C48BDA6" w:rsidR="009C525A" w:rsidRPr="004E76CB" w:rsidRDefault="006D322D" w:rsidP="00CB244E">
      <w:pPr>
        <w:spacing w:before="40" w:after="120" w:line="360" w:lineRule="auto"/>
        <w:jc w:val="both"/>
        <w:rPr>
          <w:rFonts w:ascii="Aptos" w:hAnsi="Aptos"/>
        </w:rPr>
      </w:pPr>
      <w:r>
        <w:rPr>
          <w:rFonts w:ascii="Aptos" w:hAnsi="Aptos"/>
        </w:rPr>
        <w:t>Key findings indicate that HPA faces threats from ransomware actors, phishing campaigns, insider misuse, insecure Bring-Your-Own-Device (BYOD) practices, and insufficient access controls. The recommended framework introduces layered technical controls, clear governance policies, a structured incident response plan, and a role-based security training programme</w:t>
      </w:r>
      <w:r w:rsidR="00C77746">
        <w:rPr>
          <w:rFonts w:ascii="Aptos" w:hAnsi="Aptos"/>
        </w:rPr>
        <w:t>,</w:t>
      </w:r>
      <w:r>
        <w:rPr>
          <w:rFonts w:ascii="Aptos" w:hAnsi="Aptos"/>
        </w:rPr>
        <w:t xml:space="preserve"> all designed to reduce risk, ensure regulatory compliance, and protect patient data.</w:t>
      </w:r>
    </w:p>
    <w:p w14:paraId="3C629D50" w14:textId="77777777" w:rsidR="009C525A" w:rsidRPr="004E76CB" w:rsidRDefault="006D322D">
      <w:pPr>
        <w:rPr>
          <w:rFonts w:ascii="Aptos" w:hAnsi="Aptos"/>
        </w:rPr>
      </w:pPr>
      <w:r>
        <w:rPr>
          <w:rFonts w:ascii="Aptos" w:hAnsi="Aptos"/>
        </w:rPr>
        <w:br w:type="page"/>
      </w:r>
    </w:p>
    <w:p w14:paraId="2E39E7FF" w14:textId="77777777" w:rsidR="009C525A" w:rsidRPr="00F374F5" w:rsidRDefault="006D322D">
      <w:pPr>
        <w:pStyle w:val="Heading1"/>
        <w:rPr>
          <w:rFonts w:ascii="Aptos" w:hAnsi="Aptos"/>
          <w:color w:val="1F497D"/>
          <w:sz w:val="36"/>
          <w:szCs w:val="36"/>
        </w:rPr>
      </w:pPr>
      <w:bookmarkStart w:id="1" w:name="_Toc228152691"/>
      <w:r>
        <w:rPr>
          <w:rFonts w:ascii="Aptos" w:hAnsi="Aptos"/>
          <w:color w:val="1F497D"/>
          <w:sz w:val="36"/>
          <w:szCs w:val="36"/>
        </w:rPr>
        <w:lastRenderedPageBreak/>
        <w:t>1. Background &amp; Scope</w:t>
      </w:r>
      <w:bookmarkEnd w:id="1"/>
    </w:p>
    <w:p w14:paraId="026E37C1" w14:textId="77777777" w:rsidR="004E76CB" w:rsidRPr="004E76CB" w:rsidRDefault="004E76CB" w:rsidP="004E76CB"/>
    <w:p w14:paraId="7E85E49E" w14:textId="77777777" w:rsidR="009C525A" w:rsidRPr="004E76CB" w:rsidRDefault="006D322D" w:rsidP="004E76CB">
      <w:pPr>
        <w:spacing w:before="40" w:after="120" w:line="360" w:lineRule="auto"/>
        <w:jc w:val="both"/>
        <w:rPr>
          <w:rFonts w:ascii="Aptos" w:hAnsi="Aptos"/>
        </w:rPr>
      </w:pPr>
      <w:r>
        <w:rPr>
          <w:rFonts w:ascii="Aptos" w:hAnsi="Aptos"/>
        </w:rPr>
        <w:t>HPA operates in the healthcare technology sector, a high-value target for cyber threat actors due to the sensitivity of patient data and the critical nature of healthcare services. The organisation has experienced a pronounced shift towards hybrid and remote working, which has expanded the attack surface by introducing personal devices, home networks, and cloud-based collaboration tools into the corporate ecosystem.</w:t>
      </w:r>
    </w:p>
    <w:p w14:paraId="71A0906F" w14:textId="6ECE5B5C" w:rsidR="009C525A" w:rsidRPr="004E76CB" w:rsidRDefault="006D322D" w:rsidP="004E76CB">
      <w:pPr>
        <w:spacing w:before="40" w:after="120" w:line="360" w:lineRule="auto"/>
        <w:jc w:val="both"/>
        <w:rPr>
          <w:rFonts w:ascii="Aptos" w:hAnsi="Aptos"/>
        </w:rPr>
      </w:pPr>
      <w:r>
        <w:rPr>
          <w:rFonts w:ascii="Aptos" w:hAnsi="Aptos"/>
        </w:rPr>
        <w:t>The scope of this framework encompasses all HPA systems that store, process, or transmit patient data, including on-premises analytics servers, cloud infrastructure, mobile endpoints, and third-party integrations with NHS</w:t>
      </w:r>
      <w:r w:rsidR="00E8621F">
        <w:rPr>
          <w:rFonts w:ascii="Aptos" w:hAnsi="Aptos"/>
        </w:rPr>
        <w:t xml:space="preserve"> </w:t>
      </w:r>
      <w:r>
        <w:rPr>
          <w:rFonts w:ascii="Aptos" w:hAnsi="Aptos"/>
        </w:rPr>
        <w:t>connected systems. The framework applies to all employees, contractors, and third-party suppliers with access to HPA systems.</w:t>
      </w:r>
    </w:p>
    <w:p w14:paraId="37D1E916" w14:textId="77777777" w:rsidR="009C525A" w:rsidRPr="004E76CB" w:rsidRDefault="006D322D">
      <w:pPr>
        <w:pStyle w:val="Heading2"/>
        <w:rPr>
          <w:rFonts w:ascii="Aptos" w:hAnsi="Aptos"/>
        </w:rPr>
      </w:pPr>
      <w:bookmarkStart w:id="2" w:name="_Toc228152692"/>
      <w:r>
        <w:rPr>
          <w:rFonts w:ascii="Aptos" w:hAnsi="Aptos"/>
          <w:color w:val="1F497D"/>
        </w:rPr>
        <w:t>Regulatory Context</w:t>
      </w:r>
      <w:bookmarkEnd w:id="2"/>
    </w:p>
    <w:p w14:paraId="0AE7C717" w14:textId="0EB168AD" w:rsidR="009C525A" w:rsidRPr="004E76CB" w:rsidRDefault="006D322D" w:rsidP="00CB244E">
      <w:pPr>
        <w:pStyle w:val="ListBullet"/>
        <w:spacing w:after="60" w:line="360" w:lineRule="auto"/>
        <w:ind w:left="432"/>
        <w:rPr>
          <w:rFonts w:ascii="Aptos" w:hAnsi="Aptos"/>
        </w:rPr>
      </w:pPr>
      <w:r>
        <w:rPr>
          <w:rFonts w:ascii="Aptos" w:hAnsi="Aptos"/>
        </w:rPr>
        <w:t>UK GDPR (retained from EU GDPR post-</w:t>
      </w:r>
      <w:r w:rsidR="00876292">
        <w:rPr>
          <w:rFonts w:ascii="Aptos" w:hAnsi="Aptos"/>
        </w:rPr>
        <w:t>Brexit)</w:t>
      </w:r>
      <w:r>
        <w:rPr>
          <w:rFonts w:ascii="Aptos" w:hAnsi="Aptos"/>
        </w:rPr>
        <w:t xml:space="preserve"> mandates lawful processing, data minimisation, and breach notification within 72 hours </w:t>
      </w:r>
      <w:sdt>
        <w:sdtPr>
          <w:rPr>
            <w:rFonts w:ascii="Aptos" w:hAnsi="Aptos"/>
            <w:color w:val="000000"/>
            <w:highlight w:val="white"/>
          </w:rPr>
          <w:alias w:val="Citation"/>
          <w:tag w:val="{&quot;referencesIds&quot;:[&quot;doc:69eebce5252d9f2f7cc02f25&quot;],&quot;referencesOptions&quot;:{&quot;doc:69eebce5252d9f2f7cc02f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6578225"/>
          <w:placeholder>
            <w:docPart w:val="BD7A2E32880348A6939717B6A0923425"/>
          </w:placeholder>
        </w:sdtPr>
        <w:sdtContent>
          <w:r w:rsidR="00520932">
            <w:rPr>
              <w:rFonts w:ascii="Aptos" w:eastAsia="Times New Roman" w:hAnsi="Aptos"/>
              <w:color w:val="000000"/>
            </w:rPr>
            <w:t>[4]</w:t>
          </w:r>
        </w:sdtContent>
      </w:sdt>
      <w:r>
        <w:rPr>
          <w:rFonts w:ascii="Aptos" w:hAnsi="Aptos"/>
        </w:rPr>
        <w:t>.</w:t>
      </w:r>
    </w:p>
    <w:p w14:paraId="78CD6584" w14:textId="5DED2109" w:rsidR="009C525A" w:rsidRPr="004E76CB" w:rsidRDefault="006D322D" w:rsidP="00CB244E">
      <w:pPr>
        <w:pStyle w:val="ListBullet"/>
        <w:spacing w:after="60" w:line="360" w:lineRule="auto"/>
        <w:ind w:left="432"/>
        <w:rPr>
          <w:rFonts w:ascii="Aptos" w:hAnsi="Aptos"/>
        </w:rPr>
      </w:pPr>
      <w:r>
        <w:rPr>
          <w:rFonts w:ascii="Aptos" w:hAnsi="Aptos"/>
        </w:rPr>
        <w:t>NHS Digital Data Security and Protection (DSP) Toolkit</w:t>
      </w:r>
      <w:r w:rsidR="002E3A2C">
        <w:rPr>
          <w:rFonts w:ascii="Aptos" w:hAnsi="Aptos"/>
        </w:rPr>
        <w:t>,</w:t>
      </w:r>
      <w:r>
        <w:rPr>
          <w:rFonts w:ascii="Aptos" w:hAnsi="Aptos"/>
        </w:rPr>
        <w:t xml:space="preserve"> requires annual self-assessment against the National Data Guardian’s 10 standards</w:t>
      </w:r>
      <w:r>
        <w:rPr>
          <w:rFonts w:ascii="Aptos" w:hAnsi="Aptos"/>
        </w:rPr>
        <w:t>.</w:t>
      </w:r>
    </w:p>
    <w:p w14:paraId="7ABC6093" w14:textId="141C3187" w:rsidR="009C525A" w:rsidRPr="004E76CB" w:rsidRDefault="006D322D" w:rsidP="00CB244E">
      <w:pPr>
        <w:pStyle w:val="ListBullet"/>
        <w:spacing w:after="60" w:line="360" w:lineRule="auto"/>
        <w:ind w:left="432"/>
        <w:rPr>
          <w:rFonts w:ascii="Aptos" w:hAnsi="Aptos"/>
        </w:rPr>
      </w:pPr>
      <w:r>
        <w:rPr>
          <w:rFonts w:ascii="Aptos" w:hAnsi="Aptos"/>
        </w:rPr>
        <w:t>ISO/IEC 27001:2022</w:t>
      </w:r>
      <w:r>
        <w:rPr>
          <w:rFonts w:ascii="Aptos" w:hAnsi="Aptos"/>
        </w:rPr>
        <w:t xml:space="preserve"> international standard for Information Security Management Systems (ISMS)</w:t>
      </w:r>
      <w:r>
        <w:rPr>
          <w:rFonts w:ascii="Aptos" w:hAnsi="Aptos"/>
        </w:rPr>
        <w:t>.</w:t>
      </w:r>
    </w:p>
    <w:p w14:paraId="27D1EFB3" w14:textId="05C88BD1" w:rsidR="009C525A" w:rsidRPr="004E76CB" w:rsidRDefault="006D322D" w:rsidP="00CB244E">
      <w:pPr>
        <w:pStyle w:val="ListBullet"/>
        <w:spacing w:after="60" w:line="360" w:lineRule="auto"/>
        <w:ind w:left="432"/>
        <w:rPr>
          <w:rFonts w:ascii="Aptos" w:hAnsi="Aptos"/>
        </w:rPr>
      </w:pPr>
      <w:r>
        <w:rPr>
          <w:rFonts w:ascii="Aptos" w:hAnsi="Aptos"/>
        </w:rPr>
        <w:t xml:space="preserve">NIST Cybersecurity Framework (CSF) 2.0 </w:t>
      </w:r>
      <w:r>
        <w:rPr>
          <w:rFonts w:ascii="Aptos" w:hAnsi="Aptos"/>
        </w:rPr>
        <w:t>provides Identify, Protect, Detect, Respond, Recover functions</w:t>
      </w:r>
      <w:r w:rsidR="00876292">
        <w:rPr>
          <w:rFonts w:ascii="Aptos" w:hAnsi="Aptos"/>
        </w:rPr>
        <w:t>.</w:t>
      </w:r>
    </w:p>
    <w:p w14:paraId="3BE56917" w14:textId="77777777" w:rsidR="009C525A" w:rsidRPr="004E76CB" w:rsidRDefault="006D322D">
      <w:pPr>
        <w:rPr>
          <w:rFonts w:ascii="Aptos" w:hAnsi="Aptos"/>
        </w:rPr>
      </w:pPr>
      <w:r>
        <w:rPr>
          <w:rFonts w:ascii="Aptos" w:hAnsi="Aptos"/>
        </w:rPr>
        <w:br w:type="page"/>
      </w:r>
    </w:p>
    <w:p w14:paraId="6AFD60A2" w14:textId="77777777" w:rsidR="009C525A" w:rsidRPr="00F374F5" w:rsidRDefault="006D322D">
      <w:pPr>
        <w:pStyle w:val="Heading1"/>
        <w:rPr>
          <w:rFonts w:ascii="Aptos" w:hAnsi="Aptos"/>
          <w:color w:val="1F497D"/>
          <w:sz w:val="36"/>
          <w:szCs w:val="36"/>
        </w:rPr>
      </w:pPr>
      <w:bookmarkStart w:id="3" w:name="_Toc228152693"/>
      <w:r>
        <w:rPr>
          <w:rFonts w:ascii="Aptos" w:hAnsi="Aptos"/>
          <w:color w:val="1F497D"/>
          <w:sz w:val="36"/>
          <w:szCs w:val="36"/>
        </w:rPr>
        <w:lastRenderedPageBreak/>
        <w:t>2. Threat Identification</w:t>
      </w:r>
      <w:bookmarkEnd w:id="3"/>
    </w:p>
    <w:p w14:paraId="74B13748" w14:textId="77777777" w:rsidR="004E76CB" w:rsidRPr="004E76CB" w:rsidRDefault="004E76CB" w:rsidP="004E76CB"/>
    <w:p w14:paraId="1571196B" w14:textId="3F36D285" w:rsidR="009C525A" w:rsidRDefault="006D322D" w:rsidP="00CB244E">
      <w:pPr>
        <w:spacing w:before="40" w:after="120" w:line="360" w:lineRule="auto"/>
        <w:jc w:val="both"/>
        <w:rPr>
          <w:rFonts w:ascii="Aptos" w:hAnsi="Aptos"/>
        </w:rPr>
      </w:pPr>
      <w:r>
        <w:rPr>
          <w:rFonts w:ascii="Aptos" w:hAnsi="Aptos"/>
        </w:rPr>
        <w:t>A systematic threat assessment was conducted using the STRIDE model (Spoofing, Tampering, Repudiation, Information Disclosure, Denial of Service, Elevation of Privilege), informed by the OWASP Top 10, NCSC threat intelligence</w:t>
      </w:r>
      <w:r>
        <w:rPr>
          <w:rFonts w:ascii="Aptos" w:hAnsi="Aptos"/>
        </w:rPr>
        <w:t>, and HPA’s recent incident history.</w:t>
      </w:r>
    </w:p>
    <w:p w14:paraId="12FCD8EC" w14:textId="77777777" w:rsidR="004E76CB" w:rsidRPr="004E76CB" w:rsidRDefault="004E76CB">
      <w:pPr>
        <w:spacing w:before="40" w:after="120"/>
        <w:rPr>
          <w:rFonts w:ascii="Aptos" w:hAnsi="Aptos"/>
        </w:rPr>
      </w:pPr>
    </w:p>
    <w:p w14:paraId="2EE8ED5F" w14:textId="77777777" w:rsidR="009C525A" w:rsidRPr="004E76CB" w:rsidRDefault="006D322D">
      <w:pPr>
        <w:pStyle w:val="Heading2"/>
        <w:rPr>
          <w:rFonts w:ascii="Aptos" w:hAnsi="Aptos"/>
        </w:rPr>
      </w:pPr>
      <w:bookmarkStart w:id="4" w:name="_Toc228152694"/>
      <w:r>
        <w:rPr>
          <w:rFonts w:ascii="Aptos" w:hAnsi="Aptos"/>
          <w:color w:val="1F497D"/>
        </w:rPr>
        <w:t>2.1 External Threats</w:t>
      </w:r>
      <w:bookmarkEnd w:id="4"/>
    </w:p>
    <w:tbl>
      <w:tblPr>
        <w:tblStyle w:val="TableGrid"/>
        <w:tblW w:w="0" w:type="auto"/>
        <w:tblLook w:val="04A0" w:firstRow="1" w:lastRow="0" w:firstColumn="1" w:lastColumn="0" w:noHBand="0" w:noVBand="1"/>
      </w:tblPr>
      <w:tblGrid>
        <w:gridCol w:w="2880"/>
        <w:gridCol w:w="2880"/>
        <w:gridCol w:w="2880"/>
      </w:tblGrid>
      <w:tr w:rsidR="009C525A" w:rsidRPr="004E76CB" w14:paraId="773CAB5C" w14:textId="77777777">
        <w:tc>
          <w:tcPr>
            <w:tcW w:w="2880" w:type="dxa"/>
            <w:shd w:val="clear" w:color="auto" w:fill="2E74B5"/>
          </w:tcPr>
          <w:p w14:paraId="38E724A3" w14:textId="77777777" w:rsidR="009C525A" w:rsidRPr="004E76CB" w:rsidRDefault="006D322D">
            <w:pPr>
              <w:rPr>
                <w:rFonts w:ascii="Aptos" w:hAnsi="Aptos"/>
              </w:rPr>
            </w:pPr>
            <w:r>
              <w:rPr>
                <w:rFonts w:ascii="Aptos" w:hAnsi="Aptos"/>
                <w:b/>
                <w:color w:val="FFFFFF"/>
                <w:sz w:val="20"/>
              </w:rPr>
              <w:t>Threat</w:t>
            </w:r>
          </w:p>
        </w:tc>
        <w:tc>
          <w:tcPr>
            <w:tcW w:w="2880" w:type="dxa"/>
            <w:shd w:val="clear" w:color="auto" w:fill="2E74B5"/>
          </w:tcPr>
          <w:p w14:paraId="167553DD" w14:textId="77777777" w:rsidR="009C525A" w:rsidRPr="004E76CB" w:rsidRDefault="006D322D">
            <w:pPr>
              <w:rPr>
                <w:rFonts w:ascii="Aptos" w:hAnsi="Aptos"/>
              </w:rPr>
            </w:pPr>
            <w:r>
              <w:rPr>
                <w:rFonts w:ascii="Aptos" w:hAnsi="Aptos"/>
                <w:b/>
                <w:color w:val="FFFFFF"/>
                <w:sz w:val="20"/>
              </w:rPr>
              <w:t>Vector</w:t>
            </w:r>
          </w:p>
        </w:tc>
        <w:tc>
          <w:tcPr>
            <w:tcW w:w="2880" w:type="dxa"/>
            <w:shd w:val="clear" w:color="auto" w:fill="2E74B5"/>
          </w:tcPr>
          <w:p w14:paraId="2E1F062D" w14:textId="77777777" w:rsidR="009C525A" w:rsidRPr="004E76CB" w:rsidRDefault="006D322D">
            <w:pPr>
              <w:rPr>
                <w:rFonts w:ascii="Aptos" w:hAnsi="Aptos"/>
              </w:rPr>
            </w:pPr>
            <w:r>
              <w:rPr>
                <w:rFonts w:ascii="Aptos" w:hAnsi="Aptos"/>
                <w:b/>
                <w:color w:val="FFFFFF"/>
                <w:sz w:val="20"/>
              </w:rPr>
              <w:t>Likelihood / Impact</w:t>
            </w:r>
          </w:p>
        </w:tc>
      </w:tr>
      <w:tr w:rsidR="009C525A" w:rsidRPr="004E76CB" w14:paraId="05C51DA9" w14:textId="77777777">
        <w:tc>
          <w:tcPr>
            <w:tcW w:w="2880" w:type="dxa"/>
          </w:tcPr>
          <w:p w14:paraId="6D86DF68" w14:textId="77777777" w:rsidR="009C525A" w:rsidRPr="004E76CB" w:rsidRDefault="006D322D">
            <w:pPr>
              <w:rPr>
                <w:rFonts w:ascii="Aptos" w:hAnsi="Aptos"/>
              </w:rPr>
            </w:pPr>
            <w:r>
              <w:rPr>
                <w:rFonts w:ascii="Aptos" w:hAnsi="Aptos"/>
                <w:sz w:val="20"/>
              </w:rPr>
              <w:t>Ransomware</w:t>
            </w:r>
          </w:p>
        </w:tc>
        <w:tc>
          <w:tcPr>
            <w:tcW w:w="2880" w:type="dxa"/>
          </w:tcPr>
          <w:p w14:paraId="6A3583B4" w14:textId="77777777" w:rsidR="009C525A" w:rsidRPr="004E76CB" w:rsidRDefault="006D322D">
            <w:pPr>
              <w:rPr>
                <w:rFonts w:ascii="Aptos" w:hAnsi="Aptos"/>
              </w:rPr>
            </w:pPr>
            <w:r>
              <w:rPr>
                <w:rFonts w:ascii="Aptos" w:hAnsi="Aptos"/>
                <w:sz w:val="20"/>
              </w:rPr>
              <w:t>Phishing emails, RDP exploitation, unpatched software</w:t>
            </w:r>
          </w:p>
        </w:tc>
        <w:tc>
          <w:tcPr>
            <w:tcW w:w="2880" w:type="dxa"/>
          </w:tcPr>
          <w:p w14:paraId="220A7206" w14:textId="77777777" w:rsidR="009C525A" w:rsidRPr="004E76CB" w:rsidRDefault="006D322D">
            <w:pPr>
              <w:rPr>
                <w:rFonts w:ascii="Aptos" w:hAnsi="Aptos"/>
              </w:rPr>
            </w:pPr>
            <w:r>
              <w:rPr>
                <w:rFonts w:ascii="Aptos" w:hAnsi="Aptos"/>
                <w:sz w:val="20"/>
              </w:rPr>
              <w:t>High / Critical</w:t>
            </w:r>
          </w:p>
        </w:tc>
      </w:tr>
      <w:tr w:rsidR="009C525A" w:rsidRPr="004E76CB" w14:paraId="1FA8CFE6" w14:textId="77777777">
        <w:tc>
          <w:tcPr>
            <w:tcW w:w="2880" w:type="dxa"/>
          </w:tcPr>
          <w:p w14:paraId="760F88D3" w14:textId="77777777" w:rsidR="009C525A" w:rsidRPr="004E76CB" w:rsidRDefault="006D322D">
            <w:pPr>
              <w:rPr>
                <w:rFonts w:ascii="Aptos" w:hAnsi="Aptos"/>
              </w:rPr>
            </w:pPr>
            <w:r>
              <w:rPr>
                <w:rFonts w:ascii="Aptos" w:hAnsi="Aptos"/>
                <w:sz w:val="20"/>
              </w:rPr>
              <w:t>Phishing &amp; Spear-Phishing</w:t>
            </w:r>
          </w:p>
        </w:tc>
        <w:tc>
          <w:tcPr>
            <w:tcW w:w="2880" w:type="dxa"/>
          </w:tcPr>
          <w:p w14:paraId="4D00FBD7" w14:textId="77777777" w:rsidR="009C525A" w:rsidRPr="004E76CB" w:rsidRDefault="006D322D">
            <w:pPr>
              <w:rPr>
                <w:rFonts w:ascii="Aptos" w:hAnsi="Aptos"/>
              </w:rPr>
            </w:pPr>
            <w:r>
              <w:rPr>
                <w:rFonts w:ascii="Aptos" w:hAnsi="Aptos"/>
                <w:sz w:val="20"/>
              </w:rPr>
              <w:t>Email, SMS (smishing), voice (vishing)</w:t>
            </w:r>
          </w:p>
        </w:tc>
        <w:tc>
          <w:tcPr>
            <w:tcW w:w="2880" w:type="dxa"/>
          </w:tcPr>
          <w:p w14:paraId="39CA443E" w14:textId="77777777" w:rsidR="009C525A" w:rsidRPr="004E76CB" w:rsidRDefault="006D322D">
            <w:pPr>
              <w:rPr>
                <w:rFonts w:ascii="Aptos" w:hAnsi="Aptos"/>
              </w:rPr>
            </w:pPr>
            <w:r>
              <w:rPr>
                <w:rFonts w:ascii="Aptos" w:hAnsi="Aptos"/>
                <w:sz w:val="20"/>
              </w:rPr>
              <w:t>High / High</w:t>
            </w:r>
          </w:p>
        </w:tc>
      </w:tr>
      <w:tr w:rsidR="009C525A" w:rsidRPr="004E76CB" w14:paraId="6D5B4CED" w14:textId="77777777">
        <w:tc>
          <w:tcPr>
            <w:tcW w:w="2880" w:type="dxa"/>
          </w:tcPr>
          <w:p w14:paraId="2A3C6813" w14:textId="77777777" w:rsidR="009C525A" w:rsidRPr="004E76CB" w:rsidRDefault="006D322D">
            <w:pPr>
              <w:rPr>
                <w:rFonts w:ascii="Aptos" w:hAnsi="Aptos"/>
              </w:rPr>
            </w:pPr>
            <w:r>
              <w:rPr>
                <w:rFonts w:ascii="Aptos" w:hAnsi="Aptos"/>
                <w:sz w:val="20"/>
              </w:rPr>
              <w:t>Advanced Persistent Threats (APTs)</w:t>
            </w:r>
          </w:p>
        </w:tc>
        <w:tc>
          <w:tcPr>
            <w:tcW w:w="2880" w:type="dxa"/>
          </w:tcPr>
          <w:p w14:paraId="6A71593F" w14:textId="77777777" w:rsidR="009C525A" w:rsidRPr="004E76CB" w:rsidRDefault="006D322D">
            <w:pPr>
              <w:rPr>
                <w:rFonts w:ascii="Aptos" w:hAnsi="Aptos"/>
              </w:rPr>
            </w:pPr>
            <w:r>
              <w:rPr>
                <w:rFonts w:ascii="Aptos" w:hAnsi="Aptos"/>
                <w:sz w:val="20"/>
              </w:rPr>
              <w:t>Supply-chain compromise, zero-day exploits</w:t>
            </w:r>
          </w:p>
        </w:tc>
        <w:tc>
          <w:tcPr>
            <w:tcW w:w="2880" w:type="dxa"/>
          </w:tcPr>
          <w:p w14:paraId="1979B682" w14:textId="77777777" w:rsidR="009C525A" w:rsidRPr="004E76CB" w:rsidRDefault="006D322D">
            <w:pPr>
              <w:rPr>
                <w:rFonts w:ascii="Aptos" w:hAnsi="Aptos"/>
              </w:rPr>
            </w:pPr>
            <w:r>
              <w:rPr>
                <w:rFonts w:ascii="Aptos" w:hAnsi="Aptos"/>
                <w:sz w:val="20"/>
              </w:rPr>
              <w:t>Medium / Critical</w:t>
            </w:r>
          </w:p>
        </w:tc>
      </w:tr>
      <w:tr w:rsidR="009C525A" w:rsidRPr="004E76CB" w14:paraId="766349A5" w14:textId="77777777">
        <w:tc>
          <w:tcPr>
            <w:tcW w:w="2880" w:type="dxa"/>
          </w:tcPr>
          <w:p w14:paraId="62A306AC" w14:textId="77777777" w:rsidR="009C525A" w:rsidRPr="004E76CB" w:rsidRDefault="006D322D">
            <w:pPr>
              <w:rPr>
                <w:rFonts w:ascii="Aptos" w:hAnsi="Aptos"/>
              </w:rPr>
            </w:pPr>
            <w:r>
              <w:rPr>
                <w:rFonts w:ascii="Aptos" w:hAnsi="Aptos"/>
                <w:sz w:val="20"/>
              </w:rPr>
              <w:t>DDoS Attacks</w:t>
            </w:r>
          </w:p>
        </w:tc>
        <w:tc>
          <w:tcPr>
            <w:tcW w:w="2880" w:type="dxa"/>
          </w:tcPr>
          <w:p w14:paraId="2343E7F3" w14:textId="77777777" w:rsidR="009C525A" w:rsidRPr="004E76CB" w:rsidRDefault="006D322D">
            <w:pPr>
              <w:rPr>
                <w:rFonts w:ascii="Aptos" w:hAnsi="Aptos"/>
              </w:rPr>
            </w:pPr>
            <w:r>
              <w:rPr>
                <w:rFonts w:ascii="Aptos" w:hAnsi="Aptos"/>
                <w:sz w:val="20"/>
              </w:rPr>
              <w:t>Botnet-driven volumetric attack on patient portals</w:t>
            </w:r>
          </w:p>
        </w:tc>
        <w:tc>
          <w:tcPr>
            <w:tcW w:w="2880" w:type="dxa"/>
          </w:tcPr>
          <w:p w14:paraId="7F262B97" w14:textId="77777777" w:rsidR="009C525A" w:rsidRPr="004E76CB" w:rsidRDefault="006D322D">
            <w:pPr>
              <w:rPr>
                <w:rFonts w:ascii="Aptos" w:hAnsi="Aptos"/>
              </w:rPr>
            </w:pPr>
            <w:r>
              <w:rPr>
                <w:rFonts w:ascii="Aptos" w:hAnsi="Aptos"/>
                <w:sz w:val="20"/>
              </w:rPr>
              <w:t>Medium / High</w:t>
            </w:r>
          </w:p>
        </w:tc>
      </w:tr>
      <w:tr w:rsidR="009C525A" w:rsidRPr="004E76CB" w14:paraId="69800D44" w14:textId="77777777">
        <w:tc>
          <w:tcPr>
            <w:tcW w:w="2880" w:type="dxa"/>
          </w:tcPr>
          <w:p w14:paraId="5A0D40A4" w14:textId="77777777" w:rsidR="009C525A" w:rsidRPr="004E76CB" w:rsidRDefault="006D322D">
            <w:pPr>
              <w:rPr>
                <w:rFonts w:ascii="Aptos" w:hAnsi="Aptos"/>
              </w:rPr>
            </w:pPr>
            <w:r>
              <w:rPr>
                <w:rFonts w:ascii="Aptos" w:hAnsi="Aptos"/>
                <w:sz w:val="20"/>
              </w:rPr>
              <w:t>Man-in-the-Middle (MitM)</w:t>
            </w:r>
          </w:p>
        </w:tc>
        <w:tc>
          <w:tcPr>
            <w:tcW w:w="2880" w:type="dxa"/>
          </w:tcPr>
          <w:p w14:paraId="4975BD9A" w14:textId="77777777" w:rsidR="009C525A" w:rsidRPr="004E76CB" w:rsidRDefault="006D322D">
            <w:pPr>
              <w:rPr>
                <w:rFonts w:ascii="Aptos" w:hAnsi="Aptos"/>
              </w:rPr>
            </w:pPr>
            <w:r>
              <w:rPr>
                <w:rFonts w:ascii="Aptos" w:hAnsi="Aptos"/>
                <w:sz w:val="20"/>
              </w:rPr>
              <w:t>Unsecured Wi-Fi, TLS stripping on home networks</w:t>
            </w:r>
          </w:p>
        </w:tc>
        <w:tc>
          <w:tcPr>
            <w:tcW w:w="2880" w:type="dxa"/>
          </w:tcPr>
          <w:p w14:paraId="44F7979C" w14:textId="77777777" w:rsidR="009C525A" w:rsidRPr="004E76CB" w:rsidRDefault="006D322D">
            <w:pPr>
              <w:rPr>
                <w:rFonts w:ascii="Aptos" w:hAnsi="Aptos"/>
              </w:rPr>
            </w:pPr>
            <w:r>
              <w:rPr>
                <w:rFonts w:ascii="Aptos" w:hAnsi="Aptos"/>
                <w:sz w:val="20"/>
              </w:rPr>
              <w:t>Medium / High</w:t>
            </w:r>
          </w:p>
        </w:tc>
      </w:tr>
      <w:tr w:rsidR="009C525A" w:rsidRPr="004E76CB" w14:paraId="2B53E901" w14:textId="77777777">
        <w:tc>
          <w:tcPr>
            <w:tcW w:w="2880" w:type="dxa"/>
          </w:tcPr>
          <w:p w14:paraId="7089E27C" w14:textId="77777777" w:rsidR="009C525A" w:rsidRPr="004E76CB" w:rsidRDefault="006D322D">
            <w:pPr>
              <w:rPr>
                <w:rFonts w:ascii="Aptos" w:hAnsi="Aptos"/>
              </w:rPr>
            </w:pPr>
            <w:r>
              <w:rPr>
                <w:rFonts w:ascii="Aptos" w:hAnsi="Aptos"/>
                <w:sz w:val="20"/>
              </w:rPr>
              <w:t>Third-Party/Supply Chain Attack</w:t>
            </w:r>
          </w:p>
        </w:tc>
        <w:tc>
          <w:tcPr>
            <w:tcW w:w="2880" w:type="dxa"/>
          </w:tcPr>
          <w:p w14:paraId="74C2A7C1" w14:textId="77777777" w:rsidR="009C525A" w:rsidRPr="004E76CB" w:rsidRDefault="006D322D">
            <w:pPr>
              <w:rPr>
                <w:rFonts w:ascii="Aptos" w:hAnsi="Aptos"/>
              </w:rPr>
            </w:pPr>
            <w:r>
              <w:rPr>
                <w:rFonts w:ascii="Aptos" w:hAnsi="Aptos"/>
                <w:sz w:val="20"/>
              </w:rPr>
              <w:t>Compromised NHS-connected vendors or cloud APIs</w:t>
            </w:r>
          </w:p>
        </w:tc>
        <w:tc>
          <w:tcPr>
            <w:tcW w:w="2880" w:type="dxa"/>
          </w:tcPr>
          <w:p w14:paraId="6AAA88ED" w14:textId="77777777" w:rsidR="009C525A" w:rsidRPr="004E76CB" w:rsidRDefault="006D322D">
            <w:pPr>
              <w:rPr>
                <w:rFonts w:ascii="Aptos" w:hAnsi="Aptos"/>
              </w:rPr>
            </w:pPr>
            <w:r>
              <w:rPr>
                <w:rFonts w:ascii="Aptos" w:hAnsi="Aptos"/>
                <w:sz w:val="20"/>
              </w:rPr>
              <w:t>Medium / Critical</w:t>
            </w:r>
          </w:p>
        </w:tc>
      </w:tr>
    </w:tbl>
    <w:p w14:paraId="4D1E9D56" w14:textId="77777777" w:rsidR="009C525A" w:rsidRPr="004E76CB" w:rsidRDefault="009C525A">
      <w:pPr>
        <w:rPr>
          <w:rFonts w:ascii="Aptos" w:hAnsi="Aptos"/>
        </w:rPr>
      </w:pPr>
    </w:p>
    <w:p w14:paraId="2A86BB25" w14:textId="77777777" w:rsidR="009C525A" w:rsidRPr="004E76CB" w:rsidRDefault="006D322D">
      <w:pPr>
        <w:pStyle w:val="Heading2"/>
        <w:rPr>
          <w:rFonts w:ascii="Aptos" w:hAnsi="Aptos"/>
        </w:rPr>
      </w:pPr>
      <w:bookmarkStart w:id="5" w:name="_Toc228152695"/>
      <w:r>
        <w:rPr>
          <w:rFonts w:ascii="Aptos" w:hAnsi="Aptos"/>
          <w:color w:val="1F497D"/>
        </w:rPr>
        <w:t>2.2 Internal Threats</w:t>
      </w:r>
      <w:bookmarkEnd w:id="5"/>
    </w:p>
    <w:tbl>
      <w:tblPr>
        <w:tblStyle w:val="TableGrid"/>
        <w:tblW w:w="0" w:type="auto"/>
        <w:tblLook w:val="04A0" w:firstRow="1" w:lastRow="0" w:firstColumn="1" w:lastColumn="0" w:noHBand="0" w:noVBand="1"/>
      </w:tblPr>
      <w:tblGrid>
        <w:gridCol w:w="2880"/>
        <w:gridCol w:w="2880"/>
        <w:gridCol w:w="2880"/>
      </w:tblGrid>
      <w:tr w:rsidR="009C525A" w:rsidRPr="004E76CB" w14:paraId="0F73A4F9" w14:textId="77777777">
        <w:tc>
          <w:tcPr>
            <w:tcW w:w="2880" w:type="dxa"/>
            <w:shd w:val="clear" w:color="auto" w:fill="2E74B5"/>
          </w:tcPr>
          <w:p w14:paraId="0DC63830" w14:textId="77777777" w:rsidR="009C525A" w:rsidRPr="004E76CB" w:rsidRDefault="006D322D">
            <w:pPr>
              <w:rPr>
                <w:rFonts w:ascii="Aptos" w:hAnsi="Aptos"/>
              </w:rPr>
            </w:pPr>
            <w:r>
              <w:rPr>
                <w:rFonts w:ascii="Aptos" w:hAnsi="Aptos"/>
                <w:b/>
                <w:color w:val="FFFFFF"/>
                <w:sz w:val="20"/>
              </w:rPr>
              <w:t>Threat</w:t>
            </w:r>
          </w:p>
        </w:tc>
        <w:tc>
          <w:tcPr>
            <w:tcW w:w="2880" w:type="dxa"/>
            <w:shd w:val="clear" w:color="auto" w:fill="2E74B5"/>
          </w:tcPr>
          <w:p w14:paraId="08663054" w14:textId="77777777" w:rsidR="009C525A" w:rsidRPr="004E76CB" w:rsidRDefault="006D322D">
            <w:pPr>
              <w:rPr>
                <w:rFonts w:ascii="Aptos" w:hAnsi="Aptos"/>
              </w:rPr>
            </w:pPr>
            <w:r>
              <w:rPr>
                <w:rFonts w:ascii="Aptos" w:hAnsi="Aptos"/>
                <w:b/>
                <w:color w:val="FFFFFF"/>
                <w:sz w:val="20"/>
              </w:rPr>
              <w:t>Description</w:t>
            </w:r>
          </w:p>
        </w:tc>
        <w:tc>
          <w:tcPr>
            <w:tcW w:w="2880" w:type="dxa"/>
            <w:shd w:val="clear" w:color="auto" w:fill="2E74B5"/>
          </w:tcPr>
          <w:p w14:paraId="5358C468" w14:textId="77777777" w:rsidR="009C525A" w:rsidRPr="004E76CB" w:rsidRDefault="006D322D">
            <w:pPr>
              <w:rPr>
                <w:rFonts w:ascii="Aptos" w:hAnsi="Aptos"/>
              </w:rPr>
            </w:pPr>
            <w:r>
              <w:rPr>
                <w:rFonts w:ascii="Aptos" w:hAnsi="Aptos"/>
                <w:b/>
                <w:color w:val="FFFFFF"/>
                <w:sz w:val="20"/>
              </w:rPr>
              <w:t>Likelihood / Impact</w:t>
            </w:r>
          </w:p>
        </w:tc>
      </w:tr>
      <w:tr w:rsidR="009C525A" w:rsidRPr="004E76CB" w14:paraId="67410125" w14:textId="77777777">
        <w:tc>
          <w:tcPr>
            <w:tcW w:w="2880" w:type="dxa"/>
          </w:tcPr>
          <w:p w14:paraId="628C9A1B" w14:textId="77777777" w:rsidR="009C525A" w:rsidRPr="004E76CB" w:rsidRDefault="006D322D">
            <w:pPr>
              <w:rPr>
                <w:rFonts w:ascii="Aptos" w:hAnsi="Aptos"/>
              </w:rPr>
            </w:pPr>
            <w:r>
              <w:rPr>
                <w:rFonts w:ascii="Aptos" w:hAnsi="Aptos"/>
                <w:sz w:val="20"/>
              </w:rPr>
              <w:t>Malicious Insider</w:t>
            </w:r>
          </w:p>
        </w:tc>
        <w:tc>
          <w:tcPr>
            <w:tcW w:w="2880" w:type="dxa"/>
          </w:tcPr>
          <w:p w14:paraId="4700D9BF" w14:textId="77777777" w:rsidR="009C525A" w:rsidRPr="004E76CB" w:rsidRDefault="006D322D">
            <w:pPr>
              <w:rPr>
                <w:rFonts w:ascii="Aptos" w:hAnsi="Aptos"/>
              </w:rPr>
            </w:pPr>
            <w:r>
              <w:rPr>
                <w:rFonts w:ascii="Aptos" w:hAnsi="Aptos"/>
                <w:sz w:val="20"/>
              </w:rPr>
              <w:t>Disgruntled or financially motivated employee exfiltrating patient records</w:t>
            </w:r>
          </w:p>
        </w:tc>
        <w:tc>
          <w:tcPr>
            <w:tcW w:w="2880" w:type="dxa"/>
          </w:tcPr>
          <w:p w14:paraId="06AE495C" w14:textId="77777777" w:rsidR="009C525A" w:rsidRPr="004E76CB" w:rsidRDefault="006D322D">
            <w:pPr>
              <w:rPr>
                <w:rFonts w:ascii="Aptos" w:hAnsi="Aptos"/>
              </w:rPr>
            </w:pPr>
            <w:r>
              <w:rPr>
                <w:rFonts w:ascii="Aptos" w:hAnsi="Aptos"/>
                <w:sz w:val="20"/>
              </w:rPr>
              <w:t>Low / Critical</w:t>
            </w:r>
          </w:p>
        </w:tc>
      </w:tr>
      <w:tr w:rsidR="009C525A" w:rsidRPr="004E76CB" w14:paraId="11A1FBC9" w14:textId="77777777">
        <w:tc>
          <w:tcPr>
            <w:tcW w:w="2880" w:type="dxa"/>
          </w:tcPr>
          <w:p w14:paraId="43D5E785" w14:textId="77777777" w:rsidR="009C525A" w:rsidRPr="004E76CB" w:rsidRDefault="006D322D">
            <w:pPr>
              <w:rPr>
                <w:rFonts w:ascii="Aptos" w:hAnsi="Aptos"/>
              </w:rPr>
            </w:pPr>
            <w:r>
              <w:rPr>
                <w:rFonts w:ascii="Aptos" w:hAnsi="Aptos"/>
                <w:sz w:val="20"/>
              </w:rPr>
              <w:t>Negligent Insider</w:t>
            </w:r>
          </w:p>
        </w:tc>
        <w:tc>
          <w:tcPr>
            <w:tcW w:w="2880" w:type="dxa"/>
          </w:tcPr>
          <w:p w14:paraId="001FB58F" w14:textId="77777777" w:rsidR="009C525A" w:rsidRPr="004E76CB" w:rsidRDefault="006D322D">
            <w:pPr>
              <w:rPr>
                <w:rFonts w:ascii="Aptos" w:hAnsi="Aptos"/>
              </w:rPr>
            </w:pPr>
            <w:r>
              <w:rPr>
                <w:rFonts w:ascii="Aptos" w:hAnsi="Aptos"/>
                <w:sz w:val="20"/>
              </w:rPr>
              <w:t>Accidental data exposure via misconfigured cloud storage or unencrypted email</w:t>
            </w:r>
          </w:p>
        </w:tc>
        <w:tc>
          <w:tcPr>
            <w:tcW w:w="2880" w:type="dxa"/>
          </w:tcPr>
          <w:p w14:paraId="5B84D310" w14:textId="77777777" w:rsidR="009C525A" w:rsidRPr="004E76CB" w:rsidRDefault="006D322D">
            <w:pPr>
              <w:rPr>
                <w:rFonts w:ascii="Aptos" w:hAnsi="Aptos"/>
              </w:rPr>
            </w:pPr>
            <w:r>
              <w:rPr>
                <w:rFonts w:ascii="Aptos" w:hAnsi="Aptos"/>
                <w:sz w:val="20"/>
              </w:rPr>
              <w:t>High / High</w:t>
            </w:r>
          </w:p>
        </w:tc>
      </w:tr>
      <w:tr w:rsidR="009C525A" w:rsidRPr="004E76CB" w14:paraId="40183307" w14:textId="77777777">
        <w:tc>
          <w:tcPr>
            <w:tcW w:w="2880" w:type="dxa"/>
          </w:tcPr>
          <w:p w14:paraId="0E451042" w14:textId="77777777" w:rsidR="009C525A" w:rsidRPr="004E76CB" w:rsidRDefault="006D322D">
            <w:pPr>
              <w:rPr>
                <w:rFonts w:ascii="Aptos" w:hAnsi="Aptos"/>
              </w:rPr>
            </w:pPr>
            <w:r>
              <w:rPr>
                <w:rFonts w:ascii="Aptos" w:hAnsi="Aptos"/>
                <w:sz w:val="20"/>
              </w:rPr>
              <w:t>BYOD Misuse</w:t>
            </w:r>
          </w:p>
        </w:tc>
        <w:tc>
          <w:tcPr>
            <w:tcW w:w="2880" w:type="dxa"/>
          </w:tcPr>
          <w:p w14:paraId="0A8D7D56" w14:textId="77777777" w:rsidR="009C525A" w:rsidRPr="004E76CB" w:rsidRDefault="006D322D">
            <w:pPr>
              <w:rPr>
                <w:rFonts w:ascii="Aptos" w:hAnsi="Aptos"/>
              </w:rPr>
            </w:pPr>
            <w:r>
              <w:rPr>
                <w:rFonts w:ascii="Aptos" w:hAnsi="Aptos"/>
                <w:sz w:val="20"/>
              </w:rPr>
              <w:t>Personal devices without MDM accessing corporate systems over public Wi-Fi</w:t>
            </w:r>
          </w:p>
        </w:tc>
        <w:tc>
          <w:tcPr>
            <w:tcW w:w="2880" w:type="dxa"/>
          </w:tcPr>
          <w:p w14:paraId="710DF90C" w14:textId="77777777" w:rsidR="009C525A" w:rsidRPr="004E76CB" w:rsidRDefault="006D322D">
            <w:pPr>
              <w:rPr>
                <w:rFonts w:ascii="Aptos" w:hAnsi="Aptos"/>
              </w:rPr>
            </w:pPr>
            <w:r>
              <w:rPr>
                <w:rFonts w:ascii="Aptos" w:hAnsi="Aptos"/>
                <w:sz w:val="20"/>
              </w:rPr>
              <w:t>High / High</w:t>
            </w:r>
          </w:p>
        </w:tc>
      </w:tr>
      <w:tr w:rsidR="009C525A" w:rsidRPr="004E76CB" w14:paraId="2DEBDFE1" w14:textId="77777777">
        <w:tc>
          <w:tcPr>
            <w:tcW w:w="2880" w:type="dxa"/>
          </w:tcPr>
          <w:p w14:paraId="7B6A5C25" w14:textId="77777777" w:rsidR="009C525A" w:rsidRPr="004E76CB" w:rsidRDefault="006D322D">
            <w:pPr>
              <w:rPr>
                <w:rFonts w:ascii="Aptos" w:hAnsi="Aptos"/>
              </w:rPr>
            </w:pPr>
            <w:r>
              <w:rPr>
                <w:rFonts w:ascii="Aptos" w:hAnsi="Aptos"/>
                <w:sz w:val="20"/>
              </w:rPr>
              <w:t>Privilege Abuse</w:t>
            </w:r>
          </w:p>
        </w:tc>
        <w:tc>
          <w:tcPr>
            <w:tcW w:w="2880" w:type="dxa"/>
          </w:tcPr>
          <w:p w14:paraId="3A5DF805" w14:textId="77777777" w:rsidR="009C525A" w:rsidRPr="004E76CB" w:rsidRDefault="006D322D">
            <w:pPr>
              <w:rPr>
                <w:rFonts w:ascii="Aptos" w:hAnsi="Aptos"/>
              </w:rPr>
            </w:pPr>
            <w:r>
              <w:rPr>
                <w:rFonts w:ascii="Aptos" w:hAnsi="Aptos"/>
                <w:sz w:val="20"/>
              </w:rPr>
              <w:t>Excessive access rights enabling unauthorised queries on patient databases</w:t>
            </w:r>
          </w:p>
        </w:tc>
        <w:tc>
          <w:tcPr>
            <w:tcW w:w="2880" w:type="dxa"/>
          </w:tcPr>
          <w:p w14:paraId="4200A5F8" w14:textId="77777777" w:rsidR="009C525A" w:rsidRPr="004E76CB" w:rsidRDefault="006D322D">
            <w:pPr>
              <w:rPr>
                <w:rFonts w:ascii="Aptos" w:hAnsi="Aptos"/>
              </w:rPr>
            </w:pPr>
            <w:r>
              <w:rPr>
                <w:rFonts w:ascii="Aptos" w:hAnsi="Aptos"/>
                <w:sz w:val="20"/>
              </w:rPr>
              <w:t>Medium / Critical</w:t>
            </w:r>
          </w:p>
        </w:tc>
      </w:tr>
      <w:tr w:rsidR="009C525A" w:rsidRPr="004E76CB" w14:paraId="44570835" w14:textId="77777777">
        <w:tc>
          <w:tcPr>
            <w:tcW w:w="2880" w:type="dxa"/>
          </w:tcPr>
          <w:p w14:paraId="4CF88AD6" w14:textId="77777777" w:rsidR="009C525A" w:rsidRPr="004E76CB" w:rsidRDefault="006D322D">
            <w:pPr>
              <w:rPr>
                <w:rFonts w:ascii="Aptos" w:hAnsi="Aptos"/>
              </w:rPr>
            </w:pPr>
            <w:r>
              <w:rPr>
                <w:rFonts w:ascii="Aptos" w:hAnsi="Aptos"/>
                <w:sz w:val="20"/>
              </w:rPr>
              <w:t>Shadow IT</w:t>
            </w:r>
          </w:p>
        </w:tc>
        <w:tc>
          <w:tcPr>
            <w:tcW w:w="2880" w:type="dxa"/>
          </w:tcPr>
          <w:p w14:paraId="75F3143F" w14:textId="77777777" w:rsidR="009C525A" w:rsidRPr="004E76CB" w:rsidRDefault="006D322D">
            <w:pPr>
              <w:rPr>
                <w:rFonts w:ascii="Aptos" w:hAnsi="Aptos"/>
              </w:rPr>
            </w:pPr>
            <w:r>
              <w:rPr>
                <w:rFonts w:ascii="Aptos" w:hAnsi="Aptos"/>
                <w:sz w:val="20"/>
              </w:rPr>
              <w:t>Unapproved cloud apps storing patient data outside governed systems</w:t>
            </w:r>
          </w:p>
        </w:tc>
        <w:tc>
          <w:tcPr>
            <w:tcW w:w="2880" w:type="dxa"/>
          </w:tcPr>
          <w:p w14:paraId="095CB34B" w14:textId="77777777" w:rsidR="009C525A" w:rsidRPr="004E76CB" w:rsidRDefault="006D322D">
            <w:pPr>
              <w:rPr>
                <w:rFonts w:ascii="Aptos" w:hAnsi="Aptos"/>
              </w:rPr>
            </w:pPr>
            <w:r>
              <w:rPr>
                <w:rFonts w:ascii="Aptos" w:hAnsi="Aptos"/>
                <w:sz w:val="20"/>
              </w:rPr>
              <w:t>Medium / High</w:t>
            </w:r>
          </w:p>
        </w:tc>
      </w:tr>
    </w:tbl>
    <w:p w14:paraId="59E2A96D" w14:textId="77777777" w:rsidR="009C525A" w:rsidRPr="004E76CB" w:rsidRDefault="006D322D">
      <w:pPr>
        <w:rPr>
          <w:rFonts w:ascii="Aptos" w:hAnsi="Aptos"/>
        </w:rPr>
      </w:pPr>
      <w:r>
        <w:rPr>
          <w:rFonts w:ascii="Aptos" w:hAnsi="Aptos"/>
        </w:rPr>
        <w:br w:type="page"/>
      </w:r>
    </w:p>
    <w:p w14:paraId="678AA212" w14:textId="77777777" w:rsidR="009C525A" w:rsidRDefault="006D322D">
      <w:pPr>
        <w:pStyle w:val="Heading1"/>
        <w:rPr>
          <w:rFonts w:ascii="Aptos" w:hAnsi="Aptos"/>
          <w:color w:val="1F497D"/>
          <w:sz w:val="36"/>
          <w:szCs w:val="36"/>
        </w:rPr>
      </w:pPr>
      <w:bookmarkStart w:id="6" w:name="_Toc228152696"/>
      <w:r>
        <w:rPr>
          <w:rFonts w:ascii="Aptos" w:hAnsi="Aptos"/>
          <w:color w:val="1F497D"/>
          <w:sz w:val="36"/>
          <w:szCs w:val="36"/>
        </w:rPr>
        <w:lastRenderedPageBreak/>
        <w:t>3. Security Policies</w:t>
      </w:r>
      <w:bookmarkEnd w:id="6"/>
    </w:p>
    <w:p w14:paraId="0739EBD1" w14:textId="77777777" w:rsidR="00F374F5" w:rsidRPr="00F374F5" w:rsidRDefault="00F374F5" w:rsidP="00F374F5"/>
    <w:p w14:paraId="4C7886D2" w14:textId="6236F41C" w:rsidR="009C525A" w:rsidRDefault="006D322D" w:rsidP="004E76CB">
      <w:pPr>
        <w:spacing w:before="40" w:after="120" w:line="360" w:lineRule="auto"/>
        <w:jc w:val="both"/>
        <w:rPr>
          <w:rFonts w:ascii="Aptos" w:hAnsi="Aptos"/>
        </w:rPr>
      </w:pPr>
      <w:r>
        <w:rPr>
          <w:rFonts w:ascii="Aptos" w:hAnsi="Aptos"/>
        </w:rPr>
        <w:t>The following policies are developed in alignment with ISO 27001 Annex A controls</w:t>
      </w:r>
      <w:r>
        <w:rPr>
          <w:rFonts w:ascii="Aptos" w:hAnsi="Aptos"/>
        </w:rPr>
        <w:t>, the NIST CSF</w:t>
      </w:r>
      <w:r>
        <w:rPr>
          <w:rFonts w:ascii="Aptos" w:hAnsi="Aptos"/>
        </w:rPr>
        <w:t>, and UK GDPR requirements</w:t>
      </w:r>
      <w:r>
        <w:rPr>
          <w:rFonts w:ascii="Aptos" w:hAnsi="Aptos"/>
        </w:rPr>
        <w:t>. Each policy addresses specific threat vectors identified in Section 2.</w:t>
      </w:r>
    </w:p>
    <w:p w14:paraId="186CE35B" w14:textId="77777777" w:rsidR="004E76CB" w:rsidRPr="004E76CB" w:rsidRDefault="004E76CB">
      <w:pPr>
        <w:spacing w:before="40" w:after="120"/>
        <w:rPr>
          <w:rFonts w:ascii="Aptos" w:hAnsi="Aptos"/>
        </w:rPr>
      </w:pPr>
    </w:p>
    <w:p w14:paraId="46D910E9" w14:textId="77777777" w:rsidR="009C525A" w:rsidRPr="004E76CB" w:rsidRDefault="006D322D">
      <w:pPr>
        <w:pStyle w:val="Heading2"/>
        <w:rPr>
          <w:rFonts w:ascii="Aptos" w:hAnsi="Aptos"/>
        </w:rPr>
      </w:pPr>
      <w:bookmarkStart w:id="7" w:name="_Toc228152697"/>
      <w:r>
        <w:rPr>
          <w:rFonts w:ascii="Aptos" w:hAnsi="Aptos"/>
          <w:color w:val="1F497D"/>
        </w:rPr>
        <w:t>3.1 Information Security Policy</w:t>
      </w:r>
      <w:bookmarkEnd w:id="7"/>
    </w:p>
    <w:p w14:paraId="106AA6B2" w14:textId="77777777" w:rsidR="009C525A" w:rsidRDefault="006D322D" w:rsidP="004E76CB">
      <w:pPr>
        <w:spacing w:before="40" w:after="120" w:line="360" w:lineRule="auto"/>
        <w:jc w:val="both"/>
        <w:rPr>
          <w:rFonts w:ascii="Aptos" w:hAnsi="Aptos"/>
        </w:rPr>
      </w:pPr>
      <w:r>
        <w:rPr>
          <w:rFonts w:ascii="Aptos" w:hAnsi="Aptos"/>
        </w:rPr>
        <w:t>Establishes HPA's commitment to protecting the confidentiality, integrity, and availability of all patient and organisational data. All employees must acknowledge this policy annually. Violations are subject to disciplinary action up to and including termination and referral to regulatory authorities.</w:t>
      </w:r>
    </w:p>
    <w:p w14:paraId="35CE888A" w14:textId="77777777" w:rsidR="004E76CB" w:rsidRPr="004E76CB" w:rsidRDefault="004E76CB">
      <w:pPr>
        <w:spacing w:before="40" w:after="120"/>
        <w:rPr>
          <w:rFonts w:ascii="Aptos" w:hAnsi="Aptos"/>
        </w:rPr>
      </w:pPr>
    </w:p>
    <w:p w14:paraId="6689AB4A" w14:textId="77777777" w:rsidR="009C525A" w:rsidRPr="004E76CB" w:rsidRDefault="006D322D">
      <w:pPr>
        <w:pStyle w:val="Heading2"/>
        <w:rPr>
          <w:rFonts w:ascii="Aptos" w:hAnsi="Aptos"/>
        </w:rPr>
      </w:pPr>
      <w:bookmarkStart w:id="8" w:name="_Toc228152698"/>
      <w:r>
        <w:rPr>
          <w:rFonts w:ascii="Aptos" w:hAnsi="Aptos"/>
          <w:color w:val="1F497D"/>
        </w:rPr>
        <w:t>3.2 Access Control &amp; Identity Management Policy</w:t>
      </w:r>
      <w:bookmarkEnd w:id="8"/>
    </w:p>
    <w:p w14:paraId="4A7D31AA" w14:textId="150D8982" w:rsidR="009C525A" w:rsidRDefault="006D322D" w:rsidP="004E76CB">
      <w:pPr>
        <w:spacing w:before="40" w:after="120" w:line="360" w:lineRule="auto"/>
        <w:jc w:val="both"/>
        <w:rPr>
          <w:rFonts w:ascii="Aptos" w:hAnsi="Aptos"/>
        </w:rPr>
      </w:pPr>
      <w:r>
        <w:rPr>
          <w:rFonts w:ascii="Aptos" w:hAnsi="Aptos"/>
        </w:rPr>
        <w:t>Role-Based Access Control (RBAC) must be implemented across all systems. Access to patient data is granted on a least-privilege basis. Privileged accounts require Multi-Factor Authentication (MFA). Access reviews must be conducted quarterly, and all accounts must be revoked within 24 hours of employee departure. This aligns with ISO 27001 A.9</w:t>
      </w:r>
      <w:r>
        <w:rPr>
          <w:rFonts w:ascii="Aptos" w:hAnsi="Aptos"/>
        </w:rPr>
        <w:t xml:space="preserve"> and NIST PR.AC</w:t>
      </w:r>
      <w:r>
        <w:rPr>
          <w:rFonts w:ascii="Aptos" w:hAnsi="Aptos"/>
        </w:rPr>
        <w:t>.</w:t>
      </w:r>
    </w:p>
    <w:p w14:paraId="42A8DAE6" w14:textId="77777777" w:rsidR="004E76CB" w:rsidRPr="004E76CB" w:rsidRDefault="004E76CB">
      <w:pPr>
        <w:spacing w:before="40" w:after="120"/>
        <w:rPr>
          <w:rFonts w:ascii="Aptos" w:hAnsi="Aptos"/>
        </w:rPr>
      </w:pPr>
    </w:p>
    <w:p w14:paraId="3FE7234B" w14:textId="77777777" w:rsidR="009C525A" w:rsidRPr="004E76CB" w:rsidRDefault="006D322D">
      <w:pPr>
        <w:pStyle w:val="Heading2"/>
        <w:rPr>
          <w:rFonts w:ascii="Aptos" w:hAnsi="Aptos"/>
        </w:rPr>
      </w:pPr>
      <w:bookmarkStart w:id="9" w:name="_Toc228152699"/>
      <w:r>
        <w:rPr>
          <w:rFonts w:ascii="Aptos" w:hAnsi="Aptos"/>
          <w:color w:val="1F497D"/>
        </w:rPr>
        <w:t>3.3 Data Classification &amp; Handling Policy</w:t>
      </w:r>
      <w:bookmarkEnd w:id="9"/>
    </w:p>
    <w:p w14:paraId="2141DA9A" w14:textId="14F893C8" w:rsidR="009C525A" w:rsidRDefault="006D322D" w:rsidP="004E76CB">
      <w:pPr>
        <w:spacing w:before="40" w:after="120" w:line="360" w:lineRule="auto"/>
        <w:jc w:val="both"/>
        <w:rPr>
          <w:rFonts w:ascii="Aptos" w:hAnsi="Aptos"/>
        </w:rPr>
      </w:pPr>
      <w:r>
        <w:rPr>
          <w:rFonts w:ascii="Aptos" w:hAnsi="Aptos"/>
        </w:rPr>
        <w:t>All data must be classified into four tiers: Public, Internal, Confidential, and Restricted (patient health data). Restricted data must be encrypted at rest (AES-256) and in transit (TLS 1.3). Data minimisation principles under UK GDPR Article 5(1)(c)</w:t>
      </w:r>
      <w:r>
        <w:rPr>
          <w:rFonts w:ascii="Aptos" w:hAnsi="Aptos"/>
        </w:rPr>
        <w:t xml:space="preserve"> must be applied at all processing stages.</w:t>
      </w:r>
    </w:p>
    <w:p w14:paraId="07C04AF6" w14:textId="77777777" w:rsidR="004E76CB" w:rsidRPr="004E76CB" w:rsidRDefault="004E76CB">
      <w:pPr>
        <w:spacing w:before="40" w:after="120"/>
        <w:rPr>
          <w:rFonts w:ascii="Aptos" w:hAnsi="Aptos"/>
        </w:rPr>
      </w:pPr>
    </w:p>
    <w:p w14:paraId="766BFE10" w14:textId="77777777" w:rsidR="009C525A" w:rsidRPr="004E76CB" w:rsidRDefault="006D322D">
      <w:pPr>
        <w:pStyle w:val="Heading2"/>
        <w:rPr>
          <w:rFonts w:ascii="Aptos" w:hAnsi="Aptos"/>
        </w:rPr>
      </w:pPr>
      <w:bookmarkStart w:id="10" w:name="_Toc228152700"/>
      <w:r>
        <w:rPr>
          <w:rFonts w:ascii="Aptos" w:hAnsi="Aptos"/>
          <w:color w:val="1F497D"/>
        </w:rPr>
        <w:t>3.4 Acceptable Use &amp; BYOD Policy</w:t>
      </w:r>
      <w:bookmarkEnd w:id="10"/>
    </w:p>
    <w:p w14:paraId="27FEADE4" w14:textId="77777777" w:rsidR="009C525A" w:rsidRDefault="006D322D" w:rsidP="004E76CB">
      <w:pPr>
        <w:spacing w:before="40" w:after="120" w:line="360" w:lineRule="auto"/>
        <w:jc w:val="both"/>
        <w:rPr>
          <w:rFonts w:ascii="Aptos" w:hAnsi="Aptos"/>
        </w:rPr>
      </w:pPr>
      <w:r>
        <w:rPr>
          <w:rFonts w:ascii="Aptos" w:hAnsi="Aptos"/>
        </w:rPr>
        <w:t xml:space="preserve">Personal devices may only access HPA systems through a registered Mobile Device Management (MDM) solution. Corporate data must not be stored on personal devices </w:t>
      </w:r>
      <w:r>
        <w:rPr>
          <w:rFonts w:ascii="Aptos" w:hAnsi="Aptos"/>
        </w:rPr>
        <w:lastRenderedPageBreak/>
        <w:t>without encryption. Employees must use the HPA VPN when connecting from external networks. Non-compliant devices will be denied network access.</w:t>
      </w:r>
    </w:p>
    <w:p w14:paraId="5EF0F645" w14:textId="77777777" w:rsidR="004E76CB" w:rsidRPr="004E76CB" w:rsidRDefault="004E76CB">
      <w:pPr>
        <w:spacing w:before="40" w:after="120"/>
        <w:rPr>
          <w:rFonts w:ascii="Aptos" w:hAnsi="Aptos"/>
        </w:rPr>
      </w:pPr>
    </w:p>
    <w:p w14:paraId="7061C3E4" w14:textId="77777777" w:rsidR="009C525A" w:rsidRPr="004E76CB" w:rsidRDefault="006D322D">
      <w:pPr>
        <w:pStyle w:val="Heading2"/>
        <w:rPr>
          <w:rFonts w:ascii="Aptos" w:hAnsi="Aptos"/>
        </w:rPr>
      </w:pPr>
      <w:bookmarkStart w:id="11" w:name="_Toc228152701"/>
      <w:r>
        <w:rPr>
          <w:rFonts w:ascii="Aptos" w:hAnsi="Aptos"/>
          <w:color w:val="1F497D"/>
        </w:rPr>
        <w:t>3.5 Patch Management Policy</w:t>
      </w:r>
      <w:bookmarkEnd w:id="11"/>
    </w:p>
    <w:p w14:paraId="71A4E747" w14:textId="77777777" w:rsidR="009C525A" w:rsidRDefault="006D322D" w:rsidP="004E76CB">
      <w:pPr>
        <w:spacing w:before="40" w:after="120" w:line="360" w:lineRule="auto"/>
        <w:jc w:val="both"/>
        <w:rPr>
          <w:rFonts w:ascii="Aptos" w:hAnsi="Aptos"/>
        </w:rPr>
      </w:pPr>
      <w:r>
        <w:rPr>
          <w:rFonts w:ascii="Aptos" w:hAnsi="Aptos"/>
        </w:rPr>
        <w:t>All production systems must be patched within 30 days of a critical Common Vulnerabilities and Exposures (CVE) disclosure. Zero-day vulnerabilities require emergency patching within 72 hours. A rolling vulnerability scan schedule must be maintained using automated tooling (e.g., Nessus, Qualys).</w:t>
      </w:r>
    </w:p>
    <w:p w14:paraId="701B8001" w14:textId="77777777" w:rsidR="00F374F5" w:rsidRPr="004E76CB" w:rsidRDefault="00F374F5" w:rsidP="004E76CB">
      <w:pPr>
        <w:spacing w:before="40" w:after="120" w:line="360" w:lineRule="auto"/>
        <w:jc w:val="both"/>
        <w:rPr>
          <w:rFonts w:ascii="Aptos" w:hAnsi="Aptos"/>
        </w:rPr>
      </w:pPr>
    </w:p>
    <w:p w14:paraId="5E498CE5" w14:textId="77777777" w:rsidR="009C525A" w:rsidRPr="004E76CB" w:rsidRDefault="006D322D">
      <w:pPr>
        <w:pStyle w:val="Heading2"/>
        <w:rPr>
          <w:rFonts w:ascii="Aptos" w:hAnsi="Aptos"/>
        </w:rPr>
      </w:pPr>
      <w:bookmarkStart w:id="12" w:name="_Toc228152702"/>
      <w:r>
        <w:rPr>
          <w:rFonts w:ascii="Aptos" w:hAnsi="Aptos"/>
          <w:color w:val="1F497D"/>
        </w:rPr>
        <w:t>3.6 Incident Response Policy</w:t>
      </w:r>
      <w:bookmarkEnd w:id="12"/>
    </w:p>
    <w:p w14:paraId="46AF2201" w14:textId="5758F7A8" w:rsidR="009C525A" w:rsidRDefault="006D322D" w:rsidP="004E76CB">
      <w:pPr>
        <w:spacing w:before="40" w:after="120" w:line="360" w:lineRule="auto"/>
        <w:jc w:val="both"/>
        <w:rPr>
          <w:rFonts w:ascii="Aptos" w:hAnsi="Aptos"/>
        </w:rPr>
      </w:pPr>
      <w:r>
        <w:rPr>
          <w:rFonts w:ascii="Aptos" w:hAnsi="Aptos"/>
        </w:rPr>
        <w:t>HPA must maintain a documented Incident Response Plan (IRP) aligned with NIST SP 800-61</w:t>
      </w:r>
      <w:r>
        <w:rPr>
          <w:rFonts w:ascii="Aptos" w:hAnsi="Aptos"/>
        </w:rPr>
        <w:t>. All data breaches involving patient data must be reported to the ICO within 72 hours as required by UK GDPR Article 33</w:t>
      </w:r>
      <w:r>
        <w:rPr>
          <w:rFonts w:ascii="Aptos" w:hAnsi="Aptos"/>
        </w:rPr>
        <w:t>. A post-incident review must be conducted within 10 business days.</w:t>
      </w:r>
    </w:p>
    <w:p w14:paraId="23429BCD" w14:textId="77777777" w:rsidR="00F374F5" w:rsidRPr="004E76CB" w:rsidRDefault="00F374F5" w:rsidP="004E76CB">
      <w:pPr>
        <w:spacing w:before="40" w:after="120" w:line="360" w:lineRule="auto"/>
        <w:jc w:val="both"/>
        <w:rPr>
          <w:rFonts w:ascii="Aptos" w:hAnsi="Aptos"/>
        </w:rPr>
      </w:pPr>
    </w:p>
    <w:p w14:paraId="47B86105" w14:textId="77777777" w:rsidR="009C525A" w:rsidRPr="004E76CB" w:rsidRDefault="006D322D">
      <w:pPr>
        <w:pStyle w:val="Heading2"/>
        <w:rPr>
          <w:rFonts w:ascii="Aptos" w:hAnsi="Aptos"/>
        </w:rPr>
      </w:pPr>
      <w:bookmarkStart w:id="13" w:name="_Toc228152703"/>
      <w:r>
        <w:rPr>
          <w:rFonts w:ascii="Aptos" w:hAnsi="Aptos"/>
          <w:color w:val="1F497D"/>
        </w:rPr>
        <w:t>3.7 Third-Party &amp; Supplier Security Policy</w:t>
      </w:r>
      <w:bookmarkEnd w:id="13"/>
    </w:p>
    <w:p w14:paraId="076EE2CC" w14:textId="471BF67C" w:rsidR="009C525A" w:rsidRPr="004E76CB" w:rsidRDefault="006D322D" w:rsidP="004E76CB">
      <w:pPr>
        <w:spacing w:before="40" w:after="120" w:line="360" w:lineRule="auto"/>
        <w:jc w:val="both"/>
        <w:rPr>
          <w:rFonts w:ascii="Aptos" w:hAnsi="Aptos"/>
        </w:rPr>
      </w:pPr>
      <w:r>
        <w:rPr>
          <w:rFonts w:ascii="Aptos" w:hAnsi="Aptos"/>
        </w:rPr>
        <w:t>All third-party suppliers with access to HPA systems or patient data must complete an annual security assessment aligned with the NHS DSP Toolkit</w:t>
      </w:r>
      <w:r>
        <w:rPr>
          <w:rFonts w:ascii="Aptos" w:hAnsi="Aptos"/>
        </w:rPr>
        <w:t>. Data Processing Agreements (DPAs) must be in place prior to any data sharing. Supplier access must be monitored and time-limited.</w:t>
      </w:r>
    </w:p>
    <w:p w14:paraId="43FF67C1" w14:textId="77777777" w:rsidR="009C525A" w:rsidRPr="004E76CB" w:rsidRDefault="006D322D">
      <w:pPr>
        <w:rPr>
          <w:rFonts w:ascii="Aptos" w:hAnsi="Aptos"/>
        </w:rPr>
      </w:pPr>
      <w:r>
        <w:rPr>
          <w:rFonts w:ascii="Aptos" w:hAnsi="Aptos"/>
        </w:rPr>
        <w:br w:type="page"/>
      </w:r>
    </w:p>
    <w:p w14:paraId="383C2111" w14:textId="77777777" w:rsidR="009C525A" w:rsidRPr="00F374F5" w:rsidRDefault="006D322D">
      <w:pPr>
        <w:pStyle w:val="Heading1"/>
        <w:rPr>
          <w:rFonts w:ascii="Aptos" w:hAnsi="Aptos"/>
          <w:color w:val="1F497D"/>
          <w:sz w:val="36"/>
          <w:szCs w:val="36"/>
        </w:rPr>
      </w:pPr>
      <w:bookmarkStart w:id="14" w:name="_Toc228152704"/>
      <w:r>
        <w:rPr>
          <w:rFonts w:ascii="Aptos" w:hAnsi="Aptos"/>
          <w:color w:val="1F497D"/>
          <w:sz w:val="36"/>
          <w:szCs w:val="36"/>
        </w:rPr>
        <w:lastRenderedPageBreak/>
        <w:t>4. Mitigation Measures</w:t>
      </w:r>
      <w:bookmarkEnd w:id="14"/>
    </w:p>
    <w:p w14:paraId="1C0A10E2" w14:textId="77777777" w:rsidR="00F374F5" w:rsidRPr="00F374F5" w:rsidRDefault="00F374F5" w:rsidP="00F374F5"/>
    <w:p w14:paraId="75CD6DBA" w14:textId="5D975759" w:rsidR="009C525A" w:rsidRPr="004E76CB" w:rsidRDefault="006D322D" w:rsidP="004E76CB">
      <w:pPr>
        <w:spacing w:before="40" w:after="120" w:line="360" w:lineRule="auto"/>
        <w:jc w:val="both"/>
        <w:rPr>
          <w:rFonts w:ascii="Aptos" w:hAnsi="Aptos"/>
        </w:rPr>
      </w:pPr>
      <w:r>
        <w:rPr>
          <w:rFonts w:ascii="Aptos" w:hAnsi="Aptos"/>
        </w:rPr>
        <w:t>Mitigation measures are structured across three layers</w:t>
      </w:r>
      <w:r w:rsidR="00CB68B1">
        <w:rPr>
          <w:rFonts w:ascii="Aptos" w:hAnsi="Aptos"/>
        </w:rPr>
        <w:t>:</w:t>
      </w:r>
      <w:r>
        <w:rPr>
          <w:rFonts w:ascii="Aptos" w:hAnsi="Aptos"/>
        </w:rPr>
        <w:t xml:space="preserve"> Technical, Administrative, and Physical</w:t>
      </w:r>
      <w:r w:rsidR="003D341B">
        <w:rPr>
          <w:rFonts w:ascii="Aptos" w:hAnsi="Aptos"/>
        </w:rPr>
        <w:t>,</w:t>
      </w:r>
      <w:r>
        <w:rPr>
          <w:rFonts w:ascii="Aptos" w:hAnsi="Aptos"/>
        </w:rPr>
        <w:t xml:space="preserve"> following the defence-in-depth principle</w:t>
      </w:r>
      <w:r w:rsidR="00CB68B1">
        <w:rPr>
          <w:rFonts w:ascii="Aptos" w:hAnsi="Aptos"/>
        </w:rPr>
        <w:t>.</w:t>
      </w:r>
      <w:r w:rsidR="003D341B">
        <w:rPr>
          <w:rFonts w:ascii="Aptos" w:hAnsi="Aptos"/>
        </w:rPr>
        <w:t xml:space="preserve"> </w:t>
      </w:r>
      <w:r w:rsidR="003D341B">
        <w:rPr>
          <w:rFonts w:ascii="Aptos" w:hAnsi="Aptos"/>
        </w:rPr>
        <w:t>Each measure directly maps to one or more identified threats.</w:t>
      </w:r>
      <w:r>
        <w:rPr>
          <w:rFonts w:ascii="Aptos" w:hAnsi="Aptos"/>
        </w:rPr>
        <w:t xml:space="preserve"> </w:t>
      </w:r>
      <w:sdt>
        <w:sdtPr>
          <w:rPr>
            <w:rFonts w:ascii="Aptos" w:hAnsi="Aptos"/>
            <w:color w:val="000000"/>
            <w:highlight w:val="white"/>
          </w:rPr>
          <w:alias w:val="Citation"/>
          <w:tag w:val="{&quot;referencesIds&quot;:[&quot;doc:69eebe0e30dee9314a68ae0f&quot;],&quot;referencesOptions&quot;:{&quot;doc:69eebe0e30dee9314a68ae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9688983"/>
          <w:placeholder>
            <w:docPart w:val="7E01A2798DEE4CCCB24F6EB4522F5B78"/>
          </w:placeholder>
        </w:sdtPr>
        <w:sdtContent>
          <w:r w:rsidR="00520932">
            <w:rPr>
              <w:rFonts w:ascii="Aptos" w:eastAsia="Times New Roman" w:hAnsi="Aptos"/>
              <w:color w:val="000000"/>
            </w:rPr>
            <w:t>[5]</w:t>
          </w:r>
        </w:sdtContent>
      </w:sdt>
      <w:r>
        <w:rPr>
          <w:rFonts w:ascii="Aptos" w:hAnsi="Aptos"/>
        </w:rPr>
        <w:t xml:space="preserve">. </w:t>
      </w:r>
    </w:p>
    <w:p w14:paraId="1911F2E2" w14:textId="2ECD7BF4" w:rsidR="00F374F5" w:rsidRPr="00F374F5" w:rsidRDefault="006D322D" w:rsidP="00F374F5">
      <w:pPr>
        <w:pStyle w:val="Heading2"/>
        <w:rPr>
          <w:rFonts w:ascii="Aptos" w:hAnsi="Aptos"/>
          <w:color w:val="1F497D"/>
        </w:rPr>
      </w:pPr>
      <w:bookmarkStart w:id="15" w:name="_Toc228152705"/>
      <w:r>
        <w:rPr>
          <w:rFonts w:ascii="Aptos" w:hAnsi="Aptos"/>
          <w:color w:val="1F497D"/>
        </w:rPr>
        <w:t>4.1 Technical Controls</w:t>
      </w:r>
      <w:bookmarkEnd w:id="15"/>
    </w:p>
    <w:p w14:paraId="03826575" w14:textId="77777777" w:rsidR="009C525A" w:rsidRPr="00F374F5" w:rsidRDefault="006D322D"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Multi-Factor Authentication (MFA):</w:t>
      </w:r>
      <w:r>
        <w:rPr>
          <w:rFonts w:ascii="Aptos" w:hAnsi="Aptos"/>
          <w:bCs/>
          <w:color w:val="000000" w:themeColor="text1"/>
        </w:rPr>
        <w:t xml:space="preserve"> Deploy MFA across all VPN, cloud, email, and privileged admin access using TOTP or FIDO2 hardware keys. Microsoft Entra ID (formerly Azure AD) or Okta can serve as the Identity Provider (IdP). Mitigates: credential theft, phishing, unauthorised cloud access.</w:t>
      </w:r>
    </w:p>
    <w:p w14:paraId="3C7AF78C" w14:textId="1AAFD328" w:rsidR="009C525A" w:rsidRPr="00F374F5" w:rsidRDefault="00F374F5"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Endpoint Detection &amp; Response (EDR):</w:t>
      </w:r>
      <w:r>
        <w:rPr>
          <w:rFonts w:ascii="Aptos" w:hAnsi="Aptos"/>
          <w:bCs/>
          <w:color w:val="000000" w:themeColor="text1"/>
        </w:rPr>
        <w:t xml:space="preserve"> Deploy EDR agents (e.g., CrowdStrike Falcon [8], Microsoft Defender for Endpoint) on all corporate and MDM-enrolled devices. Enable behavioural analytics to detect ransomware indicators such as mass file encryption events. Mitigates: ransomware, malware, APTs.</w:t>
      </w:r>
    </w:p>
    <w:p w14:paraId="5477789F" w14:textId="66D48E7F" w:rsidR="009C525A" w:rsidRPr="00F374F5" w:rsidRDefault="00F374F5"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Network Segmentation &amp; Zero Trust Architecture:</w:t>
      </w:r>
      <w:r>
        <w:rPr>
          <w:rFonts w:ascii="Aptos" w:hAnsi="Aptos"/>
          <w:bCs/>
          <w:color w:val="000000" w:themeColor="text1"/>
        </w:rPr>
        <w:t xml:space="preserve"> Implement network micro-segmentation to isolate the analytics server environment from general corporate traffic. Adopt a Zero Trust model ("never trust, always verify") using software-defined perimeters. Mitigates: lateral movement, insider threat, MitM attacks.</w:t>
      </w:r>
    </w:p>
    <w:p w14:paraId="065B3F89" w14:textId="77777777" w:rsidR="009C525A" w:rsidRPr="00F374F5" w:rsidRDefault="006D322D"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Data Loss Prevention (DLP):</w:t>
      </w:r>
      <w:r>
        <w:rPr>
          <w:rFonts w:ascii="Aptos" w:hAnsi="Aptos"/>
          <w:bCs/>
          <w:color w:val="000000" w:themeColor="text1"/>
        </w:rPr>
        <w:t xml:space="preserve"> Deploy DLP tools (e.g., Microsoft Purview) to monitor and block unauthorised exfiltration of patient records via email, USB, or cloud uploads. Apply content inspection policies based on data classification labels. Mitigates: insider data theft, shadow IT.</w:t>
      </w:r>
    </w:p>
    <w:p w14:paraId="75A12117" w14:textId="77777777" w:rsidR="009C525A" w:rsidRPr="00F374F5" w:rsidRDefault="006D322D"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Security Information &amp; Event Management (SIEM):</w:t>
      </w:r>
      <w:r>
        <w:rPr>
          <w:rFonts w:ascii="Aptos" w:hAnsi="Aptos"/>
          <w:bCs/>
          <w:color w:val="000000" w:themeColor="text1"/>
        </w:rPr>
        <w:t xml:space="preserve"> Implement a SIEM platform (e.g., Microsoft Sentinel, Splunk) aggregating logs from endpoints, cloud services, network devices, and applications. Configure alerts for anomalous access patterns, off-hours logins, and bulk data downloads. Mitigates: all threat categories — enables detection.</w:t>
      </w:r>
    </w:p>
    <w:p w14:paraId="417F63A5" w14:textId="77777777" w:rsidR="009C525A" w:rsidRPr="00F374F5" w:rsidRDefault="006D322D"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Encryption</w:t>
      </w:r>
      <w:r>
        <w:rPr>
          <w:rFonts w:ascii="Aptos" w:hAnsi="Aptos"/>
          <w:bCs/>
          <w:color w:val="000000" w:themeColor="text1"/>
        </w:rPr>
        <w:t>: Enforce AES-256 encryption for all data at rest in cloud storage (S3 buckets, Azure Blob). Enforce TLS 1.3 for all data in transit. Implement full-disk encryption (BitLocker/FileVault) on all endpoints. Mitigates: data interception, MitM, device theft.</w:t>
      </w:r>
    </w:p>
    <w:p w14:paraId="3AC68065" w14:textId="5B5DA0A2" w:rsidR="00F374F5" w:rsidRDefault="006D322D" w:rsidP="00F374F5">
      <w:pPr>
        <w:spacing w:after="80" w:line="360" w:lineRule="auto"/>
        <w:jc w:val="both"/>
        <w:rPr>
          <w:rFonts w:ascii="Aptos" w:hAnsi="Aptos"/>
          <w:bCs/>
          <w:color w:val="000000" w:themeColor="text1"/>
        </w:rPr>
      </w:pPr>
      <w:r>
        <w:rPr>
          <w:rFonts w:ascii="Arial" w:hAnsi="Arial" w:cs="Arial"/>
          <w:b/>
          <w:color w:val="000000" w:themeColor="text1"/>
        </w:rPr>
        <w:lastRenderedPageBreak/>
        <w:t>■</w:t>
      </w:r>
      <w:r>
        <w:rPr>
          <w:rFonts w:ascii="Aptos" w:hAnsi="Aptos"/>
          <w:b/>
          <w:color w:val="000000" w:themeColor="text1"/>
        </w:rPr>
        <w:t xml:space="preserve">  Vulnerability Management:</w:t>
      </w:r>
      <w:r>
        <w:rPr>
          <w:rFonts w:ascii="Aptos" w:hAnsi="Aptos"/>
          <w:bCs/>
          <w:color w:val="000000" w:themeColor="text1"/>
        </w:rPr>
        <w:t xml:space="preserve"> Conduct fortnightly authenticated vulnerability scans of all internet-facing assets. Perform annual penetration testing by CREST-certified testers. Prioritise patching using CVSS scores. Mitigates: exploitation of unpatched systems.</w:t>
      </w:r>
    </w:p>
    <w:p w14:paraId="4BA0634B" w14:textId="77777777" w:rsidR="00F374F5" w:rsidRPr="00F374F5" w:rsidRDefault="00F374F5" w:rsidP="00F374F5">
      <w:pPr>
        <w:spacing w:after="80" w:line="360" w:lineRule="auto"/>
        <w:jc w:val="both"/>
        <w:rPr>
          <w:rFonts w:ascii="Aptos" w:hAnsi="Aptos"/>
          <w:bCs/>
          <w:color w:val="000000" w:themeColor="text1"/>
        </w:rPr>
      </w:pPr>
    </w:p>
    <w:p w14:paraId="6134F289" w14:textId="77777777" w:rsidR="009C525A" w:rsidRPr="004E76CB" w:rsidRDefault="006D322D" w:rsidP="00F374F5">
      <w:pPr>
        <w:pStyle w:val="Heading2"/>
        <w:spacing w:line="360" w:lineRule="auto"/>
        <w:rPr>
          <w:rFonts w:ascii="Aptos" w:hAnsi="Aptos"/>
        </w:rPr>
      </w:pPr>
      <w:bookmarkStart w:id="16" w:name="_Toc228152706"/>
      <w:r>
        <w:rPr>
          <w:rFonts w:ascii="Aptos" w:hAnsi="Aptos"/>
          <w:color w:val="1F497D"/>
        </w:rPr>
        <w:t>4.2 Administrative Controls</w:t>
      </w:r>
      <w:bookmarkEnd w:id="16"/>
    </w:p>
    <w:p w14:paraId="47495127" w14:textId="77777777" w:rsidR="009C525A" w:rsidRPr="004E76CB" w:rsidRDefault="006D322D" w:rsidP="00F374F5">
      <w:pPr>
        <w:pStyle w:val="ListBullet"/>
        <w:spacing w:after="60" w:line="360" w:lineRule="auto"/>
        <w:ind w:left="432"/>
        <w:rPr>
          <w:rFonts w:ascii="Aptos" w:hAnsi="Aptos"/>
        </w:rPr>
      </w:pPr>
      <w:r>
        <w:rPr>
          <w:rFonts w:ascii="Aptos" w:hAnsi="Aptos"/>
        </w:rPr>
        <w:t>Enforce least-privilege access and quarterly access reviews.</w:t>
      </w:r>
    </w:p>
    <w:p w14:paraId="62BB27C6" w14:textId="77777777" w:rsidR="009C525A" w:rsidRPr="004E76CB" w:rsidRDefault="006D322D" w:rsidP="00F374F5">
      <w:pPr>
        <w:pStyle w:val="ListBullet"/>
        <w:spacing w:after="60" w:line="360" w:lineRule="auto"/>
        <w:ind w:left="432"/>
        <w:rPr>
          <w:rFonts w:ascii="Aptos" w:hAnsi="Aptos"/>
        </w:rPr>
      </w:pPr>
      <w:r>
        <w:rPr>
          <w:rFonts w:ascii="Aptos" w:hAnsi="Aptos"/>
        </w:rPr>
        <w:t>Establish a formal Change Management process for all system modifications.</w:t>
      </w:r>
    </w:p>
    <w:p w14:paraId="40F1B244" w14:textId="77777777" w:rsidR="009C525A" w:rsidRPr="004E76CB" w:rsidRDefault="006D322D" w:rsidP="00F374F5">
      <w:pPr>
        <w:pStyle w:val="ListBullet"/>
        <w:spacing w:after="60" w:line="360" w:lineRule="auto"/>
        <w:ind w:left="432"/>
        <w:rPr>
          <w:rFonts w:ascii="Aptos" w:hAnsi="Aptos"/>
        </w:rPr>
      </w:pPr>
      <w:r>
        <w:rPr>
          <w:rFonts w:ascii="Aptos" w:hAnsi="Aptos"/>
        </w:rPr>
        <w:t>Implement a Data Retention &amp; Disposal Policy aligned with UK GDPR data minimisation principles.</w:t>
      </w:r>
    </w:p>
    <w:p w14:paraId="1350C4A8" w14:textId="77777777" w:rsidR="009C525A" w:rsidRPr="004E76CB" w:rsidRDefault="006D322D" w:rsidP="00F374F5">
      <w:pPr>
        <w:pStyle w:val="ListBullet"/>
        <w:spacing w:after="60" w:line="360" w:lineRule="auto"/>
        <w:ind w:left="432"/>
        <w:rPr>
          <w:rFonts w:ascii="Aptos" w:hAnsi="Aptos"/>
        </w:rPr>
      </w:pPr>
      <w:r>
        <w:rPr>
          <w:rFonts w:ascii="Aptos" w:hAnsi="Aptos"/>
        </w:rPr>
        <w:t>Require signed confidentiality agreements and background checks for all staff with access to patient data.</w:t>
      </w:r>
    </w:p>
    <w:p w14:paraId="1C950E5E" w14:textId="5EBA27F8" w:rsidR="009C525A" w:rsidRDefault="006D322D" w:rsidP="00F374F5">
      <w:pPr>
        <w:pStyle w:val="ListBullet"/>
        <w:spacing w:after="60" w:line="360" w:lineRule="auto"/>
        <w:ind w:left="432"/>
        <w:rPr>
          <w:rFonts w:ascii="Aptos" w:hAnsi="Aptos"/>
        </w:rPr>
      </w:pPr>
      <w:r>
        <w:rPr>
          <w:rFonts w:ascii="Aptos" w:hAnsi="Aptos"/>
        </w:rPr>
        <w:t xml:space="preserve">Conduct annual ISO 27001 internal audits </w:t>
      </w:r>
      <w:r>
        <w:rPr>
          <w:rFonts w:ascii="Aptos" w:hAnsi="Aptos"/>
        </w:rPr>
        <w:t>and NHS DSP Toolkit self-assessments</w:t>
      </w:r>
      <w:r>
        <w:rPr>
          <w:rFonts w:ascii="Aptos" w:hAnsi="Aptos"/>
        </w:rPr>
        <w:t>.</w:t>
      </w:r>
    </w:p>
    <w:p w14:paraId="499D52C7" w14:textId="77777777" w:rsidR="00F374F5" w:rsidRPr="004E76CB" w:rsidRDefault="00F374F5" w:rsidP="00F374F5">
      <w:pPr>
        <w:pStyle w:val="ListBullet"/>
        <w:numPr>
          <w:ilvl w:val="0"/>
          <w:numId w:val="0"/>
        </w:numPr>
        <w:spacing w:after="60" w:line="360" w:lineRule="auto"/>
        <w:rPr>
          <w:rFonts w:ascii="Aptos" w:hAnsi="Aptos"/>
        </w:rPr>
      </w:pPr>
    </w:p>
    <w:p w14:paraId="1D54DB81" w14:textId="77777777" w:rsidR="009C525A" w:rsidRPr="004E76CB" w:rsidRDefault="006D322D" w:rsidP="00F374F5">
      <w:pPr>
        <w:pStyle w:val="Heading2"/>
        <w:spacing w:line="360" w:lineRule="auto"/>
        <w:rPr>
          <w:rFonts w:ascii="Aptos" w:hAnsi="Aptos"/>
        </w:rPr>
      </w:pPr>
      <w:bookmarkStart w:id="17" w:name="_Toc228152707"/>
      <w:r>
        <w:rPr>
          <w:rFonts w:ascii="Aptos" w:hAnsi="Aptos"/>
          <w:color w:val="1F497D"/>
        </w:rPr>
        <w:t>4.3 Physical Controls</w:t>
      </w:r>
      <w:bookmarkEnd w:id="17"/>
    </w:p>
    <w:p w14:paraId="5B75B5E9" w14:textId="77777777" w:rsidR="009C525A" w:rsidRPr="004E76CB" w:rsidRDefault="006D322D" w:rsidP="00F374F5">
      <w:pPr>
        <w:pStyle w:val="ListBullet"/>
        <w:spacing w:after="60" w:line="360" w:lineRule="auto"/>
        <w:ind w:left="432"/>
        <w:rPr>
          <w:rFonts w:ascii="Aptos" w:hAnsi="Aptos"/>
        </w:rPr>
      </w:pPr>
      <w:r>
        <w:rPr>
          <w:rFonts w:ascii="Aptos" w:hAnsi="Aptos"/>
        </w:rPr>
        <w:t>Restrict physical access to server rooms via biometric or key-card access with audit logging.</w:t>
      </w:r>
    </w:p>
    <w:p w14:paraId="4DD08183" w14:textId="77777777" w:rsidR="009C525A" w:rsidRPr="004E76CB" w:rsidRDefault="006D322D" w:rsidP="00F374F5">
      <w:pPr>
        <w:pStyle w:val="ListBullet"/>
        <w:spacing w:after="60" w:line="360" w:lineRule="auto"/>
        <w:ind w:left="432"/>
        <w:rPr>
          <w:rFonts w:ascii="Aptos" w:hAnsi="Aptos"/>
        </w:rPr>
      </w:pPr>
      <w:r>
        <w:rPr>
          <w:rFonts w:ascii="Aptos" w:hAnsi="Aptos"/>
        </w:rPr>
        <w:t>Implement CCTV monitoring in all data centre and server environments.</w:t>
      </w:r>
    </w:p>
    <w:p w14:paraId="53055E92" w14:textId="582D215D" w:rsidR="009C525A" w:rsidRPr="004E76CB" w:rsidRDefault="006D322D" w:rsidP="00F374F5">
      <w:pPr>
        <w:pStyle w:val="ListBullet"/>
        <w:spacing w:after="60" w:line="360" w:lineRule="auto"/>
        <w:ind w:left="432"/>
        <w:rPr>
          <w:rFonts w:ascii="Aptos" w:hAnsi="Aptos"/>
        </w:rPr>
      </w:pPr>
      <w:r>
        <w:rPr>
          <w:rFonts w:ascii="Aptos" w:hAnsi="Aptos"/>
        </w:rPr>
        <w:t xml:space="preserve">Enforce a </w:t>
      </w:r>
      <w:r w:rsidRPr="002D7658">
        <w:rPr>
          <w:rFonts w:ascii="Aptos" w:hAnsi="Aptos"/>
        </w:rPr>
        <w:t>clear</w:t>
      </w:r>
      <w:r w:rsidR="00E30D17" w:rsidRPr="002D7658">
        <w:rPr>
          <w:rFonts w:ascii="Aptos" w:hAnsi="Aptos"/>
        </w:rPr>
        <w:t xml:space="preserve"> </w:t>
      </w:r>
      <w:r w:rsidRPr="002D7658">
        <w:rPr>
          <w:rFonts w:ascii="Aptos" w:hAnsi="Aptos"/>
        </w:rPr>
        <w:t xml:space="preserve">desk </w:t>
      </w:r>
      <w:r>
        <w:rPr>
          <w:rFonts w:ascii="Aptos" w:hAnsi="Aptos"/>
        </w:rPr>
        <w:t>policy for all staff handling patient data.</w:t>
      </w:r>
    </w:p>
    <w:p w14:paraId="1009FB08" w14:textId="77777777" w:rsidR="009C525A" w:rsidRPr="004E76CB" w:rsidRDefault="006D322D" w:rsidP="00F374F5">
      <w:pPr>
        <w:pStyle w:val="ListBullet"/>
        <w:spacing w:after="60" w:line="360" w:lineRule="auto"/>
        <w:ind w:left="432"/>
        <w:rPr>
          <w:rFonts w:ascii="Aptos" w:hAnsi="Aptos"/>
        </w:rPr>
      </w:pPr>
      <w:r>
        <w:rPr>
          <w:rFonts w:ascii="Aptos" w:hAnsi="Aptos"/>
        </w:rPr>
        <w:t>Secure destruction of physical media containing patient data (DIN 66399 standard).</w:t>
      </w:r>
    </w:p>
    <w:p w14:paraId="69F01C46" w14:textId="77777777" w:rsidR="009C525A" w:rsidRPr="004E76CB" w:rsidRDefault="006D322D" w:rsidP="00F374F5">
      <w:pPr>
        <w:spacing w:line="360" w:lineRule="auto"/>
        <w:rPr>
          <w:rFonts w:ascii="Aptos" w:hAnsi="Aptos"/>
        </w:rPr>
      </w:pPr>
      <w:r>
        <w:rPr>
          <w:rFonts w:ascii="Aptos" w:hAnsi="Aptos"/>
        </w:rPr>
        <w:br w:type="page"/>
      </w:r>
    </w:p>
    <w:p w14:paraId="3B799660" w14:textId="77777777" w:rsidR="009C525A" w:rsidRPr="00F374F5" w:rsidRDefault="006D322D">
      <w:pPr>
        <w:pStyle w:val="Heading1"/>
        <w:rPr>
          <w:rFonts w:ascii="Aptos" w:hAnsi="Aptos"/>
          <w:sz w:val="36"/>
          <w:szCs w:val="36"/>
        </w:rPr>
      </w:pPr>
      <w:bookmarkStart w:id="18" w:name="_Toc228152708"/>
      <w:r>
        <w:rPr>
          <w:rFonts w:ascii="Aptos" w:hAnsi="Aptos"/>
          <w:color w:val="1F497D"/>
          <w:sz w:val="36"/>
          <w:szCs w:val="36"/>
        </w:rPr>
        <w:lastRenderedPageBreak/>
        <w:t>5. Monitoring &amp; Incident Response</w:t>
      </w:r>
      <w:bookmarkEnd w:id="18"/>
    </w:p>
    <w:p w14:paraId="428ABEC3" w14:textId="740B2482" w:rsidR="009C525A" w:rsidRDefault="006D322D" w:rsidP="00F374F5">
      <w:pPr>
        <w:spacing w:before="40" w:after="120" w:line="360" w:lineRule="auto"/>
        <w:rPr>
          <w:rFonts w:ascii="Aptos" w:hAnsi="Aptos"/>
        </w:rPr>
      </w:pPr>
      <w:r>
        <w:rPr>
          <w:rFonts w:ascii="Aptos" w:hAnsi="Aptos"/>
        </w:rPr>
        <w:t>HPA’s monitoring strategy follows the NIST CSF Detect and Respond functions</w:t>
      </w:r>
      <w:r>
        <w:rPr>
          <w:rFonts w:ascii="Aptos" w:hAnsi="Aptos"/>
        </w:rPr>
        <w:t>, combined with the SANS Incident Response lifecycle</w:t>
      </w:r>
      <w:r>
        <w:rPr>
          <w:rFonts w:ascii="Aptos" w:hAnsi="Aptos"/>
        </w:rPr>
        <w:t>: Preparation → Identification → Containment → Eradication → Recovery → Lessons Learned</w:t>
      </w:r>
      <w:r w:rsidR="003D04DB">
        <w:rPr>
          <w:rFonts w:ascii="Aptos" w:hAnsi="Aptos"/>
        </w:rPr>
        <w:t xml:space="preserve"> </w:t>
      </w:r>
      <w:sdt>
        <w:sdtPr>
          <w:rPr>
            <w:rFonts w:ascii="Aptos" w:hAnsi="Aptos"/>
            <w:color w:val="000000"/>
            <w:highlight w:val="white"/>
          </w:rPr>
          <w:alias w:val="Citation"/>
          <w:tag w:val="{&quot;referencesIds&quot;:[&quot;doc:69eebde1ddab303626252dab&quot;],&quot;referencesOptions&quot;:{&quot;doc:69eebde1ddab303626252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7297821"/>
          <w:placeholder>
            <w:docPart w:val="1DABCADD028F4C9B867BBE62D49A8E16"/>
          </w:placeholder>
        </w:sdtPr>
        <w:sdtContent>
          <w:r w:rsidR="00520932">
            <w:rPr>
              <w:rFonts w:ascii="Aptos" w:eastAsia="Times New Roman" w:hAnsi="Aptos"/>
              <w:color w:val="000000"/>
            </w:rPr>
            <w:t>[6].</w:t>
          </w:r>
          <w:r w:rsidR="00EB4C54">
            <w:rPr>
              <w:rFonts w:ascii="Aptos" w:eastAsia="Times New Roman" w:hAnsi="Aptos"/>
              <w:color w:val="000000"/>
            </w:rPr>
            <w:t xml:space="preserve"> </w:t>
          </w:r>
        </w:sdtContent>
      </w:sdt>
    </w:p>
    <w:p w14:paraId="286CCC53" w14:textId="77777777" w:rsidR="00F374F5" w:rsidRPr="004E76CB" w:rsidRDefault="00F374F5">
      <w:pPr>
        <w:spacing w:before="40" w:after="120"/>
        <w:rPr>
          <w:rFonts w:ascii="Aptos" w:hAnsi="Aptos"/>
        </w:rPr>
      </w:pPr>
    </w:p>
    <w:p w14:paraId="5FC5092B" w14:textId="77777777" w:rsidR="009C525A" w:rsidRPr="004E76CB" w:rsidRDefault="006D322D">
      <w:pPr>
        <w:pStyle w:val="Heading2"/>
        <w:rPr>
          <w:rFonts w:ascii="Aptos" w:hAnsi="Aptos"/>
        </w:rPr>
      </w:pPr>
      <w:bookmarkStart w:id="19" w:name="_Toc228152709"/>
      <w:r>
        <w:rPr>
          <w:rFonts w:ascii="Aptos" w:hAnsi="Aptos"/>
          <w:color w:val="1F497D"/>
        </w:rPr>
        <w:t>5.1 Continuous Monitoring Architecture</w:t>
      </w:r>
      <w:bookmarkEnd w:id="19"/>
    </w:p>
    <w:p w14:paraId="24FD97A8" w14:textId="77777777" w:rsidR="009C525A" w:rsidRPr="004E76CB" w:rsidRDefault="006D322D" w:rsidP="00F374F5">
      <w:pPr>
        <w:pStyle w:val="ListBullet"/>
        <w:spacing w:after="60" w:line="360" w:lineRule="auto"/>
        <w:ind w:left="432"/>
        <w:rPr>
          <w:rFonts w:ascii="Aptos" w:hAnsi="Aptos"/>
        </w:rPr>
      </w:pPr>
      <w:r>
        <w:rPr>
          <w:rFonts w:ascii="Aptos" w:hAnsi="Aptos"/>
        </w:rPr>
        <w:t>SIEM (Microsoft Sentinel): Real-time log aggregation and correlation from cloud, endpoints, and network devices.</w:t>
      </w:r>
    </w:p>
    <w:p w14:paraId="2FAFC420" w14:textId="77777777" w:rsidR="009C525A" w:rsidRPr="004E76CB" w:rsidRDefault="006D322D" w:rsidP="00F374F5">
      <w:pPr>
        <w:pStyle w:val="ListBullet"/>
        <w:spacing w:after="60" w:line="360" w:lineRule="auto"/>
        <w:ind w:left="432"/>
        <w:rPr>
          <w:rFonts w:ascii="Aptos" w:hAnsi="Aptos"/>
        </w:rPr>
      </w:pPr>
      <w:r>
        <w:rPr>
          <w:rFonts w:ascii="Aptos" w:hAnsi="Aptos"/>
        </w:rPr>
        <w:t>Cloud Access Security Broker (CASB): Monitors and controls data movement between cloud services.</w:t>
      </w:r>
    </w:p>
    <w:p w14:paraId="0503CD08" w14:textId="77777777" w:rsidR="009C525A" w:rsidRPr="004E76CB" w:rsidRDefault="006D322D" w:rsidP="00F374F5">
      <w:pPr>
        <w:pStyle w:val="ListBullet"/>
        <w:spacing w:after="60" w:line="360" w:lineRule="auto"/>
        <w:ind w:left="432"/>
        <w:rPr>
          <w:rFonts w:ascii="Aptos" w:hAnsi="Aptos"/>
        </w:rPr>
      </w:pPr>
      <w:r>
        <w:rPr>
          <w:rFonts w:ascii="Aptos" w:hAnsi="Aptos"/>
        </w:rPr>
        <w:t>Intrusion Detection/Prevention System (IDS/IPS): Network-level threat detection using signature and anomaly-based rules.</w:t>
      </w:r>
    </w:p>
    <w:p w14:paraId="7DDD515E" w14:textId="77777777" w:rsidR="009C525A" w:rsidRPr="004E76CB" w:rsidRDefault="006D322D" w:rsidP="00F374F5">
      <w:pPr>
        <w:pStyle w:val="ListBullet"/>
        <w:spacing w:after="60" w:line="360" w:lineRule="auto"/>
        <w:ind w:left="432"/>
        <w:rPr>
          <w:rFonts w:ascii="Aptos" w:hAnsi="Aptos"/>
        </w:rPr>
      </w:pPr>
      <w:r>
        <w:rPr>
          <w:rFonts w:ascii="Aptos" w:hAnsi="Aptos"/>
        </w:rPr>
        <w:t>User &amp; Entity Behaviour Analytics (UEBA): Detects anomalous user behaviour indicative of insider threat or compromised accounts.</w:t>
      </w:r>
    </w:p>
    <w:p w14:paraId="2E877C75" w14:textId="77777777" w:rsidR="009C525A" w:rsidRDefault="006D322D" w:rsidP="00F374F5">
      <w:pPr>
        <w:pStyle w:val="ListBullet"/>
        <w:spacing w:after="60" w:line="360" w:lineRule="auto"/>
        <w:ind w:left="432"/>
        <w:rPr>
          <w:rFonts w:ascii="Aptos" w:hAnsi="Aptos"/>
        </w:rPr>
      </w:pPr>
      <w:r>
        <w:rPr>
          <w:rFonts w:ascii="Aptos" w:hAnsi="Aptos"/>
        </w:rPr>
        <w:t>Automated alerting: Critical alerts escalate to the Security Operations Centre (SOC) within 5 minutes via PagerDuty or equivalent.</w:t>
      </w:r>
    </w:p>
    <w:p w14:paraId="60856E60" w14:textId="77777777" w:rsidR="00F374F5" w:rsidRDefault="00F374F5" w:rsidP="00F374F5">
      <w:pPr>
        <w:pStyle w:val="ListBullet"/>
        <w:numPr>
          <w:ilvl w:val="0"/>
          <w:numId w:val="0"/>
        </w:numPr>
        <w:spacing w:after="60" w:line="360" w:lineRule="auto"/>
        <w:ind w:left="432"/>
        <w:rPr>
          <w:rFonts w:ascii="Aptos" w:hAnsi="Aptos"/>
        </w:rPr>
      </w:pPr>
    </w:p>
    <w:p w14:paraId="1723656F" w14:textId="77777777" w:rsidR="00F374F5" w:rsidRPr="004E76CB" w:rsidRDefault="00F374F5" w:rsidP="00F374F5">
      <w:pPr>
        <w:pStyle w:val="ListBullet"/>
        <w:numPr>
          <w:ilvl w:val="0"/>
          <w:numId w:val="0"/>
        </w:numPr>
        <w:spacing w:after="60"/>
        <w:rPr>
          <w:rFonts w:ascii="Aptos" w:hAnsi="Aptos"/>
        </w:rPr>
      </w:pPr>
    </w:p>
    <w:p w14:paraId="66C7F8BC" w14:textId="5337C3D7" w:rsidR="00F374F5" w:rsidRPr="00F374F5" w:rsidRDefault="006D322D" w:rsidP="00F374F5">
      <w:pPr>
        <w:pStyle w:val="Heading2"/>
        <w:rPr>
          <w:rFonts w:ascii="Aptos" w:hAnsi="Aptos"/>
          <w:color w:val="1F497D"/>
        </w:rPr>
      </w:pPr>
      <w:bookmarkStart w:id="20" w:name="_Toc228152710"/>
      <w:r>
        <w:rPr>
          <w:rFonts w:ascii="Aptos" w:hAnsi="Aptos"/>
          <w:color w:val="1F497D"/>
        </w:rPr>
        <w:t>5.2 Incident Response Flowchart</w:t>
      </w:r>
      <w:bookmarkEnd w:id="20"/>
    </w:p>
    <w:p w14:paraId="0B0EF279" w14:textId="77777777" w:rsidR="009C525A" w:rsidRPr="004E76CB" w:rsidRDefault="006D322D">
      <w:pPr>
        <w:spacing w:before="40" w:after="120"/>
        <w:rPr>
          <w:rFonts w:ascii="Aptos" w:hAnsi="Aptos"/>
        </w:rPr>
      </w:pPr>
      <w:r>
        <w:rPr>
          <w:rFonts w:ascii="Aptos" w:hAnsi="Aptos"/>
        </w:rPr>
        <w:t>The following flowchart summarises HPA's Incident Response process:</w:t>
      </w:r>
    </w:p>
    <w:tbl>
      <w:tblPr>
        <w:tblStyle w:val="TableGrid"/>
        <w:tblW w:w="0" w:type="auto"/>
        <w:tblLook w:val="04A0" w:firstRow="1" w:lastRow="0" w:firstColumn="1" w:lastColumn="0" w:noHBand="0" w:noVBand="1"/>
      </w:tblPr>
      <w:tblGrid>
        <w:gridCol w:w="4320"/>
        <w:gridCol w:w="4320"/>
      </w:tblGrid>
      <w:tr w:rsidR="009C525A" w:rsidRPr="004E76CB" w14:paraId="1853734E" w14:textId="77777777">
        <w:tc>
          <w:tcPr>
            <w:tcW w:w="4320" w:type="dxa"/>
            <w:shd w:val="clear" w:color="auto" w:fill="1F497D"/>
          </w:tcPr>
          <w:p w14:paraId="5778B398" w14:textId="77777777" w:rsidR="009C525A" w:rsidRPr="004E76CB" w:rsidRDefault="006D322D">
            <w:pPr>
              <w:rPr>
                <w:rFonts w:ascii="Aptos" w:hAnsi="Aptos"/>
              </w:rPr>
            </w:pPr>
            <w:r>
              <w:rPr>
                <w:rFonts w:ascii="Aptos" w:hAnsi="Aptos"/>
                <w:b/>
                <w:color w:val="FFFFFF"/>
                <w:sz w:val="20"/>
              </w:rPr>
              <w:t>STEP 1: DETECT</w:t>
            </w:r>
          </w:p>
        </w:tc>
        <w:tc>
          <w:tcPr>
            <w:tcW w:w="4320" w:type="dxa"/>
          </w:tcPr>
          <w:p w14:paraId="4C8EAB6E" w14:textId="77777777" w:rsidR="009C525A" w:rsidRPr="004E76CB" w:rsidRDefault="006D322D">
            <w:pPr>
              <w:rPr>
                <w:rFonts w:ascii="Aptos" w:hAnsi="Aptos"/>
              </w:rPr>
            </w:pPr>
            <w:r>
              <w:rPr>
                <w:rFonts w:ascii="Aptos" w:hAnsi="Aptos"/>
                <w:sz w:val="20"/>
              </w:rPr>
              <w:t>SIEM alert / User report / EDR notification</w:t>
            </w:r>
          </w:p>
        </w:tc>
      </w:tr>
      <w:tr w:rsidR="009C525A" w:rsidRPr="004E76CB" w14:paraId="220F678D" w14:textId="77777777">
        <w:tc>
          <w:tcPr>
            <w:tcW w:w="4320" w:type="dxa"/>
            <w:shd w:val="clear" w:color="auto" w:fill="2E74B5"/>
          </w:tcPr>
          <w:p w14:paraId="547B30BB" w14:textId="77777777" w:rsidR="009C525A" w:rsidRPr="004E76CB" w:rsidRDefault="006D322D">
            <w:pPr>
              <w:rPr>
                <w:rFonts w:ascii="Aptos" w:hAnsi="Aptos"/>
              </w:rPr>
            </w:pPr>
            <w:r>
              <w:rPr>
                <w:rFonts w:ascii="Aptos" w:hAnsi="Aptos"/>
                <w:b/>
                <w:color w:val="FFFFFF"/>
                <w:sz w:val="20"/>
              </w:rPr>
              <w:t>STEP 2: TRIAGE</w:t>
            </w:r>
          </w:p>
        </w:tc>
        <w:tc>
          <w:tcPr>
            <w:tcW w:w="4320" w:type="dxa"/>
          </w:tcPr>
          <w:p w14:paraId="15095505" w14:textId="77777777" w:rsidR="009C525A" w:rsidRPr="004E76CB" w:rsidRDefault="006D322D">
            <w:pPr>
              <w:rPr>
                <w:rFonts w:ascii="Aptos" w:hAnsi="Aptos"/>
              </w:rPr>
            </w:pPr>
            <w:r>
              <w:rPr>
                <w:rFonts w:ascii="Aptos" w:hAnsi="Aptos"/>
                <w:sz w:val="20"/>
              </w:rPr>
              <w:t>Severity classification (P1–P4). P1 = Critical breach of patient data</w:t>
            </w:r>
          </w:p>
        </w:tc>
      </w:tr>
      <w:tr w:rsidR="009C525A" w:rsidRPr="004E76CB" w14:paraId="47C1FD2D" w14:textId="77777777">
        <w:tc>
          <w:tcPr>
            <w:tcW w:w="4320" w:type="dxa"/>
            <w:shd w:val="clear" w:color="auto" w:fill="107C41"/>
          </w:tcPr>
          <w:p w14:paraId="440451AE" w14:textId="77777777" w:rsidR="009C525A" w:rsidRPr="004E76CB" w:rsidRDefault="006D322D">
            <w:pPr>
              <w:rPr>
                <w:rFonts w:ascii="Aptos" w:hAnsi="Aptos"/>
              </w:rPr>
            </w:pPr>
            <w:r>
              <w:rPr>
                <w:rFonts w:ascii="Aptos" w:hAnsi="Aptos"/>
                <w:b/>
                <w:color w:val="FFFFFF"/>
                <w:sz w:val="20"/>
              </w:rPr>
              <w:t>STEP 3: CONTAIN</w:t>
            </w:r>
          </w:p>
        </w:tc>
        <w:tc>
          <w:tcPr>
            <w:tcW w:w="4320" w:type="dxa"/>
          </w:tcPr>
          <w:p w14:paraId="74BE68A8" w14:textId="77777777" w:rsidR="009C525A" w:rsidRPr="004E76CB" w:rsidRDefault="006D322D">
            <w:pPr>
              <w:rPr>
                <w:rFonts w:ascii="Aptos" w:hAnsi="Aptos"/>
              </w:rPr>
            </w:pPr>
            <w:r>
              <w:rPr>
                <w:rFonts w:ascii="Aptos" w:hAnsi="Aptos"/>
                <w:sz w:val="20"/>
              </w:rPr>
              <w:t>Isolate affected systems. Revoke compromised credentials. Block malicious IPs.</w:t>
            </w:r>
          </w:p>
        </w:tc>
      </w:tr>
      <w:tr w:rsidR="009C525A" w:rsidRPr="004E76CB" w14:paraId="00E18529" w14:textId="77777777">
        <w:tc>
          <w:tcPr>
            <w:tcW w:w="4320" w:type="dxa"/>
            <w:shd w:val="clear" w:color="auto" w:fill="C55A11"/>
          </w:tcPr>
          <w:p w14:paraId="781A82D5" w14:textId="77777777" w:rsidR="009C525A" w:rsidRPr="004E76CB" w:rsidRDefault="006D322D">
            <w:pPr>
              <w:rPr>
                <w:rFonts w:ascii="Aptos" w:hAnsi="Aptos"/>
              </w:rPr>
            </w:pPr>
            <w:r>
              <w:rPr>
                <w:rFonts w:ascii="Aptos" w:hAnsi="Aptos"/>
                <w:b/>
                <w:color w:val="FFFFFF"/>
                <w:sz w:val="20"/>
              </w:rPr>
              <w:t>STEP 4: NOTIFY</w:t>
            </w:r>
          </w:p>
        </w:tc>
        <w:tc>
          <w:tcPr>
            <w:tcW w:w="4320" w:type="dxa"/>
          </w:tcPr>
          <w:p w14:paraId="2C1A1D44" w14:textId="77777777" w:rsidR="009C525A" w:rsidRPr="004E76CB" w:rsidRDefault="006D322D">
            <w:pPr>
              <w:rPr>
                <w:rFonts w:ascii="Aptos" w:hAnsi="Aptos"/>
              </w:rPr>
            </w:pPr>
            <w:r>
              <w:rPr>
                <w:rFonts w:ascii="Aptos" w:hAnsi="Aptos"/>
                <w:sz w:val="20"/>
              </w:rPr>
              <w:t>P1/P2: Notify CISO, DPO, Legal. ICO notification within 72 hrs if patient data at risk.</w:t>
            </w:r>
          </w:p>
        </w:tc>
      </w:tr>
      <w:tr w:rsidR="009C525A" w:rsidRPr="004E76CB" w14:paraId="3C2E99D9" w14:textId="77777777">
        <w:tc>
          <w:tcPr>
            <w:tcW w:w="4320" w:type="dxa"/>
            <w:shd w:val="clear" w:color="auto" w:fill="107C41"/>
          </w:tcPr>
          <w:p w14:paraId="66BE25FF" w14:textId="77777777" w:rsidR="009C525A" w:rsidRPr="004E76CB" w:rsidRDefault="006D322D">
            <w:pPr>
              <w:rPr>
                <w:rFonts w:ascii="Aptos" w:hAnsi="Aptos"/>
              </w:rPr>
            </w:pPr>
            <w:r>
              <w:rPr>
                <w:rFonts w:ascii="Aptos" w:hAnsi="Aptos"/>
                <w:b/>
                <w:color w:val="FFFFFF"/>
                <w:sz w:val="20"/>
              </w:rPr>
              <w:t>STEP 5: ERADICATE</w:t>
            </w:r>
          </w:p>
        </w:tc>
        <w:tc>
          <w:tcPr>
            <w:tcW w:w="4320" w:type="dxa"/>
          </w:tcPr>
          <w:p w14:paraId="27C49902" w14:textId="77777777" w:rsidR="009C525A" w:rsidRPr="004E76CB" w:rsidRDefault="006D322D">
            <w:pPr>
              <w:rPr>
                <w:rFonts w:ascii="Aptos" w:hAnsi="Aptos"/>
              </w:rPr>
            </w:pPr>
            <w:r>
              <w:rPr>
                <w:rFonts w:ascii="Aptos" w:hAnsi="Aptos"/>
                <w:sz w:val="20"/>
              </w:rPr>
              <w:t>Remove malware/threat actor foothold. Apply patches. Restore from clean backup.</w:t>
            </w:r>
          </w:p>
        </w:tc>
      </w:tr>
      <w:tr w:rsidR="009C525A" w:rsidRPr="004E76CB" w14:paraId="1DFE3231" w14:textId="77777777">
        <w:tc>
          <w:tcPr>
            <w:tcW w:w="4320" w:type="dxa"/>
            <w:shd w:val="clear" w:color="auto" w:fill="2E74B5"/>
          </w:tcPr>
          <w:p w14:paraId="62D0F58B" w14:textId="77777777" w:rsidR="009C525A" w:rsidRPr="004E76CB" w:rsidRDefault="006D322D">
            <w:pPr>
              <w:rPr>
                <w:rFonts w:ascii="Aptos" w:hAnsi="Aptos"/>
              </w:rPr>
            </w:pPr>
            <w:r>
              <w:rPr>
                <w:rFonts w:ascii="Aptos" w:hAnsi="Aptos"/>
                <w:b/>
                <w:color w:val="FFFFFF"/>
                <w:sz w:val="20"/>
              </w:rPr>
              <w:t>STEP 6: RECOVER</w:t>
            </w:r>
          </w:p>
        </w:tc>
        <w:tc>
          <w:tcPr>
            <w:tcW w:w="4320" w:type="dxa"/>
          </w:tcPr>
          <w:p w14:paraId="0568BBED" w14:textId="77777777" w:rsidR="009C525A" w:rsidRPr="004E76CB" w:rsidRDefault="006D322D">
            <w:pPr>
              <w:rPr>
                <w:rFonts w:ascii="Aptos" w:hAnsi="Aptos"/>
              </w:rPr>
            </w:pPr>
            <w:r>
              <w:rPr>
                <w:rFonts w:ascii="Aptos" w:hAnsi="Aptos"/>
                <w:sz w:val="20"/>
              </w:rPr>
              <w:t>Validate systems. Restore services. Monitor for recurrence.</w:t>
            </w:r>
          </w:p>
        </w:tc>
      </w:tr>
      <w:tr w:rsidR="009C525A" w:rsidRPr="004E76CB" w14:paraId="28A463E7" w14:textId="77777777">
        <w:tc>
          <w:tcPr>
            <w:tcW w:w="4320" w:type="dxa"/>
            <w:shd w:val="clear" w:color="auto" w:fill="1F497D"/>
          </w:tcPr>
          <w:p w14:paraId="3BD83307" w14:textId="77777777" w:rsidR="009C525A" w:rsidRPr="004E76CB" w:rsidRDefault="006D322D">
            <w:pPr>
              <w:rPr>
                <w:rFonts w:ascii="Aptos" w:hAnsi="Aptos"/>
              </w:rPr>
            </w:pPr>
            <w:r>
              <w:rPr>
                <w:rFonts w:ascii="Aptos" w:hAnsi="Aptos"/>
                <w:b/>
                <w:color w:val="FFFFFF"/>
                <w:sz w:val="20"/>
              </w:rPr>
              <w:t>STEP 7: REVIEW</w:t>
            </w:r>
          </w:p>
        </w:tc>
        <w:tc>
          <w:tcPr>
            <w:tcW w:w="4320" w:type="dxa"/>
          </w:tcPr>
          <w:p w14:paraId="702A7A58" w14:textId="77777777" w:rsidR="009C525A" w:rsidRPr="004E76CB" w:rsidRDefault="006D322D">
            <w:pPr>
              <w:rPr>
                <w:rFonts w:ascii="Aptos" w:hAnsi="Aptos"/>
              </w:rPr>
            </w:pPr>
            <w:r>
              <w:rPr>
                <w:rFonts w:ascii="Aptos" w:hAnsi="Aptos"/>
                <w:sz w:val="20"/>
              </w:rPr>
              <w:t>Post-Incident Report within 10 business days. Update IRP and threat intel.</w:t>
            </w:r>
          </w:p>
        </w:tc>
      </w:tr>
    </w:tbl>
    <w:p w14:paraId="459957FB" w14:textId="77777777" w:rsidR="009C525A" w:rsidRPr="004E76CB" w:rsidRDefault="009C525A">
      <w:pPr>
        <w:rPr>
          <w:rFonts w:ascii="Aptos" w:hAnsi="Aptos"/>
        </w:rPr>
      </w:pPr>
    </w:p>
    <w:p w14:paraId="26D10177" w14:textId="77777777" w:rsidR="009C525A" w:rsidRPr="004E76CB" w:rsidRDefault="006D322D" w:rsidP="00F374F5">
      <w:pPr>
        <w:pStyle w:val="Heading2"/>
        <w:spacing w:line="360" w:lineRule="auto"/>
        <w:rPr>
          <w:rFonts w:ascii="Aptos" w:hAnsi="Aptos"/>
        </w:rPr>
      </w:pPr>
      <w:bookmarkStart w:id="21" w:name="_Toc228152711"/>
      <w:r>
        <w:rPr>
          <w:rFonts w:ascii="Aptos" w:hAnsi="Aptos"/>
          <w:color w:val="1F497D"/>
        </w:rPr>
        <w:lastRenderedPageBreak/>
        <w:t>5.3 Key Performance Indicators (KPIs)</w:t>
      </w:r>
      <w:bookmarkEnd w:id="21"/>
    </w:p>
    <w:p w14:paraId="3B31FE6F" w14:textId="77777777" w:rsidR="009C525A" w:rsidRPr="004E76CB" w:rsidRDefault="006D322D" w:rsidP="00F374F5">
      <w:pPr>
        <w:pStyle w:val="ListBullet"/>
        <w:spacing w:after="60" w:line="360" w:lineRule="auto"/>
        <w:ind w:left="432"/>
        <w:rPr>
          <w:rFonts w:ascii="Aptos" w:hAnsi="Aptos"/>
        </w:rPr>
      </w:pPr>
      <w:r>
        <w:rPr>
          <w:rFonts w:ascii="Aptos" w:hAnsi="Aptos"/>
        </w:rPr>
        <w:t>Mean Time to Detect (MTTD): Target &lt; 15 minutes for P1 incidents.</w:t>
      </w:r>
    </w:p>
    <w:p w14:paraId="07FAB7C1" w14:textId="77777777" w:rsidR="009C525A" w:rsidRPr="004E76CB" w:rsidRDefault="006D322D" w:rsidP="00F374F5">
      <w:pPr>
        <w:pStyle w:val="ListBullet"/>
        <w:spacing w:after="60" w:line="360" w:lineRule="auto"/>
        <w:ind w:left="432"/>
        <w:rPr>
          <w:rFonts w:ascii="Aptos" w:hAnsi="Aptos"/>
        </w:rPr>
      </w:pPr>
      <w:r>
        <w:rPr>
          <w:rFonts w:ascii="Aptos" w:hAnsi="Aptos"/>
        </w:rPr>
        <w:t>Mean Time to Respond (MTTR): Target &lt; 1 hour for P1 containment.</w:t>
      </w:r>
    </w:p>
    <w:p w14:paraId="386808E8" w14:textId="77777777" w:rsidR="009C525A" w:rsidRPr="004E76CB" w:rsidRDefault="006D322D" w:rsidP="00F374F5">
      <w:pPr>
        <w:pStyle w:val="ListBullet"/>
        <w:spacing w:after="60" w:line="360" w:lineRule="auto"/>
        <w:ind w:left="432"/>
        <w:rPr>
          <w:rFonts w:ascii="Aptos" w:hAnsi="Aptos"/>
        </w:rPr>
      </w:pPr>
      <w:r>
        <w:rPr>
          <w:rFonts w:ascii="Aptos" w:hAnsi="Aptos"/>
        </w:rPr>
        <w:t>Patch compliance rate: ≥ 95% of critical patches applied within SLA.</w:t>
      </w:r>
    </w:p>
    <w:p w14:paraId="0A2A830D" w14:textId="77777777" w:rsidR="009C525A" w:rsidRPr="004E76CB" w:rsidRDefault="006D322D" w:rsidP="00F374F5">
      <w:pPr>
        <w:pStyle w:val="ListBullet"/>
        <w:spacing w:after="60" w:line="360" w:lineRule="auto"/>
        <w:ind w:left="432"/>
        <w:rPr>
          <w:rFonts w:ascii="Aptos" w:hAnsi="Aptos"/>
        </w:rPr>
      </w:pPr>
      <w:r>
        <w:rPr>
          <w:rFonts w:ascii="Aptos" w:hAnsi="Aptos"/>
        </w:rPr>
        <w:t>Percentage of staff completing annual security training: Target 100%.</w:t>
      </w:r>
    </w:p>
    <w:p w14:paraId="1BF24A3D" w14:textId="77777777" w:rsidR="009C525A" w:rsidRPr="004E76CB" w:rsidRDefault="006D322D" w:rsidP="00F374F5">
      <w:pPr>
        <w:pStyle w:val="ListBullet"/>
        <w:spacing w:after="60" w:line="360" w:lineRule="auto"/>
        <w:ind w:left="432"/>
        <w:rPr>
          <w:rFonts w:ascii="Aptos" w:hAnsi="Aptos"/>
        </w:rPr>
      </w:pPr>
      <w:r>
        <w:rPr>
          <w:rFonts w:ascii="Aptos" w:hAnsi="Aptos"/>
        </w:rPr>
        <w:t>Number of unresolved high/critical vulnerabilities: Target 0 beyond 30-day SLA.</w:t>
      </w:r>
    </w:p>
    <w:p w14:paraId="3916C8B2" w14:textId="77777777" w:rsidR="009C525A" w:rsidRPr="004E76CB" w:rsidRDefault="006D322D">
      <w:pPr>
        <w:rPr>
          <w:rFonts w:ascii="Aptos" w:hAnsi="Aptos"/>
        </w:rPr>
      </w:pPr>
      <w:r>
        <w:rPr>
          <w:rFonts w:ascii="Aptos" w:hAnsi="Aptos"/>
        </w:rPr>
        <w:br w:type="page"/>
      </w:r>
    </w:p>
    <w:p w14:paraId="3A1E39E5" w14:textId="77777777" w:rsidR="009C525A" w:rsidRDefault="006D322D">
      <w:pPr>
        <w:pStyle w:val="Heading1"/>
        <w:rPr>
          <w:rFonts w:ascii="Aptos" w:hAnsi="Aptos"/>
          <w:color w:val="1F497D"/>
          <w:sz w:val="36"/>
          <w:szCs w:val="36"/>
        </w:rPr>
      </w:pPr>
      <w:bookmarkStart w:id="22" w:name="_Toc228152712"/>
      <w:r>
        <w:rPr>
          <w:rFonts w:ascii="Aptos" w:hAnsi="Aptos"/>
          <w:color w:val="1F497D"/>
          <w:sz w:val="36"/>
          <w:szCs w:val="36"/>
        </w:rPr>
        <w:lastRenderedPageBreak/>
        <w:t>6. Staff Training &amp; Awareness Programme</w:t>
      </w:r>
      <w:bookmarkEnd w:id="22"/>
    </w:p>
    <w:p w14:paraId="72562304" w14:textId="77777777" w:rsidR="00F374F5" w:rsidRPr="00F374F5" w:rsidRDefault="00F374F5" w:rsidP="00F374F5"/>
    <w:p w14:paraId="349FC8E1" w14:textId="17ED6E0A" w:rsidR="009C525A" w:rsidRDefault="006D322D" w:rsidP="00CB244E">
      <w:pPr>
        <w:spacing w:before="40" w:after="120" w:line="360" w:lineRule="auto"/>
        <w:jc w:val="both"/>
        <w:rPr>
          <w:rFonts w:ascii="Aptos" w:hAnsi="Aptos"/>
        </w:rPr>
      </w:pPr>
      <w:r>
        <w:rPr>
          <w:rFonts w:ascii="Aptos" w:hAnsi="Aptos"/>
        </w:rPr>
        <w:t>Research by Verizon’s 2024 Data Breach Investigations Report indicates that 68% of breaches involve a human element</w:t>
      </w:r>
      <w:r>
        <w:rPr>
          <w:rFonts w:ascii="Aptos" w:hAnsi="Aptos"/>
        </w:rPr>
        <w:t xml:space="preserve">, underscoring the critical importance of staff education. HPA’s training programme adopts a risk-based, role-differentiated approach aligned with the NHS DSP Toolkit Standard 9 (Cyber Resilience) </w:t>
      </w:r>
      <w:r>
        <w:rPr>
          <w:rFonts w:ascii="Aptos" w:hAnsi="Aptos"/>
        </w:rPr>
        <w:t>and ISO 27001 A.7.2.2</w:t>
      </w:r>
      <w:r>
        <w:rPr>
          <w:rFonts w:ascii="Aptos" w:hAnsi="Aptos"/>
        </w:rPr>
        <w:t>.</w:t>
      </w:r>
    </w:p>
    <w:p w14:paraId="5BB8B1C0" w14:textId="77777777" w:rsidR="00F374F5" w:rsidRPr="004E76CB" w:rsidRDefault="00F374F5" w:rsidP="00F374F5">
      <w:pPr>
        <w:spacing w:before="40" w:after="120" w:line="360" w:lineRule="auto"/>
        <w:rPr>
          <w:rFonts w:ascii="Aptos" w:hAnsi="Aptos"/>
        </w:rPr>
      </w:pPr>
    </w:p>
    <w:p w14:paraId="70EA2C8A" w14:textId="77777777" w:rsidR="009C525A" w:rsidRPr="004E76CB" w:rsidRDefault="006D322D">
      <w:pPr>
        <w:pStyle w:val="Heading2"/>
        <w:rPr>
          <w:rFonts w:ascii="Aptos" w:hAnsi="Aptos"/>
        </w:rPr>
      </w:pPr>
      <w:bookmarkStart w:id="23" w:name="_Toc228152713"/>
      <w:r>
        <w:rPr>
          <w:rFonts w:ascii="Aptos" w:hAnsi="Aptos"/>
          <w:color w:val="1F497D"/>
        </w:rPr>
        <w:t>6.1 Programme Structure</w:t>
      </w:r>
      <w:bookmarkEnd w:id="23"/>
    </w:p>
    <w:tbl>
      <w:tblPr>
        <w:tblStyle w:val="TableGrid"/>
        <w:tblW w:w="0" w:type="auto"/>
        <w:tblLook w:val="04A0" w:firstRow="1" w:lastRow="0" w:firstColumn="1" w:lastColumn="0" w:noHBand="0" w:noVBand="1"/>
      </w:tblPr>
      <w:tblGrid>
        <w:gridCol w:w="2880"/>
        <w:gridCol w:w="2880"/>
        <w:gridCol w:w="2880"/>
      </w:tblGrid>
      <w:tr w:rsidR="009C525A" w:rsidRPr="004E76CB" w14:paraId="67E57A52" w14:textId="77777777">
        <w:tc>
          <w:tcPr>
            <w:tcW w:w="2880" w:type="dxa"/>
            <w:shd w:val="clear" w:color="auto" w:fill="1F497D"/>
          </w:tcPr>
          <w:p w14:paraId="62BB8AF0" w14:textId="77777777" w:rsidR="009C525A" w:rsidRPr="004E76CB" w:rsidRDefault="006D322D">
            <w:pPr>
              <w:rPr>
                <w:rFonts w:ascii="Aptos" w:hAnsi="Aptos"/>
              </w:rPr>
            </w:pPr>
            <w:r>
              <w:rPr>
                <w:rFonts w:ascii="Aptos" w:hAnsi="Aptos"/>
                <w:b/>
                <w:color w:val="FFFFFF"/>
                <w:sz w:val="20"/>
              </w:rPr>
              <w:t>Audience</w:t>
            </w:r>
          </w:p>
        </w:tc>
        <w:tc>
          <w:tcPr>
            <w:tcW w:w="2880" w:type="dxa"/>
            <w:shd w:val="clear" w:color="auto" w:fill="1F497D"/>
          </w:tcPr>
          <w:p w14:paraId="4FCE0D1A" w14:textId="77777777" w:rsidR="009C525A" w:rsidRPr="004E76CB" w:rsidRDefault="006D322D">
            <w:pPr>
              <w:rPr>
                <w:rFonts w:ascii="Aptos" w:hAnsi="Aptos"/>
              </w:rPr>
            </w:pPr>
            <w:r>
              <w:rPr>
                <w:rFonts w:ascii="Aptos" w:hAnsi="Aptos"/>
                <w:b/>
                <w:color w:val="FFFFFF"/>
                <w:sz w:val="20"/>
              </w:rPr>
              <w:t>Frequency</w:t>
            </w:r>
          </w:p>
        </w:tc>
        <w:tc>
          <w:tcPr>
            <w:tcW w:w="2880" w:type="dxa"/>
            <w:shd w:val="clear" w:color="auto" w:fill="1F497D"/>
          </w:tcPr>
          <w:p w14:paraId="2ED97836" w14:textId="77777777" w:rsidR="009C525A" w:rsidRPr="004E76CB" w:rsidRDefault="006D322D">
            <w:pPr>
              <w:rPr>
                <w:rFonts w:ascii="Aptos" w:hAnsi="Aptos"/>
              </w:rPr>
            </w:pPr>
            <w:r>
              <w:rPr>
                <w:rFonts w:ascii="Aptos" w:hAnsi="Aptos"/>
                <w:b/>
                <w:color w:val="FFFFFF"/>
                <w:sz w:val="20"/>
              </w:rPr>
              <w:t>Content</w:t>
            </w:r>
          </w:p>
        </w:tc>
      </w:tr>
      <w:tr w:rsidR="009C525A" w:rsidRPr="004E76CB" w14:paraId="733DA9AD" w14:textId="77777777">
        <w:tc>
          <w:tcPr>
            <w:tcW w:w="2880" w:type="dxa"/>
          </w:tcPr>
          <w:p w14:paraId="6992794C" w14:textId="77777777" w:rsidR="009C525A" w:rsidRPr="004E76CB" w:rsidRDefault="006D322D">
            <w:pPr>
              <w:rPr>
                <w:rFonts w:ascii="Aptos" w:hAnsi="Aptos"/>
              </w:rPr>
            </w:pPr>
            <w:r>
              <w:rPr>
                <w:rFonts w:ascii="Aptos" w:hAnsi="Aptos"/>
                <w:sz w:val="20"/>
              </w:rPr>
              <w:t>All Staff</w:t>
            </w:r>
          </w:p>
        </w:tc>
        <w:tc>
          <w:tcPr>
            <w:tcW w:w="2880" w:type="dxa"/>
          </w:tcPr>
          <w:p w14:paraId="33444CD3" w14:textId="77777777" w:rsidR="009C525A" w:rsidRPr="004E76CB" w:rsidRDefault="006D322D">
            <w:pPr>
              <w:rPr>
                <w:rFonts w:ascii="Aptos" w:hAnsi="Aptos"/>
              </w:rPr>
            </w:pPr>
            <w:r>
              <w:rPr>
                <w:rFonts w:ascii="Aptos" w:hAnsi="Aptos"/>
                <w:sz w:val="20"/>
              </w:rPr>
              <w:t>Annual</w:t>
            </w:r>
          </w:p>
        </w:tc>
        <w:tc>
          <w:tcPr>
            <w:tcW w:w="2880" w:type="dxa"/>
          </w:tcPr>
          <w:p w14:paraId="5E4409ED" w14:textId="77777777" w:rsidR="009C525A" w:rsidRPr="004E76CB" w:rsidRDefault="006D322D">
            <w:pPr>
              <w:rPr>
                <w:rFonts w:ascii="Aptos" w:hAnsi="Aptos"/>
              </w:rPr>
            </w:pPr>
            <w:r>
              <w:rPr>
                <w:rFonts w:ascii="Aptos" w:hAnsi="Aptos"/>
                <w:sz w:val="20"/>
              </w:rPr>
              <w:t>Security fundamentals, phishing awareness, data handling, password hygiene, incident reporting</w:t>
            </w:r>
          </w:p>
        </w:tc>
      </w:tr>
      <w:tr w:rsidR="009C525A" w:rsidRPr="004E76CB" w14:paraId="2CC09BD9" w14:textId="77777777">
        <w:tc>
          <w:tcPr>
            <w:tcW w:w="2880" w:type="dxa"/>
          </w:tcPr>
          <w:p w14:paraId="1FA35739" w14:textId="77777777" w:rsidR="009C525A" w:rsidRPr="004E76CB" w:rsidRDefault="006D322D">
            <w:pPr>
              <w:rPr>
                <w:rFonts w:ascii="Aptos" w:hAnsi="Aptos"/>
              </w:rPr>
            </w:pPr>
            <w:r>
              <w:rPr>
                <w:rFonts w:ascii="Aptos" w:hAnsi="Aptos"/>
                <w:sz w:val="20"/>
              </w:rPr>
              <w:t>IT &amp; Engineering</w:t>
            </w:r>
          </w:p>
        </w:tc>
        <w:tc>
          <w:tcPr>
            <w:tcW w:w="2880" w:type="dxa"/>
          </w:tcPr>
          <w:p w14:paraId="5855E578" w14:textId="77777777" w:rsidR="009C525A" w:rsidRPr="004E76CB" w:rsidRDefault="006D322D">
            <w:pPr>
              <w:rPr>
                <w:rFonts w:ascii="Aptos" w:hAnsi="Aptos"/>
              </w:rPr>
            </w:pPr>
            <w:r>
              <w:rPr>
                <w:rFonts w:ascii="Aptos" w:hAnsi="Aptos"/>
                <w:sz w:val="20"/>
              </w:rPr>
              <w:t>Bi-annual</w:t>
            </w:r>
          </w:p>
        </w:tc>
        <w:tc>
          <w:tcPr>
            <w:tcW w:w="2880" w:type="dxa"/>
          </w:tcPr>
          <w:p w14:paraId="72511C89" w14:textId="77777777" w:rsidR="009C525A" w:rsidRPr="004E76CB" w:rsidRDefault="006D322D">
            <w:pPr>
              <w:rPr>
                <w:rFonts w:ascii="Aptos" w:hAnsi="Aptos"/>
              </w:rPr>
            </w:pPr>
            <w:r>
              <w:rPr>
                <w:rFonts w:ascii="Aptos" w:hAnsi="Aptos"/>
                <w:sz w:val="20"/>
              </w:rPr>
              <w:t>Secure coding (OWASP), patch management, cloud security, penetration testing basics</w:t>
            </w:r>
          </w:p>
        </w:tc>
      </w:tr>
      <w:tr w:rsidR="009C525A" w:rsidRPr="004E76CB" w14:paraId="32ADD75F" w14:textId="77777777">
        <w:tc>
          <w:tcPr>
            <w:tcW w:w="2880" w:type="dxa"/>
          </w:tcPr>
          <w:p w14:paraId="742792D8" w14:textId="77777777" w:rsidR="009C525A" w:rsidRPr="004E76CB" w:rsidRDefault="006D322D">
            <w:pPr>
              <w:rPr>
                <w:rFonts w:ascii="Aptos" w:hAnsi="Aptos"/>
              </w:rPr>
            </w:pPr>
            <w:r>
              <w:rPr>
                <w:rFonts w:ascii="Aptos" w:hAnsi="Aptos"/>
                <w:sz w:val="20"/>
              </w:rPr>
              <w:t>Managers &amp; Data Controllers</w:t>
            </w:r>
          </w:p>
        </w:tc>
        <w:tc>
          <w:tcPr>
            <w:tcW w:w="2880" w:type="dxa"/>
          </w:tcPr>
          <w:p w14:paraId="2D395F75" w14:textId="77777777" w:rsidR="009C525A" w:rsidRPr="004E76CB" w:rsidRDefault="006D322D">
            <w:pPr>
              <w:rPr>
                <w:rFonts w:ascii="Aptos" w:hAnsi="Aptos"/>
              </w:rPr>
            </w:pPr>
            <w:r>
              <w:rPr>
                <w:rFonts w:ascii="Aptos" w:hAnsi="Aptos"/>
                <w:sz w:val="20"/>
              </w:rPr>
              <w:t>Annual</w:t>
            </w:r>
          </w:p>
        </w:tc>
        <w:tc>
          <w:tcPr>
            <w:tcW w:w="2880" w:type="dxa"/>
          </w:tcPr>
          <w:p w14:paraId="0D0FD011" w14:textId="77777777" w:rsidR="009C525A" w:rsidRPr="004E76CB" w:rsidRDefault="006D322D">
            <w:pPr>
              <w:rPr>
                <w:rFonts w:ascii="Aptos" w:hAnsi="Aptos"/>
              </w:rPr>
            </w:pPr>
            <w:r>
              <w:rPr>
                <w:rFonts w:ascii="Aptos" w:hAnsi="Aptos"/>
                <w:sz w:val="20"/>
              </w:rPr>
              <w:t>UK GDPR obligations, data subject rights, DPA management, breach response</w:t>
            </w:r>
          </w:p>
        </w:tc>
      </w:tr>
      <w:tr w:rsidR="009C525A" w:rsidRPr="004E76CB" w14:paraId="09DDAE0D" w14:textId="77777777">
        <w:tc>
          <w:tcPr>
            <w:tcW w:w="2880" w:type="dxa"/>
          </w:tcPr>
          <w:p w14:paraId="522C1E05" w14:textId="77777777" w:rsidR="009C525A" w:rsidRPr="004E76CB" w:rsidRDefault="006D322D">
            <w:pPr>
              <w:rPr>
                <w:rFonts w:ascii="Aptos" w:hAnsi="Aptos"/>
              </w:rPr>
            </w:pPr>
            <w:r>
              <w:rPr>
                <w:rFonts w:ascii="Aptos" w:hAnsi="Aptos"/>
                <w:sz w:val="20"/>
              </w:rPr>
              <w:t>Executive &amp; Board</w:t>
            </w:r>
          </w:p>
        </w:tc>
        <w:tc>
          <w:tcPr>
            <w:tcW w:w="2880" w:type="dxa"/>
          </w:tcPr>
          <w:p w14:paraId="01887CBD" w14:textId="77777777" w:rsidR="009C525A" w:rsidRPr="004E76CB" w:rsidRDefault="006D322D">
            <w:pPr>
              <w:rPr>
                <w:rFonts w:ascii="Aptos" w:hAnsi="Aptos"/>
              </w:rPr>
            </w:pPr>
            <w:r>
              <w:rPr>
                <w:rFonts w:ascii="Aptos" w:hAnsi="Aptos"/>
                <w:sz w:val="20"/>
              </w:rPr>
              <w:t>Annual</w:t>
            </w:r>
          </w:p>
        </w:tc>
        <w:tc>
          <w:tcPr>
            <w:tcW w:w="2880" w:type="dxa"/>
          </w:tcPr>
          <w:p w14:paraId="6C2606BF" w14:textId="77777777" w:rsidR="009C525A" w:rsidRPr="004E76CB" w:rsidRDefault="006D322D">
            <w:pPr>
              <w:rPr>
                <w:rFonts w:ascii="Aptos" w:hAnsi="Aptos"/>
              </w:rPr>
            </w:pPr>
            <w:r>
              <w:rPr>
                <w:rFonts w:ascii="Aptos" w:hAnsi="Aptos"/>
                <w:sz w:val="20"/>
              </w:rPr>
              <w:t>Cyber risk governance, regulatory liability, strategic security investment</w:t>
            </w:r>
          </w:p>
        </w:tc>
      </w:tr>
      <w:tr w:rsidR="009C525A" w:rsidRPr="004E76CB" w14:paraId="27E6F8DB" w14:textId="77777777">
        <w:tc>
          <w:tcPr>
            <w:tcW w:w="2880" w:type="dxa"/>
          </w:tcPr>
          <w:p w14:paraId="186ACD84" w14:textId="77777777" w:rsidR="009C525A" w:rsidRPr="004E76CB" w:rsidRDefault="006D322D">
            <w:pPr>
              <w:rPr>
                <w:rFonts w:ascii="Aptos" w:hAnsi="Aptos"/>
              </w:rPr>
            </w:pPr>
            <w:r>
              <w:rPr>
                <w:rFonts w:ascii="Aptos" w:hAnsi="Aptos"/>
                <w:sz w:val="20"/>
              </w:rPr>
              <w:t>New Joiners</w:t>
            </w:r>
          </w:p>
        </w:tc>
        <w:tc>
          <w:tcPr>
            <w:tcW w:w="2880" w:type="dxa"/>
          </w:tcPr>
          <w:p w14:paraId="545AFB8C" w14:textId="77777777" w:rsidR="009C525A" w:rsidRPr="004E76CB" w:rsidRDefault="006D322D">
            <w:pPr>
              <w:rPr>
                <w:rFonts w:ascii="Aptos" w:hAnsi="Aptos"/>
              </w:rPr>
            </w:pPr>
            <w:r>
              <w:rPr>
                <w:rFonts w:ascii="Aptos" w:hAnsi="Aptos"/>
                <w:sz w:val="20"/>
              </w:rPr>
              <w:t>Within 30 days</w:t>
            </w:r>
          </w:p>
        </w:tc>
        <w:tc>
          <w:tcPr>
            <w:tcW w:w="2880" w:type="dxa"/>
          </w:tcPr>
          <w:p w14:paraId="41710559" w14:textId="77777777" w:rsidR="009C525A" w:rsidRPr="004E76CB" w:rsidRDefault="006D322D">
            <w:pPr>
              <w:rPr>
                <w:rFonts w:ascii="Aptos" w:hAnsi="Aptos"/>
              </w:rPr>
            </w:pPr>
            <w:r>
              <w:rPr>
                <w:rFonts w:ascii="Aptos" w:hAnsi="Aptos"/>
                <w:sz w:val="20"/>
              </w:rPr>
              <w:t>Security induction covering all policies, acceptable use, and incident reporting</w:t>
            </w:r>
          </w:p>
        </w:tc>
      </w:tr>
    </w:tbl>
    <w:p w14:paraId="62E5B502" w14:textId="77777777" w:rsidR="009C525A" w:rsidRPr="004E76CB" w:rsidRDefault="009C525A">
      <w:pPr>
        <w:rPr>
          <w:rFonts w:ascii="Aptos" w:hAnsi="Aptos"/>
        </w:rPr>
      </w:pPr>
    </w:p>
    <w:p w14:paraId="215E0A8F" w14:textId="77777777" w:rsidR="009C525A" w:rsidRPr="004E76CB" w:rsidRDefault="006D322D">
      <w:pPr>
        <w:pStyle w:val="Heading2"/>
        <w:rPr>
          <w:rFonts w:ascii="Aptos" w:hAnsi="Aptos"/>
        </w:rPr>
      </w:pPr>
      <w:bookmarkStart w:id="24" w:name="_Toc228152714"/>
      <w:r>
        <w:rPr>
          <w:rFonts w:ascii="Aptos" w:hAnsi="Aptos"/>
          <w:color w:val="1F497D"/>
        </w:rPr>
        <w:t>6.2 Delivery Methods</w:t>
      </w:r>
      <w:bookmarkEnd w:id="24"/>
    </w:p>
    <w:p w14:paraId="2FC7DAF4" w14:textId="65D3636B"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E-learning modules</w:t>
      </w:r>
      <w:r w:rsidRPr="00CD41E5">
        <w:rPr>
          <w:rFonts w:ascii="Aptos" w:hAnsi="Aptos"/>
          <w:b/>
          <w:bCs/>
        </w:rPr>
        <w:t xml:space="preserve">: </w:t>
      </w:r>
      <w:r>
        <w:rPr>
          <w:rFonts w:ascii="Aptos" w:hAnsi="Aptos"/>
        </w:rPr>
        <w:t>Self-paced, tracked, with completion certificates.</w:t>
      </w:r>
    </w:p>
    <w:p w14:paraId="212795AA" w14:textId="3CEAE46E"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Simulated phishing campaigns</w:t>
      </w:r>
      <w:r w:rsidRPr="00CD41E5">
        <w:rPr>
          <w:rFonts w:ascii="Aptos" w:hAnsi="Aptos"/>
          <w:b/>
          <w:bCs/>
        </w:rPr>
        <w:t>:</w:t>
      </w:r>
      <w:r>
        <w:rPr>
          <w:rFonts w:ascii="Aptos" w:hAnsi="Aptos"/>
        </w:rPr>
        <w:t xml:space="preserve"> Using KnowBe4</w:t>
      </w:r>
      <w:r>
        <w:rPr>
          <w:rFonts w:ascii="Aptos" w:hAnsi="Aptos"/>
        </w:rPr>
        <w:t xml:space="preserve"> or Proofpoint Security Awareness Training; employees who click are auto-enrolled in remedial training.</w:t>
      </w:r>
    </w:p>
    <w:p w14:paraId="06A55821"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Live workshops</w:t>
      </w:r>
      <w:r>
        <w:rPr>
          <w:rFonts w:ascii="Aptos" w:hAnsi="Aptos"/>
        </w:rPr>
        <w:t>: Annual tabletop incident response exercises for IT and management teams.</w:t>
      </w:r>
    </w:p>
    <w:p w14:paraId="10329467"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Intranet security hub</w:t>
      </w:r>
      <w:r>
        <w:rPr>
          <w:rFonts w:ascii="Aptos" w:hAnsi="Aptos"/>
        </w:rPr>
        <w:t>: Ongoing resources including threat bulletins, policy summaries, and reporting guides.</w:t>
      </w:r>
    </w:p>
    <w:p w14:paraId="7F73DF8C"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Gamification:</w:t>
      </w:r>
      <w:r>
        <w:rPr>
          <w:rFonts w:ascii="Aptos" w:hAnsi="Aptos"/>
        </w:rPr>
        <w:t xml:space="preserve"> Monthly security challenges and leaderboards to sustain engagement.</w:t>
      </w:r>
    </w:p>
    <w:p w14:paraId="1B53FD8A" w14:textId="77777777" w:rsidR="009C525A" w:rsidRPr="004E76CB" w:rsidRDefault="006D322D">
      <w:pPr>
        <w:pStyle w:val="Heading2"/>
        <w:rPr>
          <w:rFonts w:ascii="Aptos" w:hAnsi="Aptos"/>
        </w:rPr>
      </w:pPr>
      <w:bookmarkStart w:id="25" w:name="_Toc228152715"/>
      <w:r>
        <w:rPr>
          <w:rFonts w:ascii="Aptos" w:hAnsi="Aptos"/>
          <w:color w:val="1F497D"/>
        </w:rPr>
        <w:lastRenderedPageBreak/>
        <w:t>6.3 Measuring Effectiveness</w:t>
      </w:r>
      <w:bookmarkEnd w:id="25"/>
    </w:p>
    <w:p w14:paraId="00325E65"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Phishing simulation click rates</w:t>
      </w:r>
      <w:r>
        <w:rPr>
          <w:rFonts w:ascii="Aptos" w:hAnsi="Aptos"/>
        </w:rPr>
        <w:t>: Target reduction of ≥ 50% within 12 months.</w:t>
      </w:r>
    </w:p>
    <w:p w14:paraId="275BF234"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Training completion rates</w:t>
      </w:r>
      <w:r w:rsidRPr="0045664B">
        <w:rPr>
          <w:rFonts w:ascii="Aptos" w:hAnsi="Aptos"/>
          <w:u w:val="single"/>
        </w:rPr>
        <w:t>:</w:t>
      </w:r>
      <w:r>
        <w:rPr>
          <w:rFonts w:ascii="Aptos" w:hAnsi="Aptos"/>
        </w:rPr>
        <w:t xml:space="preserve"> 100% completion required; non-completion flagged to line managers.</w:t>
      </w:r>
    </w:p>
    <w:p w14:paraId="0D678080"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Security incident tickets attributed to human error</w:t>
      </w:r>
      <w:r>
        <w:rPr>
          <w:rFonts w:ascii="Aptos" w:hAnsi="Aptos"/>
        </w:rPr>
        <w:t>: Track quarterly trend.</w:t>
      </w:r>
    </w:p>
    <w:p w14:paraId="56B95490"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Post-training knowledge assessments:</w:t>
      </w:r>
      <w:r w:rsidRPr="008E1148">
        <w:rPr>
          <w:rFonts w:ascii="Aptos" w:hAnsi="Aptos"/>
          <w:b/>
          <w:bCs/>
        </w:rPr>
        <w:t xml:space="preserve"> </w:t>
      </w:r>
      <w:r>
        <w:rPr>
          <w:rFonts w:ascii="Aptos" w:hAnsi="Aptos"/>
        </w:rPr>
        <w:t>Minimum 80% pass score required.</w:t>
      </w:r>
    </w:p>
    <w:p w14:paraId="1EEDFCA5" w14:textId="77777777" w:rsidR="009C525A" w:rsidRDefault="006D322D">
      <w:pPr>
        <w:rPr>
          <w:rFonts w:ascii="Aptos" w:hAnsi="Aptos"/>
        </w:rPr>
      </w:pPr>
      <w:r>
        <w:rPr>
          <w:rFonts w:ascii="Aptos" w:hAnsi="Aptos"/>
        </w:rPr>
        <w:br w:type="page"/>
      </w:r>
    </w:p>
    <w:p w14:paraId="1BA21FFB" w14:textId="77777777" w:rsidR="00774A56" w:rsidRPr="004E76CB" w:rsidRDefault="00774A56">
      <w:pPr>
        <w:rPr>
          <w:rFonts w:ascii="Aptos" w:hAnsi="Aptos"/>
        </w:rPr>
      </w:pPr>
    </w:p>
    <w:p w14:paraId="2B0201BC" w14:textId="77777777" w:rsidR="009C525A" w:rsidRPr="00972651" w:rsidRDefault="006D322D">
      <w:pPr>
        <w:pStyle w:val="Heading1"/>
        <w:rPr>
          <w:rFonts w:ascii="Aptos" w:hAnsi="Aptos"/>
          <w:sz w:val="36"/>
          <w:szCs w:val="36"/>
        </w:rPr>
      </w:pPr>
      <w:bookmarkStart w:id="26" w:name="_Toc228152716"/>
      <w:r w:rsidRPr="00972651">
        <w:rPr>
          <w:rFonts w:ascii="Aptos" w:hAnsi="Aptos"/>
          <w:color w:val="1F497D"/>
          <w:sz w:val="36"/>
          <w:szCs w:val="36"/>
        </w:rPr>
        <w:t>7. Conclusion</w:t>
      </w:r>
      <w:bookmarkEnd w:id="26"/>
    </w:p>
    <w:p w14:paraId="07096131" w14:textId="23B02182" w:rsidR="009C525A" w:rsidRPr="004E76CB" w:rsidRDefault="006D322D" w:rsidP="00F374F5">
      <w:pPr>
        <w:spacing w:before="40" w:after="120" w:line="360" w:lineRule="auto"/>
        <w:jc w:val="both"/>
        <w:rPr>
          <w:rFonts w:ascii="Aptos" w:hAnsi="Aptos"/>
        </w:rPr>
      </w:pPr>
      <w:r>
        <w:rPr>
          <w:rFonts w:ascii="Aptos" w:hAnsi="Aptos"/>
        </w:rPr>
        <w:t>The Data Security and Governance Framework presented in this report provides HPA with a robust, standards-aligned approach to managing the organisation’s cybersecurity risks. By addressing threats systematically</w:t>
      </w:r>
      <w:r>
        <w:rPr>
          <w:rFonts w:ascii="Aptos" w:hAnsi="Aptos"/>
        </w:rPr>
        <w:t xml:space="preserve"> from ransomware and phishing</w:t>
      </w:r>
      <w:r>
        <w:rPr>
          <w:rFonts w:ascii="Aptos" w:hAnsi="Aptos"/>
        </w:rPr>
        <w:t xml:space="preserve"> to insider misuse and supply chain vulnerabilities </w:t>
      </w:r>
      <w:r>
        <w:rPr>
          <w:rFonts w:ascii="Aptos" w:hAnsi="Aptos"/>
        </w:rPr>
        <w:t xml:space="preserve">and coupling technical controls with governance policies, continuous monitoring, and staff education, HPA can significantly reduce its risk exposure and ensure ongoing compliance with UK GDPR </w:t>
      </w:r>
      <w:r>
        <w:rPr>
          <w:rFonts w:ascii="Aptos" w:hAnsi="Aptos"/>
        </w:rPr>
        <w:t>and NHS Digital Security Standards</w:t>
      </w:r>
      <w:r>
        <w:rPr>
          <w:rFonts w:ascii="Aptos" w:hAnsi="Aptos"/>
        </w:rPr>
        <w:t>.</w:t>
      </w:r>
    </w:p>
    <w:p w14:paraId="0DE24AC1" w14:textId="3B1482F7" w:rsidR="009C525A" w:rsidRPr="004E76CB" w:rsidRDefault="006D322D" w:rsidP="00F374F5">
      <w:pPr>
        <w:spacing w:before="40" w:after="120" w:line="360" w:lineRule="auto"/>
        <w:jc w:val="both"/>
        <w:rPr>
          <w:rFonts w:ascii="Aptos" w:hAnsi="Aptos"/>
        </w:rPr>
      </w:pPr>
      <w:r>
        <w:rPr>
          <w:rFonts w:ascii="Aptos" w:hAnsi="Aptos"/>
        </w:rPr>
        <w:t>The framework is intentionally iterative: annual reviews, post-incident analyses, and evolving threat intelligence will require continuous updates. Leadership commitment, adequate resourcing, and a culture that treats security as a shared organisational responsibility</w:t>
      </w:r>
      <w:r w:rsidR="00F95BC0">
        <w:rPr>
          <w:rFonts w:ascii="Aptos" w:hAnsi="Aptos"/>
        </w:rPr>
        <w:t xml:space="preserve">, </w:t>
      </w:r>
      <w:r>
        <w:rPr>
          <w:rFonts w:ascii="Aptos" w:hAnsi="Aptos"/>
        </w:rPr>
        <w:t xml:space="preserve">not solely an IT function </w:t>
      </w:r>
      <w:r>
        <w:rPr>
          <w:rFonts w:ascii="Aptos" w:hAnsi="Aptos"/>
        </w:rPr>
        <w:t>will be decisive in its long</w:t>
      </w:r>
      <w:r w:rsidR="00F95BC0">
        <w:rPr>
          <w:rFonts w:ascii="Aptos" w:hAnsi="Aptos"/>
        </w:rPr>
        <w:t xml:space="preserve"> </w:t>
      </w:r>
      <w:r>
        <w:rPr>
          <w:rFonts w:ascii="Aptos" w:hAnsi="Aptos"/>
        </w:rPr>
        <w:t>term success.</w:t>
      </w:r>
    </w:p>
    <w:p w14:paraId="3D5A7933" w14:textId="13816889" w:rsidR="009C525A" w:rsidRPr="004E76CB" w:rsidRDefault="006D322D" w:rsidP="00F374F5">
      <w:pPr>
        <w:spacing w:before="40" w:after="120" w:line="360" w:lineRule="auto"/>
        <w:jc w:val="both"/>
        <w:rPr>
          <w:rFonts w:ascii="Aptos" w:hAnsi="Aptos"/>
        </w:rPr>
      </w:pPr>
      <w:r>
        <w:rPr>
          <w:rFonts w:ascii="Aptos" w:hAnsi="Aptos"/>
        </w:rPr>
        <w:t>Implementation should proceed in three phases: (1) foundational controls and policy adoption within 90 days</w:t>
      </w:r>
      <w:r w:rsidR="000E2106">
        <w:rPr>
          <w:rFonts w:ascii="Aptos" w:hAnsi="Aptos"/>
        </w:rPr>
        <w:t>,</w:t>
      </w:r>
      <w:r>
        <w:rPr>
          <w:rFonts w:ascii="Aptos" w:hAnsi="Aptos"/>
        </w:rPr>
        <w:t xml:space="preserve"> (2) SIEM deployment, MFA rollout, and training programme launch within 6 months</w:t>
      </w:r>
      <w:r w:rsidR="000E2106">
        <w:rPr>
          <w:rFonts w:ascii="Aptos" w:hAnsi="Aptos"/>
        </w:rPr>
        <w:t>,</w:t>
      </w:r>
      <w:r>
        <w:rPr>
          <w:rFonts w:ascii="Aptos" w:hAnsi="Aptos"/>
        </w:rPr>
        <w:t xml:space="preserve"> and (3) </w:t>
      </w:r>
      <w:r w:rsidR="003857C1">
        <w:rPr>
          <w:rFonts w:ascii="Aptos" w:hAnsi="Aptos"/>
        </w:rPr>
        <w:t>F</w:t>
      </w:r>
      <w:r>
        <w:rPr>
          <w:rFonts w:ascii="Aptos" w:hAnsi="Aptos"/>
        </w:rPr>
        <w:t>ull ISO 27001 certification readiness and NHS DSP Toolkit submission within 12 months.</w:t>
      </w:r>
    </w:p>
    <w:p w14:paraId="52E85E03" w14:textId="77777777" w:rsidR="009C525A" w:rsidRPr="004E76CB" w:rsidRDefault="006D322D">
      <w:pPr>
        <w:rPr>
          <w:rFonts w:ascii="Aptos" w:hAnsi="Aptos"/>
        </w:rPr>
      </w:pPr>
      <w:r>
        <w:rPr>
          <w:rFonts w:ascii="Aptos" w:hAnsi="Aptos"/>
        </w:rPr>
        <w:br w:type="page"/>
      </w:r>
    </w:p>
    <w:p w14:paraId="376B73AE" w14:textId="77777777" w:rsidR="009C525A" w:rsidRPr="00972651" w:rsidRDefault="006D322D">
      <w:pPr>
        <w:pStyle w:val="Heading1"/>
        <w:rPr>
          <w:rFonts w:ascii="Aptos" w:hAnsi="Aptos"/>
          <w:sz w:val="36"/>
          <w:szCs w:val="36"/>
        </w:rPr>
      </w:pPr>
      <w:bookmarkStart w:id="27" w:name="_Toc228152717"/>
      <w:r w:rsidRPr="00972651">
        <w:rPr>
          <w:rFonts w:ascii="Aptos" w:hAnsi="Aptos"/>
          <w:color w:val="1F497D"/>
          <w:sz w:val="36"/>
          <w:szCs w:val="36"/>
        </w:rPr>
        <w:lastRenderedPageBreak/>
        <w:t>8. References</w:t>
      </w:r>
      <w:bookmarkEnd w:id="27"/>
    </w:p>
    <w:p w14:paraId="01657207" w14:textId="77777777" w:rsidR="003857C1" w:rsidRDefault="003857C1">
      <w:pPr>
        <w:spacing w:after="80"/>
        <w:ind w:left="432" w:hanging="432"/>
        <w:rPr>
          <w:rFonts w:ascii="Aptos" w:hAnsi="Aptos"/>
          <w:sz w:val="20"/>
        </w:rPr>
      </w:pPr>
    </w:p>
    <w:p w14:paraId="06934587" w14:textId="2EF713CF" w:rsidR="003857C1" w:rsidRPr="00EB73DE" w:rsidRDefault="003857C1" w:rsidP="00EB73DE">
      <w:pPr>
        <w:spacing w:after="80"/>
        <w:ind w:left="432" w:hanging="432"/>
        <w:rPr>
          <w:rFonts w:ascii="Aptos" w:hAnsi="Aptos"/>
        </w:rPr>
      </w:pPr>
      <w:r>
        <w:rPr>
          <w:rFonts w:ascii="Aptos" w:hAnsi="Aptos"/>
          <w:sz w:val="20"/>
        </w:rPr>
        <w:t>[1]</w:t>
      </w:r>
      <w:r w:rsidRPr="00EB73DE">
        <w:rPr>
          <w:rFonts w:ascii="Aptos" w:hAnsi="Aptos"/>
        </w:rPr>
        <w:t xml:space="preserve"> NHS England, “Data Security and Protection Toolkit,” NHS England, London, UK, 2023. [Online]. Available: https://www.dsptoolkit.nhs.uk</w:t>
      </w:r>
    </w:p>
    <w:p w14:paraId="3041A4D7" w14:textId="2BD4321D" w:rsidR="009C525A" w:rsidRPr="00EB73DE" w:rsidRDefault="006D322D" w:rsidP="00EB73DE">
      <w:pPr>
        <w:spacing w:after="80"/>
        <w:ind w:left="432" w:hanging="432"/>
        <w:rPr>
          <w:rFonts w:ascii="Aptos" w:hAnsi="Aptos"/>
        </w:rPr>
      </w:pPr>
      <w:r w:rsidRPr="00EB73DE">
        <w:rPr>
          <w:rFonts w:ascii="Aptos" w:hAnsi="Aptos"/>
        </w:rPr>
        <w:t>[</w:t>
      </w:r>
      <w:r w:rsidR="00605330" w:rsidRPr="00EB73DE">
        <w:rPr>
          <w:rFonts w:ascii="Aptos" w:hAnsi="Aptos"/>
        </w:rPr>
        <w:t>2</w:t>
      </w:r>
      <w:r w:rsidRPr="00EB73DE">
        <w:rPr>
          <w:rFonts w:ascii="Aptos" w:hAnsi="Aptos"/>
        </w:rPr>
        <w:t>] International Organisation for Standardisation, “ISO/IEC 27001:2022 — Information Security, Cybersecurity and Privacy Protection — Information Security Management Systems — Requirements,” ISO Standard, Geneva, Switzerland, 2022.</w:t>
      </w:r>
    </w:p>
    <w:p w14:paraId="615DA2A5" w14:textId="72AF99C7" w:rsidR="009C525A" w:rsidRPr="00EB73DE" w:rsidRDefault="006D322D" w:rsidP="00EB73DE">
      <w:pPr>
        <w:spacing w:after="80"/>
        <w:ind w:left="432" w:hanging="432"/>
        <w:rPr>
          <w:rFonts w:ascii="Aptos" w:hAnsi="Aptos"/>
        </w:rPr>
      </w:pPr>
      <w:r w:rsidRPr="00EB73DE">
        <w:rPr>
          <w:rFonts w:ascii="Aptos" w:hAnsi="Aptos"/>
        </w:rPr>
        <w:t>[</w:t>
      </w:r>
      <w:r w:rsidR="00605330" w:rsidRPr="00EB73DE">
        <w:rPr>
          <w:rFonts w:ascii="Aptos" w:hAnsi="Aptos"/>
        </w:rPr>
        <w:t>3</w:t>
      </w:r>
      <w:r w:rsidRPr="00EB73DE">
        <w:rPr>
          <w:rFonts w:ascii="Aptos" w:hAnsi="Aptos"/>
        </w:rPr>
        <w:t>] National Institute of Standards and Technology, “NIST Cybersecurity Framework 2.0,” NIST, Gaithersburg, MD, USA, 2024. [Online]. Available: https://www.nist.gov/cyberframework</w:t>
      </w:r>
    </w:p>
    <w:p w14:paraId="01534EB2" w14:textId="77777777" w:rsidR="009C525A" w:rsidRPr="00EB73DE" w:rsidRDefault="006D322D" w:rsidP="00EB73DE">
      <w:pPr>
        <w:spacing w:after="80"/>
        <w:ind w:left="432" w:hanging="432"/>
        <w:rPr>
          <w:rFonts w:ascii="Aptos" w:hAnsi="Aptos"/>
        </w:rPr>
      </w:pPr>
      <w:r w:rsidRPr="00EB73DE">
        <w:rPr>
          <w:rFonts w:ascii="Aptos" w:hAnsi="Aptos"/>
        </w:rPr>
        <w:t>[4] Information Commissioner’s Office, “Guide to the UK General Data Protection Regulation (UK GDPR),” ICO, London, UK, 2024. [Online]. Available: https://ico.org.uk</w:t>
      </w:r>
    </w:p>
    <w:p w14:paraId="42CA4BFA" w14:textId="1D88171D" w:rsidR="0025435A" w:rsidRPr="00EB73DE" w:rsidRDefault="0025435A" w:rsidP="00EB73DE">
      <w:pPr>
        <w:spacing w:after="80"/>
        <w:ind w:left="432" w:hanging="432"/>
        <w:rPr>
          <w:rFonts w:ascii="Aptos" w:hAnsi="Aptos"/>
        </w:rPr>
      </w:pPr>
      <w:r w:rsidRPr="00EB73DE">
        <w:rPr>
          <w:rFonts w:ascii="Aptos" w:hAnsi="Aptos"/>
        </w:rPr>
        <w:t>[5] European Union Agency for Cybersecurity (ENISA), “ENISA Threat Landscape 2023,” ENISA, Athens, Greece, 2023.</w:t>
      </w:r>
    </w:p>
    <w:p w14:paraId="11D4D9C7" w14:textId="45C31D5C" w:rsidR="009C525A" w:rsidRDefault="006D322D" w:rsidP="00EB73DE">
      <w:pPr>
        <w:spacing w:after="80"/>
        <w:ind w:left="432" w:hanging="432"/>
        <w:rPr>
          <w:rFonts w:ascii="Aptos" w:hAnsi="Aptos"/>
        </w:rPr>
      </w:pPr>
      <w:r w:rsidRPr="00EB73DE">
        <w:rPr>
          <w:rFonts w:ascii="Aptos" w:hAnsi="Aptos"/>
        </w:rPr>
        <w:t>[</w:t>
      </w:r>
      <w:r w:rsidR="00EB4C54" w:rsidRPr="00EB73DE">
        <w:rPr>
          <w:rFonts w:ascii="Aptos" w:hAnsi="Aptos"/>
        </w:rPr>
        <w:t>6</w:t>
      </w:r>
      <w:r w:rsidRPr="00EB73DE">
        <w:rPr>
          <w:rFonts w:ascii="Aptos" w:hAnsi="Aptos"/>
        </w:rPr>
        <w:t>] SANS Institute, “SANS Incident Handler’s Handbook,” SANS Institute, Bethesda, MD, USA, 2021. [Online]. Available:</w:t>
      </w:r>
      <w:r w:rsidRPr="00EB73DE">
        <w:rPr>
          <w:rFonts w:ascii="Aptos" w:hAnsi="Aptos"/>
        </w:rPr>
        <w:t>https://www.sans.org</w:t>
      </w:r>
      <w:r w:rsidR="00E96E20">
        <w:rPr>
          <w:rFonts w:ascii="Aptos" w:hAnsi="Aptos"/>
        </w:rPr>
        <w:t xml:space="preserve">. </w:t>
      </w:r>
      <w:r w:rsidR="00D34BB9">
        <w:rPr>
          <w:rFonts w:ascii="Aptos" w:hAnsi="Aptos"/>
        </w:rPr>
        <w:t xml:space="preserve"> </w:t>
      </w:r>
    </w:p>
    <w:p w14:paraId="5C8E23A6" w14:textId="77777777" w:rsidR="00D34BB9" w:rsidRDefault="00D34BB9" w:rsidP="00EB73DE">
      <w:pPr>
        <w:spacing w:after="80"/>
        <w:ind w:left="432" w:hanging="432"/>
        <w:rPr>
          <w:rFonts w:ascii="Aptos" w:hAnsi="Aptos"/>
        </w:rPr>
      </w:pPr>
    </w:p>
    <w:p w14:paraId="4D993EA9" w14:textId="77777777" w:rsidR="00D34BB9" w:rsidRDefault="00D34BB9" w:rsidP="00EB73DE">
      <w:pPr>
        <w:spacing w:after="80"/>
        <w:ind w:left="432" w:hanging="432"/>
        <w:rPr>
          <w:rFonts w:ascii="Aptos" w:hAnsi="Aptos"/>
        </w:rPr>
      </w:pPr>
    </w:p>
    <w:p w14:paraId="741E9D73" w14:textId="558B3CE3" w:rsidR="00D34BB9" w:rsidRDefault="00D34BB9">
      <w:pPr>
        <w:rPr>
          <w:rFonts w:ascii="Aptos" w:hAnsi="Aptos"/>
        </w:rPr>
      </w:pPr>
      <w:r>
        <w:rPr>
          <w:rFonts w:ascii="Aptos" w:hAnsi="Aptos"/>
        </w:rPr>
        <w:br w:type="page"/>
      </w:r>
    </w:p>
    <w:p w14:paraId="59ABB0E5" w14:textId="46165AA5" w:rsidR="00D34BB9" w:rsidRDefault="00D34BB9" w:rsidP="006D1E07">
      <w:pPr>
        <w:pStyle w:val="Title"/>
        <w:rPr>
          <w:sz w:val="48"/>
          <w:szCs w:val="48"/>
        </w:rPr>
      </w:pPr>
      <w:r w:rsidRPr="006D1E07">
        <w:rPr>
          <w:b/>
          <w:bCs/>
        </w:rPr>
        <w:lastRenderedPageBreak/>
        <w:t>Appendix A:</w:t>
      </w:r>
      <w:r w:rsidRPr="00D34BB9">
        <w:t xml:space="preserve"> </w:t>
      </w:r>
      <w:r w:rsidRPr="006D1E07">
        <w:rPr>
          <w:sz w:val="48"/>
          <w:szCs w:val="48"/>
        </w:rPr>
        <w:t xml:space="preserve">Presentation Slides </w:t>
      </w:r>
      <w:r w:rsidR="00907B41" w:rsidRPr="006D1E07">
        <w:rPr>
          <w:sz w:val="48"/>
          <w:szCs w:val="48"/>
        </w:rPr>
        <w:t xml:space="preserve">for </w:t>
      </w:r>
      <w:r w:rsidRPr="006D1E07">
        <w:rPr>
          <w:sz w:val="48"/>
          <w:szCs w:val="48"/>
        </w:rPr>
        <w:t>HPA Data Security &amp; Governance Framework</w:t>
      </w:r>
    </w:p>
    <w:p w14:paraId="695434BB" w14:textId="2FC7D99B" w:rsidR="00135CB4" w:rsidRDefault="00135CB4" w:rsidP="00135CB4"/>
    <w:p w14:paraId="68B33DCB" w14:textId="77777777" w:rsidR="002E76CA" w:rsidRDefault="002E76CA" w:rsidP="00135CB4">
      <w:pPr>
        <w:rPr>
          <w:noProof/>
        </w:rPr>
      </w:pPr>
      <w:r>
        <w:rPr>
          <w:noProof/>
        </w:rPr>
        <w:drawing>
          <wp:inline distT="0" distB="0" distL="0" distR="0" wp14:anchorId="27DA9353" wp14:editId="1053142D">
            <wp:extent cx="5486400" cy="3086100"/>
            <wp:effectExtent l="0" t="0" r="0" b="0"/>
            <wp:docPr id="6853570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5703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86400" cy="3086100"/>
                    </a:xfrm>
                    <a:prstGeom prst="rect">
                      <a:avLst/>
                    </a:prstGeom>
                  </pic:spPr>
                </pic:pic>
              </a:graphicData>
            </a:graphic>
          </wp:inline>
        </w:drawing>
      </w:r>
    </w:p>
    <w:p w14:paraId="633FE5C1" w14:textId="5E39C123" w:rsidR="005A5554" w:rsidRDefault="005273C6" w:rsidP="00135CB4">
      <w:pPr>
        <w:rPr>
          <w:noProof/>
        </w:rPr>
      </w:pPr>
      <w:r w:rsidRPr="005273C6">
        <w:rPr>
          <w:noProof/>
        </w:rPr>
        <w:t xml:space="preserve"> </w:t>
      </w:r>
      <w:r w:rsidR="00BB1DDD">
        <w:rPr>
          <w:noProof/>
        </w:rPr>
        <w:drawing>
          <wp:inline distT="0" distB="0" distL="0" distR="0" wp14:anchorId="4C453C51" wp14:editId="7A91B84A">
            <wp:extent cx="5486400" cy="3086100"/>
            <wp:effectExtent l="0" t="0" r="0" b="0"/>
            <wp:docPr id="1497889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8903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86400" cy="3086100"/>
                    </a:xfrm>
                    <a:prstGeom prst="rect">
                      <a:avLst/>
                    </a:prstGeom>
                  </pic:spPr>
                </pic:pic>
              </a:graphicData>
            </a:graphic>
          </wp:inline>
        </w:drawing>
      </w:r>
      <w:r w:rsidR="005A5554" w:rsidRPr="005A5554">
        <w:rPr>
          <w:noProof/>
        </w:rPr>
        <w:t xml:space="preserve"> </w:t>
      </w:r>
    </w:p>
    <w:p w14:paraId="6D3E9434" w14:textId="033D5704" w:rsidR="00D61F57" w:rsidRDefault="005A5554" w:rsidP="00135CB4">
      <w:r>
        <w:rPr>
          <w:noProof/>
        </w:rPr>
        <w:lastRenderedPageBreak/>
        <w:drawing>
          <wp:inline distT="0" distB="0" distL="0" distR="0" wp14:anchorId="764071F1" wp14:editId="573E11CA">
            <wp:extent cx="5486400" cy="3086100"/>
            <wp:effectExtent l="0" t="0" r="0" b="0"/>
            <wp:docPr id="1681359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5928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86400" cy="3086100"/>
                    </a:xfrm>
                    <a:prstGeom prst="rect">
                      <a:avLst/>
                    </a:prstGeom>
                  </pic:spPr>
                </pic:pic>
              </a:graphicData>
            </a:graphic>
          </wp:inline>
        </w:drawing>
      </w:r>
    </w:p>
    <w:p w14:paraId="23D474EB" w14:textId="0781D1FF" w:rsidR="005A5554" w:rsidRDefault="00A7583E" w:rsidP="00135CB4">
      <w:r>
        <w:rPr>
          <w:noProof/>
        </w:rPr>
        <w:drawing>
          <wp:inline distT="0" distB="0" distL="0" distR="0" wp14:anchorId="1A61DD09" wp14:editId="60888C3C">
            <wp:extent cx="5486400" cy="3086100"/>
            <wp:effectExtent l="0" t="0" r="0" b="0"/>
            <wp:docPr id="16448586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85865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86400" cy="3086100"/>
                    </a:xfrm>
                    <a:prstGeom prst="rect">
                      <a:avLst/>
                    </a:prstGeom>
                  </pic:spPr>
                </pic:pic>
              </a:graphicData>
            </a:graphic>
          </wp:inline>
        </w:drawing>
      </w:r>
    </w:p>
    <w:p w14:paraId="43924C35" w14:textId="76EBCF09" w:rsidR="00A7583E" w:rsidRDefault="00A7583E" w:rsidP="00135CB4">
      <w:r>
        <w:rPr>
          <w:noProof/>
        </w:rPr>
        <w:lastRenderedPageBreak/>
        <w:drawing>
          <wp:inline distT="0" distB="0" distL="0" distR="0" wp14:anchorId="4F729636" wp14:editId="41F58ED8">
            <wp:extent cx="5486400" cy="3086100"/>
            <wp:effectExtent l="0" t="0" r="0" b="0"/>
            <wp:docPr id="10077046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0469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486400" cy="3086100"/>
                    </a:xfrm>
                    <a:prstGeom prst="rect">
                      <a:avLst/>
                    </a:prstGeom>
                  </pic:spPr>
                </pic:pic>
              </a:graphicData>
            </a:graphic>
          </wp:inline>
        </w:drawing>
      </w:r>
    </w:p>
    <w:p w14:paraId="351CAE05" w14:textId="0AE453BB" w:rsidR="00A7583E" w:rsidRDefault="00A7583E" w:rsidP="00135CB4">
      <w:r>
        <w:rPr>
          <w:noProof/>
        </w:rPr>
        <w:drawing>
          <wp:inline distT="0" distB="0" distL="0" distR="0" wp14:anchorId="746CD47E" wp14:editId="61DCBBFA">
            <wp:extent cx="5486400" cy="3086100"/>
            <wp:effectExtent l="0" t="0" r="0" b="0"/>
            <wp:docPr id="16954768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7680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86400" cy="3086100"/>
                    </a:xfrm>
                    <a:prstGeom prst="rect">
                      <a:avLst/>
                    </a:prstGeom>
                  </pic:spPr>
                </pic:pic>
              </a:graphicData>
            </a:graphic>
          </wp:inline>
        </w:drawing>
      </w:r>
    </w:p>
    <w:p w14:paraId="45F8BB94" w14:textId="6A241068" w:rsidR="00A7583E" w:rsidRDefault="00CF6A15" w:rsidP="00135CB4">
      <w:r>
        <w:rPr>
          <w:noProof/>
        </w:rPr>
        <w:lastRenderedPageBreak/>
        <w:drawing>
          <wp:inline distT="0" distB="0" distL="0" distR="0" wp14:anchorId="04965F65" wp14:editId="786E0A0B">
            <wp:extent cx="5486400" cy="3086100"/>
            <wp:effectExtent l="0" t="0" r="0" b="0"/>
            <wp:docPr id="2873209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2090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486400" cy="3086100"/>
                    </a:xfrm>
                    <a:prstGeom prst="rect">
                      <a:avLst/>
                    </a:prstGeom>
                  </pic:spPr>
                </pic:pic>
              </a:graphicData>
            </a:graphic>
          </wp:inline>
        </w:drawing>
      </w:r>
    </w:p>
    <w:p w14:paraId="5E3CF96A" w14:textId="2C655A31" w:rsidR="00CF6A15" w:rsidRDefault="00CF6A15" w:rsidP="00135CB4">
      <w:r>
        <w:rPr>
          <w:noProof/>
        </w:rPr>
        <w:drawing>
          <wp:inline distT="0" distB="0" distL="0" distR="0" wp14:anchorId="4741E570" wp14:editId="229F75CC">
            <wp:extent cx="5486400" cy="3086100"/>
            <wp:effectExtent l="0" t="0" r="0" b="0"/>
            <wp:docPr id="17593507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5079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86400" cy="3086100"/>
                    </a:xfrm>
                    <a:prstGeom prst="rect">
                      <a:avLst/>
                    </a:prstGeom>
                  </pic:spPr>
                </pic:pic>
              </a:graphicData>
            </a:graphic>
          </wp:inline>
        </w:drawing>
      </w:r>
    </w:p>
    <w:p w14:paraId="1E59045E" w14:textId="0AC57910" w:rsidR="00CF6A15" w:rsidRDefault="00CF6A15" w:rsidP="00135CB4">
      <w:r>
        <w:rPr>
          <w:noProof/>
        </w:rPr>
        <w:lastRenderedPageBreak/>
        <w:drawing>
          <wp:inline distT="0" distB="0" distL="0" distR="0" wp14:anchorId="54C205D2" wp14:editId="12733106">
            <wp:extent cx="5486400" cy="3086100"/>
            <wp:effectExtent l="0" t="0" r="0" b="0"/>
            <wp:docPr id="1025065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6537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86400" cy="3086100"/>
                    </a:xfrm>
                    <a:prstGeom prst="rect">
                      <a:avLst/>
                    </a:prstGeom>
                  </pic:spPr>
                </pic:pic>
              </a:graphicData>
            </a:graphic>
          </wp:inline>
        </w:drawing>
      </w:r>
    </w:p>
    <w:p w14:paraId="098B3B50" w14:textId="5040DC6D" w:rsidR="00573741" w:rsidRPr="00135CB4" w:rsidRDefault="00154592" w:rsidP="00135CB4">
      <w:r>
        <w:rPr>
          <w:noProof/>
        </w:rPr>
        <w:drawing>
          <wp:inline distT="0" distB="0" distL="0" distR="0" wp14:anchorId="63551D88" wp14:editId="59089564">
            <wp:extent cx="5486400" cy="3086100"/>
            <wp:effectExtent l="0" t="0" r="0" b="0"/>
            <wp:docPr id="8643690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6907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86400" cy="3086100"/>
                    </a:xfrm>
                    <a:prstGeom prst="rect">
                      <a:avLst/>
                    </a:prstGeom>
                  </pic:spPr>
                </pic:pic>
              </a:graphicData>
            </a:graphic>
          </wp:inline>
        </w:drawing>
      </w:r>
    </w:p>
    <w:sectPr w:rsidR="00573741" w:rsidRPr="00135CB4" w:rsidSect="00CB244E">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02F3DE2"/>
    <w:multiLevelType w:val="hybridMultilevel"/>
    <w:tmpl w:val="8E724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2B00E3"/>
    <w:multiLevelType w:val="hybridMultilevel"/>
    <w:tmpl w:val="575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354125">
    <w:abstractNumId w:val="8"/>
  </w:num>
  <w:num w:numId="2" w16cid:durableId="504168626">
    <w:abstractNumId w:val="6"/>
  </w:num>
  <w:num w:numId="3" w16cid:durableId="574054725">
    <w:abstractNumId w:val="5"/>
  </w:num>
  <w:num w:numId="4" w16cid:durableId="2144493607">
    <w:abstractNumId w:val="4"/>
  </w:num>
  <w:num w:numId="5" w16cid:durableId="1457602494">
    <w:abstractNumId w:val="7"/>
  </w:num>
  <w:num w:numId="6" w16cid:durableId="2119904079">
    <w:abstractNumId w:val="3"/>
  </w:num>
  <w:num w:numId="7" w16cid:durableId="1567644256">
    <w:abstractNumId w:val="2"/>
  </w:num>
  <w:num w:numId="8" w16cid:durableId="1890341397">
    <w:abstractNumId w:val="1"/>
  </w:num>
  <w:num w:numId="9" w16cid:durableId="1891991280">
    <w:abstractNumId w:val="0"/>
  </w:num>
  <w:num w:numId="10" w16cid:durableId="2006467147">
    <w:abstractNumId w:val="10"/>
  </w:num>
  <w:num w:numId="11" w16cid:durableId="18597316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3A9B"/>
    <w:rsid w:val="000801B0"/>
    <w:rsid w:val="000B37A8"/>
    <w:rsid w:val="000D39ED"/>
    <w:rsid w:val="000E2106"/>
    <w:rsid w:val="00135CB4"/>
    <w:rsid w:val="0015074B"/>
    <w:rsid w:val="00154592"/>
    <w:rsid w:val="001B0033"/>
    <w:rsid w:val="001B2C82"/>
    <w:rsid w:val="001B32E3"/>
    <w:rsid w:val="0025435A"/>
    <w:rsid w:val="0029639D"/>
    <w:rsid w:val="002D7658"/>
    <w:rsid w:val="002E3A2C"/>
    <w:rsid w:val="002E76CA"/>
    <w:rsid w:val="00326F90"/>
    <w:rsid w:val="0037356E"/>
    <w:rsid w:val="003857C1"/>
    <w:rsid w:val="003D04DB"/>
    <w:rsid w:val="003D1EDD"/>
    <w:rsid w:val="003D341B"/>
    <w:rsid w:val="003F32C6"/>
    <w:rsid w:val="003F5FC7"/>
    <w:rsid w:val="004260E1"/>
    <w:rsid w:val="00447C5A"/>
    <w:rsid w:val="0045664B"/>
    <w:rsid w:val="00487BDD"/>
    <w:rsid w:val="004A748C"/>
    <w:rsid w:val="004C1D4F"/>
    <w:rsid w:val="004E76CB"/>
    <w:rsid w:val="004F72DE"/>
    <w:rsid w:val="00520932"/>
    <w:rsid w:val="005273C6"/>
    <w:rsid w:val="005325E4"/>
    <w:rsid w:val="00573741"/>
    <w:rsid w:val="005A5554"/>
    <w:rsid w:val="005F3503"/>
    <w:rsid w:val="00605330"/>
    <w:rsid w:val="00607832"/>
    <w:rsid w:val="00616156"/>
    <w:rsid w:val="00631BC3"/>
    <w:rsid w:val="006A0FF1"/>
    <w:rsid w:val="006D1E07"/>
    <w:rsid w:val="006D322D"/>
    <w:rsid w:val="00774A56"/>
    <w:rsid w:val="0078022E"/>
    <w:rsid w:val="007D75E1"/>
    <w:rsid w:val="007F3A88"/>
    <w:rsid w:val="007F3D85"/>
    <w:rsid w:val="00812C6D"/>
    <w:rsid w:val="0085523D"/>
    <w:rsid w:val="00876292"/>
    <w:rsid w:val="00876A9B"/>
    <w:rsid w:val="00885627"/>
    <w:rsid w:val="008B4FEE"/>
    <w:rsid w:val="008D3840"/>
    <w:rsid w:val="008D3A7C"/>
    <w:rsid w:val="008E1148"/>
    <w:rsid w:val="008E4077"/>
    <w:rsid w:val="00907B41"/>
    <w:rsid w:val="0096067A"/>
    <w:rsid w:val="00964570"/>
    <w:rsid w:val="00972651"/>
    <w:rsid w:val="009C525A"/>
    <w:rsid w:val="009F5B91"/>
    <w:rsid w:val="00A01CB3"/>
    <w:rsid w:val="00A57D51"/>
    <w:rsid w:val="00A7583E"/>
    <w:rsid w:val="00A80B87"/>
    <w:rsid w:val="00A81DB1"/>
    <w:rsid w:val="00AA1D8D"/>
    <w:rsid w:val="00B01C27"/>
    <w:rsid w:val="00B47730"/>
    <w:rsid w:val="00B52505"/>
    <w:rsid w:val="00B540D7"/>
    <w:rsid w:val="00B602A9"/>
    <w:rsid w:val="00BB1DDD"/>
    <w:rsid w:val="00C77746"/>
    <w:rsid w:val="00CB0664"/>
    <w:rsid w:val="00CB244E"/>
    <w:rsid w:val="00CB68B1"/>
    <w:rsid w:val="00CC7438"/>
    <w:rsid w:val="00CD41E5"/>
    <w:rsid w:val="00CE7A27"/>
    <w:rsid w:val="00CF2120"/>
    <w:rsid w:val="00CF6A15"/>
    <w:rsid w:val="00D0309F"/>
    <w:rsid w:val="00D03720"/>
    <w:rsid w:val="00D34BB9"/>
    <w:rsid w:val="00D6045C"/>
    <w:rsid w:val="00D61F57"/>
    <w:rsid w:val="00D96EE1"/>
    <w:rsid w:val="00E02D5B"/>
    <w:rsid w:val="00E23841"/>
    <w:rsid w:val="00E24368"/>
    <w:rsid w:val="00E25D40"/>
    <w:rsid w:val="00E30D17"/>
    <w:rsid w:val="00E8621F"/>
    <w:rsid w:val="00E96E20"/>
    <w:rsid w:val="00EA7C21"/>
    <w:rsid w:val="00EB4C54"/>
    <w:rsid w:val="00EB73DE"/>
    <w:rsid w:val="00EE2D0F"/>
    <w:rsid w:val="00F12618"/>
    <w:rsid w:val="00F15F85"/>
    <w:rsid w:val="00F374F5"/>
    <w:rsid w:val="00F73739"/>
    <w:rsid w:val="00F91C1B"/>
    <w:rsid w:val="00F95BC0"/>
    <w:rsid w:val="00FC2015"/>
    <w:rsid w:val="00FC693F"/>
    <w:rsid w:val="00FD086D"/>
    <w:rsid w:val="00FD1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932E5C"/>
  <w14:defaultImageDpi w14:val="300"/>
  <w15:docId w15:val="{63B9860D-34E3-489A-A564-63E568BF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E76CB"/>
    <w:pPr>
      <w:spacing w:after="100"/>
    </w:pPr>
  </w:style>
  <w:style w:type="paragraph" w:styleId="TOC2">
    <w:name w:val="toc 2"/>
    <w:basedOn w:val="Normal"/>
    <w:next w:val="Normal"/>
    <w:autoRedefine/>
    <w:uiPriority w:val="39"/>
    <w:unhideWhenUsed/>
    <w:rsid w:val="004E76CB"/>
    <w:pPr>
      <w:spacing w:after="100"/>
      <w:ind w:left="220"/>
    </w:pPr>
  </w:style>
  <w:style w:type="character" w:styleId="Hyperlink">
    <w:name w:val="Hyperlink"/>
    <w:basedOn w:val="DefaultParagraphFont"/>
    <w:uiPriority w:val="99"/>
    <w:unhideWhenUsed/>
    <w:rsid w:val="004E76CB"/>
    <w:rPr>
      <w:color w:val="0000FF" w:themeColor="hyperlink"/>
      <w:u w:val="single"/>
    </w:rPr>
  </w:style>
  <w:style w:type="character" w:customStyle="1" w:styleId="NoSpacingChar">
    <w:name w:val="No Spacing Char"/>
    <w:basedOn w:val="DefaultParagraphFont"/>
    <w:link w:val="NoSpacing"/>
    <w:uiPriority w:val="1"/>
    <w:rsid w:val="00CB244E"/>
  </w:style>
  <w:style w:type="character" w:styleId="PlaceholderText">
    <w:name w:val="Placeholder Text"/>
    <w:basedOn w:val="DefaultParagraphFont"/>
    <w:uiPriority w:val="99"/>
    <w:semiHidden/>
    <w:rsid w:val="007F3D85"/>
    <w:rPr>
      <w:color w:val="666666"/>
    </w:rPr>
  </w:style>
  <w:style w:type="character" w:styleId="UnresolvedMention">
    <w:name w:val="Unresolved Mention"/>
    <w:basedOn w:val="DefaultParagraphFont"/>
    <w:uiPriority w:val="99"/>
    <w:semiHidden/>
    <w:unhideWhenUsed/>
    <w:rsid w:val="003D1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3AFB64BFE04FDABF3A466060E7698F"/>
        <w:category>
          <w:name w:val="General"/>
          <w:gallery w:val="placeholder"/>
        </w:category>
        <w:types>
          <w:type w:val="bbPlcHdr"/>
        </w:types>
        <w:behaviors>
          <w:behavior w:val="content"/>
        </w:behaviors>
        <w:guid w:val="{B9BC6689-48F5-435D-83E9-14E0003987BC}"/>
      </w:docPartPr>
      <w:docPartBody>
        <w:p w:rsidR="00DF5BC5" w:rsidRDefault="00D63A78" w:rsidP="00D63A78">
          <w:pPr>
            <w:pStyle w:val="773AFB64BFE04FDABF3A466060E7698F"/>
          </w:pPr>
          <w:r>
            <w:rPr>
              <w:rFonts w:asciiTheme="majorHAnsi" w:eastAsiaTheme="majorEastAsia" w:hAnsiTheme="majorHAnsi" w:cstheme="majorBidi"/>
              <w:caps/>
              <w:color w:val="156082" w:themeColor="accent1"/>
              <w:sz w:val="80"/>
              <w:szCs w:val="80"/>
            </w:rPr>
            <w:t>[Document title]</w:t>
          </w:r>
        </w:p>
      </w:docPartBody>
    </w:docPart>
    <w:docPart>
      <w:docPartPr>
        <w:name w:val="4E11887A123A4030A772018A6392AFBB"/>
        <w:category>
          <w:name w:val="General"/>
          <w:gallery w:val="placeholder"/>
        </w:category>
        <w:types>
          <w:type w:val="bbPlcHdr"/>
        </w:types>
        <w:behaviors>
          <w:behavior w:val="content"/>
        </w:behaviors>
        <w:guid w:val="{B20B0AEA-4423-4DE1-9DEE-4B3B2C83BDC3}"/>
      </w:docPartPr>
      <w:docPartBody>
        <w:p w:rsidR="00DF5BC5" w:rsidRDefault="00D63A78" w:rsidP="00D63A78">
          <w:pPr>
            <w:pStyle w:val="4E11887A123A4030A772018A6392AFBB"/>
          </w:pPr>
          <w:r>
            <w:rPr>
              <w:color w:val="156082" w:themeColor="accent1"/>
              <w:sz w:val="28"/>
              <w:szCs w:val="28"/>
            </w:rPr>
            <w:t>[Document subtitle]</w:t>
          </w:r>
        </w:p>
      </w:docPartBody>
    </w:docPart>
    <w:docPart>
      <w:docPartPr>
        <w:name w:val="3B727C0665BD426C91A0AB82FB44B254"/>
        <w:category>
          <w:name w:val="General"/>
          <w:gallery w:val="placeholder"/>
        </w:category>
        <w:types>
          <w:type w:val="bbPlcHdr"/>
        </w:types>
        <w:behaviors>
          <w:behavior w:val="content"/>
        </w:behaviors>
        <w:guid w:val="{5018A697-4DDE-43D5-8697-1744847D56A4}"/>
      </w:docPartPr>
      <w:docPartBody>
        <w:p w:rsidR="00083A55" w:rsidRDefault="00097D37">
          <w:r w:rsidRPr="00214448">
            <w:rPr>
              <w:rStyle w:val="PlaceholderText"/>
            </w:rPr>
            <w:t>Formatting...</w:t>
          </w:r>
        </w:p>
      </w:docPartBody>
    </w:docPart>
    <w:docPart>
      <w:docPartPr>
        <w:name w:val="B7F3FB3C1E2042BF9C2D6F00272FB5A8"/>
        <w:category>
          <w:name w:val="General"/>
          <w:gallery w:val="placeholder"/>
        </w:category>
        <w:types>
          <w:type w:val="bbPlcHdr"/>
        </w:types>
        <w:behaviors>
          <w:behavior w:val="content"/>
        </w:behaviors>
        <w:guid w:val="{11D1B6A2-8FFF-47AA-80B4-4D9E21B93CF5}"/>
      </w:docPartPr>
      <w:docPartBody>
        <w:p w:rsidR="00083A55" w:rsidRDefault="00097D37">
          <w:r w:rsidRPr="00214448">
            <w:rPr>
              <w:rStyle w:val="PlaceholderText"/>
            </w:rPr>
            <w:t>Formatting...</w:t>
          </w:r>
        </w:p>
      </w:docPartBody>
    </w:docPart>
    <w:docPart>
      <w:docPartPr>
        <w:name w:val="C3FDD42078994301AB2497A56D108568"/>
        <w:category>
          <w:name w:val="General"/>
          <w:gallery w:val="placeholder"/>
        </w:category>
        <w:types>
          <w:type w:val="bbPlcHdr"/>
        </w:types>
        <w:behaviors>
          <w:behavior w:val="content"/>
        </w:behaviors>
        <w:guid w:val="{5B74CFA7-339A-4788-9224-77326A7BD618}"/>
      </w:docPartPr>
      <w:docPartBody>
        <w:p w:rsidR="00083A55" w:rsidRDefault="00097D37">
          <w:r w:rsidRPr="00214448">
            <w:rPr>
              <w:rStyle w:val="PlaceholderText"/>
            </w:rPr>
            <w:t>Formatting...</w:t>
          </w:r>
        </w:p>
      </w:docPartBody>
    </w:docPart>
    <w:docPart>
      <w:docPartPr>
        <w:name w:val="BD7A2E32880348A6939717B6A0923425"/>
        <w:category>
          <w:name w:val="General"/>
          <w:gallery w:val="placeholder"/>
        </w:category>
        <w:types>
          <w:type w:val="bbPlcHdr"/>
        </w:types>
        <w:behaviors>
          <w:behavior w:val="content"/>
        </w:behaviors>
        <w:guid w:val="{6283CFBE-62CA-41D7-BBC7-1B68CA9F5677}"/>
      </w:docPartPr>
      <w:docPartBody>
        <w:p w:rsidR="00083A55" w:rsidRDefault="00097D37">
          <w:r w:rsidRPr="00214448">
            <w:rPr>
              <w:rStyle w:val="PlaceholderText"/>
            </w:rPr>
            <w:t>Formatting...</w:t>
          </w:r>
        </w:p>
      </w:docPartBody>
    </w:docPart>
    <w:docPart>
      <w:docPartPr>
        <w:name w:val="7E01A2798DEE4CCCB24F6EB4522F5B78"/>
        <w:category>
          <w:name w:val="General"/>
          <w:gallery w:val="placeholder"/>
        </w:category>
        <w:types>
          <w:type w:val="bbPlcHdr"/>
        </w:types>
        <w:behaviors>
          <w:behavior w:val="content"/>
        </w:behaviors>
        <w:guid w:val="{4414C330-F937-415A-85C5-CED5DA260CBE}"/>
      </w:docPartPr>
      <w:docPartBody>
        <w:p w:rsidR="00083A55" w:rsidRDefault="00097D37">
          <w:r w:rsidRPr="00214448">
            <w:rPr>
              <w:rStyle w:val="PlaceholderText"/>
            </w:rPr>
            <w:t>Formatting...</w:t>
          </w:r>
        </w:p>
      </w:docPartBody>
    </w:docPart>
    <w:docPart>
      <w:docPartPr>
        <w:name w:val="1DABCADD028F4C9B867BBE62D49A8E16"/>
        <w:category>
          <w:name w:val="General"/>
          <w:gallery w:val="placeholder"/>
        </w:category>
        <w:types>
          <w:type w:val="bbPlcHdr"/>
        </w:types>
        <w:behaviors>
          <w:behavior w:val="content"/>
        </w:behaviors>
        <w:guid w:val="{0298E1B7-278D-4A4A-82F2-01C469CCD9A5}"/>
      </w:docPartPr>
      <w:docPartBody>
        <w:p w:rsidR="00083A55" w:rsidRDefault="00097D37">
          <w:r w:rsidRPr="0021444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78"/>
    <w:rsid w:val="00083A55"/>
    <w:rsid w:val="00097D37"/>
    <w:rsid w:val="000D39ED"/>
    <w:rsid w:val="000E4CBB"/>
    <w:rsid w:val="004A2034"/>
    <w:rsid w:val="00C0044A"/>
    <w:rsid w:val="00D63A78"/>
    <w:rsid w:val="00D96EE1"/>
    <w:rsid w:val="00DF5BC5"/>
    <w:rsid w:val="00F15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3AFB64BFE04FDABF3A466060E7698F">
    <w:name w:val="773AFB64BFE04FDABF3A466060E7698F"/>
    <w:rsid w:val="00D63A78"/>
  </w:style>
  <w:style w:type="paragraph" w:customStyle="1" w:styleId="4E11887A123A4030A772018A6392AFBB">
    <w:name w:val="4E11887A123A4030A772018A6392AFBB"/>
    <w:rsid w:val="00D63A78"/>
  </w:style>
  <w:style w:type="character" w:styleId="PlaceholderText">
    <w:name w:val="Placeholder Text"/>
    <w:basedOn w:val="DefaultParagraphFont"/>
    <w:uiPriority w:val="99"/>
    <w:semiHidden/>
    <w:rsid w:val="00097D3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83" row="0">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 dockstate="right" visibility="0" width="852"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CCC17335-D562-4684-9962-4301110C8FAB}">
  <we:reference id="WA200000368" version="1.0.0.0" store="Omex" storeType="OMEX"/>
  <we:alternateReferences>
    <we:reference id="WA200000368" version="1.0.0.0" store="WA200000368" storeType="OMEX"/>
  </we:alternateReferences>
  <we:properties>
    <we:property name="documentId" value="&quot;0503891675b401c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DCC4B68-728E-474C-B95F-80FFAC39AB97}">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7251717285"/>
    <we:property name="MENDELEY_CITATIONS" valu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word/webextensions/webextension3.xml><?xml version="1.0" encoding="utf-8"?>
<we:webextension xmlns:we="http://schemas.microsoft.com/office/webextensions/webextension/2010/11" id="{90CAA013-1A9E-416E-AEAE-D9A551D6C647}">
  <we:reference id="8c1c3d44-57e9-40d7-86e4-4adf88fea1dd" version="3.0.0.0" store="EXCatalog" storeType="EXCatalog"/>
  <we:alternateReferences>
    <we:reference id="WA200007520" version="3.0.0.0" store="en-GB" storeType="OMEX"/>
  </we:alternateReferences>
  <we:properties>
    <we:property name="citations" value="{&quot;55363155&quot;:{&quot;referencesIds&quot;:[&quot;doc:69eebad43bff2d11e7c3d505&quot;],&quot;referencesOptions&quot;:{&quot;doc:69eebad43bff2d11e7c3d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63155,&quot;citationText&quot;:&quot;&lt;span style=\&quot;font-family:Aptos;font-size:14.666666666666666px;color:#000000\&quot;&gt;[3]&lt;/span&gt;&quot;},&quot;336578225&quot;:{&quot;referencesIds&quot;:[&quot;doc:69eebce5252d9f2f7cc02f25&quot;],&quot;referencesOptions&quot;:{&quot;doc:69eebce5252d9f2f7cc02f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578225,&quot;citationText&quot;:&quot;&lt;span style=\&quot;font-family:Aptos;font-size:14.666666666666666px;color:#000000\&quot;&gt;[4]&lt;/span&gt;&quot;},&quot;667988013&quot;:{&quot;referencesIds&quot;:[&quot;doc:69eeba749b71e06b12c40a43&quot;],&quot;referencesOptions&quot;:{&quot;doc:69eeba749b71e06b12c40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88013,&quot;citationText&quot;:&quot;&lt;span style=\&quot;font-family:Aptos;font-size:14.666666666666666px;color:#000000\&quot;&gt;[2]&lt;/span&gt;&quot;},&quot;1207297821&quot;:{&quot;referencesIds&quot;:[&quot;doc:69eebde1ddab303626252dab&quot;],&quot;referencesOptions&quot;:{&quot;doc:69eebde1ddab303626252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7297821,&quot;citationText&quot;:&quot;&lt;span style=\&quot;font-family:Aptos;font-size:14.666666666666666px;color:#000000\&quot;&gt;[6]&lt;/span&gt;&quot;},&quot;2051337731&quot;:{&quot;referencesIds&quot;:[&quot;doc:69eebca49b71e06b12c40a5c&quot;],&quot;referencesOptions&quot;:{&quot;doc:69eebca49b71e06b12c40a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337731,&quot;citationText&quot;:&quot;&lt;span style=\&quot;font-family:Aptos;font-size:14.666666666666666px;color:#000000\&quot;&gt;[1]&lt;/span&gt;&quot;},&quot;-1409688983&quot;:{&quot;referencesIds&quot;:[&quot;doc:69eebe0e30dee9314a68ae0f&quot;],&quot;referencesOptions&quot;:{&quot;doc:69eebe0e30dee9314a68ae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688983,&quot;citationText&quot;:&quot;&lt;span style=\&quot;font-family:Aptos;font-size:14.666666666666666px;color:#000000\&quot;&gt;[5]&lt;/span&gt;&quot;}}"/>
    <we:property name="currentFolder" value="{&quot;id&quot;:&quot;project:69eeba26983160634dfd6e78&quot;,&quot;userId&quot;:&quot;user:68628e248cec4a4575fdc570&quot;,&quot;projectId&quot;:&quot;ap:68628e248cec4a4575fdc571&quot;,&quot;name&quot;:&quot;NSSE&quot;,&quot;created&quot;:1777252902676,&quot;lastModified&quot;:1777252902676,&quot;position&quot;:5,&quot;isShared&quot;:false,&quot;isExampleCollection&quot;:false,&quot;isMyPublicationsCollection&quot;:false,&quot;notInFolder&quot;:false,&quot;isFavorite&quot;:true,&quot;totalReferences&quot;: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21</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 (UWTSD)</Company>
  <LinksUpToDate>false</LinksUpToDate>
  <CharactersWithSpaces>18855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 Report</dc:title>
  <dc:subject>February 2026</dc:subject>
  <dc:creator>python-docx</dc:creator>
  <cp:keywords/>
  <dc:description>generated by python-docx</dc:description>
  <cp:lastModifiedBy>Md Atiqur Rahman (2442128)</cp:lastModifiedBy>
  <cp:revision>100</cp:revision>
  <dcterms:created xsi:type="dcterms:W3CDTF">2026-04-24T20:50:00Z</dcterms:created>
  <dcterms:modified xsi:type="dcterms:W3CDTF">2026-04-27T03:02:00Z</dcterms:modified>
  <cp:category/>
</cp:coreProperties>
</file>