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769" w:tblpY="14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B337D" w:rsidRPr="00876921" w14:paraId="55EC09DA" w14:textId="77777777" w:rsidTr="009B337D">
        <w:tc>
          <w:tcPr>
            <w:tcW w:w="8624" w:type="dxa"/>
            <w:shd w:val="clear" w:color="auto" w:fill="C0C0C0"/>
          </w:tcPr>
          <w:p w14:paraId="68FD3BCD" w14:textId="77777777" w:rsidR="009B337D" w:rsidRPr="00876921" w:rsidRDefault="009B337D" w:rsidP="009B337D">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5B42DCFD" w14:textId="77777777" w:rsidR="009B337D" w:rsidRPr="00876921" w:rsidRDefault="009B337D" w:rsidP="009B337D">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167EFF6D" wp14:editId="2119A662">
            <wp:simplePos x="0" y="0"/>
            <wp:positionH relativeFrom="column">
              <wp:posOffset>-419100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F24CC39" w14:textId="77777777" w:rsidR="009B337D" w:rsidRPr="00876921" w:rsidRDefault="009B337D" w:rsidP="009B337D">
      <w:pPr>
        <w:spacing w:after="0" w:line="240" w:lineRule="auto"/>
        <w:rPr>
          <w:rFonts w:ascii="Arial" w:eastAsia="Times New Roman" w:hAnsi="Arial" w:cs="Arial"/>
          <w:sz w:val="20"/>
          <w:szCs w:val="20"/>
          <w:lang w:eastAsia="en-GB"/>
        </w:rPr>
      </w:pPr>
    </w:p>
    <w:p w14:paraId="31BB7947" w14:textId="77777777" w:rsidR="009B337D" w:rsidRPr="00876921" w:rsidRDefault="009B337D" w:rsidP="009B337D">
      <w:pPr>
        <w:spacing w:after="0" w:line="240" w:lineRule="auto"/>
        <w:jc w:val="center"/>
        <w:rPr>
          <w:rFonts w:ascii="Arial" w:eastAsia="Times New Roman" w:hAnsi="Arial" w:cs="Arial"/>
          <w:b/>
          <w:i/>
          <w:sz w:val="32"/>
          <w:szCs w:val="20"/>
          <w:lang w:eastAsia="en-GB"/>
        </w:rPr>
      </w:pPr>
    </w:p>
    <w:tbl>
      <w:tblPr>
        <w:tblW w:w="9951" w:type="dxa"/>
        <w:tblInd w:w="-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3303"/>
        <w:gridCol w:w="2275"/>
        <w:gridCol w:w="2275"/>
      </w:tblGrid>
      <w:tr w:rsidR="009B337D" w:rsidRPr="00876921" w14:paraId="18E953DD" w14:textId="77777777" w:rsidTr="009B337D">
        <w:tc>
          <w:tcPr>
            <w:tcW w:w="2098" w:type="dxa"/>
            <w:shd w:val="pct15" w:color="auto" w:fill="auto"/>
          </w:tcPr>
          <w:p w14:paraId="00287914" w14:textId="77777777" w:rsidR="009B337D" w:rsidRPr="00876921" w:rsidRDefault="009B337D" w:rsidP="00716842">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303" w:type="dxa"/>
          </w:tcPr>
          <w:p w14:paraId="2BB9B767" w14:textId="77777777" w:rsidR="009B337D" w:rsidRPr="00876921" w:rsidRDefault="009B337D" w:rsidP="00716842">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Jack Annetts</w:t>
            </w:r>
          </w:p>
        </w:tc>
        <w:tc>
          <w:tcPr>
            <w:tcW w:w="2275" w:type="dxa"/>
            <w:shd w:val="clear" w:color="auto" w:fill="D9D9D9"/>
          </w:tcPr>
          <w:p w14:paraId="0EBDBAAC" w14:textId="77777777" w:rsidR="009B337D" w:rsidRPr="00876921" w:rsidRDefault="009B337D" w:rsidP="00716842">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75" w:type="dxa"/>
          </w:tcPr>
          <w:p w14:paraId="1FAF0897" w14:textId="77777777" w:rsidR="009B337D" w:rsidRPr="00876921" w:rsidRDefault="009B337D" w:rsidP="00716842">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1350138</w:t>
            </w:r>
          </w:p>
        </w:tc>
      </w:tr>
      <w:tr w:rsidR="009B337D" w:rsidRPr="00876921" w14:paraId="4B8730EE" w14:textId="77777777" w:rsidTr="009B337D">
        <w:tc>
          <w:tcPr>
            <w:tcW w:w="2098" w:type="dxa"/>
            <w:shd w:val="pct15" w:color="auto" w:fill="auto"/>
          </w:tcPr>
          <w:p w14:paraId="4A42F1F1" w14:textId="77777777" w:rsidR="009B337D" w:rsidRPr="00876921" w:rsidRDefault="009B337D" w:rsidP="00716842">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53" w:type="dxa"/>
            <w:gridSpan w:val="3"/>
          </w:tcPr>
          <w:p w14:paraId="05488E49" w14:textId="77777777" w:rsidR="009B337D" w:rsidRPr="00876921" w:rsidRDefault="009B337D" w:rsidP="00716842">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PCDA</w:t>
            </w:r>
          </w:p>
        </w:tc>
      </w:tr>
      <w:tr w:rsidR="009B337D" w:rsidRPr="00876921" w14:paraId="273BAD0C" w14:textId="77777777" w:rsidTr="009B337D">
        <w:tc>
          <w:tcPr>
            <w:tcW w:w="2098" w:type="dxa"/>
            <w:shd w:val="pct15" w:color="auto" w:fill="auto"/>
          </w:tcPr>
          <w:p w14:paraId="1C6CECF6" w14:textId="77777777" w:rsidR="009B337D" w:rsidRPr="00876921" w:rsidRDefault="009B337D" w:rsidP="00716842">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53" w:type="dxa"/>
            <w:gridSpan w:val="3"/>
            <w:shd w:val="clear" w:color="auto" w:fill="auto"/>
          </w:tcPr>
          <w:p w14:paraId="19CB4C52" w14:textId="77777777" w:rsidR="009B337D" w:rsidRPr="00876921" w:rsidRDefault="009B337D" w:rsidP="00716842">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9B337D" w:rsidRPr="00876921" w14:paraId="0DC3C843" w14:textId="77777777" w:rsidTr="009B337D">
        <w:tc>
          <w:tcPr>
            <w:tcW w:w="2098" w:type="dxa"/>
            <w:shd w:val="pct15" w:color="auto" w:fill="auto"/>
          </w:tcPr>
          <w:p w14:paraId="376A753C" w14:textId="77777777" w:rsidR="009B337D" w:rsidRPr="00876921" w:rsidRDefault="009B337D" w:rsidP="00716842">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303" w:type="dxa"/>
          </w:tcPr>
          <w:p w14:paraId="0A204A67" w14:textId="77777777" w:rsidR="009B337D" w:rsidRPr="00876921" w:rsidRDefault="009B337D" w:rsidP="00716842">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75" w:type="dxa"/>
            <w:shd w:val="clear" w:color="auto" w:fill="D9D9D9"/>
          </w:tcPr>
          <w:p w14:paraId="13D30F76" w14:textId="77777777" w:rsidR="009B337D" w:rsidRPr="00876921" w:rsidRDefault="009B337D" w:rsidP="00716842">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75" w:type="dxa"/>
          </w:tcPr>
          <w:p w14:paraId="2304E4A1" w14:textId="77777777" w:rsidR="009B337D" w:rsidRPr="00876921" w:rsidRDefault="009B337D" w:rsidP="00716842">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9B337D" w:rsidRPr="00876921" w14:paraId="0FE47D5A" w14:textId="77777777" w:rsidTr="009B337D">
        <w:tc>
          <w:tcPr>
            <w:tcW w:w="2098" w:type="dxa"/>
            <w:shd w:val="pct15" w:color="auto" w:fill="auto"/>
          </w:tcPr>
          <w:p w14:paraId="2AE668AA" w14:textId="77777777" w:rsidR="009B337D" w:rsidRPr="00876921" w:rsidRDefault="009B337D" w:rsidP="00716842">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303" w:type="dxa"/>
          </w:tcPr>
          <w:p w14:paraId="644A0FAE" w14:textId="77777777" w:rsidR="009B337D" w:rsidRPr="00876921" w:rsidRDefault="009B337D" w:rsidP="00716842">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75" w:type="dxa"/>
            <w:shd w:val="clear" w:color="auto" w:fill="D9D9D9"/>
          </w:tcPr>
          <w:p w14:paraId="084882D2" w14:textId="77777777" w:rsidR="009B337D" w:rsidRPr="00876921" w:rsidRDefault="009B337D" w:rsidP="00716842">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75" w:type="dxa"/>
          </w:tcPr>
          <w:p w14:paraId="60CF6863" w14:textId="77777777" w:rsidR="009B337D" w:rsidRPr="00876921" w:rsidRDefault="009B337D" w:rsidP="00716842">
            <w:pPr>
              <w:spacing w:before="120" w:after="120" w:line="240" w:lineRule="auto"/>
              <w:jc w:val="both"/>
              <w:rPr>
                <w:rFonts w:ascii="Arial" w:eastAsia="Times New Roman" w:hAnsi="Arial" w:cs="Arial"/>
                <w:b/>
                <w:lang w:eastAsia="en-GB"/>
              </w:rPr>
            </w:pPr>
          </w:p>
        </w:tc>
      </w:tr>
      <w:tr w:rsidR="009B337D" w:rsidRPr="00876921" w14:paraId="056D7DDF" w14:textId="77777777" w:rsidTr="009B337D">
        <w:tc>
          <w:tcPr>
            <w:tcW w:w="2098" w:type="dxa"/>
            <w:shd w:val="pct15" w:color="auto" w:fill="auto"/>
          </w:tcPr>
          <w:p w14:paraId="4BA9A1F0" w14:textId="77777777" w:rsidR="009B337D" w:rsidRPr="00876921" w:rsidRDefault="009B337D" w:rsidP="00716842">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303" w:type="dxa"/>
          </w:tcPr>
          <w:p w14:paraId="45B64F86" w14:textId="77777777" w:rsidR="009B337D" w:rsidRPr="00876921" w:rsidRDefault="009B337D" w:rsidP="00716842">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75" w:type="dxa"/>
            <w:shd w:val="pct15" w:color="auto" w:fill="auto"/>
          </w:tcPr>
          <w:p w14:paraId="7E15B1A0" w14:textId="77777777" w:rsidR="009B337D" w:rsidRPr="00876921" w:rsidRDefault="009B337D" w:rsidP="00716842">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75" w:type="dxa"/>
          </w:tcPr>
          <w:p w14:paraId="214C412F" w14:textId="77777777" w:rsidR="009B337D" w:rsidRPr="00876921" w:rsidRDefault="009B337D" w:rsidP="00716842">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9B337D" w:rsidRPr="00876921" w14:paraId="409EF5B1" w14:textId="77777777" w:rsidTr="009B337D">
        <w:tc>
          <w:tcPr>
            <w:tcW w:w="2098" w:type="dxa"/>
            <w:shd w:val="pct15" w:color="auto" w:fill="auto"/>
          </w:tcPr>
          <w:p w14:paraId="548286AA" w14:textId="77777777" w:rsidR="009B337D" w:rsidRPr="00876921" w:rsidRDefault="009B337D" w:rsidP="00716842">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303" w:type="dxa"/>
            <w:shd w:val="clear" w:color="auto" w:fill="auto"/>
          </w:tcPr>
          <w:p w14:paraId="2E74F982" w14:textId="77777777" w:rsidR="009B337D" w:rsidRPr="00876921" w:rsidRDefault="009B337D" w:rsidP="00716842">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12</w:t>
            </w:r>
            <w:r w:rsidRPr="000A72D4">
              <w:rPr>
                <w:rFonts w:ascii="Arial" w:eastAsia="Times New Roman" w:hAnsi="Arial" w:cs="Arial"/>
                <w:b/>
                <w:vertAlign w:val="superscript"/>
                <w:lang w:eastAsia="en-GB"/>
              </w:rPr>
              <w:t>th</w:t>
            </w:r>
            <w:r>
              <w:rPr>
                <w:rFonts w:ascii="Arial" w:eastAsia="Times New Roman" w:hAnsi="Arial" w:cs="Arial"/>
                <w:b/>
                <w:lang w:eastAsia="en-GB"/>
              </w:rPr>
              <w:t xml:space="preserve"> July 2021</w:t>
            </w:r>
          </w:p>
        </w:tc>
        <w:tc>
          <w:tcPr>
            <w:tcW w:w="2275" w:type="dxa"/>
            <w:shd w:val="pct15" w:color="auto" w:fill="auto"/>
          </w:tcPr>
          <w:p w14:paraId="5894AA38" w14:textId="77777777" w:rsidR="009B337D" w:rsidRPr="00876921" w:rsidRDefault="009B337D" w:rsidP="00716842">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75" w:type="dxa"/>
          </w:tcPr>
          <w:p w14:paraId="5A5316CF" w14:textId="77777777" w:rsidR="009B337D" w:rsidRPr="00876921" w:rsidRDefault="009B337D" w:rsidP="00716842">
            <w:pPr>
              <w:spacing w:before="120" w:after="120" w:line="240" w:lineRule="auto"/>
              <w:jc w:val="both"/>
              <w:rPr>
                <w:rFonts w:ascii="Arial" w:eastAsia="Times New Roman" w:hAnsi="Arial" w:cs="Arial"/>
                <w:b/>
                <w:lang w:eastAsia="en-GB"/>
              </w:rPr>
            </w:pPr>
          </w:p>
        </w:tc>
      </w:tr>
    </w:tbl>
    <w:p w14:paraId="2D444FC2" w14:textId="77777777" w:rsidR="00AA4E07" w:rsidRDefault="00AA4E07"/>
    <w:p w14:paraId="30B491C1" w14:textId="77777777" w:rsidR="009B337D" w:rsidRDefault="009B337D"/>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B337D" w:rsidRPr="00876921" w14:paraId="67EA9242" w14:textId="77777777" w:rsidTr="00716842">
        <w:tc>
          <w:tcPr>
            <w:tcW w:w="9781" w:type="dxa"/>
            <w:shd w:val="clear" w:color="auto" w:fill="C0C0C0"/>
          </w:tcPr>
          <w:p w14:paraId="1A486F82" w14:textId="77777777" w:rsidR="009B337D" w:rsidRPr="00876921" w:rsidRDefault="009B337D" w:rsidP="00716842">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br w:type="page"/>
            </w:r>
            <w:r w:rsidRPr="00876921">
              <w:rPr>
                <w:rFonts w:ascii="Arial" w:eastAsia="Times New Roman" w:hAnsi="Arial" w:cs="Arial"/>
                <w:b/>
                <w:sz w:val="40"/>
                <w:szCs w:val="40"/>
                <w:lang w:eastAsia="en-GB"/>
              </w:rPr>
              <w:t>TASK DESCRIPTION</w:t>
            </w:r>
          </w:p>
        </w:tc>
      </w:tr>
    </w:tbl>
    <w:p w14:paraId="2CF9EB7C" w14:textId="77777777" w:rsidR="009B337D" w:rsidRPr="00876921" w:rsidRDefault="009B337D" w:rsidP="009B337D">
      <w:pPr>
        <w:spacing w:after="0" w:line="240" w:lineRule="auto"/>
        <w:jc w:val="both"/>
        <w:rPr>
          <w:rFonts w:ascii="Arial" w:eastAsia="Times New Roman" w:hAnsi="Arial" w:cs="Arial"/>
          <w:lang w:eastAsia="en-GB"/>
        </w:rPr>
      </w:pPr>
    </w:p>
    <w:p w14:paraId="0ACBB10B" w14:textId="77777777" w:rsidR="009B337D" w:rsidRDefault="009B337D" w:rsidP="009B337D">
      <w:pPr>
        <w:spacing w:after="0" w:line="240" w:lineRule="auto"/>
        <w:ind w:left="426"/>
        <w:rPr>
          <w:rFonts w:ascii="Arial" w:eastAsia="Times New Roman" w:hAnsi="Arial" w:cs="Arial"/>
          <w:sz w:val="24"/>
          <w:szCs w:val="24"/>
          <w:lang w:eastAsia="en-GB"/>
        </w:rPr>
      </w:pPr>
    </w:p>
    <w:p w14:paraId="4353A0ED" w14:textId="77777777" w:rsidR="009B337D" w:rsidRDefault="009B337D" w:rsidP="009B337D">
      <w:pPr>
        <w:spacing w:after="0" w:line="240" w:lineRule="auto"/>
        <w:ind w:left="426"/>
        <w:rPr>
          <w:rFonts w:ascii="Arial" w:eastAsia="Times New Roman" w:hAnsi="Arial" w:cs="Arial"/>
          <w:sz w:val="24"/>
          <w:szCs w:val="24"/>
          <w:lang w:eastAsia="en-GB"/>
        </w:rPr>
      </w:pPr>
    </w:p>
    <w:p w14:paraId="7A518B32" w14:textId="77777777" w:rsidR="009B337D" w:rsidRPr="002161A0" w:rsidRDefault="009B337D" w:rsidP="009B337D">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2555FAF8" w14:textId="77777777" w:rsidR="009B337D" w:rsidRDefault="009B337D" w:rsidP="009B337D">
      <w:pPr>
        <w:spacing w:after="0" w:line="240" w:lineRule="auto"/>
        <w:ind w:left="426"/>
        <w:rPr>
          <w:rFonts w:ascii="Arial" w:eastAsia="Times New Roman" w:hAnsi="Arial" w:cs="Arial"/>
          <w:b/>
          <w:sz w:val="24"/>
          <w:szCs w:val="24"/>
          <w:lang w:eastAsia="en-GB"/>
        </w:rPr>
      </w:pPr>
    </w:p>
    <w:p w14:paraId="6E89D508" w14:textId="77777777" w:rsidR="009B337D" w:rsidRPr="00FF774E" w:rsidRDefault="009B337D" w:rsidP="009B337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Analyse why key incidents/events have had a damaging effect on the willingness of communities to engage with the police</w:t>
      </w:r>
    </w:p>
    <w:p w14:paraId="38BE850C" w14:textId="77777777" w:rsidR="009B337D" w:rsidRDefault="009B337D" w:rsidP="009B337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Evaluate the role of community policing in fostering and maintaining community cohesion and understand and apply key principles of effective community engagement</w:t>
      </w:r>
      <w:r>
        <w:rPr>
          <w:rFonts w:ascii="Arial" w:eastAsia="Times New Roman" w:hAnsi="Arial" w:cs="Arial"/>
          <w:lang w:eastAsia="en-GB"/>
        </w:rPr>
        <w:t>.</w:t>
      </w:r>
    </w:p>
    <w:p w14:paraId="000301FE" w14:textId="77777777" w:rsidR="009B337D" w:rsidRDefault="009B337D" w:rsidP="009B337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36D12B43" w14:textId="77777777" w:rsidR="00C77533" w:rsidRDefault="00C77533" w:rsidP="00C77533">
      <w:r>
        <w:t>This essay will discuss the key incidents that have had a damaging effect on the willingness of communities to engage with the police. There are many cases to discuss how the actions of the police have caused untrust in communities. One of the most notorious case is the racially aggravated murder of Stephen Lawrence on the 22</w:t>
      </w:r>
      <w:r w:rsidRPr="00F054C3">
        <w:rPr>
          <w:vertAlign w:val="superscript"/>
        </w:rPr>
        <w:t>nd</w:t>
      </w:r>
      <w:r>
        <w:t xml:space="preserve"> of April, 1993, which will be discussed in this essay. </w:t>
      </w:r>
    </w:p>
    <w:p w14:paraId="1175782B" w14:textId="77777777" w:rsidR="00C77533" w:rsidRDefault="00C77533" w:rsidP="00C77533"/>
    <w:p w14:paraId="628FC064" w14:textId="77777777" w:rsidR="00C77533" w:rsidRDefault="00C77533" w:rsidP="00C77533">
      <w:r>
        <w:lastRenderedPageBreak/>
        <w:t xml:space="preserve">The misconduct and the errors that the police made during the investigation has had a long-lasting impact on how the police service is seen as institutionally racist due to their failings surrounding Lawrence’s’ case. Lawrence was a black Eighteen-year-old when he was stabbed to death in a racially aggravated assault by a gang of at least five white youths in April 1993 in South-East London. Unbelievably, it took nineteen years for the conviction of two members of the gang for his murder alongside a public enquiry finding a pattern of errors made by the police (Dodd, 2020). </w:t>
      </w:r>
    </w:p>
    <w:p w14:paraId="3FD4B410" w14:textId="77777777" w:rsidR="00C77533" w:rsidRDefault="00C77533" w:rsidP="00C77533"/>
    <w:p w14:paraId="5E0CADB1" w14:textId="77777777" w:rsidR="00C77533" w:rsidRDefault="00C77533" w:rsidP="00C77533">
      <w:r>
        <w:t xml:space="preserve">There was a lack of empathy and trust demonstrated by the police in the Stephen Lawrence enquiry, where they failed to support Lawrence’s family to investigate his case to the extent where justice could be served. This caused the police to be viewed as institutionally racist, and strengthened the barrier between black and ethnic minority groups (BAME) and their trust in the police, and therefore their willingness to engage. Panditharatne, Chant, Sibley and Osborne (2018) have stated that in order for the police to gain trust within communities, there must be certainty in citizens’ beliefs that the police are motivated to treat all individuals fairly, and thus this failure to treat all groups equally is a major determinative factor on the public’s trust in the police. </w:t>
      </w:r>
    </w:p>
    <w:p w14:paraId="27703E03" w14:textId="77777777" w:rsidR="00C77533" w:rsidRDefault="00C77533" w:rsidP="00C77533"/>
    <w:p w14:paraId="1807C359" w14:textId="77777777" w:rsidR="00C77533" w:rsidRDefault="00C77533" w:rsidP="00C77533">
      <w:r>
        <w:t xml:space="preserve">The media publicised recently allegations of corruption, discrimination and incompetence within the original investigation of his murder, therefore sparking a report citing institutional racism in the Metropolitan Police (Dearden, 2020). Articles such as this, which was published in the newspaper Independent, supports the argument that the police are racist, further damaging the trust of BAME groups. Primarily, it emphasises the argument that these communities may not get the same service or respect as their white counterparts from the police service. </w:t>
      </w:r>
    </w:p>
    <w:p w14:paraId="7CDDE107" w14:textId="77777777" w:rsidR="00C77533" w:rsidRDefault="00C77533" w:rsidP="00C77533"/>
    <w:p w14:paraId="670ED67B" w14:textId="77777777" w:rsidR="00C77533" w:rsidRDefault="00C77533" w:rsidP="00C77533">
      <w:r>
        <w:t xml:space="preserve">Numerous errors were made by the police while investigating this case. The police service has been tarnished with accusations pointing towards institutionalised racism for a number of years, for example Bryant and Bryant (2020) discussed the Scarman report written after the Brixton riots in London, published in 1981, and the Macpherson report following Stephen Lawrence’s murder published in 1999, both referring to the racial discrimination by the police and their failure to address it. As these accusations have continued for decades, it is not surprising as to why there is a limited amount of trust and engagement by BAME communities with the police. </w:t>
      </w:r>
    </w:p>
    <w:p w14:paraId="3F472026" w14:textId="77777777" w:rsidR="00C77533" w:rsidRDefault="00C77533" w:rsidP="00C77533"/>
    <w:p w14:paraId="26A92820" w14:textId="77777777" w:rsidR="00C77533" w:rsidRDefault="00C77533" w:rsidP="00C77533">
      <w:r>
        <w:t xml:space="preserve">The failings by the police over a number of years have made it difficult for communities to engage, as the statistics from the Home Office show that only 7.3% of officers were from Asian, Black, Mixed and Other ethnic backgrounds alongside only 4.3% of senior positions held by minority ethnic groups in 2020 (Home Office, 2021). Although the Macpherson’s report published in 1999 outlined seventy recommendations, one of which being a zero tolerance for racism within society, as well as improving accountability for a number of services, such as the NHS and the civil service, there is still apprehension by these groups surrounding the police. However, sixty-seven of these recommendations led to changes within the law and practice, one of which being the promotion and recruitment of BAME police officers (Quinn, 2019). </w:t>
      </w:r>
    </w:p>
    <w:p w14:paraId="427510B1" w14:textId="77777777" w:rsidR="00C77533" w:rsidRDefault="00C77533" w:rsidP="00C77533"/>
    <w:p w14:paraId="200E3191" w14:textId="77777777" w:rsidR="00C77533" w:rsidRDefault="00C77533" w:rsidP="00C77533">
      <w:r>
        <w:lastRenderedPageBreak/>
        <w:t>Another, more recent event which has taken place which may also have a damaging effect on the willingness of communities to engage with the police is the murder of Sarah Everard on 3</w:t>
      </w:r>
      <w:r w:rsidRPr="00AE5013">
        <w:rPr>
          <w:vertAlign w:val="superscript"/>
        </w:rPr>
        <w:t>rd</w:t>
      </w:r>
      <w:r>
        <w:t xml:space="preserve"> of March, 2021 by an officer of the Metropolitan police, Wayne Couzens, the same force which carried out Lawrence’s investigation. This offence, carried out by the former Met police officer, has gained international recognition and sparked conversations about male violence against women, as well as police violence. Although court and legal proceedings surrounding this offence has not yet been concluded, it is evident that such a key event will have a damaging effect on the willingness of communities to engage with the police, as this event adds another layer to the public’s lack of trust with the police. </w:t>
      </w:r>
    </w:p>
    <w:p w14:paraId="5B90444B" w14:textId="77777777" w:rsidR="00C77533" w:rsidRDefault="00C77533" w:rsidP="00C77533"/>
    <w:p w14:paraId="4898C910" w14:textId="77777777" w:rsidR="00C77533" w:rsidRDefault="00C77533" w:rsidP="00C77533">
      <w:r>
        <w:t xml:space="preserve">The College of Policing are attempting to build better ways of engaging with communities, making active attempts to break down these barriers and minimise the belief that labels the police service as institutionally racist. They recommend a better understanding of the issues that affect communities, as these positive and negative, or even controversial issues, can affect police public relations. Through calling attention to these issues, special measures can be put in place, such as an increase in community engagement or foster community cohesion to work with the community to bridge interpersonal distances with the police (College of Policing, 2013). </w:t>
      </w:r>
    </w:p>
    <w:p w14:paraId="28664028" w14:textId="77777777" w:rsidR="00C77533" w:rsidRDefault="00C77533" w:rsidP="00C77533"/>
    <w:p w14:paraId="75B81419" w14:textId="77777777" w:rsidR="00C77533" w:rsidRDefault="00C77533" w:rsidP="00C77533">
      <w:r>
        <w:t xml:space="preserve">This essay has highlighted the case of Stephen Lawrence, which had a detrimental effect on communities coming forward and engaging with the police. The failings surrounding the investigation of Lawrence’s case and their impact has been discussed in regard to the viewpoint that the public have on the institutional racism within the police, and why it is now difficult to re-build relationships with these minority groups. Furthermore, discussion surrounding the difficulties surrounding the willingness of communities to engage with the police, as well as the attempts that police are making to regain trust has also been outlined. The concluding point for this essay surrounds the notion that BAME and other minority groups do not feel equally represented as their white counterparts, which causes negative representation of the police service within the media. </w:t>
      </w:r>
    </w:p>
    <w:p w14:paraId="2EAA6FF2" w14:textId="75082DE1" w:rsidR="009B337D" w:rsidRDefault="00C77533" w:rsidP="00C77533">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sz w:val="24"/>
          <w:szCs w:val="24"/>
        </w:rPr>
        <w:t>Word count: 967</w:t>
      </w:r>
    </w:p>
    <w:p w14:paraId="5B956FC7" w14:textId="77777777" w:rsidR="009B337D" w:rsidRPr="00FF774E" w:rsidRDefault="009B337D" w:rsidP="009B337D">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0EEE0F78" w14:textId="77777777" w:rsidR="009B337D" w:rsidRDefault="009B337D" w:rsidP="009B337D">
      <w:pPr>
        <w:spacing w:after="0" w:line="240" w:lineRule="auto"/>
        <w:ind w:left="426"/>
        <w:rPr>
          <w:rFonts w:ascii="Arial" w:eastAsia="Times New Roman" w:hAnsi="Arial" w:cs="Arial"/>
          <w:b/>
          <w:sz w:val="24"/>
          <w:szCs w:val="24"/>
          <w:lang w:eastAsia="en-GB"/>
        </w:rPr>
      </w:pPr>
    </w:p>
    <w:p w14:paraId="5DD430D4" w14:textId="77777777" w:rsidR="009B337D" w:rsidRDefault="009B337D" w:rsidP="009B337D">
      <w:pPr>
        <w:spacing w:after="0" w:line="240" w:lineRule="auto"/>
        <w:ind w:left="426"/>
        <w:rPr>
          <w:rFonts w:ascii="Arial" w:eastAsia="Times New Roman" w:hAnsi="Arial" w:cs="Arial"/>
          <w:lang w:eastAsia="en-GB"/>
        </w:rPr>
      </w:pPr>
    </w:p>
    <w:p w14:paraId="306224BC" w14:textId="77777777" w:rsidR="009B337D" w:rsidRDefault="009B337D" w:rsidP="009B337D">
      <w:pPr>
        <w:spacing w:after="0" w:line="240" w:lineRule="auto"/>
        <w:ind w:left="426"/>
        <w:rPr>
          <w:rFonts w:ascii="Arial" w:eastAsia="Times New Roman" w:hAnsi="Arial" w:cs="Arial"/>
          <w:lang w:eastAsia="en-GB"/>
        </w:rPr>
      </w:pPr>
    </w:p>
    <w:p w14:paraId="40281378" w14:textId="77777777" w:rsidR="009B337D" w:rsidRDefault="009B337D" w:rsidP="009B337D">
      <w:pPr>
        <w:spacing w:after="0" w:line="240" w:lineRule="auto"/>
        <w:ind w:left="426"/>
        <w:rPr>
          <w:rFonts w:ascii="Arial" w:eastAsia="Times New Roman" w:hAnsi="Arial" w:cs="Arial"/>
          <w:lang w:eastAsia="en-GB"/>
        </w:rPr>
      </w:pPr>
    </w:p>
    <w:p w14:paraId="5C7FADE5" w14:textId="77777777" w:rsidR="009B337D" w:rsidRDefault="009B337D" w:rsidP="009B337D">
      <w:pPr>
        <w:spacing w:after="0" w:line="240" w:lineRule="auto"/>
        <w:ind w:left="426"/>
        <w:rPr>
          <w:rFonts w:ascii="Arial" w:eastAsia="Times New Roman" w:hAnsi="Arial" w:cs="Arial"/>
          <w:lang w:eastAsia="en-GB"/>
        </w:rPr>
      </w:pPr>
    </w:p>
    <w:p w14:paraId="293F1916" w14:textId="77777777" w:rsidR="009B337D" w:rsidRDefault="009B337D" w:rsidP="009B337D">
      <w:pPr>
        <w:spacing w:after="0" w:line="240" w:lineRule="auto"/>
        <w:ind w:left="426"/>
        <w:rPr>
          <w:rFonts w:ascii="Arial" w:eastAsia="Times New Roman" w:hAnsi="Arial" w:cs="Arial"/>
          <w:lang w:eastAsia="en-GB"/>
        </w:rPr>
      </w:pPr>
    </w:p>
    <w:p w14:paraId="74B2343C" w14:textId="77777777" w:rsidR="009B337D" w:rsidRDefault="009B337D" w:rsidP="009B337D">
      <w:pPr>
        <w:spacing w:after="0" w:line="240" w:lineRule="auto"/>
        <w:ind w:left="426"/>
        <w:rPr>
          <w:rFonts w:ascii="Arial" w:eastAsia="Times New Roman" w:hAnsi="Arial" w:cs="Arial"/>
          <w:lang w:eastAsia="en-GB"/>
        </w:rPr>
      </w:pPr>
    </w:p>
    <w:p w14:paraId="738ADA6E" w14:textId="77777777" w:rsidR="009B337D" w:rsidRDefault="009B337D" w:rsidP="009B337D">
      <w:pPr>
        <w:spacing w:after="0" w:line="240" w:lineRule="auto"/>
        <w:ind w:left="426"/>
        <w:rPr>
          <w:rFonts w:ascii="Arial" w:eastAsia="Times New Roman" w:hAnsi="Arial" w:cs="Arial"/>
          <w:lang w:eastAsia="en-GB"/>
        </w:rPr>
      </w:pPr>
    </w:p>
    <w:p w14:paraId="30EA98E3" w14:textId="77777777" w:rsidR="009B337D" w:rsidRDefault="009B337D" w:rsidP="009B337D">
      <w:pPr>
        <w:spacing w:after="0" w:line="240" w:lineRule="auto"/>
        <w:ind w:left="426"/>
        <w:rPr>
          <w:rFonts w:ascii="Arial" w:eastAsia="Times New Roman" w:hAnsi="Arial" w:cs="Arial"/>
          <w:lang w:eastAsia="en-GB"/>
        </w:rPr>
      </w:pPr>
    </w:p>
    <w:p w14:paraId="32F7F7BC" w14:textId="77777777" w:rsidR="009B337D" w:rsidRDefault="009B337D" w:rsidP="009B337D">
      <w:pPr>
        <w:spacing w:after="0" w:line="240" w:lineRule="auto"/>
        <w:ind w:left="426"/>
        <w:rPr>
          <w:rFonts w:ascii="Arial" w:eastAsia="Times New Roman" w:hAnsi="Arial" w:cs="Arial"/>
          <w:lang w:eastAsia="en-GB"/>
        </w:rPr>
      </w:pPr>
    </w:p>
    <w:p w14:paraId="6DE7B4C5" w14:textId="77777777" w:rsidR="009B337D" w:rsidRDefault="009B337D" w:rsidP="009B337D">
      <w:pPr>
        <w:spacing w:after="0" w:line="240" w:lineRule="auto"/>
        <w:ind w:left="426"/>
        <w:rPr>
          <w:rFonts w:ascii="Arial" w:eastAsia="Times New Roman" w:hAnsi="Arial" w:cs="Arial"/>
          <w:lang w:eastAsia="en-GB"/>
        </w:rPr>
      </w:pPr>
    </w:p>
    <w:p w14:paraId="6D0EE2B9" w14:textId="77777777" w:rsidR="009B337D" w:rsidRDefault="009B337D" w:rsidP="009B337D">
      <w:pPr>
        <w:spacing w:after="0" w:line="240" w:lineRule="auto"/>
        <w:ind w:left="426"/>
        <w:rPr>
          <w:rFonts w:ascii="Arial" w:eastAsia="Times New Roman" w:hAnsi="Arial" w:cs="Arial"/>
          <w:lang w:eastAsia="en-GB"/>
        </w:rPr>
      </w:pPr>
    </w:p>
    <w:p w14:paraId="6F1CC878" w14:textId="77777777" w:rsidR="009B337D" w:rsidRDefault="009B337D" w:rsidP="009B337D">
      <w:pPr>
        <w:spacing w:after="0" w:line="240" w:lineRule="auto"/>
        <w:ind w:left="426"/>
        <w:rPr>
          <w:rFonts w:ascii="Arial" w:eastAsia="Times New Roman" w:hAnsi="Arial" w:cs="Arial"/>
          <w:lang w:eastAsia="en-GB"/>
        </w:rPr>
      </w:pPr>
    </w:p>
    <w:p w14:paraId="68A76E80" w14:textId="77777777" w:rsidR="00C77533" w:rsidRDefault="00C77533" w:rsidP="009B337D">
      <w:pPr>
        <w:spacing w:after="0" w:line="240" w:lineRule="auto"/>
        <w:ind w:left="426"/>
        <w:rPr>
          <w:rFonts w:ascii="Arial" w:eastAsia="Times New Roman" w:hAnsi="Arial" w:cs="Arial"/>
          <w:lang w:eastAsia="en-GB"/>
        </w:rPr>
      </w:pPr>
    </w:p>
    <w:p w14:paraId="15E2045E" w14:textId="77777777" w:rsidR="00C77533" w:rsidRDefault="00C77533" w:rsidP="009B337D">
      <w:pPr>
        <w:spacing w:after="0" w:line="240" w:lineRule="auto"/>
        <w:ind w:left="426"/>
        <w:rPr>
          <w:rFonts w:ascii="Arial" w:eastAsia="Times New Roman" w:hAnsi="Arial" w:cs="Arial"/>
          <w:lang w:eastAsia="en-GB"/>
        </w:rPr>
      </w:pPr>
    </w:p>
    <w:p w14:paraId="77639AAC" w14:textId="77777777" w:rsidR="00C77533" w:rsidRDefault="00C77533" w:rsidP="009B337D">
      <w:pPr>
        <w:spacing w:after="0" w:line="240" w:lineRule="auto"/>
        <w:ind w:left="426"/>
        <w:rPr>
          <w:rFonts w:ascii="Arial" w:eastAsia="Times New Roman" w:hAnsi="Arial" w:cs="Arial"/>
          <w:lang w:eastAsia="en-GB"/>
        </w:rPr>
      </w:pPr>
    </w:p>
    <w:p w14:paraId="6170B8C2" w14:textId="77777777" w:rsidR="00C77533" w:rsidRDefault="00C77533" w:rsidP="009B337D">
      <w:pPr>
        <w:spacing w:after="0" w:line="240" w:lineRule="auto"/>
        <w:ind w:left="426"/>
        <w:rPr>
          <w:rFonts w:ascii="Arial" w:eastAsia="Times New Roman" w:hAnsi="Arial" w:cs="Arial"/>
          <w:lang w:eastAsia="en-GB"/>
        </w:rPr>
      </w:pPr>
    </w:p>
    <w:p w14:paraId="3E4387C6" w14:textId="43319D6A" w:rsidR="009B337D" w:rsidRDefault="009B337D" w:rsidP="009B337D">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lastRenderedPageBreak/>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3FBC8B39" w14:textId="77777777" w:rsidR="009B337D" w:rsidRDefault="009B337D" w:rsidP="009B337D">
      <w:pPr>
        <w:spacing w:after="0" w:line="240" w:lineRule="auto"/>
        <w:rPr>
          <w:rFonts w:ascii="Arial" w:eastAsia="Times New Roman" w:hAnsi="Arial" w:cs="Arial"/>
          <w:b/>
          <w:sz w:val="24"/>
          <w:szCs w:val="24"/>
          <w:lang w:eastAsia="en-GB"/>
        </w:rPr>
      </w:pPr>
    </w:p>
    <w:p w14:paraId="3F35F0CF" w14:textId="77777777" w:rsidR="009B337D" w:rsidRPr="00FF774E" w:rsidRDefault="009B337D" w:rsidP="009B337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Assess the strengths and weakness of different policing models in relation to crime/victimisation and the public and explore crime prevention theories initiates and strategies</w:t>
      </w:r>
    </w:p>
    <w:p w14:paraId="13640CA5" w14:textId="77777777" w:rsidR="009B337D" w:rsidRDefault="009B337D" w:rsidP="009B337D">
      <w:pPr>
        <w:spacing w:after="0" w:line="240" w:lineRule="auto"/>
        <w:ind w:left="426"/>
        <w:jc w:val="center"/>
        <w:rPr>
          <w:rFonts w:ascii="Arial" w:eastAsia="Times New Roman" w:hAnsi="Arial" w:cs="Arial"/>
          <w:b/>
          <w:sz w:val="24"/>
          <w:szCs w:val="24"/>
          <w:lang w:eastAsia="en-GB"/>
        </w:rPr>
      </w:pPr>
    </w:p>
    <w:p w14:paraId="0045C873" w14:textId="77777777" w:rsidR="009B337D" w:rsidRPr="00FF774E" w:rsidRDefault="009B337D" w:rsidP="009B337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Explain and employ analytical products provided by intelligence specialists during the course of an investigation</w:t>
      </w:r>
    </w:p>
    <w:p w14:paraId="1027813A" w14:textId="77777777" w:rsidR="009B337D" w:rsidRDefault="009B337D" w:rsidP="009B337D">
      <w:pPr>
        <w:spacing w:after="0" w:line="240" w:lineRule="auto"/>
        <w:ind w:left="426"/>
        <w:rPr>
          <w:rFonts w:ascii="Arial" w:eastAsia="Times New Roman" w:hAnsi="Arial" w:cs="Arial"/>
          <w:b/>
          <w:sz w:val="24"/>
          <w:szCs w:val="24"/>
          <w:lang w:eastAsia="en-GB"/>
        </w:rPr>
      </w:pPr>
    </w:p>
    <w:p w14:paraId="0B834D31" w14:textId="7CBA7287" w:rsidR="009B337D" w:rsidRDefault="009B337D" w:rsidP="009B337D">
      <w:pPr>
        <w:spacing w:after="0" w:line="240" w:lineRule="auto"/>
        <w:ind w:left="426"/>
        <w:jc w:val="center"/>
        <w:rPr>
          <w:rFonts w:ascii="Arial" w:eastAsia="Times New Roman" w:hAnsi="Arial" w:cs="Arial"/>
          <w:b/>
          <w:sz w:val="24"/>
          <w:szCs w:val="24"/>
          <w:lang w:eastAsia="en-GB"/>
        </w:rPr>
      </w:pPr>
    </w:p>
    <w:p w14:paraId="04113AC0" w14:textId="77777777" w:rsidR="00C77533" w:rsidRDefault="00C77533" w:rsidP="00C77533">
      <w:r>
        <w:t xml:space="preserve">This essay will discuss the strengths and weaknesses of different policing methods when dealing with crime and victimisation. Exploration of crime prevention theories along with their benefits will be discussed, as well as how they have been established. Explanation of how information can be gathered by an intelligence specialist, as well as what data is valuable during an investigation and its benefits will be discussed. </w:t>
      </w:r>
    </w:p>
    <w:p w14:paraId="24077978" w14:textId="77777777" w:rsidR="00C77533" w:rsidRDefault="00C77533" w:rsidP="00C77533"/>
    <w:p w14:paraId="4DCBC064" w14:textId="77777777" w:rsidR="00C77533" w:rsidRDefault="00C77533" w:rsidP="00C77533">
      <w:r>
        <w:t xml:space="preserve">There are a number of models that have been attempted within policing to mitigate risk, re-offending and supporting the public. Attempts to build cohesion and trust throughout communities is conducted by the police. There are many different models that the police adapt to differing situations. Key parts of each model, such as problem-orientated policing, targeted policing in community settings, hotspot policing and zero-tolerance policing, can help support communities and tackle crime. </w:t>
      </w:r>
    </w:p>
    <w:p w14:paraId="1CA0A754" w14:textId="77777777" w:rsidR="00C77533" w:rsidRDefault="00C77533" w:rsidP="00C77533"/>
    <w:p w14:paraId="5A4003AD" w14:textId="77777777" w:rsidR="00C77533" w:rsidRDefault="00C77533" w:rsidP="00C77533">
      <w:r>
        <w:t xml:space="preserve">Hotspot policing is conducted when police put in resources and funds into crime prevention within a small geographical area, where crime may cluster. This is not a new innovation, but stands as an effective method to tackle crime (Braga &amp; Weisburd, 2010). This approach can be beneficial, as it targets problem areas and utilises resources to attempt to fix the problem and support victims of crime. Although beneficial, it is not a long-term solution, incentives such as street lighting and CCTV can exhibit positive benefits in the longer term (Bryant &amp; Bryant, 2020). In a study by Rosenfeld, Deckard and Blackburn (2014), they allocated 32 firearm violence hotspots to a treatment condition and a control condition. The treatment conditions consisted of increased directed patrols, with findings suggesting that areas with increased hotspot policing found reduced nondomestic firearm assaults. This suggests that for certain issues within communities, increasing policing may decrease crime. However, Gerell (2016) found a combination of hotspot policing and active monitoring of CCTV in a Swedish town resulted in a unsignificant effect on the amount of nightlife assaults. This suggests that efficacy of hotspot policing may be dependent on the crime and the resources used. </w:t>
      </w:r>
    </w:p>
    <w:p w14:paraId="64D9EC98" w14:textId="77777777" w:rsidR="00C77533" w:rsidRDefault="00C77533" w:rsidP="00C77533"/>
    <w:p w14:paraId="175680E0" w14:textId="77777777" w:rsidR="00C77533" w:rsidRDefault="00C77533" w:rsidP="00C77533">
      <w:r>
        <w:t xml:space="preserve">Another policing model that has taken many styles over the years is the Zero Tolerance policing. This style of policing was popularised in North America, most notably New York (BBC, 1998). This model was brought forward to handle high crime rates through the 1970s and 80s, by William J. Bratton for the NYPD, however it came under scrutiny from citizens of New York, arguing it imposed upon their human rights (Fischer, 2015; Bryant &amp; Bryant, 2020). Although this rigorous policing model in the NYPD saw an 85% reduction in crime relating to murder, some suggest that the model attacked poor and minority citizens’ rights, as well as the model not being successful to fix broken windows, a </w:t>
      </w:r>
      <w:r>
        <w:lastRenderedPageBreak/>
        <w:t xml:space="preserve">theory that visible signs of crime creates an environment which encourages more crime (Fischer, 2015).  However, this policing method was brought back by Bernard Hogan-Howe, the previous crime commissioner of the met police, rebranding it as ‘total policing’ when he was chief constable of Merseyside Police (Bryant and Bryant, 2020). This modern day approach to zero tolerance policing protected the human rights of the public, while targeting key areas of crime that the community wanted tackling. These areas included knife and gang crime. </w:t>
      </w:r>
    </w:p>
    <w:p w14:paraId="6C9ADC4D" w14:textId="77777777" w:rsidR="00C77533" w:rsidRDefault="00C77533" w:rsidP="00C77533"/>
    <w:p w14:paraId="0C026864" w14:textId="77777777" w:rsidR="00C77533" w:rsidRDefault="00C77533" w:rsidP="00C77533">
      <w:r>
        <w:t xml:space="preserve">Intelligence-led policing is key when approaching analytical products by individual officers through the course of investigation. This method collects and analyses data through the latest technology, providing police with valuable intelligence. This allows for collaborative relationships with members of the community and other law enforcement agencies, with the pooling of intelligence and observations allowing the prevention of crimes. Furthermore, the information gained through technology and collaboration allows the deployment of resources for efficient and effective law enforcements within communities (Kent State University, 2020). </w:t>
      </w:r>
    </w:p>
    <w:p w14:paraId="536B85E4" w14:textId="77777777" w:rsidR="00C77533" w:rsidRDefault="00C77533" w:rsidP="00C77533"/>
    <w:p w14:paraId="5EFC5331" w14:textId="77777777" w:rsidR="00C77533" w:rsidRDefault="00C77533" w:rsidP="00C77533">
      <w:r>
        <w:t xml:space="preserve">Key aspects of policing and intelligence lead policing have changed in the modern age whereby technology is central. Much due to concerns of terrorism ever since 9/11, police forces across the globe have focused larger on intelligence led policing to increase effectiveness and efficiency in policing, such as buying equipment, hiring staff and designing efficient organisations (Alach, 2011). The intelligence led approach revolves the prediction of crime. Once crime can be predicted through utilising surveillance techniques or a covert human intelligence source, resources can be put in place to prevent the crimes from occurring. One of the largest and easiest ways to gather intelligence is through the use of social media and the internet, however it is not yet known the impact of social media intelligence on crime prevention (Wood &amp; Thompson, 2021). </w:t>
      </w:r>
    </w:p>
    <w:p w14:paraId="11107710" w14:textId="77777777" w:rsidR="00C77533" w:rsidRDefault="00C77533" w:rsidP="00C77533"/>
    <w:p w14:paraId="3FB468BE" w14:textId="77777777" w:rsidR="00C77533" w:rsidRDefault="00C77533" w:rsidP="00C77533">
      <w:r>
        <w:t xml:space="preserve">The use of data collected through intelligence gathering officers is important when tackling crime and for crime prevention. These officers gain information from sources that are not willing to engage with the police for relevant information, doing so to protect the communities they are working in. There are many sources of intelligence, from undercover officers, law enforcement partners both in the UK and overseas and through members of the public (NCA, n.d). </w:t>
      </w:r>
    </w:p>
    <w:p w14:paraId="07232941" w14:textId="77777777" w:rsidR="00C77533" w:rsidRDefault="00C77533" w:rsidP="00C77533"/>
    <w:p w14:paraId="6AF24920" w14:textId="56A360FB" w:rsidR="00C77533" w:rsidRDefault="00C77533" w:rsidP="00C77533">
      <w:r>
        <w:t xml:space="preserve">This essay discussed key models that are utilised to tackle crime, keep communities and victims safe, and attempt to stop reoffending. Explanations of how these methods reassure and serve the communities, as well as their benefits and drawbacks, have been discussed. Furthermore, intelligence led approach has been considered and its benefits in predicting and preventing crime, as well as how intelligence led policing continue to progress police investigations. </w:t>
      </w:r>
      <w:r w:rsidR="00F12795">
        <w:t xml:space="preserve">These points have all been examined in order to explain the ways that the police investigate and attempt to stop re offending and crime. </w:t>
      </w:r>
    </w:p>
    <w:p w14:paraId="6BEC3866" w14:textId="77777777" w:rsidR="00C77533" w:rsidRDefault="00C77533" w:rsidP="00C77533"/>
    <w:p w14:paraId="603C90EC" w14:textId="4836747E" w:rsidR="00C77533" w:rsidRDefault="00F12795" w:rsidP="00C77533">
      <w:r>
        <w:t>913.</w:t>
      </w:r>
      <w:bookmarkStart w:id="0" w:name="_GoBack"/>
      <w:bookmarkEnd w:id="0"/>
    </w:p>
    <w:p w14:paraId="0E908EEB" w14:textId="77777777" w:rsidR="00C77533" w:rsidRDefault="00C77533" w:rsidP="00C77533"/>
    <w:p w14:paraId="17C88E8B" w14:textId="77777777" w:rsidR="00C77533" w:rsidRDefault="00C77533" w:rsidP="00C77533">
      <w:pPr>
        <w:spacing w:after="0" w:line="240" w:lineRule="auto"/>
        <w:ind w:left="426"/>
        <w:rPr>
          <w:rFonts w:ascii="Arial" w:eastAsia="Times New Roman" w:hAnsi="Arial" w:cs="Arial"/>
          <w:b/>
          <w:sz w:val="24"/>
          <w:szCs w:val="24"/>
          <w:lang w:eastAsia="en-GB"/>
        </w:rPr>
      </w:pPr>
    </w:p>
    <w:p w14:paraId="4734FCEF" w14:textId="77777777" w:rsidR="009B337D" w:rsidRDefault="009B337D" w:rsidP="009B337D">
      <w:pPr>
        <w:spacing w:after="0" w:line="240" w:lineRule="auto"/>
        <w:ind w:left="426"/>
        <w:rPr>
          <w:rFonts w:ascii="Arial" w:eastAsia="Times New Roman" w:hAnsi="Arial" w:cs="Arial"/>
          <w:b/>
          <w:sz w:val="24"/>
          <w:szCs w:val="24"/>
          <w:lang w:eastAsia="en-GB"/>
        </w:rPr>
      </w:pPr>
    </w:p>
    <w:p w14:paraId="56D83623" w14:textId="77777777" w:rsidR="009B337D" w:rsidRDefault="009B337D" w:rsidP="009B337D">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3FA1CA56" w14:textId="77777777" w:rsidR="009B337D" w:rsidRDefault="009B337D" w:rsidP="009B337D">
      <w:pPr>
        <w:spacing w:after="0" w:line="240" w:lineRule="auto"/>
        <w:ind w:left="426"/>
        <w:jc w:val="center"/>
        <w:rPr>
          <w:rFonts w:ascii="Arial" w:eastAsia="Times New Roman" w:hAnsi="Arial" w:cs="Arial"/>
          <w:b/>
          <w:sz w:val="24"/>
          <w:szCs w:val="24"/>
          <w:lang w:eastAsia="en-GB"/>
        </w:rPr>
      </w:pPr>
    </w:p>
    <w:p w14:paraId="3CDC151E" w14:textId="77777777" w:rsidR="009B337D" w:rsidRDefault="009B337D" w:rsidP="009B337D">
      <w:pPr>
        <w:spacing w:after="0" w:line="240" w:lineRule="auto"/>
        <w:ind w:left="426"/>
        <w:jc w:val="center"/>
        <w:rPr>
          <w:rFonts w:ascii="Arial" w:eastAsia="Times New Roman" w:hAnsi="Arial" w:cs="Arial"/>
          <w:b/>
          <w:sz w:val="24"/>
          <w:szCs w:val="24"/>
          <w:lang w:eastAsia="en-GB"/>
        </w:rPr>
      </w:pPr>
    </w:p>
    <w:p w14:paraId="6222EB80" w14:textId="77777777" w:rsidR="009B337D" w:rsidRDefault="009B337D" w:rsidP="009B337D">
      <w:pPr>
        <w:spacing w:after="0" w:line="240" w:lineRule="auto"/>
        <w:ind w:left="426"/>
        <w:jc w:val="center"/>
        <w:rPr>
          <w:rFonts w:ascii="Arial" w:eastAsia="Times New Roman" w:hAnsi="Arial" w:cs="Arial"/>
          <w:b/>
          <w:sz w:val="24"/>
          <w:szCs w:val="24"/>
          <w:lang w:eastAsia="en-GB"/>
        </w:rPr>
      </w:pPr>
    </w:p>
    <w:p w14:paraId="70B171E7" w14:textId="77777777" w:rsidR="009B337D" w:rsidRDefault="009B337D" w:rsidP="009B337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9E333B">
        <w:rPr>
          <w:rFonts w:ascii="Arial" w:eastAsia="Times New Roman" w:hAnsi="Arial" w:cs="Arial"/>
          <w:lang w:eastAsia="en-GB"/>
        </w:rPr>
        <w:t>Critically review key issues relating to the complexity and challenges of operational policing</w:t>
      </w:r>
      <w:r>
        <w:rPr>
          <w:rFonts w:ascii="Arial" w:eastAsia="Times New Roman" w:hAnsi="Arial" w:cs="Arial"/>
          <w:lang w:eastAsia="en-GB"/>
        </w:rPr>
        <w:t>, review</w:t>
      </w:r>
      <w:r w:rsidRPr="009E333B">
        <w:rPr>
          <w:rFonts w:ascii="Arial" w:eastAsia="Times New Roman" w:hAnsi="Arial" w:cs="Arial"/>
          <w:lang w:eastAsia="en-GB"/>
        </w:rPr>
        <w:t xml:space="preserve"> examples of critical and major incidents and analyse the role of the police within a joint emergency services operation to establish </w:t>
      </w:r>
      <w:r>
        <w:rPr>
          <w:rFonts w:ascii="Arial" w:eastAsia="Times New Roman" w:hAnsi="Arial" w:cs="Arial"/>
          <w:lang w:eastAsia="en-GB"/>
        </w:rPr>
        <w:t>‘</w:t>
      </w:r>
      <w:r w:rsidRPr="009E333B">
        <w:rPr>
          <w:rFonts w:ascii="Arial" w:eastAsia="Times New Roman" w:hAnsi="Arial" w:cs="Arial"/>
          <w:lang w:eastAsia="en-GB"/>
        </w:rPr>
        <w:t>best practice</w:t>
      </w:r>
      <w:r>
        <w:rPr>
          <w:rFonts w:ascii="Arial" w:eastAsia="Times New Roman" w:hAnsi="Arial" w:cs="Arial"/>
          <w:lang w:eastAsia="en-GB"/>
        </w:rPr>
        <w:t xml:space="preserve">’. </w:t>
      </w:r>
    </w:p>
    <w:p w14:paraId="626B940A" w14:textId="77777777" w:rsidR="00002D66" w:rsidRDefault="00002D66" w:rsidP="009B337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16FDC2EA" w14:textId="77777777" w:rsidR="00C77533" w:rsidRDefault="00C77533" w:rsidP="00C77533">
      <w:r>
        <w:t>This essay will analysis the role of the police during a critical and major incident within a joint emergency, attempting to establish the best practice outcomes. The incident which will be discussed is the terrorist attack on the 7</w:t>
      </w:r>
      <w:r w:rsidRPr="00CA385F">
        <w:rPr>
          <w:vertAlign w:val="superscript"/>
        </w:rPr>
        <w:t>th</w:t>
      </w:r>
      <w:r>
        <w:t xml:space="preserve"> of July, 2005, in which a series of consecutive bombings by Islamic suicide bombers within London’s public transport services, referred to as the London Bombings. This attack will be discussed alongside the police’s response and key issues raised in the incident, as well as reviewing what needs improving for ‘best practice’.</w:t>
      </w:r>
    </w:p>
    <w:p w14:paraId="202B3AF7" w14:textId="77777777" w:rsidR="00C77533" w:rsidRDefault="00C77533" w:rsidP="00C77533"/>
    <w:p w14:paraId="3581D2CC" w14:textId="77777777" w:rsidR="00C77533" w:rsidRDefault="00C77533" w:rsidP="00C77533">
      <w:r>
        <w:t xml:space="preserve">A critical incident is defined by Bryant and Bryant (2020) as an incident in which the confident of the victim, family or community is significantly impacted by the effectiveness of police response. This is a broad definition of what could be considered a critical incident and can stretch from harassment, to a large train crash, or a murder; any situation whereby an immediate emergency response from police can be classed as a critical incident. </w:t>
      </w:r>
    </w:p>
    <w:p w14:paraId="5080B75F" w14:textId="77777777" w:rsidR="00C77533" w:rsidRDefault="00C77533" w:rsidP="00C77533"/>
    <w:p w14:paraId="75079A7D" w14:textId="77777777" w:rsidR="00C77533" w:rsidRDefault="00C77533" w:rsidP="00C77533">
      <w:r>
        <w:t xml:space="preserve">A major incident is defined by Bryant and Bryant (2020) as arrangements between the NHS, local authority or any emergency services. These incidents thus pose a large risk to members of the public and the community. These can vary from large scale flooding, fires (such as the Grenfell fire in 2017) to terrorist attacks, whereby a multi-agency approach is necessary to save lives. </w:t>
      </w:r>
    </w:p>
    <w:p w14:paraId="3FBEAB97" w14:textId="77777777" w:rsidR="00C77533" w:rsidRDefault="00C77533" w:rsidP="00C77533"/>
    <w:p w14:paraId="10C99534" w14:textId="77777777" w:rsidR="00C77533" w:rsidRDefault="00C77533" w:rsidP="00C77533">
      <w:r>
        <w:t xml:space="preserve">These definitions go hand in hand when dealing with an incident where there is a suspected high number of casualties, as well as public perception and media coverage whereby the agencies working alongside these incidents have to ensure ‘best practice’ in all aspects of their responses. In the case of the London Bombings, a high number of lives were unfortunately lost, with widespread disruption and long-term damage. </w:t>
      </w:r>
    </w:p>
    <w:p w14:paraId="206D9B19" w14:textId="77777777" w:rsidR="00C77533" w:rsidRDefault="00C77533" w:rsidP="00C77533"/>
    <w:p w14:paraId="27E3D232" w14:textId="77777777" w:rsidR="00C77533" w:rsidRDefault="00C77533" w:rsidP="00C77533">
      <w:r>
        <w:t>Reviewing the information from the incident on the 7</w:t>
      </w:r>
      <w:r w:rsidRPr="00CA385F">
        <w:rPr>
          <w:vertAlign w:val="superscript"/>
        </w:rPr>
        <w:t>th</w:t>
      </w:r>
      <w:r>
        <w:t xml:space="preserve"> of July, 2005, it is apparent that there were key issues within the multi-agency approach when dealing with a major incident in such a grand scale. It is apparent that there were failings by all emergency services within this incident, the main issue with the police was that the new digital communications system used was ineffective at the time of the attacks, with radio’s being inefficient underground, with emergency services being used as runners to get information from tunnels to ticket halls (Casciani, 2011). This was evidently an inefficient way of using the resources of the emergency services, and lack of quick and efficient communication may have caused more damage. </w:t>
      </w:r>
    </w:p>
    <w:p w14:paraId="6A037FE9" w14:textId="77777777" w:rsidR="00C77533" w:rsidRDefault="00C77533" w:rsidP="00C77533"/>
    <w:p w14:paraId="234EECE1" w14:textId="77777777" w:rsidR="00C77533" w:rsidRDefault="00C77533" w:rsidP="00C77533">
      <w:r>
        <w:t xml:space="preserve">In fact, in September 2003, London’s emergency services tested their ability to cope with a chemical attack in the underground stations, staging a mass training exercises, concluding that none of the radio communication systems were sufficient to cope with a large scale incident (Casciani, 2011). Thus, this was a key failing of the police to properly prepare themselves for a major incident of this nature, several years after the threat of terrorist attacks became a looming concern after 9/11 in the USA. Furthermore, Casciani (2011) states that emergency services were all using their own ‘jargon’, in which services could not understand what each service needed or what they were doing. This further inconsistency within the services during the London’s bombings may have put even the public in even more danger, as services could not properly communicate what resources they needed from each other. </w:t>
      </w:r>
    </w:p>
    <w:p w14:paraId="25E24869" w14:textId="77777777" w:rsidR="00C77533" w:rsidRDefault="00C77533" w:rsidP="00C77533"/>
    <w:p w14:paraId="7500A15C" w14:textId="77777777" w:rsidR="00C77533" w:rsidRDefault="00C77533" w:rsidP="00C77533">
      <w:r>
        <w:t xml:space="preserve">Since this major incident, a new approach by all multi-agency services and the police has been taken on and adapted in an effort to mitigate further risk and failings to the public. Ensuring that the roles of all emergency services are understood and that the police understand the role appropriately. This is the JESIP emergency procedure, where if all principles of this procedure are followed then there should be an understanding by all parties on an agreed working strategy. This strategy should include several questions, regarding what aims and objectives should be achieved by each service, such as the police, fire and ambulance services. Furthermore, discussion and understanding should be made on the timescales and deadlines each service must abide to as well as what locations. Finally, there should be a mutual understanding of the rationale behind these decisions, ensuring that they are consistent with the aims and objectives of the task and how will they be achieved. This follows a Who, When, Where and Why pattern (JESIP, 2021). As such, learning from past failures and inconsistencies, this procedure should help ensure that the best practice response is given by the police and other services when dealing with an incident. </w:t>
      </w:r>
    </w:p>
    <w:p w14:paraId="343B2F9F" w14:textId="77777777" w:rsidR="00C77533" w:rsidRDefault="00C77533" w:rsidP="00C77533"/>
    <w:p w14:paraId="5D9EC180" w14:textId="77777777" w:rsidR="00C77533" w:rsidRDefault="00C77533" w:rsidP="00C77533">
      <w:r>
        <w:t xml:space="preserve">The response guidelines for best practice within these major incidents are outlined within the interoperability framework of 2016. This framework sets out a key understanding of what every agency the police’s role is within a critical or major incident in order to mitigate any failings or understandings from other agency’s when they are at a live incident for ‘best practice’ to be received. </w:t>
      </w:r>
    </w:p>
    <w:p w14:paraId="2E722411" w14:textId="77777777" w:rsidR="00C77533" w:rsidRDefault="00C77533" w:rsidP="00C77533"/>
    <w:p w14:paraId="6BDE6E79" w14:textId="77777777" w:rsidR="00C77533" w:rsidRDefault="00C77533" w:rsidP="00C77533">
      <w:r>
        <w:t>Early intervention has been shown to ensure a boost in confidence from the public when dealing with a high profile major and critical incident. The murder of Damilola Taylor, a ten-year-old Nigerian schoolboy in London on the 27</w:t>
      </w:r>
      <w:r w:rsidRPr="00CA385F">
        <w:rPr>
          <w:vertAlign w:val="superscript"/>
        </w:rPr>
        <w:t>th</w:t>
      </w:r>
      <w:r>
        <w:t xml:space="preserve"> of November 2000 is considered one of the UK’s most high-profile killings. The subsequent MPs review found that this proactive and preventative approach, as well as early recognition of the case by police, led several senior officers overseeing the investigation from the onset. This intervention was praised by the review, showing how effective police response to this murder could increase trust and confidence of the community and the public in the police (College of Policing, 2021). </w:t>
      </w:r>
    </w:p>
    <w:p w14:paraId="4F41110A" w14:textId="77777777" w:rsidR="00C77533" w:rsidRDefault="00C77533" w:rsidP="00C77533"/>
    <w:p w14:paraId="0E379ADB" w14:textId="77777777" w:rsidR="00C77533" w:rsidRDefault="00C77533" w:rsidP="00C77533">
      <w:r>
        <w:t xml:space="preserve">This essay has discussed the failings and inconsistencies of the police during the London’s bombings has improved police responses to major and critical incidents, as well as what is expected from the </w:t>
      </w:r>
      <w:r>
        <w:lastRenderedPageBreak/>
        <w:t xml:space="preserve">police to ensure that best practice is achieved. The essay critically analysed a major incident where the police have been involved, the London Bombings. This terrorist attack highlighted key inconsistencies and failures of the police service and other emergency services in dealing with major and critical incidents. As a result, changes in how major and critical incidents are managed through the JESIP model and framework that was developed in 2016 in order to manage the risk and response of the police and partner agencies. </w:t>
      </w:r>
    </w:p>
    <w:p w14:paraId="063C7E75" w14:textId="77777777" w:rsidR="00C77533" w:rsidRDefault="00C77533" w:rsidP="00C77533"/>
    <w:p w14:paraId="59CBF923" w14:textId="77777777" w:rsidR="00C77533" w:rsidRDefault="00C77533" w:rsidP="00C77533">
      <w:r>
        <w:t>1049</w:t>
      </w:r>
    </w:p>
    <w:p w14:paraId="56798AE3" w14:textId="77777777" w:rsidR="009B337D" w:rsidRDefault="009B337D" w:rsidP="009B337D">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0FD21A9B" w14:textId="77777777" w:rsidR="009B337D" w:rsidRDefault="009B337D" w:rsidP="009B337D">
      <w:pPr>
        <w:spacing w:after="0" w:line="240" w:lineRule="auto"/>
        <w:ind w:left="426"/>
        <w:rPr>
          <w:rFonts w:ascii="Arial" w:eastAsia="Times New Roman" w:hAnsi="Arial" w:cs="Arial"/>
          <w:b/>
          <w:sz w:val="24"/>
          <w:szCs w:val="24"/>
          <w:lang w:eastAsia="en-GB"/>
        </w:rPr>
      </w:pPr>
    </w:p>
    <w:p w14:paraId="0A53749E" w14:textId="77777777" w:rsidR="009B337D" w:rsidRDefault="009B337D" w:rsidP="009B337D">
      <w:pPr>
        <w:spacing w:after="0" w:line="240" w:lineRule="auto"/>
        <w:ind w:left="426"/>
        <w:jc w:val="center"/>
        <w:rPr>
          <w:rFonts w:ascii="Arial" w:eastAsia="Times New Roman" w:hAnsi="Arial" w:cs="Arial"/>
          <w:b/>
          <w:sz w:val="24"/>
          <w:szCs w:val="24"/>
          <w:lang w:eastAsia="en-GB"/>
        </w:rPr>
      </w:pPr>
    </w:p>
    <w:p w14:paraId="3B6AAF93" w14:textId="77777777" w:rsidR="00C77533" w:rsidRDefault="00C77533" w:rsidP="009B337D">
      <w:pPr>
        <w:spacing w:after="0" w:line="240" w:lineRule="auto"/>
        <w:ind w:left="426"/>
        <w:rPr>
          <w:rFonts w:ascii="Arial" w:eastAsia="Times New Roman" w:hAnsi="Arial" w:cs="Arial"/>
          <w:lang w:eastAsia="en-GB"/>
        </w:rPr>
      </w:pPr>
    </w:p>
    <w:p w14:paraId="1DF90D64" w14:textId="77777777" w:rsidR="00C77533" w:rsidRDefault="00C77533" w:rsidP="009B337D">
      <w:pPr>
        <w:spacing w:after="0" w:line="240" w:lineRule="auto"/>
        <w:ind w:left="426"/>
        <w:rPr>
          <w:rFonts w:ascii="Arial" w:eastAsia="Times New Roman" w:hAnsi="Arial" w:cs="Arial"/>
          <w:lang w:eastAsia="en-GB"/>
        </w:rPr>
      </w:pPr>
    </w:p>
    <w:p w14:paraId="2A07FC21" w14:textId="77777777" w:rsidR="00C77533" w:rsidRDefault="00C77533" w:rsidP="009B337D">
      <w:pPr>
        <w:spacing w:after="0" w:line="240" w:lineRule="auto"/>
        <w:ind w:left="426"/>
        <w:rPr>
          <w:rFonts w:ascii="Arial" w:eastAsia="Times New Roman" w:hAnsi="Arial" w:cs="Arial"/>
          <w:lang w:eastAsia="en-GB"/>
        </w:rPr>
      </w:pPr>
    </w:p>
    <w:p w14:paraId="7E1631AF" w14:textId="77777777" w:rsidR="00C77533" w:rsidRDefault="00C77533" w:rsidP="009B337D">
      <w:pPr>
        <w:spacing w:after="0" w:line="240" w:lineRule="auto"/>
        <w:ind w:left="426"/>
        <w:rPr>
          <w:rFonts w:ascii="Arial" w:eastAsia="Times New Roman" w:hAnsi="Arial" w:cs="Arial"/>
          <w:lang w:eastAsia="en-GB"/>
        </w:rPr>
      </w:pPr>
    </w:p>
    <w:p w14:paraId="3B6892D1" w14:textId="77777777" w:rsidR="00C77533" w:rsidRDefault="00C77533" w:rsidP="009B337D">
      <w:pPr>
        <w:spacing w:after="0" w:line="240" w:lineRule="auto"/>
        <w:ind w:left="426"/>
        <w:rPr>
          <w:rFonts w:ascii="Arial" w:eastAsia="Times New Roman" w:hAnsi="Arial" w:cs="Arial"/>
          <w:lang w:eastAsia="en-GB"/>
        </w:rPr>
      </w:pPr>
    </w:p>
    <w:p w14:paraId="4E6B5E29" w14:textId="77777777" w:rsidR="00C77533" w:rsidRDefault="00C77533" w:rsidP="009B337D">
      <w:pPr>
        <w:spacing w:after="0" w:line="240" w:lineRule="auto"/>
        <w:ind w:left="426"/>
        <w:rPr>
          <w:rFonts w:ascii="Arial" w:eastAsia="Times New Roman" w:hAnsi="Arial" w:cs="Arial"/>
          <w:lang w:eastAsia="en-GB"/>
        </w:rPr>
      </w:pPr>
    </w:p>
    <w:p w14:paraId="3C92A52A" w14:textId="77777777" w:rsidR="00C77533" w:rsidRDefault="00C77533" w:rsidP="009B337D">
      <w:pPr>
        <w:spacing w:after="0" w:line="240" w:lineRule="auto"/>
        <w:ind w:left="426"/>
        <w:rPr>
          <w:rFonts w:ascii="Arial" w:eastAsia="Times New Roman" w:hAnsi="Arial" w:cs="Arial"/>
          <w:lang w:eastAsia="en-GB"/>
        </w:rPr>
      </w:pPr>
    </w:p>
    <w:p w14:paraId="387FD759" w14:textId="77777777" w:rsidR="00C77533" w:rsidRDefault="00C77533" w:rsidP="009B337D">
      <w:pPr>
        <w:spacing w:after="0" w:line="240" w:lineRule="auto"/>
        <w:ind w:left="426"/>
        <w:rPr>
          <w:rFonts w:ascii="Arial" w:eastAsia="Times New Roman" w:hAnsi="Arial" w:cs="Arial"/>
          <w:lang w:eastAsia="en-GB"/>
        </w:rPr>
      </w:pPr>
    </w:p>
    <w:p w14:paraId="7B33E6C9" w14:textId="77777777" w:rsidR="00C77533" w:rsidRDefault="00C77533" w:rsidP="009B337D">
      <w:pPr>
        <w:spacing w:after="0" w:line="240" w:lineRule="auto"/>
        <w:ind w:left="426"/>
        <w:rPr>
          <w:rFonts w:ascii="Arial" w:eastAsia="Times New Roman" w:hAnsi="Arial" w:cs="Arial"/>
          <w:lang w:eastAsia="en-GB"/>
        </w:rPr>
      </w:pPr>
    </w:p>
    <w:p w14:paraId="07011438" w14:textId="77777777" w:rsidR="00C77533" w:rsidRDefault="00C77533" w:rsidP="009B337D">
      <w:pPr>
        <w:spacing w:after="0" w:line="240" w:lineRule="auto"/>
        <w:ind w:left="426"/>
        <w:rPr>
          <w:rFonts w:ascii="Arial" w:eastAsia="Times New Roman" w:hAnsi="Arial" w:cs="Arial"/>
          <w:lang w:eastAsia="en-GB"/>
        </w:rPr>
      </w:pPr>
    </w:p>
    <w:p w14:paraId="4AFBF78A" w14:textId="77777777" w:rsidR="00C77533" w:rsidRDefault="00C77533" w:rsidP="009B337D">
      <w:pPr>
        <w:spacing w:after="0" w:line="240" w:lineRule="auto"/>
        <w:ind w:left="426"/>
        <w:rPr>
          <w:rFonts w:ascii="Arial" w:eastAsia="Times New Roman" w:hAnsi="Arial" w:cs="Arial"/>
          <w:lang w:eastAsia="en-GB"/>
        </w:rPr>
      </w:pPr>
    </w:p>
    <w:p w14:paraId="1D7D88EF" w14:textId="77777777" w:rsidR="00C77533" w:rsidRDefault="00C77533" w:rsidP="009B337D">
      <w:pPr>
        <w:spacing w:after="0" w:line="240" w:lineRule="auto"/>
        <w:ind w:left="426"/>
        <w:rPr>
          <w:rFonts w:ascii="Arial" w:eastAsia="Times New Roman" w:hAnsi="Arial" w:cs="Arial"/>
          <w:lang w:eastAsia="en-GB"/>
        </w:rPr>
      </w:pPr>
    </w:p>
    <w:p w14:paraId="7FDD0E63" w14:textId="77777777" w:rsidR="00C77533" w:rsidRDefault="00C77533" w:rsidP="009B337D">
      <w:pPr>
        <w:spacing w:after="0" w:line="240" w:lineRule="auto"/>
        <w:ind w:left="426"/>
        <w:rPr>
          <w:rFonts w:ascii="Arial" w:eastAsia="Times New Roman" w:hAnsi="Arial" w:cs="Arial"/>
          <w:lang w:eastAsia="en-GB"/>
        </w:rPr>
      </w:pPr>
    </w:p>
    <w:p w14:paraId="1E41D1BC" w14:textId="77777777" w:rsidR="00C77533" w:rsidRDefault="00C77533" w:rsidP="009B337D">
      <w:pPr>
        <w:spacing w:after="0" w:line="240" w:lineRule="auto"/>
        <w:ind w:left="426"/>
        <w:rPr>
          <w:rFonts w:ascii="Arial" w:eastAsia="Times New Roman" w:hAnsi="Arial" w:cs="Arial"/>
          <w:lang w:eastAsia="en-GB"/>
        </w:rPr>
      </w:pPr>
    </w:p>
    <w:p w14:paraId="54875D89" w14:textId="77777777" w:rsidR="00C77533" w:rsidRDefault="00C77533" w:rsidP="009B337D">
      <w:pPr>
        <w:spacing w:after="0" w:line="240" w:lineRule="auto"/>
        <w:ind w:left="426"/>
        <w:rPr>
          <w:rFonts w:ascii="Arial" w:eastAsia="Times New Roman" w:hAnsi="Arial" w:cs="Arial"/>
          <w:lang w:eastAsia="en-GB"/>
        </w:rPr>
      </w:pPr>
    </w:p>
    <w:p w14:paraId="1F80E778" w14:textId="77777777" w:rsidR="00C77533" w:rsidRDefault="00C77533" w:rsidP="009B337D">
      <w:pPr>
        <w:spacing w:after="0" w:line="240" w:lineRule="auto"/>
        <w:ind w:left="426"/>
        <w:rPr>
          <w:rFonts w:ascii="Arial" w:eastAsia="Times New Roman" w:hAnsi="Arial" w:cs="Arial"/>
          <w:lang w:eastAsia="en-GB"/>
        </w:rPr>
      </w:pPr>
    </w:p>
    <w:p w14:paraId="4708A702" w14:textId="77777777" w:rsidR="00C77533" w:rsidRDefault="00C77533" w:rsidP="009B337D">
      <w:pPr>
        <w:spacing w:after="0" w:line="240" w:lineRule="auto"/>
        <w:ind w:left="426"/>
        <w:rPr>
          <w:rFonts w:ascii="Arial" w:eastAsia="Times New Roman" w:hAnsi="Arial" w:cs="Arial"/>
          <w:lang w:eastAsia="en-GB"/>
        </w:rPr>
      </w:pPr>
    </w:p>
    <w:p w14:paraId="235EA7F7" w14:textId="77777777" w:rsidR="00C77533" w:rsidRDefault="00C77533" w:rsidP="009B337D">
      <w:pPr>
        <w:spacing w:after="0" w:line="240" w:lineRule="auto"/>
        <w:ind w:left="426"/>
        <w:rPr>
          <w:rFonts w:ascii="Arial" w:eastAsia="Times New Roman" w:hAnsi="Arial" w:cs="Arial"/>
          <w:lang w:eastAsia="en-GB"/>
        </w:rPr>
      </w:pPr>
    </w:p>
    <w:p w14:paraId="1DA53486" w14:textId="77777777" w:rsidR="00C77533" w:rsidRDefault="00C77533" w:rsidP="009B337D">
      <w:pPr>
        <w:spacing w:after="0" w:line="240" w:lineRule="auto"/>
        <w:ind w:left="426"/>
        <w:rPr>
          <w:rFonts w:ascii="Arial" w:eastAsia="Times New Roman" w:hAnsi="Arial" w:cs="Arial"/>
          <w:lang w:eastAsia="en-GB"/>
        </w:rPr>
      </w:pPr>
    </w:p>
    <w:p w14:paraId="5DCDF751" w14:textId="77777777" w:rsidR="00C77533" w:rsidRDefault="00C77533" w:rsidP="009B337D">
      <w:pPr>
        <w:spacing w:after="0" w:line="240" w:lineRule="auto"/>
        <w:ind w:left="426"/>
        <w:rPr>
          <w:rFonts w:ascii="Arial" w:eastAsia="Times New Roman" w:hAnsi="Arial" w:cs="Arial"/>
          <w:lang w:eastAsia="en-GB"/>
        </w:rPr>
      </w:pPr>
    </w:p>
    <w:p w14:paraId="2812B725" w14:textId="77777777" w:rsidR="00C77533" w:rsidRDefault="00C77533" w:rsidP="009B337D">
      <w:pPr>
        <w:spacing w:after="0" w:line="240" w:lineRule="auto"/>
        <w:ind w:left="426"/>
        <w:rPr>
          <w:rFonts w:ascii="Arial" w:eastAsia="Times New Roman" w:hAnsi="Arial" w:cs="Arial"/>
          <w:lang w:eastAsia="en-GB"/>
        </w:rPr>
      </w:pPr>
    </w:p>
    <w:p w14:paraId="788EC9FF" w14:textId="77777777" w:rsidR="00C77533" w:rsidRDefault="00C77533" w:rsidP="009B337D">
      <w:pPr>
        <w:spacing w:after="0" w:line="240" w:lineRule="auto"/>
        <w:ind w:left="426"/>
        <w:rPr>
          <w:rFonts w:ascii="Arial" w:eastAsia="Times New Roman" w:hAnsi="Arial" w:cs="Arial"/>
          <w:lang w:eastAsia="en-GB"/>
        </w:rPr>
      </w:pPr>
    </w:p>
    <w:p w14:paraId="1C80E491" w14:textId="77777777" w:rsidR="00C77533" w:rsidRDefault="00C77533" w:rsidP="009B337D">
      <w:pPr>
        <w:spacing w:after="0" w:line="240" w:lineRule="auto"/>
        <w:ind w:left="426"/>
        <w:rPr>
          <w:rFonts w:ascii="Arial" w:eastAsia="Times New Roman" w:hAnsi="Arial" w:cs="Arial"/>
          <w:lang w:eastAsia="en-GB"/>
        </w:rPr>
      </w:pPr>
    </w:p>
    <w:p w14:paraId="3B2FE428" w14:textId="77777777" w:rsidR="00C77533" w:rsidRDefault="00C77533" w:rsidP="009B337D">
      <w:pPr>
        <w:spacing w:after="0" w:line="240" w:lineRule="auto"/>
        <w:ind w:left="426"/>
        <w:rPr>
          <w:rFonts w:ascii="Arial" w:eastAsia="Times New Roman" w:hAnsi="Arial" w:cs="Arial"/>
          <w:lang w:eastAsia="en-GB"/>
        </w:rPr>
      </w:pPr>
    </w:p>
    <w:p w14:paraId="2B0BC00B" w14:textId="77777777" w:rsidR="00C77533" w:rsidRDefault="00C77533" w:rsidP="009B337D">
      <w:pPr>
        <w:spacing w:after="0" w:line="240" w:lineRule="auto"/>
        <w:ind w:left="426"/>
        <w:rPr>
          <w:rFonts w:ascii="Arial" w:eastAsia="Times New Roman" w:hAnsi="Arial" w:cs="Arial"/>
          <w:lang w:eastAsia="en-GB"/>
        </w:rPr>
      </w:pPr>
    </w:p>
    <w:p w14:paraId="4A56DF30" w14:textId="77777777" w:rsidR="00C77533" w:rsidRDefault="00C77533" w:rsidP="009B337D">
      <w:pPr>
        <w:spacing w:after="0" w:line="240" w:lineRule="auto"/>
        <w:ind w:left="426"/>
        <w:rPr>
          <w:rFonts w:ascii="Arial" w:eastAsia="Times New Roman" w:hAnsi="Arial" w:cs="Arial"/>
          <w:lang w:eastAsia="en-GB"/>
        </w:rPr>
      </w:pPr>
    </w:p>
    <w:p w14:paraId="4DB401A3" w14:textId="77777777" w:rsidR="00C77533" w:rsidRDefault="00C77533" w:rsidP="009B337D">
      <w:pPr>
        <w:spacing w:after="0" w:line="240" w:lineRule="auto"/>
        <w:ind w:left="426"/>
        <w:rPr>
          <w:rFonts w:ascii="Arial" w:eastAsia="Times New Roman" w:hAnsi="Arial" w:cs="Arial"/>
          <w:lang w:eastAsia="en-GB"/>
        </w:rPr>
      </w:pPr>
    </w:p>
    <w:p w14:paraId="2532E167" w14:textId="77777777" w:rsidR="00C77533" w:rsidRDefault="00C77533" w:rsidP="009B337D">
      <w:pPr>
        <w:spacing w:after="0" w:line="240" w:lineRule="auto"/>
        <w:ind w:left="426"/>
        <w:rPr>
          <w:rFonts w:ascii="Arial" w:eastAsia="Times New Roman" w:hAnsi="Arial" w:cs="Arial"/>
          <w:lang w:eastAsia="en-GB"/>
        </w:rPr>
      </w:pPr>
    </w:p>
    <w:p w14:paraId="47ED2A0F" w14:textId="77777777" w:rsidR="00C77533" w:rsidRDefault="00C77533" w:rsidP="009B337D">
      <w:pPr>
        <w:spacing w:after="0" w:line="240" w:lineRule="auto"/>
        <w:ind w:left="426"/>
        <w:rPr>
          <w:rFonts w:ascii="Arial" w:eastAsia="Times New Roman" w:hAnsi="Arial" w:cs="Arial"/>
          <w:lang w:eastAsia="en-GB"/>
        </w:rPr>
      </w:pPr>
    </w:p>
    <w:p w14:paraId="13E3DEAC" w14:textId="77777777" w:rsidR="00C77533" w:rsidRDefault="00C77533" w:rsidP="009B337D">
      <w:pPr>
        <w:spacing w:after="0" w:line="240" w:lineRule="auto"/>
        <w:ind w:left="426"/>
        <w:rPr>
          <w:rFonts w:ascii="Arial" w:eastAsia="Times New Roman" w:hAnsi="Arial" w:cs="Arial"/>
          <w:lang w:eastAsia="en-GB"/>
        </w:rPr>
      </w:pPr>
    </w:p>
    <w:p w14:paraId="285B78C4" w14:textId="77777777" w:rsidR="00C77533" w:rsidRDefault="00C77533" w:rsidP="009B337D">
      <w:pPr>
        <w:spacing w:after="0" w:line="240" w:lineRule="auto"/>
        <w:ind w:left="426"/>
        <w:rPr>
          <w:rFonts w:ascii="Arial" w:eastAsia="Times New Roman" w:hAnsi="Arial" w:cs="Arial"/>
          <w:lang w:eastAsia="en-GB"/>
        </w:rPr>
      </w:pPr>
    </w:p>
    <w:p w14:paraId="7AD1C0DC" w14:textId="77777777" w:rsidR="00C77533" w:rsidRDefault="00C77533" w:rsidP="009B337D">
      <w:pPr>
        <w:spacing w:after="0" w:line="240" w:lineRule="auto"/>
        <w:ind w:left="426"/>
        <w:rPr>
          <w:rFonts w:ascii="Arial" w:eastAsia="Times New Roman" w:hAnsi="Arial" w:cs="Arial"/>
          <w:lang w:eastAsia="en-GB"/>
        </w:rPr>
      </w:pPr>
    </w:p>
    <w:p w14:paraId="539A9CB0" w14:textId="77777777" w:rsidR="00C77533" w:rsidRDefault="00C77533" w:rsidP="009B337D">
      <w:pPr>
        <w:spacing w:after="0" w:line="240" w:lineRule="auto"/>
        <w:ind w:left="426"/>
        <w:rPr>
          <w:rFonts w:ascii="Arial" w:eastAsia="Times New Roman" w:hAnsi="Arial" w:cs="Arial"/>
          <w:lang w:eastAsia="en-GB"/>
        </w:rPr>
      </w:pPr>
    </w:p>
    <w:p w14:paraId="77710079" w14:textId="77777777" w:rsidR="00C77533" w:rsidRDefault="00C77533" w:rsidP="009B337D">
      <w:pPr>
        <w:spacing w:after="0" w:line="240" w:lineRule="auto"/>
        <w:ind w:left="426"/>
        <w:rPr>
          <w:rFonts w:ascii="Arial" w:eastAsia="Times New Roman" w:hAnsi="Arial" w:cs="Arial"/>
          <w:lang w:eastAsia="en-GB"/>
        </w:rPr>
      </w:pPr>
    </w:p>
    <w:p w14:paraId="46922E63" w14:textId="77777777" w:rsidR="00C77533" w:rsidRDefault="00C77533" w:rsidP="009B337D">
      <w:pPr>
        <w:spacing w:after="0" w:line="240" w:lineRule="auto"/>
        <w:ind w:left="426"/>
        <w:rPr>
          <w:rFonts w:ascii="Arial" w:eastAsia="Times New Roman" w:hAnsi="Arial" w:cs="Arial"/>
          <w:lang w:eastAsia="en-GB"/>
        </w:rPr>
      </w:pPr>
    </w:p>
    <w:p w14:paraId="363B49A8" w14:textId="77777777" w:rsidR="00C77533" w:rsidRDefault="00C77533" w:rsidP="009B337D">
      <w:pPr>
        <w:spacing w:after="0" w:line="240" w:lineRule="auto"/>
        <w:ind w:left="426"/>
        <w:rPr>
          <w:rFonts w:ascii="Arial" w:eastAsia="Times New Roman" w:hAnsi="Arial" w:cs="Arial"/>
          <w:lang w:eastAsia="en-GB"/>
        </w:rPr>
      </w:pPr>
    </w:p>
    <w:p w14:paraId="6BEF4BB8" w14:textId="77777777" w:rsidR="00C77533" w:rsidRDefault="00C77533" w:rsidP="009B337D">
      <w:pPr>
        <w:spacing w:after="0" w:line="240" w:lineRule="auto"/>
        <w:ind w:left="426"/>
        <w:rPr>
          <w:rFonts w:ascii="Arial" w:eastAsia="Times New Roman" w:hAnsi="Arial" w:cs="Arial"/>
          <w:lang w:eastAsia="en-GB"/>
        </w:rPr>
      </w:pPr>
    </w:p>
    <w:p w14:paraId="58E555E3" w14:textId="77777777" w:rsidR="00C77533" w:rsidRDefault="00C77533" w:rsidP="009B337D">
      <w:pPr>
        <w:spacing w:after="0" w:line="240" w:lineRule="auto"/>
        <w:ind w:left="426"/>
        <w:rPr>
          <w:rFonts w:ascii="Arial" w:eastAsia="Times New Roman" w:hAnsi="Arial" w:cs="Arial"/>
          <w:lang w:eastAsia="en-GB"/>
        </w:rPr>
      </w:pPr>
    </w:p>
    <w:p w14:paraId="780637F1" w14:textId="77777777" w:rsidR="00C77533" w:rsidRDefault="00C77533" w:rsidP="009B337D">
      <w:pPr>
        <w:spacing w:after="0" w:line="240" w:lineRule="auto"/>
        <w:ind w:left="426"/>
        <w:rPr>
          <w:rFonts w:ascii="Arial" w:eastAsia="Times New Roman" w:hAnsi="Arial" w:cs="Arial"/>
          <w:lang w:eastAsia="en-GB"/>
        </w:rPr>
      </w:pPr>
    </w:p>
    <w:p w14:paraId="239A6C8D" w14:textId="77777777" w:rsidR="00C77533" w:rsidRDefault="00C77533" w:rsidP="009B337D">
      <w:pPr>
        <w:spacing w:after="0" w:line="240" w:lineRule="auto"/>
        <w:ind w:left="426"/>
        <w:rPr>
          <w:rFonts w:ascii="Arial" w:eastAsia="Times New Roman" w:hAnsi="Arial" w:cs="Arial"/>
          <w:lang w:eastAsia="en-GB"/>
        </w:rPr>
      </w:pPr>
    </w:p>
    <w:p w14:paraId="086577DD" w14:textId="77777777" w:rsidR="00C77533" w:rsidRDefault="00C77533" w:rsidP="009B337D">
      <w:pPr>
        <w:spacing w:after="0" w:line="240" w:lineRule="auto"/>
        <w:ind w:left="426"/>
        <w:rPr>
          <w:rFonts w:ascii="Arial" w:eastAsia="Times New Roman" w:hAnsi="Arial" w:cs="Arial"/>
          <w:lang w:eastAsia="en-GB"/>
        </w:rPr>
      </w:pPr>
    </w:p>
    <w:p w14:paraId="3EAD8FBD" w14:textId="76432168" w:rsidR="009B337D" w:rsidRDefault="009B337D" w:rsidP="009B337D">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2370244C" w14:textId="77777777" w:rsidR="009B337D" w:rsidRDefault="009B337D" w:rsidP="009B337D">
      <w:pPr>
        <w:spacing w:after="0" w:line="240" w:lineRule="auto"/>
        <w:ind w:left="426"/>
        <w:rPr>
          <w:rFonts w:ascii="Arial" w:eastAsia="Times New Roman" w:hAnsi="Arial" w:cs="Arial"/>
          <w:b/>
          <w:sz w:val="24"/>
          <w:szCs w:val="24"/>
          <w:lang w:eastAsia="en-GB"/>
        </w:rPr>
      </w:pPr>
    </w:p>
    <w:p w14:paraId="202D3AE6" w14:textId="77777777" w:rsidR="009B337D" w:rsidRDefault="009B337D" w:rsidP="009B337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9178EA">
        <w:rPr>
          <w:rFonts w:ascii="Arial" w:eastAsia="Times New Roman" w:hAnsi="Arial" w:cs="Arial"/>
          <w:lang w:eastAsia="en-GB"/>
        </w:rPr>
        <w:t>Analyse the potential links between terrorism and other forms of criminality and discuss how polic</w:t>
      </w:r>
      <w:r>
        <w:rPr>
          <w:rFonts w:ascii="Arial" w:eastAsia="Times New Roman" w:hAnsi="Arial" w:cs="Arial"/>
          <w:lang w:eastAsia="en-GB"/>
        </w:rPr>
        <w:t>ing</w:t>
      </w:r>
      <w:r w:rsidRPr="009178EA">
        <w:rPr>
          <w:rFonts w:ascii="Arial" w:eastAsia="Times New Roman" w:hAnsi="Arial" w:cs="Arial"/>
          <w:lang w:eastAsia="en-GB"/>
        </w:rPr>
        <w:t xml:space="preserve"> the roads assist in counter terrorism investigation</w:t>
      </w:r>
      <w:r>
        <w:rPr>
          <w:rFonts w:ascii="Arial" w:eastAsia="Times New Roman" w:hAnsi="Arial" w:cs="Arial"/>
          <w:lang w:eastAsia="en-GB"/>
        </w:rPr>
        <w:t>.</w:t>
      </w:r>
    </w:p>
    <w:p w14:paraId="02394161" w14:textId="77777777" w:rsidR="00002D66" w:rsidRDefault="00002D66" w:rsidP="009B337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22810EE6" w14:textId="77777777" w:rsidR="00C77533" w:rsidRDefault="00C77533" w:rsidP="00C77533">
      <w:r>
        <w:t>This essay will discuss the challenges of operational policing in major and critical incidents alongside the role of police within a joint emergency services operation to establish ‘best practice’. The focus of this essay will be on terrorist attacks which have occurred at an increased rate throughout the 2000’s and 2010’s. Furthermore, discussion surrounding the funding of these terrorist organisations will be put forward, alongside how police can combat this criminality through technology and public awareness, in a joint effort with other emergency services.</w:t>
      </w:r>
    </w:p>
    <w:p w14:paraId="4C2557F5" w14:textId="77777777" w:rsidR="00C77533" w:rsidRDefault="00C77533" w:rsidP="00C77533"/>
    <w:p w14:paraId="4FAC3A01" w14:textId="77777777" w:rsidR="00C77533" w:rsidRDefault="00C77533" w:rsidP="00C77533">
      <w:r>
        <w:t xml:space="preserve">According to the Council of Europe (2021), funding for terrorist organisations are key in order for them to gain their resources to conduct attacks. This may be funding to gain documents to access countries, build intelligence, buy weapons and to recruit. Thus, criminality is a key factor for terror groups to fund their activities. The sources for this funding can vary greatly. Funding may originate from illegal activities, such as low-scale criminality or organised crime involving the trafficking of drugs, weapons and humans. Or, the funds may be legitimate, provided for by members, or even the abuse of non-profit organisations. The FATF recently found new funding techniques in regard to Da’esh, known as the ‘Islamic State’, which could be more inherent for a state. These techniques may be the exploitation of natural resources such as gas and oil, or levering taxes. Majority of this criminality however is being conducted by the use of road networks. </w:t>
      </w:r>
    </w:p>
    <w:p w14:paraId="1D3A16B3" w14:textId="77777777" w:rsidR="00C77533" w:rsidRDefault="00C77533" w:rsidP="00C77533"/>
    <w:p w14:paraId="58859ECD" w14:textId="77777777" w:rsidR="00C77533" w:rsidRDefault="00C77533" w:rsidP="00C77533">
      <w:r>
        <w:t>The police, as well as other services, must have a solid understanding of the evolution of terrorist organisations conducting organised crime to fund their movement to tackle said organisations. Makerenko (2010) discussed that organised crime is a major source of funding and has been an influencing factor on its evolution since the emergence of narco-terrorism from Latin America in the 1980s. Thus, in the 1990s, the changing nature of terrorism, as well as the rise of organised crime, has meant that the two forms of criminality had started to reveal similarities in their organisations and how they operate, meaning that the crime-terror nexus was consolidated. As a result, much of this crime-terror is conducted through the use of transportation networks, such as the roads</w:t>
      </w:r>
    </w:p>
    <w:p w14:paraId="192A0D25" w14:textId="77777777" w:rsidR="00C77533" w:rsidRDefault="00C77533" w:rsidP="00C77533"/>
    <w:p w14:paraId="7D4702C7" w14:textId="77777777" w:rsidR="00C77533" w:rsidRDefault="00C77533" w:rsidP="00C77533">
      <w:r>
        <w:t xml:space="preserve">Thus, policing the roads is key to disrupting criminal organisations through building intelligence. Roads policing units are expected to conduct a number of activities to gather and share information to support evidence-based preventative policing, which is mainly conducted through searching individuals and vehicles (College of Policing, 2021). One key attribute towards building this intelligence is that all police officers have the power to stop any vehicle under section 163 of the road traffic act. This allows effective policing of the roads, checking any vehicle without suspicion or authorisation, and thus can support the gathering and sharing of intelligence to support preventative policing (Bryant and Bryant, 2020). Through checking the documents of drivers and passengers, police are able to gather intelligence on individuals, their movement, who they’re </w:t>
      </w:r>
      <w:r>
        <w:lastRenderedPageBreak/>
        <w:t>travelling with and if there are any suspected links to known associates that conduct criminal offences. Thus, this is an important resource in tackling terrorist-related criminality.</w:t>
      </w:r>
    </w:p>
    <w:p w14:paraId="2842914B" w14:textId="77777777" w:rsidR="00C77533" w:rsidRDefault="00C77533" w:rsidP="00C77533"/>
    <w:p w14:paraId="1CCCAD9C" w14:textId="77777777" w:rsidR="00C77533" w:rsidRDefault="00C77533" w:rsidP="00C77533">
      <w:r>
        <w:t>The powers of Section 163 act, alongside ANPR cameras giving live updates on vehicle locations and movements around the road networks, allows officers to work together to target individuals suspected of terrorism. For instance, ANPR cameras read registration numbers and instantly check them on a database which records vehicles of interest. This becomes a powerful tool for officers to allow them to intercept and stop a vehicle, check for evidence and make arrests when necessary. This technology can disrupt criminals, terrorists and organised crime groups on many levels, including local, force, regional and national (police.uk, 2021).</w:t>
      </w:r>
    </w:p>
    <w:p w14:paraId="732CF876" w14:textId="77777777" w:rsidR="00C77533" w:rsidRDefault="00C77533" w:rsidP="00C77533"/>
    <w:p w14:paraId="1F44A8F3" w14:textId="77777777" w:rsidR="00C77533" w:rsidRDefault="00C77533" w:rsidP="00C77533">
      <w:r>
        <w:t xml:space="preserve">Building intelligence through routinely stopping vehicles on the occupants and movements is key. This is done through an intelligence report, which is used to manage the dissemination of intelligence through the submission and evaluation of information. This ensures there is a standard or reporting information, which allows the protection of the source and promote an audit trail of intelligence. This standardisation also promotes confidence in the sharing of intelligence through organisations to build a case (College of Policing). </w:t>
      </w:r>
    </w:p>
    <w:p w14:paraId="28124347" w14:textId="77777777" w:rsidR="00C77533" w:rsidRDefault="00C77533" w:rsidP="00C77533"/>
    <w:p w14:paraId="5FABBBD4" w14:textId="77777777" w:rsidR="00C77533" w:rsidRDefault="00C77533" w:rsidP="00C77533">
      <w:r>
        <w:t xml:space="preserve">Not only do terrorist utilise the road networks to conduct criminality to fund their organisations, they also utilise them to conduct attacks on the public. This was seen in the Nice, 2016 terrorist attack whereby a Cargo truck drove into a crowd of people celebrating bastille day, killing 84 and injuring many more. A witnesses told the BBC that the truck was driving erratically moments before the attack, a couple of streets away from the promenade where the attack occurred (BBC, 2016). Although the attacker was unknown to the authorities before the attack, meaning preventative measures could not be put in place, the reporting of this erratic behaviour on the day of Bastille celebrations to the appropriate authorities, this may have resulted in less causalities or none at all. This also shows that the public play a key part in effective policing, which points towards a need for public education surrounding suspicious activity and who to contact. </w:t>
      </w:r>
    </w:p>
    <w:p w14:paraId="5A51A754" w14:textId="77777777" w:rsidR="00C77533" w:rsidRDefault="00C77533" w:rsidP="00C77533"/>
    <w:p w14:paraId="098D3043" w14:textId="77777777" w:rsidR="00C77533" w:rsidRDefault="00C77533" w:rsidP="00C77533">
      <w:r>
        <w:t xml:space="preserve">This essay has discussed the means that terrorist organisations use to fund their criminality, typically through other forms of crime. Explanations on how road networks are used to conduct this criminality have been offered, such as travelling around the country, as well as the importance of roads policing units in stopping and checking vehicles to disrupt criminality. Furthermore, discussion alongside how road policing is key to build intelligence against terrorism and criminality can combat against terrorism, as well as the public’s role in this. </w:t>
      </w:r>
    </w:p>
    <w:p w14:paraId="08813FA7" w14:textId="77777777" w:rsidR="00C77533" w:rsidRDefault="00C77533" w:rsidP="00C77533"/>
    <w:p w14:paraId="61739DD1" w14:textId="77777777" w:rsidR="00C77533" w:rsidRDefault="00C77533" w:rsidP="00C77533">
      <w:r>
        <w:t xml:space="preserve">Word count: </w:t>
      </w:r>
    </w:p>
    <w:p w14:paraId="2B7A44F3" w14:textId="77777777" w:rsidR="00C77533" w:rsidRDefault="00C77533" w:rsidP="00C77533"/>
    <w:p w14:paraId="0CB3F8F2" w14:textId="77777777" w:rsidR="00C77533" w:rsidRDefault="00C77533" w:rsidP="00C77533">
      <w:r>
        <w:t>930</w:t>
      </w:r>
    </w:p>
    <w:p w14:paraId="6F620725" w14:textId="77777777" w:rsidR="00C77533" w:rsidRDefault="00C77533" w:rsidP="00C77533"/>
    <w:p w14:paraId="1EB90F3A" w14:textId="77777777" w:rsidR="00C77533" w:rsidRDefault="00C77533" w:rsidP="00C77533"/>
    <w:p w14:paraId="5EA23DD7" w14:textId="77777777" w:rsidR="009B337D" w:rsidRDefault="009B337D" w:rsidP="009B337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112B4F2E" w14:textId="77777777" w:rsidR="009B337D" w:rsidRDefault="009B337D" w:rsidP="009B337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 xml:space="preserve">Bibliography </w:t>
      </w:r>
    </w:p>
    <w:p w14:paraId="458944AB" w14:textId="77777777" w:rsidR="009B337D" w:rsidRDefault="009B337D" w:rsidP="009B337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03F2B59D" w14:textId="2B1D12BF" w:rsidR="00C77533" w:rsidRDefault="00C77533" w:rsidP="00C77533">
      <w:r w:rsidRPr="00CA385F">
        <w:t>Alach, Zhivan (2011) </w:t>
      </w:r>
      <w:r w:rsidRPr="00CA385F">
        <w:rPr>
          <w:i/>
          <w:iCs/>
        </w:rPr>
        <w:t>The Emperor is Still Naked: How Intelligence-Led Policing Has Repackaged Common Sense as Transcendental Truth</w:t>
      </w:r>
      <w:r w:rsidRPr="00CA385F">
        <w:t>, 84 edn., London, England: SAGE Publications.</w:t>
      </w:r>
    </w:p>
    <w:p w14:paraId="1564EA47" w14:textId="1120212D" w:rsidR="00C77533" w:rsidRDefault="00C77533" w:rsidP="00C77533">
      <w:r>
        <w:t xml:space="preserve">BBC, 2016. ‘Nice attack: What we know about the Bastille Day killings’, </w:t>
      </w:r>
      <w:r>
        <w:rPr>
          <w:i/>
          <w:iCs/>
        </w:rPr>
        <w:t>BBC</w:t>
      </w:r>
      <w:r>
        <w:t>, 19</w:t>
      </w:r>
      <w:r w:rsidRPr="00CA385F">
        <w:rPr>
          <w:vertAlign w:val="superscript"/>
        </w:rPr>
        <w:t>th</w:t>
      </w:r>
      <w:r>
        <w:t xml:space="preserve"> August. Accessed 07/06/2021</w:t>
      </w:r>
    </w:p>
    <w:p w14:paraId="2E0ACBC3" w14:textId="57DBECED" w:rsidR="00C77533" w:rsidRDefault="00C77533" w:rsidP="00C77533">
      <w:r>
        <w:t xml:space="preserve">BBC, 1998. ‘What is Zero Tolerance’, </w:t>
      </w:r>
      <w:r>
        <w:rPr>
          <w:i/>
          <w:iCs/>
        </w:rPr>
        <w:t xml:space="preserve">BBC, </w:t>
      </w:r>
      <w:r>
        <w:t>September 28</w:t>
      </w:r>
      <w:r w:rsidRPr="00CA385F">
        <w:rPr>
          <w:vertAlign w:val="superscript"/>
        </w:rPr>
        <w:t>th</w:t>
      </w:r>
      <w:r>
        <w:t>. Accessed 20/5/2021</w:t>
      </w:r>
    </w:p>
    <w:p w14:paraId="00E176A9" w14:textId="3EEC0108" w:rsidR="00C77533" w:rsidRPr="00C77533" w:rsidRDefault="00C77533" w:rsidP="00C77533">
      <w:r>
        <w:t xml:space="preserve">Braga, A., &amp; Weisburd, D., 2010. </w:t>
      </w:r>
      <w:r w:rsidRPr="00CA385F">
        <w:rPr>
          <w:i/>
          <w:iCs/>
        </w:rPr>
        <w:t>Crime hot spots and effective prevention </w:t>
      </w:r>
      <w:r w:rsidRPr="00CA385F">
        <w:t>, New York: Oxford university press.</w:t>
      </w:r>
      <w:r>
        <w:br/>
      </w:r>
      <w:r w:rsidRPr="00C77533">
        <w:br/>
        <w:t>Bryant, R., &amp; Bryant, S., (2020) </w:t>
      </w:r>
      <w:r w:rsidRPr="00C77533">
        <w:rPr>
          <w:i/>
          <w:iCs/>
        </w:rPr>
        <w:t>Black stone's handbook for policing students</w:t>
      </w:r>
      <w:r w:rsidRPr="00C77533">
        <w:t>, Lond</w:t>
      </w:r>
      <w:r>
        <w:t>o</w:t>
      </w:r>
      <w:r w:rsidRPr="00C77533">
        <w:t>n: oxford university press.</w:t>
      </w:r>
    </w:p>
    <w:p w14:paraId="685A92F4" w14:textId="27E2EA13" w:rsidR="00C77533" w:rsidRDefault="00C77533" w:rsidP="00C77533">
      <w:r>
        <w:t xml:space="preserve">Casciani, D., 2011. ‘How well did the 7/7 emergency services respond?’, </w:t>
      </w:r>
      <w:r>
        <w:rPr>
          <w:i/>
          <w:iCs/>
        </w:rPr>
        <w:t xml:space="preserve">BBC, </w:t>
      </w:r>
      <w:r>
        <w:t>3</w:t>
      </w:r>
      <w:r w:rsidRPr="00CA385F">
        <w:rPr>
          <w:vertAlign w:val="superscript"/>
        </w:rPr>
        <w:t>rd</w:t>
      </w:r>
      <w:r>
        <w:t xml:space="preserve"> March. Accessed 20/05/2021</w:t>
      </w:r>
    </w:p>
    <w:p w14:paraId="31855696" w14:textId="77777777" w:rsidR="00C77533" w:rsidRPr="00CA385F" w:rsidRDefault="00C77533" w:rsidP="00C77533">
      <w:pPr>
        <w:spacing w:after="0" w:line="240" w:lineRule="auto"/>
      </w:pPr>
      <w:r>
        <w:t>C</w:t>
      </w:r>
      <w:r w:rsidRPr="00CA385F">
        <w:t xml:space="preserve">ouncil of </w:t>
      </w:r>
      <w:r>
        <w:t>E</w:t>
      </w:r>
      <w:r w:rsidRPr="00CA385F">
        <w:t>urope (2019) </w:t>
      </w:r>
      <w:r w:rsidRPr="00CA385F">
        <w:rPr>
          <w:i/>
          <w:iCs/>
        </w:rPr>
        <w:t>Financing of terrorism, </w:t>
      </w:r>
      <w:r w:rsidRPr="00CA385F">
        <w:t>Available at: </w:t>
      </w:r>
      <w:hyperlink r:id="rId8" w:history="1">
        <w:r w:rsidRPr="00CA385F">
          <w:rPr>
            <w:rStyle w:val="Hyperlink"/>
            <w:i/>
            <w:iCs/>
          </w:rPr>
          <w:t>https://www.coe.int/en/web/moneyval/implementation/financing-terrorism</w:t>
        </w:r>
      </w:hyperlink>
      <w:r w:rsidRPr="00CA385F">
        <w:t> </w:t>
      </w:r>
    </w:p>
    <w:p w14:paraId="473AB02C" w14:textId="4E2D4561" w:rsidR="00C77533" w:rsidRDefault="00C77533" w:rsidP="00C77533">
      <w:pPr>
        <w:spacing w:after="0" w:line="240" w:lineRule="auto"/>
      </w:pPr>
      <w:r w:rsidRPr="00CA385F">
        <w:t>(Accessed: 7th June 2021).</w:t>
      </w:r>
      <w:r>
        <w:br/>
      </w:r>
    </w:p>
    <w:p w14:paraId="7F341245" w14:textId="4C61FE40" w:rsidR="00C77533" w:rsidRDefault="00C77533" w:rsidP="00C77533">
      <w:r>
        <w:t>C</w:t>
      </w:r>
      <w:r w:rsidRPr="00CA385F">
        <w:t xml:space="preserve">ollege of </w:t>
      </w:r>
      <w:r>
        <w:t>P</w:t>
      </w:r>
      <w:r w:rsidRPr="00CA385F">
        <w:t>olicing (23 October 2013 ) </w:t>
      </w:r>
      <w:r w:rsidRPr="00CA385F">
        <w:rPr>
          <w:i/>
          <w:iCs/>
        </w:rPr>
        <w:t>Engagement and communication Engagement, </w:t>
      </w:r>
      <w:r w:rsidRPr="00CA385F">
        <w:t>Available at: </w:t>
      </w:r>
      <w:r w:rsidRPr="00CA385F">
        <w:rPr>
          <w:i/>
          <w:iCs/>
          <w:u w:val="single"/>
        </w:rPr>
        <w:t>https://www.app.college.police.uk/app-content/engagement-and-communication/engaging-with-communities/</w:t>
      </w:r>
      <w:r w:rsidRPr="00CA385F">
        <w:t> (Accessed: 20/05/2020).</w:t>
      </w:r>
    </w:p>
    <w:p w14:paraId="6663AC72" w14:textId="6365BAC1" w:rsidR="00C77533" w:rsidRDefault="00C77533" w:rsidP="00C77533">
      <w:pPr>
        <w:spacing w:after="0" w:line="240" w:lineRule="auto"/>
      </w:pPr>
      <w:r w:rsidRPr="00CA385F">
        <w:br/>
      </w:r>
      <w:r>
        <w:t>C</w:t>
      </w:r>
      <w:r w:rsidRPr="00CA385F">
        <w:t xml:space="preserve">ollege of </w:t>
      </w:r>
      <w:r>
        <w:t>P</w:t>
      </w:r>
      <w:r w:rsidRPr="00CA385F">
        <w:t>olicing (2019) </w:t>
      </w:r>
      <w:r w:rsidRPr="00CA385F">
        <w:rPr>
          <w:i/>
          <w:iCs/>
        </w:rPr>
        <w:t>Intelligence report, </w:t>
      </w:r>
      <w:r w:rsidRPr="00CA385F">
        <w:t>Available at: </w:t>
      </w:r>
      <w:r w:rsidRPr="00CA385F">
        <w:rPr>
          <w:i/>
          <w:iCs/>
          <w:u w:val="single"/>
        </w:rPr>
        <w:t>https://www.app.college.police.uk/app-content/intelligence-management/intelligence-report/</w:t>
      </w:r>
      <w:r w:rsidRPr="00CA385F">
        <w:t> (Accessed: 7th June 2021)</w:t>
      </w:r>
      <w:r>
        <w:t>.</w:t>
      </w:r>
    </w:p>
    <w:p w14:paraId="50BA6A75" w14:textId="0EE7ACF2" w:rsidR="00C77533" w:rsidRDefault="00C77533" w:rsidP="00C77533">
      <w:pPr>
        <w:spacing w:after="0" w:line="240" w:lineRule="auto"/>
      </w:pPr>
    </w:p>
    <w:p w14:paraId="68E27064" w14:textId="45BBC453" w:rsidR="00C77533" w:rsidRDefault="00C77533" w:rsidP="00C77533">
      <w:pPr>
        <w:spacing w:after="0" w:line="240" w:lineRule="auto"/>
      </w:pPr>
      <w:r w:rsidRPr="00C77533">
        <w:t>College of Policing (2021) </w:t>
      </w:r>
      <w:r w:rsidRPr="00C77533">
        <w:rPr>
          <w:i/>
          <w:iCs/>
        </w:rPr>
        <w:t>Introduction and types of critical incidents, </w:t>
      </w:r>
      <w:r w:rsidRPr="00C77533">
        <w:t>Available at: </w:t>
      </w:r>
      <w:r w:rsidRPr="00C77533">
        <w:rPr>
          <w:i/>
          <w:iCs/>
          <w:u w:val="single"/>
        </w:rPr>
        <w:t>https://www.app.college.police.uk/app-content/critical-incident-management/types-of-critical-incident/#principles</w:t>
      </w:r>
      <w:r w:rsidRPr="00C77533">
        <w:t> (Accessed: 7th June 2021).</w:t>
      </w:r>
    </w:p>
    <w:p w14:paraId="1D6C6037" w14:textId="51AC7BAF" w:rsidR="00C77533" w:rsidRDefault="00C77533" w:rsidP="00C77533">
      <w:pPr>
        <w:spacing w:after="0" w:line="240" w:lineRule="auto"/>
      </w:pPr>
      <w:r w:rsidRPr="00CA385F">
        <w:br/>
      </w:r>
      <w:r>
        <w:t>C</w:t>
      </w:r>
      <w:r w:rsidRPr="00CA385F">
        <w:t xml:space="preserve">ollege of </w:t>
      </w:r>
      <w:r>
        <w:t>P</w:t>
      </w:r>
      <w:r w:rsidRPr="00CA385F">
        <w:t>olicing (2021) </w:t>
      </w:r>
      <w:r w:rsidRPr="00CA385F">
        <w:rPr>
          <w:i/>
          <w:iCs/>
        </w:rPr>
        <w:t>Roads Policing Constable, </w:t>
      </w:r>
      <w:r w:rsidRPr="00CA385F">
        <w:t>Available at: </w:t>
      </w:r>
      <w:r w:rsidRPr="00CA385F">
        <w:rPr>
          <w:i/>
          <w:iCs/>
          <w:u w:val="single"/>
        </w:rPr>
        <w:t>https://profdev.college.police.uk/professional-profile/roads-policing-constable/</w:t>
      </w:r>
      <w:r w:rsidRPr="00CA385F">
        <w:t> (Accessed: 7th June 2021).</w:t>
      </w:r>
    </w:p>
    <w:p w14:paraId="6111CE66" w14:textId="0328197E" w:rsidR="00C77533" w:rsidRDefault="00C77533" w:rsidP="00C77533">
      <w:pPr>
        <w:spacing w:after="0" w:line="240" w:lineRule="auto"/>
      </w:pPr>
    </w:p>
    <w:p w14:paraId="6078F81D" w14:textId="77777777" w:rsidR="00C77533" w:rsidRDefault="00C77533" w:rsidP="00C77533">
      <w:r>
        <w:t xml:space="preserve">Dearden, J., 2020. ‘Four police officers could be prosecuted over alleged misconduct in Stephen Lawrence murder investigation’, </w:t>
      </w:r>
      <w:r>
        <w:rPr>
          <w:i/>
          <w:iCs/>
        </w:rPr>
        <w:t xml:space="preserve">Independent, </w:t>
      </w:r>
      <w:r>
        <w:t xml:space="preserve">03 November. Accessed 20/05/2021. </w:t>
      </w:r>
    </w:p>
    <w:p w14:paraId="1F493AC7" w14:textId="2073857A" w:rsidR="00C77533" w:rsidRDefault="00C77533" w:rsidP="00C77533">
      <w:r>
        <w:t xml:space="preserve">Dodd, V., 2020. ‘Stephen Lawrence murder: CPS asked to consider new charges against the police’, </w:t>
      </w:r>
      <w:r>
        <w:rPr>
          <w:i/>
          <w:iCs/>
        </w:rPr>
        <w:t xml:space="preserve">The Guardian, </w:t>
      </w:r>
      <w:r>
        <w:t>3</w:t>
      </w:r>
      <w:r w:rsidRPr="00CA385F">
        <w:rPr>
          <w:vertAlign w:val="superscript"/>
        </w:rPr>
        <w:t>rd</w:t>
      </w:r>
      <w:r>
        <w:t xml:space="preserve"> November. Accessed 23/05/2021. </w:t>
      </w:r>
    </w:p>
    <w:p w14:paraId="119DD13A" w14:textId="1AC2F42F" w:rsidR="00C77533" w:rsidRDefault="00C77533" w:rsidP="00C77533">
      <w:r w:rsidRPr="00770687">
        <w:t>Fischer, M., 2015. Zero‐Tolerance Policing. </w:t>
      </w:r>
      <w:r w:rsidRPr="00770687">
        <w:rPr>
          <w:i/>
          <w:iCs/>
        </w:rPr>
        <w:t>The Encyclopedia of Crime and Punishment</w:t>
      </w:r>
      <w:r w:rsidRPr="00770687">
        <w:t>, pp.1-6.</w:t>
      </w:r>
    </w:p>
    <w:p w14:paraId="441E7FC6" w14:textId="13BAF442" w:rsidR="00C77533" w:rsidRDefault="00C77533" w:rsidP="00C77533">
      <w:r w:rsidRPr="00770687">
        <w:t>Gerell, M., 2016. Hot spot policing with actively monitored CCTV cameras: Does it reduce assaults in public places?. </w:t>
      </w:r>
      <w:r w:rsidRPr="00770687">
        <w:rPr>
          <w:i/>
          <w:iCs/>
        </w:rPr>
        <w:t>International criminal justice review</w:t>
      </w:r>
      <w:r w:rsidRPr="00770687">
        <w:t>, </w:t>
      </w:r>
      <w:r w:rsidRPr="00770687">
        <w:rPr>
          <w:i/>
          <w:iCs/>
        </w:rPr>
        <w:t>26</w:t>
      </w:r>
      <w:r w:rsidRPr="00770687">
        <w:t>(2), pp.187-201.</w:t>
      </w:r>
    </w:p>
    <w:p w14:paraId="5BD8CC40" w14:textId="77777777" w:rsidR="00C77533" w:rsidRPr="00CA385F" w:rsidRDefault="00C77533" w:rsidP="00C77533">
      <w:pPr>
        <w:spacing w:after="0" w:line="240" w:lineRule="auto"/>
      </w:pPr>
      <w:r w:rsidRPr="00CA385F">
        <w:lastRenderedPageBreak/>
        <w:br/>
        <w:t>Home office (29 January 2021) </w:t>
      </w:r>
      <w:r w:rsidRPr="00CA385F">
        <w:rPr>
          <w:i/>
          <w:iCs/>
        </w:rPr>
        <w:t>Police workforce, </w:t>
      </w:r>
      <w:r w:rsidRPr="00CA385F">
        <w:t>Available at: </w:t>
      </w:r>
      <w:r w:rsidRPr="00CA385F">
        <w:rPr>
          <w:i/>
          <w:iCs/>
          <w:u w:val="single"/>
        </w:rPr>
        <w:t>Police workforce - GOV.UK Ethnicity facts and figures (ethnicity-facts-figures.service.gov.uk)</w:t>
      </w:r>
      <w:r w:rsidRPr="00CA385F">
        <w:t> (Accessed: 20/05/202</w:t>
      </w:r>
      <w:r>
        <w:t>1</w:t>
      </w:r>
      <w:r w:rsidRPr="00CA385F">
        <w:t>).</w:t>
      </w:r>
    </w:p>
    <w:p w14:paraId="6C828A88" w14:textId="51A3BD47" w:rsidR="00C77533" w:rsidRDefault="00C77533" w:rsidP="00C77533">
      <w:r w:rsidRPr="00CA385F">
        <w:br/>
        <w:t>JESIP (2021) </w:t>
      </w:r>
      <w:r w:rsidRPr="00CA385F">
        <w:rPr>
          <w:i/>
          <w:iCs/>
        </w:rPr>
        <w:t>THE FIVE PRINCIPLES, </w:t>
      </w:r>
      <w:r w:rsidRPr="00CA385F">
        <w:t>Available at: </w:t>
      </w:r>
      <w:r w:rsidRPr="00CA385F">
        <w:rPr>
          <w:i/>
          <w:iCs/>
          <w:u w:val="single"/>
        </w:rPr>
        <w:t>https://jesip.org.uk/five-principles</w:t>
      </w:r>
      <w:r w:rsidRPr="00CA385F">
        <w:t> (Accessed: 7th June 2021).</w:t>
      </w:r>
    </w:p>
    <w:p w14:paraId="722DDA29" w14:textId="77777777" w:rsidR="00C77533" w:rsidRPr="00CA385F" w:rsidRDefault="00C77533" w:rsidP="00C77533">
      <w:r w:rsidRPr="00CA385F">
        <w:t>Makarenko, T., 2004. The crime-terror continuum: tracing the interplay between transnational organised crime and terrorism. </w:t>
      </w:r>
      <w:r w:rsidRPr="00CA385F">
        <w:rPr>
          <w:i/>
          <w:iCs/>
        </w:rPr>
        <w:t>Global crime</w:t>
      </w:r>
      <w:r w:rsidRPr="00CA385F">
        <w:t>, </w:t>
      </w:r>
      <w:r w:rsidRPr="00CA385F">
        <w:rPr>
          <w:i/>
          <w:iCs/>
        </w:rPr>
        <w:t>6</w:t>
      </w:r>
      <w:r w:rsidRPr="00CA385F">
        <w:t>(1), pp.129-145.</w:t>
      </w:r>
    </w:p>
    <w:p w14:paraId="04037176" w14:textId="77777777" w:rsidR="00C77533" w:rsidRDefault="00C77533" w:rsidP="00C77533">
      <w:r w:rsidRPr="00CA385F">
        <w:t>Nationalcrimeagency.gov.uk. 2021. </w:t>
      </w:r>
      <w:r w:rsidRPr="00CA385F">
        <w:rPr>
          <w:i/>
          <w:iCs/>
        </w:rPr>
        <w:t>Intelligence: enhancing the picture of serious organised crime affecting the UK</w:t>
      </w:r>
      <w:r w:rsidRPr="00CA385F">
        <w:t>. [online] Available at: &lt;https://www.nationalcrimeagency.gov.uk/what-we-do/how-we-work/intelligence-enhancing-the-picture-of-serious-organised-crime-affecting-the-uk&gt; [Accessed 7 June 2021].</w:t>
      </w:r>
    </w:p>
    <w:p w14:paraId="727F535C" w14:textId="77777777" w:rsidR="00C77533" w:rsidRDefault="00C77533" w:rsidP="00C77533">
      <w:r w:rsidRPr="00CA385F">
        <w:t>Panditharatne, S., Chant, L., Sibley, C.G. and Osborne, D., 20</w:t>
      </w:r>
      <w:r>
        <w:t>18</w:t>
      </w:r>
      <w:r w:rsidRPr="00CA385F">
        <w:t>. At the intersection of disadvantage: Socioeconomic status heightens ethnic group differences in trust in the police. </w:t>
      </w:r>
      <w:r w:rsidRPr="00CA385F">
        <w:rPr>
          <w:i/>
          <w:iCs/>
        </w:rPr>
        <w:t>Race and Justice</w:t>
      </w:r>
      <w:r w:rsidRPr="00CA385F">
        <w:t>, </w:t>
      </w:r>
      <w:r w:rsidRPr="00CA385F">
        <w:rPr>
          <w:i/>
          <w:iCs/>
        </w:rPr>
        <w:t>11</w:t>
      </w:r>
      <w:r w:rsidRPr="00CA385F">
        <w:t>(2), pp.160-182.</w:t>
      </w:r>
    </w:p>
    <w:p w14:paraId="22B6303A" w14:textId="3070CD43" w:rsidR="00C77533" w:rsidRPr="00CA385F" w:rsidRDefault="00C77533" w:rsidP="00C77533">
      <w:r w:rsidRPr="00CA385F">
        <w:br/>
      </w:r>
      <w:r>
        <w:t>P</w:t>
      </w:r>
      <w:r w:rsidRPr="00CA385F">
        <w:t>olice.uk (2021) </w:t>
      </w:r>
      <w:r w:rsidRPr="00CA385F">
        <w:rPr>
          <w:i/>
          <w:iCs/>
        </w:rPr>
        <w:t>Automatic Number Plate Recognition (ANPR), </w:t>
      </w:r>
      <w:r w:rsidRPr="00CA385F">
        <w:t>Available at: </w:t>
      </w:r>
      <w:r w:rsidRPr="00CA385F">
        <w:rPr>
          <w:i/>
          <w:iCs/>
          <w:u w:val="single"/>
        </w:rPr>
        <w:t>https://www.police.uk/pu/advice-crime-prevention/automatic-number-plate-recognition-anpr/</w:t>
      </w:r>
      <w:r w:rsidRPr="00CA385F">
        <w:t> (Accessed: 7th June 2021).</w:t>
      </w:r>
    </w:p>
    <w:p w14:paraId="19ADF054" w14:textId="77777777" w:rsidR="00C77533" w:rsidRDefault="00C77533" w:rsidP="00C77533">
      <w:r>
        <w:t xml:space="preserve">Quinn, B., (2019, Feb 22), ‘Macpherson report: what was it and what impact did it have?”, </w:t>
      </w:r>
      <w:r>
        <w:rPr>
          <w:i/>
          <w:iCs/>
        </w:rPr>
        <w:t xml:space="preserve">The Guardian, UK Edition. </w:t>
      </w:r>
      <w:r>
        <w:t xml:space="preserve"> </w:t>
      </w:r>
      <w:hyperlink r:id="rId9" w:history="1">
        <w:r w:rsidRPr="00331829">
          <w:rPr>
            <w:rStyle w:val="Hyperlink"/>
          </w:rPr>
          <w:t>https://www.theguardian.com/uk-news/2019/feb/22/macpherson-report-what-was-it-and-what-impact-did-it-have</w:t>
        </w:r>
      </w:hyperlink>
    </w:p>
    <w:p w14:paraId="5FEF140C" w14:textId="77777777" w:rsidR="00C77533" w:rsidRPr="00770687" w:rsidRDefault="00C77533" w:rsidP="00C77533">
      <w:r w:rsidRPr="00770687">
        <w:t>Rosenfeld, R., Deckard, M.J. and Blackburn, E., 2014. The effects of directed patrol and self‐initiated enforcement on firearm violence: A randomized controlled study of hot spot policing. </w:t>
      </w:r>
      <w:r w:rsidRPr="00770687">
        <w:rPr>
          <w:i/>
          <w:iCs/>
        </w:rPr>
        <w:t>Criminology</w:t>
      </w:r>
      <w:r w:rsidRPr="00770687">
        <w:t>, </w:t>
      </w:r>
      <w:r w:rsidRPr="00770687">
        <w:rPr>
          <w:i/>
          <w:iCs/>
        </w:rPr>
        <w:t>52</w:t>
      </w:r>
      <w:r w:rsidRPr="00770687">
        <w:t>(3), pp.428-449.</w:t>
      </w:r>
    </w:p>
    <w:p w14:paraId="48B7EE86" w14:textId="77777777" w:rsidR="00C77533" w:rsidRDefault="00C77533" w:rsidP="00C77533">
      <w:r>
        <w:rPr>
          <w:i/>
          <w:iCs/>
        </w:rPr>
        <w:t xml:space="preserve">What is intelligence-led policing? </w:t>
      </w:r>
      <w:r>
        <w:t>2020. Accessed 20/05/2020. &lt;</w:t>
      </w:r>
      <w:r w:rsidRPr="00CA385F">
        <w:t xml:space="preserve"> </w:t>
      </w:r>
      <w:hyperlink r:id="rId10" w:history="1">
        <w:r w:rsidRPr="00331829">
          <w:rPr>
            <w:rStyle w:val="Hyperlink"/>
          </w:rPr>
          <w:t>https://onlinedegrees.kent.edu/sociology/criminal-justice/community/intelligence-led-policing</w:t>
        </w:r>
      </w:hyperlink>
      <w:r>
        <w:t>&gt;</w:t>
      </w:r>
    </w:p>
    <w:p w14:paraId="50C21F07" w14:textId="77777777" w:rsidR="00C77533" w:rsidRDefault="00C77533" w:rsidP="00C77533">
      <w:r>
        <w:t xml:space="preserve">Wood, M., &amp; Thompson, C., 2021. </w:t>
      </w:r>
      <w:r w:rsidRPr="00CA385F">
        <w:rPr>
          <w:i/>
          <w:iCs/>
        </w:rPr>
        <w:t>Crime prevention, swarm intelligence and stigmergy: Understanding the mechanisms of social media-facilitated community crime prevention</w:t>
      </w:r>
      <w:r w:rsidRPr="00CA385F">
        <w:t xml:space="preserve">, 61 edn., New York: Oxford </w:t>
      </w:r>
      <w:r>
        <w:t>U</w:t>
      </w:r>
      <w:r w:rsidRPr="00CA385F">
        <w:t xml:space="preserve">niversity </w:t>
      </w:r>
      <w:r>
        <w:t>P</w:t>
      </w:r>
      <w:r w:rsidRPr="00CA385F">
        <w:t>ress.</w:t>
      </w:r>
    </w:p>
    <w:p w14:paraId="4DC46FD7" w14:textId="77777777" w:rsidR="00C77533" w:rsidRDefault="00C77533" w:rsidP="00C77533"/>
    <w:p w14:paraId="02114B4D" w14:textId="77777777" w:rsidR="00C77533" w:rsidRDefault="00C77533" w:rsidP="00C77533"/>
    <w:p w14:paraId="0AD467C6" w14:textId="77777777" w:rsidR="00C77533" w:rsidRDefault="00C77533" w:rsidP="00C77533"/>
    <w:p w14:paraId="100B5F07" w14:textId="77777777" w:rsidR="00C77533" w:rsidRPr="00CA385F" w:rsidRDefault="00C77533" w:rsidP="00C77533">
      <w:pPr>
        <w:spacing w:after="0" w:line="240" w:lineRule="auto"/>
      </w:pPr>
    </w:p>
    <w:p w14:paraId="5DC3038F" w14:textId="77777777" w:rsidR="00C77533" w:rsidRDefault="00C77533" w:rsidP="00C77533"/>
    <w:p w14:paraId="54489DFB" w14:textId="77777777" w:rsidR="00C77533" w:rsidRDefault="00C77533" w:rsidP="00C77533"/>
    <w:p w14:paraId="0E39F1E6" w14:textId="0A2EB3D8" w:rsidR="009B337D" w:rsidRPr="00C77533" w:rsidRDefault="009B337D" w:rsidP="00C77533">
      <w:r>
        <w:rPr>
          <w:color w:val="000000"/>
          <w:sz w:val="29"/>
          <w:szCs w:val="29"/>
        </w:rPr>
        <w:br/>
      </w:r>
    </w:p>
    <w:p w14:paraId="03942EE5" w14:textId="4D86FEF7" w:rsidR="009B337D" w:rsidRDefault="009B337D" w:rsidP="00C77533">
      <w:pPr>
        <w:rPr>
          <w:color w:val="000000"/>
          <w:sz w:val="29"/>
          <w:szCs w:val="29"/>
          <w:shd w:val="clear" w:color="auto" w:fill="FFFFFF"/>
        </w:rPr>
      </w:pPr>
      <w:r>
        <w:rPr>
          <w:color w:val="000000"/>
          <w:sz w:val="29"/>
          <w:szCs w:val="29"/>
        </w:rPr>
        <w:lastRenderedPageBreak/>
        <w:br/>
      </w:r>
    </w:p>
    <w:p w14:paraId="4D954BDE" w14:textId="77EB109D" w:rsidR="009B337D" w:rsidRPr="00764ACC" w:rsidRDefault="009B337D" w:rsidP="00C77533">
      <w:pPr>
        <w:rPr>
          <w:sz w:val="24"/>
          <w:szCs w:val="24"/>
        </w:rPr>
      </w:pPr>
      <w:r>
        <w:rPr>
          <w:color w:val="000000"/>
          <w:sz w:val="29"/>
          <w:szCs w:val="29"/>
        </w:rPr>
        <w:br/>
      </w:r>
    </w:p>
    <w:p w14:paraId="738C5D43" w14:textId="77777777" w:rsidR="009B337D" w:rsidRPr="009178EA" w:rsidRDefault="009B337D" w:rsidP="009B337D">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6AE2B678" w14:textId="77777777" w:rsidR="009B337D" w:rsidRDefault="009B337D"/>
    <w:sectPr w:rsidR="009B33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5EBB5B" w14:textId="77777777" w:rsidR="00043833" w:rsidRDefault="00043833" w:rsidP="009B337D">
      <w:pPr>
        <w:spacing w:after="0" w:line="240" w:lineRule="auto"/>
      </w:pPr>
      <w:r>
        <w:separator/>
      </w:r>
    </w:p>
  </w:endnote>
  <w:endnote w:type="continuationSeparator" w:id="0">
    <w:p w14:paraId="3CF6A49B" w14:textId="77777777" w:rsidR="00043833" w:rsidRDefault="00043833" w:rsidP="009B3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C353C6" w14:textId="77777777" w:rsidR="00043833" w:rsidRDefault="00043833" w:rsidP="009B337D">
      <w:pPr>
        <w:spacing w:after="0" w:line="240" w:lineRule="auto"/>
      </w:pPr>
      <w:r>
        <w:separator/>
      </w:r>
    </w:p>
  </w:footnote>
  <w:footnote w:type="continuationSeparator" w:id="0">
    <w:p w14:paraId="556DEE32" w14:textId="77777777" w:rsidR="00043833" w:rsidRDefault="00043833" w:rsidP="009B337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7"/>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37D"/>
    <w:rsid w:val="00002D66"/>
    <w:rsid w:val="00043833"/>
    <w:rsid w:val="00266BAC"/>
    <w:rsid w:val="009B337D"/>
    <w:rsid w:val="00AA4E07"/>
    <w:rsid w:val="00C77533"/>
    <w:rsid w:val="00F12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00ACC8"/>
  <w15:chartTrackingRefBased/>
  <w15:docId w15:val="{992A1697-0B50-41D8-85E7-D08D10ADC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37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B337D"/>
    <w:rPr>
      <w:b/>
      <w:bCs/>
    </w:rPr>
  </w:style>
  <w:style w:type="character" w:styleId="Hyperlink">
    <w:name w:val="Hyperlink"/>
    <w:basedOn w:val="DefaultParagraphFont"/>
    <w:uiPriority w:val="99"/>
    <w:unhideWhenUsed/>
    <w:rsid w:val="00C77533"/>
    <w:rPr>
      <w:color w:val="0563C1" w:themeColor="hyperlink"/>
      <w:u w:val="single"/>
    </w:rPr>
  </w:style>
  <w:style w:type="character" w:styleId="UnresolvedMention">
    <w:name w:val="Unresolved Mention"/>
    <w:basedOn w:val="DefaultParagraphFont"/>
    <w:uiPriority w:val="99"/>
    <w:semiHidden/>
    <w:unhideWhenUsed/>
    <w:rsid w:val="00C77533"/>
    <w:rPr>
      <w:color w:val="605E5C"/>
      <w:shd w:val="clear" w:color="auto" w:fill="E1DFDD"/>
    </w:rPr>
  </w:style>
  <w:style w:type="character" w:styleId="FollowedHyperlink">
    <w:name w:val="FollowedHyperlink"/>
    <w:basedOn w:val="DefaultParagraphFont"/>
    <w:uiPriority w:val="99"/>
    <w:semiHidden/>
    <w:unhideWhenUsed/>
    <w:rsid w:val="00C7753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e.int/en/web/moneyval/implementation/financing-terrorism" TargetMode="Externa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onlinedegrees.kent.edu/sociology/criminal-justice/community/intelligence-led-policing" TargetMode="External"/><Relationship Id="rId4" Type="http://schemas.openxmlformats.org/officeDocument/2006/relationships/footnotes" Target="footnotes.xml"/><Relationship Id="rId9" Type="http://schemas.openxmlformats.org/officeDocument/2006/relationships/hyperlink" Target="https://www.theguardian.com/uk-news/2019/feb/22/macpherson-report-what-was-it-and-what-impact-did-it-ha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13</Pages>
  <Words>4666</Words>
  <Characters>26597</Characters>
  <Application>Microsoft Office Word</Application>
  <DocSecurity>0</DocSecurity>
  <Lines>221</Lines>
  <Paragraphs>62</Paragraphs>
  <ScaleCrop>false</ScaleCrop>
  <Company>Gwent Police</Company>
  <LinksUpToDate>false</LinksUpToDate>
  <CharactersWithSpaces>31201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Annetts, Jack</dc:creator>
  <cp:keywords/>
  <dc:description/>
  <cp:lastModifiedBy>Annetts, Jack</cp:lastModifiedBy>
  <cp:revision>3</cp:revision>
  <dcterms:created xsi:type="dcterms:W3CDTF">2021-07-05T15:02:00Z</dcterms:created>
  <dcterms:modified xsi:type="dcterms:W3CDTF">2021-07-05T17:08:00Z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SetDate">
    <vt:lpwstr>2021-06-07T15:08:55.2329889Z</vt:lpwstr>
  </property>
  <property fmtid="{D5CDD505-2E9C-101B-9397-08002B2CF9AE}" pid="5" name="MSIP_Label_f2acd28b-79a3-4a0f-b0ff-4b75658b1549_Name">
    <vt:lpwstr>OFFICIAL</vt:lpwstr>
  </property>
  <property fmtid="{D5CDD505-2E9C-101B-9397-08002B2CF9AE}" pid="6" name="MSIP_Label_f2acd28b-79a3-4a0f-b0ff-4b75658b1549_ActionId">
    <vt:lpwstr>3a767aa1-7503-467e-b3aa-163050d75c27</vt:lpwstr>
  </property>
  <property fmtid="{D5CDD505-2E9C-101B-9397-08002B2CF9AE}" pid="7" name="MSIP_Label_f2acd28b-79a3-4a0f-b0ff-4b75658b1549_Extended_MSFT_Method">
    <vt:lpwstr>Automatic</vt:lpwstr>
  </property>
  <property fmtid="{D5CDD505-2E9C-101B-9397-08002B2CF9AE}" pid="8" name="Sensitivity">
    <vt:lpwstr>OFFICIAL</vt:lpwstr>
  </property>
</Properties>
</file>