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61029"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Introduction</w:t>
      </w:r>
    </w:p>
    <w:p w14:paraId="40A6CEA9"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The definition of creativity remains open to interpretation. Although, Gardener (1999) argues for an elitist view of creativity suggesting that only a small group of individuals possess creative abilities that can influence the world whereas Vygotsky (2004, as cited in Aubrey and Riley, 2016) </w:t>
      </w:r>
      <w:r w:rsidRPr="00EF59A7">
        <w:rPr>
          <w:rFonts w:ascii="Arial" w:hAnsi="Arial" w:cs="Arial"/>
          <w:sz w:val="24"/>
          <w:szCs w:val="24"/>
        </w:rPr>
        <w:t>suggests that creativity is any act that produces something original, this definition remains quite vague</w:t>
      </w:r>
      <w:r>
        <w:rPr>
          <w:rFonts w:ascii="Arial" w:hAnsi="Arial" w:cs="Arial"/>
          <w:sz w:val="24"/>
          <w:szCs w:val="24"/>
        </w:rPr>
        <w:t xml:space="preserve">. </w:t>
      </w:r>
      <w:r w:rsidRPr="004D782F">
        <w:rPr>
          <w:rFonts w:ascii="Arial" w:hAnsi="Arial" w:cs="Arial"/>
          <w:sz w:val="24"/>
          <w:szCs w:val="24"/>
        </w:rPr>
        <w:t xml:space="preserve">It is of value to note the context in which creativity is discussed, for an educational purpose the Government share a democratic view of creativity following the Robinson Report (1999, p.30) </w:t>
      </w:r>
      <w:r>
        <w:rPr>
          <w:rFonts w:ascii="Arial" w:hAnsi="Arial" w:cs="Arial"/>
          <w:sz w:val="24"/>
          <w:szCs w:val="24"/>
        </w:rPr>
        <w:t xml:space="preserve">which </w:t>
      </w:r>
      <w:r w:rsidRPr="004D782F">
        <w:rPr>
          <w:rFonts w:ascii="Arial" w:hAnsi="Arial" w:cs="Arial"/>
          <w:sz w:val="24"/>
          <w:szCs w:val="24"/>
        </w:rPr>
        <w:t>defines ‘creativity as imaginative activity fashioned so as to produce outcomes that are both original and of value.’ The purpose of this statement was to define creativity within education signifying the notion of inclusion and equality for all learners. However, it is important to note that although the government adopt this view of creativity there is an emphasis to provide additional opportunities for gifted and talented pupils indicating the acknowledgement of elite abilities (Welsh Government, 2013, p.7).</w:t>
      </w:r>
    </w:p>
    <w:p w14:paraId="5A52F419"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The importance of creativity in primary schools has </w:t>
      </w:r>
      <w:r>
        <w:rPr>
          <w:rFonts w:ascii="Arial" w:hAnsi="Arial" w:cs="Arial"/>
          <w:sz w:val="24"/>
          <w:szCs w:val="24"/>
        </w:rPr>
        <w:t xml:space="preserve">been </w:t>
      </w:r>
      <w:r w:rsidRPr="004D782F">
        <w:rPr>
          <w:rFonts w:ascii="Arial" w:hAnsi="Arial" w:cs="Arial"/>
          <w:sz w:val="24"/>
          <w:szCs w:val="24"/>
        </w:rPr>
        <w:t>debated over the past decades, having been pushed aside for language and numeracy to take priority as Grigg (2015) suggests that schools have been under pressure to focus primarily on literacy and numeracy. Creativity is highly valued in modern day society as the creative industries are the fastest growing sector in Welsh economy (Welsh Government, 2017). The Introduction of the Creative Industries Strategy aims to promote the growth of creative industrie</w:t>
      </w:r>
      <w:r>
        <w:rPr>
          <w:rFonts w:ascii="Arial" w:hAnsi="Arial" w:cs="Arial"/>
          <w:sz w:val="24"/>
          <w:szCs w:val="24"/>
        </w:rPr>
        <w:t>s,</w:t>
      </w:r>
      <w:r w:rsidRPr="004D782F">
        <w:rPr>
          <w:rFonts w:ascii="Arial" w:hAnsi="Arial" w:cs="Arial"/>
          <w:sz w:val="24"/>
          <w:szCs w:val="24"/>
        </w:rPr>
        <w:t xml:space="preserve"> with an emphasis on creativity in education; Indorsing STEAM (Science, Technology, Engineering, Arts and Maths) versus the previous STEM program highlighting the growing importance of the arts in national industry (Creative Industries Council, 2014, p.10). There is a demand within Wales for creative individuals to contribute to the economy, supported by Donaldson’s (2015, p.29) “four purposes” as he proposes that learners should leave education as enterprising and creative individuals. Direct action was taken by the government after the publication of the review to introduce the Creative Learning through the Arts program in 2015</w:t>
      </w:r>
      <w:r>
        <w:rPr>
          <w:rFonts w:ascii="Arial" w:hAnsi="Arial" w:cs="Arial"/>
          <w:sz w:val="24"/>
          <w:szCs w:val="24"/>
        </w:rPr>
        <w:t>,</w:t>
      </w:r>
      <w:r w:rsidRPr="004D782F">
        <w:rPr>
          <w:rFonts w:ascii="Arial" w:hAnsi="Arial" w:cs="Arial"/>
          <w:sz w:val="24"/>
          <w:szCs w:val="24"/>
        </w:rPr>
        <w:t xml:space="preserve"> providing funding for learners to engage in activities provided by art specialists (Welsh Government, 2018). </w:t>
      </w:r>
    </w:p>
    <w:p w14:paraId="3B6B4098"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lastRenderedPageBreak/>
        <w:t xml:space="preserve">It is vital that practitioners provide learners with opportunities to engage in creative processes as Desailly (2015) suggests that learning opportunities that are creative in nature make learning more memorable for individuals. Meanwhile, Estrella (2010) advocates the status of the expressive arts as they allow all of society to achieve extraordinary things highlighting how the arts provide opportunities for those that struggle with literacy and numeracy tasks by giving them alternative ways to express ideas and identify talents. The article was produced to highlight the importance of music in poorer communities of </w:t>
      </w:r>
      <w:r w:rsidRPr="00EF59A7">
        <w:rPr>
          <w:rFonts w:ascii="Arial" w:hAnsi="Arial" w:cs="Arial"/>
          <w:sz w:val="24"/>
          <w:szCs w:val="24"/>
        </w:rPr>
        <w:t xml:space="preserve">Latin America, </w:t>
      </w:r>
      <w:r>
        <w:rPr>
          <w:rFonts w:ascii="Arial" w:hAnsi="Arial" w:cs="Arial"/>
          <w:sz w:val="24"/>
          <w:szCs w:val="24"/>
        </w:rPr>
        <w:t>it</w:t>
      </w:r>
      <w:r w:rsidRPr="00EF59A7">
        <w:rPr>
          <w:rFonts w:ascii="Arial" w:hAnsi="Arial" w:cs="Arial"/>
          <w:sz w:val="24"/>
          <w:szCs w:val="24"/>
        </w:rPr>
        <w:t xml:space="preserve"> could</w:t>
      </w:r>
      <w:r w:rsidRPr="004D782F">
        <w:rPr>
          <w:rFonts w:ascii="Arial" w:hAnsi="Arial" w:cs="Arial"/>
          <w:sz w:val="24"/>
          <w:szCs w:val="24"/>
        </w:rPr>
        <w:t xml:space="preserve"> be argued that no significant relevance is provided to the current Welsh situation as schools and communities benefit from funding from deprived areas (Welsh Government, 2015). On the contrary, the evidence provided by Estrella (2010) does provide insight into the impact of effective arts education for poorer communities as it provides them with purpose. </w:t>
      </w:r>
    </w:p>
    <w:p w14:paraId="1C99D512" w14:textId="77777777" w:rsidR="00397C1E" w:rsidRPr="004D782F" w:rsidRDefault="00397C1E" w:rsidP="00397C1E">
      <w:pPr>
        <w:spacing w:line="360" w:lineRule="auto"/>
        <w:rPr>
          <w:rFonts w:ascii="Arial" w:hAnsi="Arial" w:cs="Arial"/>
          <w:sz w:val="24"/>
          <w:szCs w:val="24"/>
        </w:rPr>
      </w:pPr>
      <w:r>
        <w:rPr>
          <w:rFonts w:ascii="Arial" w:hAnsi="Arial" w:cs="Arial"/>
          <w:sz w:val="24"/>
          <w:szCs w:val="24"/>
        </w:rPr>
        <w:t>However</w:t>
      </w:r>
      <w:r w:rsidRPr="004D782F">
        <w:rPr>
          <w:rFonts w:ascii="Arial" w:hAnsi="Arial" w:cs="Arial"/>
          <w:sz w:val="24"/>
          <w:szCs w:val="24"/>
        </w:rPr>
        <w:t xml:space="preserve">, there are limitations to promoting creativity through education as González-Gómez and Richter (2015) suggest that as a society we have a natural desire to have a positive self-image which can be threatened by shaming from either a peer or superior figure. Therefore, to ensure that learners do not withdraw from creative thinking and activities it is vital </w:t>
      </w:r>
      <w:r>
        <w:rPr>
          <w:rFonts w:ascii="Arial" w:hAnsi="Arial" w:cs="Arial"/>
          <w:sz w:val="24"/>
          <w:szCs w:val="24"/>
        </w:rPr>
        <w:t>to have</w:t>
      </w:r>
      <w:r w:rsidRPr="004D782F">
        <w:rPr>
          <w:rFonts w:ascii="Arial" w:hAnsi="Arial" w:cs="Arial"/>
          <w:sz w:val="24"/>
          <w:szCs w:val="24"/>
        </w:rPr>
        <w:t xml:space="preserve"> an environment that welcomes all creativity and responds in a positive yet, constructive ma</w:t>
      </w:r>
      <w:r>
        <w:rPr>
          <w:rFonts w:ascii="Arial" w:hAnsi="Arial" w:cs="Arial"/>
          <w:sz w:val="24"/>
          <w:szCs w:val="24"/>
        </w:rPr>
        <w:t>nn</w:t>
      </w:r>
      <w:r w:rsidRPr="004D782F">
        <w:rPr>
          <w:rFonts w:ascii="Arial" w:hAnsi="Arial" w:cs="Arial"/>
          <w:sz w:val="24"/>
          <w:szCs w:val="24"/>
        </w:rPr>
        <w:t>er</w:t>
      </w:r>
      <w:r>
        <w:rPr>
          <w:rFonts w:ascii="Arial" w:hAnsi="Arial" w:cs="Arial"/>
          <w:sz w:val="24"/>
          <w:szCs w:val="24"/>
        </w:rPr>
        <w:t>;</w:t>
      </w:r>
      <w:r w:rsidRPr="004D782F">
        <w:rPr>
          <w:rFonts w:ascii="Arial" w:hAnsi="Arial" w:cs="Arial"/>
          <w:sz w:val="24"/>
          <w:szCs w:val="24"/>
        </w:rPr>
        <w:t xml:space="preserve"> </w:t>
      </w:r>
      <w:r>
        <w:rPr>
          <w:rFonts w:ascii="Arial" w:hAnsi="Arial" w:cs="Arial"/>
          <w:sz w:val="24"/>
          <w:szCs w:val="24"/>
        </w:rPr>
        <w:t>a</w:t>
      </w:r>
      <w:r w:rsidRPr="004D782F">
        <w:rPr>
          <w:rFonts w:ascii="Arial" w:hAnsi="Arial" w:cs="Arial"/>
          <w:sz w:val="24"/>
          <w:szCs w:val="24"/>
        </w:rPr>
        <w:t xml:space="preserve">lthough it is not solely learners that struggle with self-image but practitioners too as they battle with self-confidence when teaching the arts. Munday (2016) highlights the importance of engaging teachers in creative pedagogy to ensure that children participate in expressive arts, suggesting that the resistance of teachers to adopt creative practices is of great difficulty to overcome when implementing change to the curriculum. It is important to note that ensuring learners gain the most from creative opportunities will pose additional challenges for practitioners as Desailly (2015) suggests some learners will finish creative activities whilst others are deep in exploration. From my personal experience allowing all learners the time to fully explore and experiment in the arts can be difficult to manage, especially in mixed age classes as some learners will have the skills to naturally explore and conclude on their own whilst other may still need additional time and support to reach their potential. To overcome this obstacle, it was important to ensure that extension activities were planned and of value for learners. It has been suggested that the arts </w:t>
      </w:r>
      <w:r w:rsidRPr="004D782F">
        <w:rPr>
          <w:rFonts w:ascii="Arial" w:hAnsi="Arial" w:cs="Arial"/>
          <w:sz w:val="24"/>
          <w:szCs w:val="24"/>
        </w:rPr>
        <w:lastRenderedPageBreak/>
        <w:t xml:space="preserve">naturally intertwine cultural differences as they often impact on the style of individuals (Wilson, 2015). The ACCAC (2003) </w:t>
      </w:r>
      <w:r w:rsidRPr="004D782F">
        <w:rPr>
          <w:rFonts w:ascii="Arial" w:hAnsi="Arial" w:cs="Arial"/>
          <w:i/>
          <w:sz w:val="24"/>
          <w:szCs w:val="24"/>
        </w:rPr>
        <w:t>Developing the Curriculum Cymreig</w:t>
      </w:r>
      <w:r w:rsidRPr="004D782F">
        <w:rPr>
          <w:rFonts w:ascii="Arial" w:hAnsi="Arial" w:cs="Arial"/>
          <w:sz w:val="24"/>
          <w:szCs w:val="24"/>
        </w:rPr>
        <w:t xml:space="preserve"> aims to enhance learning experiences by promoting five elements of Welsh heritage; Historical; Economical; Environmental; Language; Cultural. Promoting Welsh culture goes beyond introducing children to stereotypical Welsh icons but ensuring they gain knowledge of their own community and others within Wales and the wider world. Furthermore,</w:t>
      </w:r>
      <w:r>
        <w:rPr>
          <w:rFonts w:ascii="Arial" w:hAnsi="Arial" w:cs="Arial"/>
          <w:sz w:val="24"/>
          <w:szCs w:val="24"/>
        </w:rPr>
        <w:t xml:space="preserve"> as</w:t>
      </w:r>
      <w:r w:rsidRPr="004D782F">
        <w:rPr>
          <w:rFonts w:ascii="Arial" w:hAnsi="Arial" w:cs="Arial"/>
          <w:sz w:val="24"/>
          <w:szCs w:val="24"/>
        </w:rPr>
        <w:t xml:space="preserve"> the modern-day classroom becomes more multicultural it is important to ensure that all learners can express themselves through creative means. </w:t>
      </w:r>
    </w:p>
    <w:p w14:paraId="548FE2D0"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 xml:space="preserve">Rationale of Artefact </w:t>
      </w:r>
    </w:p>
    <w:p w14:paraId="2EFD2625"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For this assignment I have chosen to use ‘Bertie the Bass’ sculpture on the Amroth seafront. The sculpture was created by Llandissilio based sculptor and blacksmith, Gideon Petersen in 2018, the sculpture repurposes materials collected by local school children on a beach clean in the local community to promote “turning the tide on plastic” (Unknown, 2018, p.1). Using the sculpture as part of the topic </w:t>
      </w:r>
      <w:r w:rsidRPr="004D782F">
        <w:rPr>
          <w:rFonts w:ascii="Arial" w:hAnsi="Arial" w:cs="Arial"/>
          <w:i/>
          <w:sz w:val="24"/>
          <w:szCs w:val="24"/>
        </w:rPr>
        <w:t>Our World</w:t>
      </w:r>
      <w:r w:rsidRPr="004D782F">
        <w:rPr>
          <w:rFonts w:ascii="Arial" w:hAnsi="Arial" w:cs="Arial"/>
          <w:sz w:val="24"/>
          <w:szCs w:val="24"/>
        </w:rPr>
        <w:t xml:space="preserve"> (see appendix 1) will give Key Stage 2 learners opportunities to explore and develop creativity in a theme-based cross-curricular approach (Barnes, 2015); alongside maintaining a strong link to the Curriculum Cymraeg and Education for Sustainable Development and Global Citizenship (ESDGC) themes throughout (ACCAC, 2003; DCELLS, 2008e). As the sculpture focuses on a global issue which has complex implications and terminology it may be considered a controversial topic to engage children in. Although this may be true, these topics are significantly relevant to the future generation, an aspect that Barnes (2015) and Dewey (1938, as cited in Aubrey and Riley, 2016) suggest is of significant value to learners, in turn engaging their interest in authentic and effective learning experiences.</w:t>
      </w:r>
    </w:p>
    <w:p w14:paraId="40AD3873"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 xml:space="preserve">Activity 1 - Art and Design </w:t>
      </w:r>
    </w:p>
    <w:p w14:paraId="505B79E7"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Although technology advances daily in modern society it is of vital importance to immerse children in the natural environment; encouraging natural awe and wonder in different environments (DCELLS, 2008e). Children spend more time using technology in their home environment as Statistics for Wales (2017, p.1) highlight that 95% of children aged between 7</w:t>
      </w:r>
      <w:r>
        <w:rPr>
          <w:rFonts w:ascii="Arial" w:hAnsi="Arial" w:cs="Arial"/>
          <w:sz w:val="24"/>
          <w:szCs w:val="24"/>
        </w:rPr>
        <w:t xml:space="preserve"> and </w:t>
      </w:r>
      <w:r w:rsidRPr="004D782F">
        <w:rPr>
          <w:rFonts w:ascii="Arial" w:hAnsi="Arial" w:cs="Arial"/>
          <w:sz w:val="24"/>
          <w:szCs w:val="24"/>
        </w:rPr>
        <w:t>15 used the internet at home</w:t>
      </w:r>
      <w:r>
        <w:rPr>
          <w:rFonts w:ascii="Arial" w:hAnsi="Arial" w:cs="Arial"/>
          <w:sz w:val="24"/>
          <w:szCs w:val="24"/>
        </w:rPr>
        <w:t>,</w:t>
      </w:r>
      <w:r w:rsidRPr="004D782F">
        <w:rPr>
          <w:rFonts w:ascii="Arial" w:hAnsi="Arial" w:cs="Arial"/>
          <w:sz w:val="24"/>
          <w:szCs w:val="24"/>
        </w:rPr>
        <w:t xml:space="preserve"> of which 71% use a tablet or similar device</w:t>
      </w:r>
      <w:r>
        <w:rPr>
          <w:rFonts w:ascii="Arial" w:hAnsi="Arial" w:cs="Arial"/>
          <w:sz w:val="24"/>
          <w:szCs w:val="24"/>
        </w:rPr>
        <w:t>,</w:t>
      </w:r>
      <w:r w:rsidRPr="004D782F">
        <w:rPr>
          <w:rFonts w:ascii="Arial" w:hAnsi="Arial" w:cs="Arial"/>
          <w:sz w:val="24"/>
          <w:szCs w:val="24"/>
        </w:rPr>
        <w:t xml:space="preserve"> illustrating the growing rate of access to </w:t>
      </w:r>
      <w:r w:rsidRPr="004D782F">
        <w:rPr>
          <w:rFonts w:ascii="Arial" w:hAnsi="Arial" w:cs="Arial"/>
          <w:sz w:val="24"/>
          <w:szCs w:val="24"/>
        </w:rPr>
        <w:lastRenderedPageBreak/>
        <w:t xml:space="preserve">technology for </w:t>
      </w:r>
      <w:r w:rsidRPr="00EF59A7">
        <w:rPr>
          <w:rFonts w:ascii="Arial" w:hAnsi="Arial" w:cs="Arial"/>
          <w:sz w:val="24"/>
          <w:szCs w:val="24"/>
        </w:rPr>
        <w:t>children</w:t>
      </w:r>
      <w:r>
        <w:rPr>
          <w:rFonts w:ascii="Arial" w:hAnsi="Arial" w:cs="Arial"/>
          <w:sz w:val="24"/>
          <w:szCs w:val="24"/>
        </w:rPr>
        <w:t>; t</w:t>
      </w:r>
      <w:r w:rsidRPr="00EF59A7">
        <w:rPr>
          <w:rFonts w:ascii="Arial" w:hAnsi="Arial" w:cs="Arial"/>
          <w:sz w:val="24"/>
          <w:szCs w:val="24"/>
        </w:rPr>
        <w:t>herefore</w:t>
      </w:r>
      <w:r>
        <w:rPr>
          <w:rFonts w:ascii="Arial" w:hAnsi="Arial" w:cs="Arial"/>
          <w:sz w:val="24"/>
          <w:szCs w:val="24"/>
        </w:rPr>
        <w:t xml:space="preserve"> </w:t>
      </w:r>
      <w:r w:rsidRPr="004D782F">
        <w:rPr>
          <w:rFonts w:ascii="Arial" w:hAnsi="Arial" w:cs="Arial"/>
          <w:sz w:val="24"/>
          <w:szCs w:val="24"/>
        </w:rPr>
        <w:t>discouraging</w:t>
      </w:r>
      <w:r>
        <w:rPr>
          <w:rFonts w:ascii="Arial" w:hAnsi="Arial" w:cs="Arial"/>
          <w:sz w:val="24"/>
          <w:szCs w:val="24"/>
        </w:rPr>
        <w:t xml:space="preserve"> children </w:t>
      </w:r>
      <w:r w:rsidRPr="004D782F">
        <w:rPr>
          <w:rFonts w:ascii="Arial" w:hAnsi="Arial" w:cs="Arial"/>
          <w:sz w:val="24"/>
          <w:szCs w:val="24"/>
        </w:rPr>
        <w:t>from using the outdoor environment. This activity would be used to start the topic to encourage learners to engage with the natural environment in a creative manner as Jacoby-Garrett (2018) suggests there is an increasing divide between young people and nature</w:t>
      </w:r>
      <w:r>
        <w:rPr>
          <w:rFonts w:ascii="Arial" w:hAnsi="Arial" w:cs="Arial"/>
          <w:sz w:val="24"/>
          <w:szCs w:val="24"/>
        </w:rPr>
        <w:t>,</w:t>
      </w:r>
      <w:r w:rsidRPr="004D782F">
        <w:rPr>
          <w:rFonts w:ascii="Arial" w:hAnsi="Arial" w:cs="Arial"/>
          <w:sz w:val="24"/>
          <w:szCs w:val="24"/>
        </w:rPr>
        <w:t xml:space="preserve"> demonstrating the importance of providing outdoor activities in education</w:t>
      </w:r>
      <w:r>
        <w:rPr>
          <w:rFonts w:ascii="Arial" w:hAnsi="Arial" w:cs="Arial"/>
          <w:sz w:val="24"/>
          <w:szCs w:val="24"/>
        </w:rPr>
        <w:t>.</w:t>
      </w:r>
      <w:r w:rsidRPr="004D782F">
        <w:rPr>
          <w:rFonts w:ascii="Arial" w:hAnsi="Arial" w:cs="Arial"/>
          <w:sz w:val="24"/>
          <w:szCs w:val="24"/>
        </w:rPr>
        <w:t xml:space="preserve"> </w:t>
      </w:r>
      <w:r>
        <w:rPr>
          <w:rFonts w:ascii="Arial" w:hAnsi="Arial" w:cs="Arial"/>
          <w:sz w:val="24"/>
          <w:szCs w:val="24"/>
        </w:rPr>
        <w:t>A</w:t>
      </w:r>
      <w:r w:rsidRPr="004D782F">
        <w:rPr>
          <w:rFonts w:ascii="Arial" w:hAnsi="Arial" w:cs="Arial"/>
          <w:sz w:val="24"/>
          <w:szCs w:val="24"/>
        </w:rPr>
        <w:t xml:space="preserve">n ideology supported by the National Curriculum document for art and design that highlights the importance of ensuring learners begin to develop a “meaningful understanding of their immediate environment” (DCELLS, 2008a, p.8). </w:t>
      </w:r>
    </w:p>
    <w:p w14:paraId="606082DC"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Learners will begin by looking at different images of artwork (see appendix 2) by Gideon Petersen, Rodney ‘Rodrigo’ McCoubrey and Tim Pugh (Petersen, 2013; Pugh, 2017; McCoubrey, 2018). Incorporating cultural influences of Wales and the Wider world is promoted in the Curriculum Cymreig (see appendix 3) suggesting that learners are introduced to contemporary artists and encouraging them to engage in similar artistic processes (ACCAC, 2003). Using think, pair, share learners can discuss the different elements they enjoy in the work; discussion skills are a key skill in the </w:t>
      </w:r>
      <w:r>
        <w:rPr>
          <w:rFonts w:ascii="Arial" w:hAnsi="Arial" w:cs="Arial"/>
          <w:sz w:val="24"/>
          <w:szCs w:val="24"/>
        </w:rPr>
        <w:t>L</w:t>
      </w:r>
      <w:r w:rsidRPr="004D782F">
        <w:rPr>
          <w:rFonts w:ascii="Arial" w:hAnsi="Arial" w:cs="Arial"/>
          <w:sz w:val="24"/>
          <w:szCs w:val="24"/>
        </w:rPr>
        <w:t xml:space="preserve">iteracy </w:t>
      </w:r>
      <w:r>
        <w:rPr>
          <w:rFonts w:ascii="Arial" w:hAnsi="Arial" w:cs="Arial"/>
          <w:sz w:val="24"/>
          <w:szCs w:val="24"/>
        </w:rPr>
        <w:t>F</w:t>
      </w:r>
      <w:r w:rsidRPr="004D782F">
        <w:rPr>
          <w:rFonts w:ascii="Arial" w:hAnsi="Arial" w:cs="Arial"/>
          <w:sz w:val="24"/>
          <w:szCs w:val="24"/>
        </w:rPr>
        <w:t>ramework throughout Key Stage 2 (Welsh Government, 2016). Lear, Hodge and Schulz (2014) highlight the importance of strong communication skills to secure and succeed in a job</w:t>
      </w:r>
      <w:r>
        <w:rPr>
          <w:rFonts w:ascii="Arial" w:hAnsi="Arial" w:cs="Arial"/>
          <w:sz w:val="24"/>
          <w:szCs w:val="24"/>
        </w:rPr>
        <w:t>,</w:t>
      </w:r>
      <w:r w:rsidRPr="004D782F">
        <w:rPr>
          <w:rFonts w:ascii="Arial" w:hAnsi="Arial" w:cs="Arial"/>
          <w:sz w:val="24"/>
          <w:szCs w:val="24"/>
        </w:rPr>
        <w:t xml:space="preserve"> demonstrating the importance of promoting these skills throughout the curriculum. </w:t>
      </w:r>
    </w:p>
    <w:p w14:paraId="718919FF"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Learners will then be given a short brief to create an animal of their choice using only natural materials that are already on the ground, promoting stewardship of resources (DCELLS, 2008e). To aid learners that are struggling to think of an animal they want to create, it may be of value to engage the whole class in creating a brainstorm of different animals before leaving the indoor environment as having a basis to springboard their creative ideas will ensure they do not become withdrawn from the activity</w:t>
      </w:r>
      <w:r>
        <w:rPr>
          <w:rFonts w:ascii="Arial" w:hAnsi="Arial" w:cs="Arial"/>
          <w:sz w:val="24"/>
          <w:szCs w:val="24"/>
        </w:rPr>
        <w:t>;</w:t>
      </w:r>
      <w:r w:rsidRPr="004D782F">
        <w:rPr>
          <w:rFonts w:ascii="Arial" w:hAnsi="Arial" w:cs="Arial"/>
          <w:sz w:val="24"/>
          <w:szCs w:val="24"/>
        </w:rPr>
        <w:t xml:space="preserve"> an ideology supported by Lugar-Brettin (2014) who suggests collaboration allows people to go beyond their own knowledges. If more than one learner creates the same animal, it will not cause a problem as learners will use the materials differently to express their </w:t>
      </w:r>
      <w:r w:rsidRPr="00EF59A7">
        <w:rPr>
          <w:rFonts w:ascii="Arial" w:hAnsi="Arial" w:cs="Arial"/>
          <w:sz w:val="24"/>
          <w:szCs w:val="24"/>
        </w:rPr>
        <w:t>ideas, therefore creating</w:t>
      </w:r>
      <w:r w:rsidRPr="004D782F">
        <w:rPr>
          <w:rFonts w:ascii="Arial" w:hAnsi="Arial" w:cs="Arial"/>
          <w:sz w:val="24"/>
          <w:szCs w:val="24"/>
        </w:rPr>
        <w:t xml:space="preserve"> something of origin</w:t>
      </w:r>
      <w:r>
        <w:rPr>
          <w:rFonts w:ascii="Arial" w:hAnsi="Arial" w:cs="Arial"/>
          <w:sz w:val="24"/>
          <w:szCs w:val="24"/>
        </w:rPr>
        <w:t>ality</w:t>
      </w:r>
      <w:r w:rsidRPr="004D782F">
        <w:rPr>
          <w:rFonts w:ascii="Arial" w:hAnsi="Arial" w:cs="Arial"/>
          <w:sz w:val="24"/>
          <w:szCs w:val="24"/>
        </w:rPr>
        <w:t xml:space="preserve"> which is valued by Vygotsky (2004, as cited in Aubrey and Riley, 2016). It is worth noting the importance of learners being aware of any potential dangers and the boundaries whilst in the outdoor environment. Hutson and Howard (2018) highlight the </w:t>
      </w:r>
      <w:r w:rsidRPr="004D782F">
        <w:rPr>
          <w:rFonts w:ascii="Arial" w:hAnsi="Arial" w:cs="Arial"/>
          <w:sz w:val="24"/>
          <w:szCs w:val="24"/>
        </w:rPr>
        <w:lastRenderedPageBreak/>
        <w:t xml:space="preserve">importance </w:t>
      </w:r>
      <w:r>
        <w:rPr>
          <w:rFonts w:ascii="Arial" w:hAnsi="Arial" w:cs="Arial"/>
          <w:sz w:val="24"/>
          <w:szCs w:val="24"/>
        </w:rPr>
        <w:t xml:space="preserve">of </w:t>
      </w:r>
      <w:r w:rsidRPr="004D782F">
        <w:rPr>
          <w:rFonts w:ascii="Arial" w:hAnsi="Arial" w:cs="Arial"/>
          <w:sz w:val="24"/>
          <w:szCs w:val="24"/>
        </w:rPr>
        <w:t>keeping an open dialogue regarding risk ensuring activities are ongoing without serious risk.</w:t>
      </w:r>
    </w:p>
    <w:p w14:paraId="33B730F1"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Learners will begin to create animals using natural materials, they should be given enough time to create an animal, for those that finish quickly there is opportunity for them to create another animal or a different version of their current animal. This strategy helps to overcome the </w:t>
      </w:r>
      <w:r>
        <w:rPr>
          <w:rFonts w:ascii="Arial" w:hAnsi="Arial" w:cs="Arial"/>
          <w:sz w:val="24"/>
          <w:szCs w:val="24"/>
        </w:rPr>
        <w:t>previously</w:t>
      </w:r>
      <w:r w:rsidRPr="004D782F">
        <w:rPr>
          <w:rFonts w:ascii="Arial" w:hAnsi="Arial" w:cs="Arial"/>
          <w:sz w:val="24"/>
          <w:szCs w:val="24"/>
        </w:rPr>
        <w:t xml:space="preserve"> mentioned </w:t>
      </w:r>
      <w:r>
        <w:rPr>
          <w:rFonts w:ascii="Arial" w:hAnsi="Arial" w:cs="Arial"/>
          <w:sz w:val="24"/>
          <w:szCs w:val="24"/>
        </w:rPr>
        <w:t>problem of</w:t>
      </w:r>
      <w:r w:rsidRPr="004D782F">
        <w:rPr>
          <w:rFonts w:ascii="Arial" w:hAnsi="Arial" w:cs="Arial"/>
          <w:sz w:val="24"/>
          <w:szCs w:val="24"/>
        </w:rPr>
        <w:t xml:space="preserve"> learners </w:t>
      </w:r>
      <w:r>
        <w:rPr>
          <w:rFonts w:ascii="Arial" w:hAnsi="Arial" w:cs="Arial"/>
          <w:sz w:val="24"/>
          <w:szCs w:val="24"/>
        </w:rPr>
        <w:t xml:space="preserve">being </w:t>
      </w:r>
      <w:r w:rsidRPr="004D782F">
        <w:rPr>
          <w:rFonts w:ascii="Arial" w:hAnsi="Arial" w:cs="Arial"/>
          <w:sz w:val="24"/>
          <w:szCs w:val="24"/>
        </w:rPr>
        <w:t>at different stages of exploration</w:t>
      </w:r>
      <w:r>
        <w:rPr>
          <w:rFonts w:ascii="Arial" w:hAnsi="Arial" w:cs="Arial"/>
          <w:sz w:val="24"/>
          <w:szCs w:val="24"/>
        </w:rPr>
        <w:t>;</w:t>
      </w:r>
      <w:r w:rsidRPr="004D782F">
        <w:rPr>
          <w:rFonts w:ascii="Arial" w:hAnsi="Arial" w:cs="Arial"/>
          <w:sz w:val="24"/>
          <w:szCs w:val="24"/>
        </w:rPr>
        <w:t xml:space="preserve"> as all learners will still be at the same stage, working creatively without going onto a new activity (Desailly, 2016). Montessori (1964, as cited in Aubrey and Riley, 2016) champions the importance of giving learners freedom and individual choice in the learning environment which goes hand in hand with the ESDGC theme of choices and decisions which requires practitioners to provide learners with opportunities to make choices and conclude their own thoughts to reach a decision (DCELLS, 2008e). </w:t>
      </w:r>
    </w:p>
    <w:p w14:paraId="15DD5735"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Learners can then take pictures of their creations using iPads to take into the classroom. Using animation apps such as ChatterPix Kids (2016) Learners can give their sculpture a name and small back story. This will enhance their creative thinking skills and extend their imagination as they are encouraged to think about using a different voice and expression when creating the voice over (see appendix 4). The Digital Competency Framework (2016) highlights the use of technology for producing original content which is </w:t>
      </w:r>
      <w:r>
        <w:rPr>
          <w:rFonts w:ascii="Arial" w:hAnsi="Arial" w:cs="Arial"/>
          <w:sz w:val="24"/>
          <w:szCs w:val="24"/>
        </w:rPr>
        <w:t>important</w:t>
      </w:r>
      <w:r w:rsidRPr="004D782F">
        <w:rPr>
          <w:rFonts w:ascii="Arial" w:hAnsi="Arial" w:cs="Arial"/>
          <w:sz w:val="24"/>
          <w:szCs w:val="24"/>
        </w:rPr>
        <w:t xml:space="preserve"> as the framework will be compulsory in all schools in Wales from 2022</w:t>
      </w:r>
      <w:r>
        <w:rPr>
          <w:rFonts w:ascii="Arial" w:hAnsi="Arial" w:cs="Arial"/>
          <w:sz w:val="24"/>
          <w:szCs w:val="24"/>
        </w:rPr>
        <w:t>, suggesting that practitioners begin to incorporate creative use of technology into lesson planning</w:t>
      </w:r>
      <w:r w:rsidRPr="004D782F">
        <w:rPr>
          <w:rFonts w:ascii="Arial" w:hAnsi="Arial" w:cs="Arial"/>
          <w:sz w:val="24"/>
          <w:szCs w:val="24"/>
        </w:rPr>
        <w:t xml:space="preserve">. </w:t>
      </w:r>
    </w:p>
    <w:p w14:paraId="676754EF"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One of the benefits of using the outdoor environment as a canvas for art is the significant cost factor, using the natural environment does not require any additional costs as the environment provides rich materials for learners to use. Statistics for Wales (2018) highlight the small increase in the educational budget for 2018-19 which may indicate that school budgets may increase over the next few </w:t>
      </w:r>
      <w:r w:rsidRPr="00EF59A7">
        <w:rPr>
          <w:rFonts w:ascii="Arial" w:hAnsi="Arial" w:cs="Arial"/>
          <w:sz w:val="24"/>
          <w:szCs w:val="24"/>
        </w:rPr>
        <w:t>years which will benefit all schools as they begin to implement the new curriculum.</w:t>
      </w:r>
      <w:r w:rsidRPr="004D782F">
        <w:rPr>
          <w:rFonts w:ascii="Arial" w:hAnsi="Arial" w:cs="Arial"/>
          <w:sz w:val="24"/>
          <w:szCs w:val="24"/>
        </w:rPr>
        <w:t xml:space="preserve"> </w:t>
      </w:r>
    </w:p>
    <w:p w14:paraId="02323603"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There are some potential limitations of this activity for example, this activity may work best in the autumn term as there are more natural materials available. However, the activity could be used year-round to explore materials available in the different seasons. When planning and teaching this activity it is important to ensure </w:t>
      </w:r>
      <w:r w:rsidRPr="004D782F">
        <w:rPr>
          <w:rFonts w:ascii="Arial" w:hAnsi="Arial" w:cs="Arial"/>
          <w:sz w:val="24"/>
          <w:szCs w:val="24"/>
        </w:rPr>
        <w:lastRenderedPageBreak/>
        <w:t>that practitioners take part in the session to fully enrich the experience for the learners</w:t>
      </w:r>
      <w:r>
        <w:rPr>
          <w:rFonts w:ascii="Arial" w:hAnsi="Arial" w:cs="Arial"/>
          <w:sz w:val="24"/>
          <w:szCs w:val="24"/>
        </w:rPr>
        <w:t>.</w:t>
      </w:r>
      <w:r w:rsidRPr="004D782F">
        <w:rPr>
          <w:rFonts w:ascii="Arial" w:hAnsi="Arial" w:cs="Arial"/>
          <w:sz w:val="24"/>
          <w:szCs w:val="24"/>
        </w:rPr>
        <w:t xml:space="preserve"> Practitioners that are not prepared or comfortable in the outdoor environment run the risk of burdening learners experience as their influence has a significant impact on learners (Waite, 2011). </w:t>
      </w:r>
    </w:p>
    <w:p w14:paraId="5B4EB4C1"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Activity 2 - Music</w:t>
      </w:r>
    </w:p>
    <w:p w14:paraId="75793BA3"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United Nations Convention for the Rights of the Child (UNCRC) Article 29 states that every child should have access to education that develops their mind, body and talents (UNICEF, 1990, p.9) highlighting the lawful requirement of all teachers to engage children in various activities that they may enjoy. Bernard and Murphy (2017) highlight the importance</w:t>
      </w:r>
      <w:r>
        <w:rPr>
          <w:rFonts w:ascii="Arial" w:hAnsi="Arial" w:cs="Arial"/>
          <w:sz w:val="24"/>
          <w:szCs w:val="24"/>
        </w:rPr>
        <w:t xml:space="preserve"> of</w:t>
      </w:r>
      <w:r w:rsidRPr="004D782F">
        <w:rPr>
          <w:rFonts w:ascii="Arial" w:hAnsi="Arial" w:cs="Arial"/>
          <w:sz w:val="24"/>
          <w:szCs w:val="24"/>
        </w:rPr>
        <w:t xml:space="preserve"> immersing children in musical experiences as children often initiate musical activities for themselves outside of the classroom. My personal experience of being on the school bus to the swimming pool supports the everyday use of music as most learners in both Foundation Phase and Key Stage 2 would participate in singing a variety of school-based and other songs throughout the journey. </w:t>
      </w:r>
    </w:p>
    <w:p w14:paraId="46F1BFCB"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Before this activity learners will have made comparisons between the National Orchestra of Wales </w:t>
      </w:r>
      <w:r>
        <w:rPr>
          <w:rFonts w:ascii="Arial" w:hAnsi="Arial" w:cs="Arial"/>
          <w:sz w:val="24"/>
          <w:szCs w:val="24"/>
        </w:rPr>
        <w:t xml:space="preserve">and </w:t>
      </w:r>
      <w:r w:rsidRPr="004D782F">
        <w:rPr>
          <w:rFonts w:ascii="Arial" w:hAnsi="Arial" w:cs="Arial"/>
          <w:sz w:val="24"/>
          <w:szCs w:val="24"/>
        </w:rPr>
        <w:t>the Recycled Orchestra of Paraguay (see appendix 5). Comparing the two orchestras promotes the cultural aspect of the Curriculum Cymraeg Document (see appendix 6) as learners begin to look at cultures outside of Wales which goes hand in hand with the ESDGC theme of culture and identity (ACCAC, 2003; DCELLS, 2008c; DCELLS, 2008e).</w:t>
      </w:r>
    </w:p>
    <w:p w14:paraId="4357B805"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Using the poem “Glimpse of a Polluted Future” by Roper (2018</w:t>
      </w:r>
      <w:r>
        <w:rPr>
          <w:rFonts w:ascii="Arial" w:hAnsi="Arial" w:cs="Arial"/>
          <w:sz w:val="24"/>
          <w:szCs w:val="24"/>
        </w:rPr>
        <w:t>, p.1</w:t>
      </w:r>
      <w:r w:rsidRPr="004D782F">
        <w:rPr>
          <w:rFonts w:ascii="Arial" w:hAnsi="Arial" w:cs="Arial"/>
          <w:sz w:val="24"/>
          <w:szCs w:val="24"/>
        </w:rPr>
        <w:t>) as a base for the composition (see appendix 7)</w:t>
      </w:r>
      <w:r>
        <w:rPr>
          <w:rFonts w:ascii="Arial" w:hAnsi="Arial" w:cs="Arial"/>
          <w:sz w:val="24"/>
          <w:szCs w:val="24"/>
        </w:rPr>
        <w:t>, l</w:t>
      </w:r>
      <w:r w:rsidRPr="004D782F">
        <w:rPr>
          <w:rFonts w:ascii="Arial" w:hAnsi="Arial" w:cs="Arial"/>
          <w:sz w:val="24"/>
          <w:szCs w:val="24"/>
        </w:rPr>
        <w:t>earners will work in small groups to compose a piece of music using instrument</w:t>
      </w:r>
      <w:r>
        <w:rPr>
          <w:rFonts w:ascii="Arial" w:hAnsi="Arial" w:cs="Arial"/>
          <w:sz w:val="24"/>
          <w:szCs w:val="24"/>
        </w:rPr>
        <w:t>s</w:t>
      </w:r>
      <w:r w:rsidRPr="004D782F">
        <w:rPr>
          <w:rFonts w:ascii="Arial" w:hAnsi="Arial" w:cs="Arial"/>
          <w:sz w:val="24"/>
          <w:szCs w:val="24"/>
        </w:rPr>
        <w:t xml:space="preserve"> they will have previously made (see appendix 8) taking into consideration the influence of the artists they have researched. Bernard and Murphy (2017) suggest creativity emerges when children become actively engaged in exploring ideas, making choices and decisions to express themselves using varying sounds and practices. Working in small groups allows learners to share and discuss ideas, although groupwork requires some problem-solving skills to come to fair decisions; it provides an extremely rich opportunity to work collaboratively. It is important to ensure learners have enough time to fully engage with creative opportunities; allowing the time to experiment and refine their work as </w:t>
      </w:r>
      <w:r w:rsidRPr="004D782F">
        <w:rPr>
          <w:rFonts w:ascii="Arial" w:hAnsi="Arial" w:cs="Arial"/>
          <w:sz w:val="24"/>
          <w:szCs w:val="24"/>
        </w:rPr>
        <w:lastRenderedPageBreak/>
        <w:t>Koln (1984, as cited in Aubrey and Riley) suggests learner</w:t>
      </w:r>
      <w:r>
        <w:rPr>
          <w:rFonts w:ascii="Arial" w:hAnsi="Arial" w:cs="Arial"/>
          <w:sz w:val="24"/>
          <w:szCs w:val="24"/>
        </w:rPr>
        <w:t>s</w:t>
      </w:r>
      <w:r w:rsidRPr="004D782F">
        <w:rPr>
          <w:rFonts w:ascii="Arial" w:hAnsi="Arial" w:cs="Arial"/>
          <w:sz w:val="24"/>
          <w:szCs w:val="24"/>
        </w:rPr>
        <w:t xml:space="preserve"> should have time to plan their activity</w:t>
      </w:r>
      <w:r>
        <w:rPr>
          <w:rFonts w:ascii="Arial" w:hAnsi="Arial" w:cs="Arial"/>
          <w:sz w:val="24"/>
          <w:szCs w:val="24"/>
        </w:rPr>
        <w:t xml:space="preserve"> and</w:t>
      </w:r>
      <w:r w:rsidRPr="004D782F">
        <w:rPr>
          <w:rFonts w:ascii="Arial" w:hAnsi="Arial" w:cs="Arial"/>
          <w:sz w:val="24"/>
          <w:szCs w:val="24"/>
        </w:rPr>
        <w:t xml:space="preserve"> have first-hand engagement with the activity before reviewing their experience and drawing new knowledge from the process. Using graphic scores to record the instrument</w:t>
      </w:r>
      <w:r>
        <w:rPr>
          <w:rFonts w:ascii="Arial" w:hAnsi="Arial" w:cs="Arial"/>
          <w:sz w:val="24"/>
          <w:szCs w:val="24"/>
        </w:rPr>
        <w:t>s</w:t>
      </w:r>
      <w:r w:rsidRPr="004D782F">
        <w:rPr>
          <w:rFonts w:ascii="Arial" w:hAnsi="Arial" w:cs="Arial"/>
          <w:sz w:val="24"/>
          <w:szCs w:val="24"/>
        </w:rPr>
        <w:t xml:space="preserve"> they have used, the different ways in which they have used them and when to play</w:t>
      </w:r>
      <w:r>
        <w:rPr>
          <w:rFonts w:ascii="Arial" w:hAnsi="Arial" w:cs="Arial"/>
          <w:sz w:val="24"/>
          <w:szCs w:val="24"/>
        </w:rPr>
        <w:t xml:space="preserve"> plan</w:t>
      </w:r>
      <w:r w:rsidRPr="004D782F">
        <w:rPr>
          <w:rFonts w:ascii="Arial" w:hAnsi="Arial" w:cs="Arial"/>
          <w:sz w:val="24"/>
          <w:szCs w:val="24"/>
        </w:rPr>
        <w:t xml:space="preserve"> as Friesen and Bettger (2015) suggest graphic score</w:t>
      </w:r>
      <w:r>
        <w:rPr>
          <w:rFonts w:ascii="Arial" w:hAnsi="Arial" w:cs="Arial"/>
          <w:sz w:val="24"/>
          <w:szCs w:val="24"/>
        </w:rPr>
        <w:t>s</w:t>
      </w:r>
      <w:r w:rsidRPr="004D782F">
        <w:rPr>
          <w:rFonts w:ascii="Arial" w:hAnsi="Arial" w:cs="Arial"/>
          <w:sz w:val="24"/>
          <w:szCs w:val="24"/>
        </w:rPr>
        <w:t xml:space="preserve"> can aid learners when recording music as they use drawings to describe different elements of music. </w:t>
      </w:r>
    </w:p>
    <w:p w14:paraId="173B7987"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Quinn (2007, as cited in Bell, 2015) suggests that music technology can engage all learners as it removes traditional constraints making it accessible for everyone highlighting the importance of introducing learners to a wide variety of resources that can aid musical composition. However, it is important to note that learners need prior musical knowledge and experience of the different elements within music to ensure they get the most out of the experience. Using the app GarageBand (2018) learners can record their pieces directly into the app</w:t>
      </w:r>
      <w:r>
        <w:rPr>
          <w:rFonts w:ascii="Arial" w:hAnsi="Arial" w:cs="Arial"/>
          <w:sz w:val="24"/>
          <w:szCs w:val="24"/>
        </w:rPr>
        <w:t xml:space="preserve"> and</w:t>
      </w:r>
      <w:r w:rsidRPr="004D782F">
        <w:rPr>
          <w:rFonts w:ascii="Arial" w:hAnsi="Arial" w:cs="Arial"/>
          <w:sz w:val="24"/>
          <w:szCs w:val="24"/>
        </w:rPr>
        <w:t xml:space="preserve"> using the software</w:t>
      </w:r>
      <w:r>
        <w:rPr>
          <w:rFonts w:ascii="Arial" w:hAnsi="Arial" w:cs="Arial"/>
          <w:sz w:val="24"/>
          <w:szCs w:val="24"/>
        </w:rPr>
        <w:t>,</w:t>
      </w:r>
      <w:r w:rsidRPr="004D782F">
        <w:rPr>
          <w:rFonts w:ascii="Arial" w:hAnsi="Arial" w:cs="Arial"/>
          <w:sz w:val="24"/>
          <w:szCs w:val="24"/>
        </w:rPr>
        <w:t xml:space="preserve"> learners can adapt the piece of music individually. Having collaborated beforehand learners will have a foundation to work off. The app allows learners to add different instruments</w:t>
      </w:r>
      <w:r>
        <w:rPr>
          <w:rFonts w:ascii="Arial" w:hAnsi="Arial" w:cs="Arial"/>
          <w:sz w:val="24"/>
          <w:szCs w:val="24"/>
        </w:rPr>
        <w:t xml:space="preserve"> and</w:t>
      </w:r>
      <w:r w:rsidRPr="004D782F">
        <w:rPr>
          <w:rFonts w:ascii="Arial" w:hAnsi="Arial" w:cs="Arial"/>
          <w:sz w:val="24"/>
          <w:szCs w:val="24"/>
        </w:rPr>
        <w:t xml:space="preserve"> backing tracks alongside being able to correct any mistakes</w:t>
      </w:r>
      <w:r>
        <w:rPr>
          <w:rFonts w:ascii="Arial" w:hAnsi="Arial" w:cs="Arial"/>
          <w:sz w:val="24"/>
          <w:szCs w:val="24"/>
        </w:rPr>
        <w:t xml:space="preserve"> in the original recording</w:t>
      </w:r>
      <w:r w:rsidRPr="004D782F">
        <w:rPr>
          <w:rFonts w:ascii="Arial" w:hAnsi="Arial" w:cs="Arial"/>
          <w:sz w:val="24"/>
          <w:szCs w:val="24"/>
        </w:rPr>
        <w:t>. The app can give learners the opportunity to compose with instruments that are not available in the school environment, although they would not physically use the instrument they would familiarise themselves with the different sounds; moving in the direction of Successful Futures there is a great emphasis on the importance of stimulating own experimentation and creativity amongst learners (Donaldson, 2015, p.44). GarageBand (2018) is a free app</w:t>
      </w:r>
      <w:r>
        <w:rPr>
          <w:rFonts w:ascii="Arial" w:hAnsi="Arial" w:cs="Arial"/>
          <w:sz w:val="24"/>
          <w:szCs w:val="24"/>
        </w:rPr>
        <w:t xml:space="preserve">, </w:t>
      </w:r>
      <w:r w:rsidRPr="004D782F">
        <w:rPr>
          <w:rFonts w:ascii="Arial" w:hAnsi="Arial" w:cs="Arial"/>
          <w:sz w:val="24"/>
          <w:szCs w:val="24"/>
        </w:rPr>
        <w:t>although ensuring there are enough iPads and headphone sets may be a</w:t>
      </w:r>
      <w:r>
        <w:rPr>
          <w:rFonts w:ascii="Arial" w:hAnsi="Arial" w:cs="Arial"/>
          <w:sz w:val="24"/>
          <w:szCs w:val="24"/>
        </w:rPr>
        <w:t xml:space="preserve"> financial</w:t>
      </w:r>
      <w:r w:rsidRPr="004D782F">
        <w:rPr>
          <w:rFonts w:ascii="Arial" w:hAnsi="Arial" w:cs="Arial"/>
          <w:sz w:val="24"/>
          <w:szCs w:val="24"/>
        </w:rPr>
        <w:t xml:space="preserve"> issue for some schools, usually this can be overcome by planning and sharing resources across the school. </w:t>
      </w:r>
    </w:p>
    <w:p w14:paraId="5FB1DE1F"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It is important to address potential boundaries of the activity</w:t>
      </w:r>
      <w:r>
        <w:rPr>
          <w:rFonts w:ascii="Arial" w:hAnsi="Arial" w:cs="Arial"/>
          <w:sz w:val="24"/>
          <w:szCs w:val="24"/>
        </w:rPr>
        <w:t>.</w:t>
      </w:r>
      <w:r w:rsidRPr="004D782F">
        <w:rPr>
          <w:rFonts w:ascii="Arial" w:hAnsi="Arial" w:cs="Arial"/>
          <w:sz w:val="24"/>
          <w:szCs w:val="24"/>
        </w:rPr>
        <w:t xml:space="preserve"> Wilkins (2006) highlights the difficulty of measuring the success of planning music as learners may have a smaller role in groupwork. It may be difficult to pinpoint the contribution of each learner to the group activity therefore it is vital to watch groups rehearse or perform their compositions to evaluate progress. Baldwin and Beauchamp’s (2014) small study of South Wales teachers showed that teacher confidence when teaching music improved after the introduction of the Foundation Phase</w:t>
      </w:r>
      <w:r>
        <w:rPr>
          <w:rFonts w:ascii="Arial" w:hAnsi="Arial" w:cs="Arial"/>
          <w:sz w:val="24"/>
          <w:szCs w:val="24"/>
        </w:rPr>
        <w:t>, i</w:t>
      </w:r>
      <w:r w:rsidRPr="004D782F">
        <w:rPr>
          <w:rFonts w:ascii="Arial" w:hAnsi="Arial" w:cs="Arial"/>
          <w:sz w:val="24"/>
          <w:szCs w:val="24"/>
        </w:rPr>
        <w:t xml:space="preserve">ndicating that </w:t>
      </w:r>
      <w:r w:rsidRPr="004D782F">
        <w:rPr>
          <w:rFonts w:ascii="Arial" w:hAnsi="Arial" w:cs="Arial"/>
          <w:sz w:val="24"/>
          <w:szCs w:val="24"/>
        </w:rPr>
        <w:lastRenderedPageBreak/>
        <w:t xml:space="preserve">confidence may rise when Successful Futures is introduced across Key Stage 2 as the structure has similar qualities to the Foundation Phase. </w:t>
      </w:r>
    </w:p>
    <w:p w14:paraId="45A3404D"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Activity 3 – Design and Technology</w:t>
      </w:r>
    </w:p>
    <w:p w14:paraId="22E6992D"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Engaging the learners in Design and Technology provides learners with the opportunity to bring their learning together as the processes involved provide the opportunity for strong cross curricular links. Grigg (2015, p.249) values the links between design and technology and mathematics, science, computing and art to allow learners to further refine their understanding and knowledge in different contexts. Learners will refine their creative problem-solving skills as the design element draws upon their ability to harness their ideas and communicate them through drawings and annotations, being able to justify their reasoning is crucial; this can be done verbally as Clarke (2012) highlights the value of verbal communication for low attaining students as they are more competent to express ideas verbally as opposed to written work. </w:t>
      </w:r>
    </w:p>
    <w:p w14:paraId="038F069A"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Promoting economic aspects of Wales has significant value within the Developing Curriculum Cymraeg document as it values the impact of industry and agriculture on the Welsh economy (ACCAC, 2003). Learners will be using Welsh ingredients and be encouraged to think about the benefits of buying local produce (see appendix 9). The learners would be working towards the designing and making </w:t>
      </w:r>
      <w:r>
        <w:rPr>
          <w:rFonts w:ascii="Arial" w:hAnsi="Arial" w:cs="Arial"/>
          <w:sz w:val="24"/>
          <w:szCs w:val="24"/>
        </w:rPr>
        <w:t xml:space="preserve">of </w:t>
      </w:r>
      <w:r w:rsidRPr="004D782F">
        <w:rPr>
          <w:rFonts w:ascii="Arial" w:hAnsi="Arial" w:cs="Arial"/>
          <w:sz w:val="24"/>
          <w:szCs w:val="24"/>
        </w:rPr>
        <w:t>a new Welsh pizza using local Welsh ingredients. Problem-based learning promotes learner’s independence and encourages teachers to take the role of facilitator</w:t>
      </w:r>
      <w:r>
        <w:rPr>
          <w:rFonts w:ascii="Arial" w:hAnsi="Arial" w:cs="Arial"/>
          <w:sz w:val="24"/>
          <w:szCs w:val="24"/>
        </w:rPr>
        <w:t>,</w:t>
      </w:r>
      <w:r w:rsidRPr="004D782F">
        <w:rPr>
          <w:rFonts w:ascii="Arial" w:hAnsi="Arial" w:cs="Arial"/>
          <w:sz w:val="24"/>
          <w:szCs w:val="24"/>
        </w:rPr>
        <w:t xml:space="preserve"> an idea championed by Maria Montessori and John Dewey who believe the child should be the focus of learning; teachers should encourage their curiosity and motivation (O’Donnell, 2013, Aubrey and Riley, 2016). Open ended briefs allow for more innovation amongst learners as supported by Bartholomew and Strimel’s (2018) study of student success using open ended design briefs which demonstrated that allowing learners more freedom made the activity more creative and engaging tha</w:t>
      </w:r>
      <w:r>
        <w:rPr>
          <w:rFonts w:ascii="Arial" w:hAnsi="Arial" w:cs="Arial"/>
          <w:sz w:val="24"/>
          <w:szCs w:val="24"/>
        </w:rPr>
        <w:t>n</w:t>
      </w:r>
      <w:r w:rsidRPr="004D782F">
        <w:rPr>
          <w:rFonts w:ascii="Arial" w:hAnsi="Arial" w:cs="Arial"/>
          <w:sz w:val="24"/>
          <w:szCs w:val="24"/>
        </w:rPr>
        <w:t xml:space="preserve"> closed briefs</w:t>
      </w:r>
      <w:r>
        <w:rPr>
          <w:rFonts w:ascii="Arial" w:hAnsi="Arial" w:cs="Arial"/>
          <w:sz w:val="24"/>
          <w:szCs w:val="24"/>
        </w:rPr>
        <w:t>, t</w:t>
      </w:r>
      <w:r w:rsidRPr="004D782F">
        <w:rPr>
          <w:rFonts w:ascii="Arial" w:hAnsi="Arial" w:cs="Arial"/>
          <w:sz w:val="24"/>
          <w:szCs w:val="24"/>
        </w:rPr>
        <w:t xml:space="preserve">herefore, showing the value of providing learners with open ended opportunities to unlock their creativity. In contrast, Hertzog (1998) suggests open ended opportunities can risk learners losing focus, teachers losing control of the class and creating debate amongst learners about how to complete tasks. In brief, open-ended opportunities provide excellent opportunities to promote creativity but </w:t>
      </w:r>
      <w:r w:rsidRPr="004D782F">
        <w:rPr>
          <w:rFonts w:ascii="Arial" w:hAnsi="Arial" w:cs="Arial"/>
          <w:sz w:val="24"/>
          <w:szCs w:val="24"/>
        </w:rPr>
        <w:lastRenderedPageBreak/>
        <w:t>require practitioners to ensure they have effective class management strategies to engage all learners in the task.</w:t>
      </w:r>
    </w:p>
    <w:p w14:paraId="20FCFEB7"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Using think, pair, share</w:t>
      </w:r>
      <w:r>
        <w:rPr>
          <w:rFonts w:ascii="Arial" w:hAnsi="Arial" w:cs="Arial"/>
          <w:sz w:val="24"/>
          <w:szCs w:val="24"/>
        </w:rPr>
        <w:t>,</w:t>
      </w:r>
      <w:r w:rsidRPr="004D782F">
        <w:rPr>
          <w:rFonts w:ascii="Arial" w:hAnsi="Arial" w:cs="Arial"/>
          <w:sz w:val="24"/>
          <w:szCs w:val="24"/>
        </w:rPr>
        <w:t xml:space="preserve"> learners will create their design specification as a class as Clarke (2012) indicates that learners are more interested in activities when they know how to be successful. This will then be a solid base for all learners to assess their work throughout the project. The National Curriculum for Design and Technology (DCELLS, 2008b) shows the need for learners to develop their ideas (see appendix 10) and take into consideration the specification. Teachers would be promoting the ESDGC theme of choices and decisions as learners will need to evaluate their choices when designing (DCELLS, 2008e). Providing learners with problems such as working to a budget demonstrates authentic cross curricular links to numeracy which is valued in Successful Futures (Donaldson, 2015). Although, it could be argued that providing learners with a budget may slightly limit artistic creativity, it encourages learners to refine their creative problem-solving skills whilst providing a real-life experience. Vygotsky (1978, as cited in Aubrey and Riley, 2016) championed the Zone of Proximal Development (ZPD) which suggests children learn best when they are being challenged but have the support of others to achieve their potential. Similarly, Donaldson (2015) highlights the importance of developing creativity through rich contexts and challenges set out by practitioners in the anticipated curriculum. After initial designs are completed the teacher could encourage learners by scaffolding creative thinking through De Bono’s (2009) thinking hats which encourage learners to think about the facts; positives; negatives; feelings; creativity; control. Learners can be encouraged to think about the different aspects of their design, this strategy could be effective for whole class teach</w:t>
      </w:r>
      <w:r>
        <w:rPr>
          <w:rFonts w:ascii="Arial" w:hAnsi="Arial" w:cs="Arial"/>
          <w:sz w:val="24"/>
          <w:szCs w:val="24"/>
        </w:rPr>
        <w:t>ing as</w:t>
      </w:r>
      <w:r w:rsidRPr="004D782F">
        <w:rPr>
          <w:rFonts w:ascii="Arial" w:hAnsi="Arial" w:cs="Arial"/>
          <w:sz w:val="24"/>
          <w:szCs w:val="24"/>
        </w:rPr>
        <w:t xml:space="preserve"> a step by step guide</w:t>
      </w:r>
      <w:r>
        <w:rPr>
          <w:rFonts w:ascii="Arial" w:hAnsi="Arial" w:cs="Arial"/>
          <w:sz w:val="24"/>
          <w:szCs w:val="24"/>
        </w:rPr>
        <w:t>;</w:t>
      </w:r>
      <w:r w:rsidRPr="004D782F">
        <w:rPr>
          <w:rFonts w:ascii="Arial" w:hAnsi="Arial" w:cs="Arial"/>
          <w:sz w:val="24"/>
          <w:szCs w:val="24"/>
        </w:rPr>
        <w:t xml:space="preserve"> where the teacher can control the amount of time spent on each element in turn, ensuring learners do not over criticise their own work. </w:t>
      </w:r>
    </w:p>
    <w:p w14:paraId="24C471DF"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It is important to consider the accessibility of this activity for all learners, as the activity draws upon creative thinking and communication; both verbally and through drawing it may be difficult for some learners to fully engage with from the beginning due to fears of under-performing. It is crucial to provide a classroom ethos that encourages learners to have a go, not fear failure. </w:t>
      </w:r>
    </w:p>
    <w:p w14:paraId="1F51451E"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Showcasing Learners Work</w:t>
      </w:r>
    </w:p>
    <w:p w14:paraId="0BD53FDB"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lastRenderedPageBreak/>
        <w:t>Southcott (2015) suggests celebrating learners work is crucial as practitioners honour their learning and thinking across a topic. To bring the topic to an end and celebrate learners work, the class could work together to host an exhibition of their work for the local community and parents. Learners can individually organise their own spaces within the exhibition which will encourage them to take pride in the work</w:t>
      </w:r>
      <w:r>
        <w:rPr>
          <w:rFonts w:ascii="Arial" w:hAnsi="Arial" w:cs="Arial"/>
          <w:sz w:val="24"/>
          <w:szCs w:val="24"/>
        </w:rPr>
        <w:t xml:space="preserve">, </w:t>
      </w:r>
      <w:r w:rsidRPr="004D782F">
        <w:rPr>
          <w:rFonts w:ascii="Arial" w:hAnsi="Arial" w:cs="Arial"/>
          <w:sz w:val="24"/>
          <w:szCs w:val="24"/>
        </w:rPr>
        <w:t>as the personal and social framework (see appendix 11) emphasises learners valuing their own learning and achievements (DCELLS, 2008d). Learners can work together to design invites and a whole class introduction of the topic of learning for the event. Learners can design and create a program with relevant details for the evening, which would be discussed by the whole class and re-drafted to include relevant feedback. Huh (2017) indicates that allowing learners to have shared ownership promotes a communal ethos as everyone has an equal part to play</w:t>
      </w:r>
      <w:r>
        <w:rPr>
          <w:rFonts w:ascii="Arial" w:hAnsi="Arial" w:cs="Arial"/>
          <w:sz w:val="24"/>
          <w:szCs w:val="24"/>
        </w:rPr>
        <w:t>,</w:t>
      </w:r>
      <w:r w:rsidRPr="004D782F">
        <w:rPr>
          <w:rFonts w:ascii="Arial" w:hAnsi="Arial" w:cs="Arial"/>
          <w:sz w:val="24"/>
          <w:szCs w:val="24"/>
        </w:rPr>
        <w:t xml:space="preserve"> removing the higher ability stigma as Nowicki (2006, p.44) states “students who are of a lower ability are rejected or neglected by classmates” demonstrating the importance of ensuring all learners efforts are valued as equal to their peers. Engaging learners in this activity would encourage them to apply their knowledge and skills learnt across the topic such as creative thinking, problem solving and communication to organise the event. </w:t>
      </w:r>
      <w:r w:rsidRPr="004D782F">
        <w:rPr>
          <w:rFonts w:ascii="Arial" w:hAnsi="Arial" w:cs="Arial"/>
          <w:i/>
          <w:sz w:val="24"/>
          <w:szCs w:val="24"/>
        </w:rPr>
        <w:t>Developing the Curriculum Cymreig</w:t>
      </w:r>
      <w:r w:rsidRPr="004D782F">
        <w:rPr>
          <w:rFonts w:ascii="Arial" w:hAnsi="Arial" w:cs="Arial"/>
          <w:sz w:val="24"/>
          <w:szCs w:val="24"/>
        </w:rPr>
        <w:t xml:space="preserve"> document (ACCAC, 2003) highlights how learners can make progress as they begin to involve the community in their learning which would benefit their learning as they explain their own ideas regarding the subject (see appendix 12).</w:t>
      </w:r>
    </w:p>
    <w:p w14:paraId="0EFF71A1" w14:textId="77777777" w:rsidR="00397C1E" w:rsidRPr="004D782F" w:rsidRDefault="00397C1E" w:rsidP="00397C1E">
      <w:pPr>
        <w:spacing w:line="360" w:lineRule="auto"/>
        <w:rPr>
          <w:rFonts w:ascii="Arial" w:hAnsi="Arial" w:cs="Arial"/>
          <w:sz w:val="24"/>
          <w:szCs w:val="24"/>
          <w:u w:val="single"/>
        </w:rPr>
      </w:pPr>
      <w:r w:rsidRPr="004D782F">
        <w:rPr>
          <w:rFonts w:ascii="Arial" w:hAnsi="Arial" w:cs="Arial"/>
          <w:sz w:val="24"/>
          <w:szCs w:val="24"/>
          <w:u w:val="single"/>
        </w:rPr>
        <w:t>Conclusion</w:t>
      </w:r>
    </w:p>
    <w:p w14:paraId="78B6E262" w14:textId="77777777" w:rsidR="00397C1E" w:rsidRPr="004D782F" w:rsidRDefault="00397C1E" w:rsidP="00397C1E">
      <w:pPr>
        <w:spacing w:line="360" w:lineRule="auto"/>
        <w:rPr>
          <w:rFonts w:ascii="Arial" w:hAnsi="Arial" w:cs="Arial"/>
          <w:sz w:val="24"/>
          <w:szCs w:val="24"/>
        </w:rPr>
      </w:pPr>
      <w:r w:rsidRPr="004D782F">
        <w:rPr>
          <w:rFonts w:ascii="Arial" w:hAnsi="Arial" w:cs="Arial"/>
          <w:sz w:val="24"/>
          <w:szCs w:val="24"/>
        </w:rPr>
        <w:t xml:space="preserve">There is a consensus amongst academics that creativity is of great importance to ensure children develop socially, emotionally and academically. Santos and Lima (2016) suggest the expressive arts have a significant impact on children’s development providing learners with emotionally rich opportunities to develop their appreciation for not only the arts but for the world. However, there are challenges for the deliverance of strong creative activities as schools battle to make the most of their constricting budget which is detrimental to the purchasing and organising of specialist artists and resources. The Art Council of Wales (2018) have set up opportunities to offer schools funding that promote the intertwining of arts education and cultural influences through collaboration between creative professionals and schools. The document sets out the different types of funding schools can access to </w:t>
      </w:r>
      <w:r w:rsidRPr="004D782F">
        <w:rPr>
          <w:rFonts w:ascii="Arial" w:hAnsi="Arial" w:cs="Arial"/>
          <w:sz w:val="24"/>
          <w:szCs w:val="24"/>
        </w:rPr>
        <w:lastRenderedPageBreak/>
        <w:t>support and further enhance learning in the creative arts within Wales. The Welsh Government have addressed the importance of ensuring all learners participate in creative activities suggesting that the introduction of the new curriculum has been a turning point for the status of arts in education. Moving towards the implementation of Donaldson’s (2015) new curriculum</w:t>
      </w:r>
      <w:r>
        <w:rPr>
          <w:rFonts w:ascii="Arial" w:hAnsi="Arial" w:cs="Arial"/>
          <w:sz w:val="24"/>
          <w:szCs w:val="24"/>
        </w:rPr>
        <w:t xml:space="preserve">, </w:t>
      </w:r>
      <w:r w:rsidRPr="004D782F">
        <w:rPr>
          <w:rFonts w:ascii="Arial" w:hAnsi="Arial" w:cs="Arial"/>
          <w:sz w:val="24"/>
          <w:szCs w:val="24"/>
        </w:rPr>
        <w:t>it is important that practitioners partake in continual professional development as one of the biggest obstacles to overcome for many practitioners will be teacher confidence. Nolan and Molla (2017) highlight the importance of teachers feeling confident about their own capabilities to ensure learners achieve the best possible outcome from the experience. In order to boost teacher’s confidence, it would be valuable to build a strong collaborative ethos where practitioners can share ideas and strategies regarding teaching across the curriculum. The Welsh Government (2013) highlight the importance of schools having links to cultural organisations to boost creative experiences for practitioners and learners</w:t>
      </w:r>
      <w:r>
        <w:rPr>
          <w:rFonts w:ascii="Arial" w:hAnsi="Arial" w:cs="Arial"/>
          <w:sz w:val="24"/>
          <w:szCs w:val="24"/>
        </w:rPr>
        <w:t>,</w:t>
      </w:r>
      <w:r w:rsidRPr="004D782F">
        <w:rPr>
          <w:rFonts w:ascii="Arial" w:hAnsi="Arial" w:cs="Arial"/>
          <w:sz w:val="24"/>
          <w:szCs w:val="24"/>
        </w:rPr>
        <w:t xml:space="preserve"> demonstrating the need for a collaborative approach from the whole community when teaching the arts. The promotion of Curriculum Cymreig (ACCAC, 2003) is vital in holistic development of learners Welsh identity, removing the stereotypical view of Welsh identity and instead promoting a deeper understanding of the five elements of the Curriculum Cymreig ensures learners feel part of a strong community and value their Welsh heritage. </w:t>
      </w:r>
    </w:p>
    <w:p w14:paraId="1B17D2F3" w14:textId="77777777" w:rsidR="00397C1E" w:rsidRPr="004D782F" w:rsidRDefault="00397C1E" w:rsidP="00397C1E">
      <w:pPr>
        <w:spacing w:line="360" w:lineRule="auto"/>
        <w:rPr>
          <w:rFonts w:ascii="Arial" w:hAnsi="Arial" w:cs="Arial"/>
          <w:sz w:val="24"/>
          <w:szCs w:val="24"/>
        </w:rPr>
      </w:pPr>
    </w:p>
    <w:p w14:paraId="7C0465CD" w14:textId="77777777" w:rsidR="00397C1E" w:rsidRPr="004D782F" w:rsidRDefault="00397C1E" w:rsidP="00397C1E">
      <w:pPr>
        <w:spacing w:line="360" w:lineRule="auto"/>
        <w:rPr>
          <w:rFonts w:ascii="Arial" w:hAnsi="Arial" w:cs="Arial"/>
          <w:sz w:val="24"/>
          <w:szCs w:val="24"/>
        </w:rPr>
      </w:pPr>
    </w:p>
    <w:p w14:paraId="4FC26C26" w14:textId="77777777" w:rsidR="00397C1E" w:rsidRDefault="00397C1E" w:rsidP="00397C1E">
      <w:pPr>
        <w:spacing w:line="360" w:lineRule="auto"/>
        <w:rPr>
          <w:rFonts w:ascii="Arial" w:hAnsi="Arial" w:cs="Arial"/>
          <w:sz w:val="24"/>
          <w:szCs w:val="24"/>
        </w:rPr>
      </w:pPr>
      <w:r w:rsidRPr="004D782F">
        <w:rPr>
          <w:rFonts w:ascii="Arial" w:hAnsi="Arial" w:cs="Arial"/>
          <w:sz w:val="24"/>
          <w:szCs w:val="24"/>
        </w:rPr>
        <w:t xml:space="preserve">Word count </w:t>
      </w:r>
      <w:r>
        <w:rPr>
          <w:rFonts w:ascii="Arial" w:hAnsi="Arial" w:cs="Arial"/>
          <w:sz w:val="24"/>
          <w:szCs w:val="24"/>
        </w:rPr>
        <w:t>–</w:t>
      </w:r>
      <w:r w:rsidRPr="004D782F">
        <w:rPr>
          <w:rFonts w:ascii="Arial" w:hAnsi="Arial" w:cs="Arial"/>
          <w:sz w:val="24"/>
          <w:szCs w:val="24"/>
        </w:rPr>
        <w:t xml:space="preserve"> 4</w:t>
      </w:r>
      <w:r>
        <w:rPr>
          <w:rFonts w:ascii="Arial" w:hAnsi="Arial" w:cs="Arial"/>
          <w:sz w:val="24"/>
          <w:szCs w:val="24"/>
        </w:rPr>
        <w:t>031</w:t>
      </w:r>
    </w:p>
    <w:p w14:paraId="70BBBF40" w14:textId="77777777" w:rsidR="00397C1E" w:rsidRDefault="00397C1E" w:rsidP="00397C1E">
      <w:pPr>
        <w:spacing w:line="360" w:lineRule="auto"/>
        <w:rPr>
          <w:rFonts w:ascii="Arial" w:hAnsi="Arial" w:cs="Arial"/>
          <w:sz w:val="24"/>
          <w:szCs w:val="24"/>
        </w:rPr>
      </w:pPr>
    </w:p>
    <w:p w14:paraId="6DA4E518" w14:textId="77777777" w:rsidR="00397C1E" w:rsidRDefault="00397C1E" w:rsidP="00397C1E">
      <w:pPr>
        <w:spacing w:line="360" w:lineRule="auto"/>
        <w:rPr>
          <w:rFonts w:ascii="Arial" w:hAnsi="Arial" w:cs="Arial"/>
          <w:sz w:val="24"/>
          <w:szCs w:val="24"/>
        </w:rPr>
      </w:pPr>
    </w:p>
    <w:p w14:paraId="69F5CAD1" w14:textId="77777777" w:rsidR="00397C1E" w:rsidRDefault="00397C1E" w:rsidP="00397C1E">
      <w:pPr>
        <w:spacing w:line="360" w:lineRule="auto"/>
        <w:rPr>
          <w:rFonts w:ascii="Arial" w:hAnsi="Arial" w:cs="Arial"/>
          <w:sz w:val="24"/>
          <w:szCs w:val="24"/>
        </w:rPr>
      </w:pPr>
    </w:p>
    <w:p w14:paraId="1572B2EF" w14:textId="77777777" w:rsidR="00397C1E" w:rsidRDefault="00397C1E" w:rsidP="00397C1E">
      <w:pPr>
        <w:spacing w:line="360" w:lineRule="auto"/>
        <w:rPr>
          <w:rFonts w:ascii="Arial" w:hAnsi="Arial" w:cs="Arial"/>
          <w:sz w:val="24"/>
          <w:szCs w:val="24"/>
        </w:rPr>
      </w:pPr>
    </w:p>
    <w:p w14:paraId="6C4729BA" w14:textId="77777777" w:rsidR="00397C1E" w:rsidRDefault="00397C1E" w:rsidP="00397C1E">
      <w:pPr>
        <w:spacing w:line="360" w:lineRule="auto"/>
        <w:rPr>
          <w:rFonts w:ascii="Arial" w:hAnsi="Arial" w:cs="Arial"/>
          <w:sz w:val="24"/>
          <w:szCs w:val="24"/>
        </w:rPr>
      </w:pPr>
    </w:p>
    <w:p w14:paraId="0118B98A" w14:textId="77777777" w:rsidR="00397C1E" w:rsidRDefault="00397C1E" w:rsidP="00397C1E">
      <w:pPr>
        <w:spacing w:line="360" w:lineRule="auto"/>
        <w:rPr>
          <w:rFonts w:ascii="Arial" w:hAnsi="Arial" w:cs="Arial"/>
          <w:sz w:val="24"/>
          <w:szCs w:val="24"/>
        </w:rPr>
      </w:pPr>
    </w:p>
    <w:p w14:paraId="2C928514" w14:textId="77777777" w:rsidR="00397C1E" w:rsidRDefault="00397C1E" w:rsidP="00397C1E">
      <w:pPr>
        <w:spacing w:line="360" w:lineRule="auto"/>
        <w:rPr>
          <w:rFonts w:ascii="Arial" w:hAnsi="Arial" w:cs="Arial"/>
          <w:sz w:val="24"/>
          <w:szCs w:val="24"/>
        </w:rPr>
      </w:pPr>
    </w:p>
    <w:p w14:paraId="0C080E9C" w14:textId="77777777" w:rsidR="00397C1E" w:rsidRPr="004D782F" w:rsidRDefault="00397C1E" w:rsidP="00397C1E">
      <w:pPr>
        <w:spacing w:line="240" w:lineRule="auto"/>
        <w:rPr>
          <w:rFonts w:ascii="Arial" w:hAnsi="Arial" w:cs="Arial"/>
          <w:sz w:val="24"/>
          <w:szCs w:val="24"/>
          <w:u w:val="single"/>
        </w:rPr>
      </w:pPr>
      <w:r w:rsidRPr="004D782F">
        <w:rPr>
          <w:rFonts w:ascii="Arial" w:hAnsi="Arial" w:cs="Arial"/>
          <w:sz w:val="24"/>
          <w:szCs w:val="24"/>
          <w:u w:val="single"/>
        </w:rPr>
        <w:lastRenderedPageBreak/>
        <w:t>Reference List</w:t>
      </w:r>
    </w:p>
    <w:p w14:paraId="2C253A72" w14:textId="77777777" w:rsidR="00397C1E" w:rsidRPr="004D782F" w:rsidRDefault="00397C1E" w:rsidP="00397C1E">
      <w:pPr>
        <w:spacing w:line="240" w:lineRule="auto"/>
        <w:ind w:left="720" w:hanging="720"/>
        <w:rPr>
          <w:rFonts w:ascii="Arial" w:eastAsia="Times New Roman" w:hAnsi="Arial" w:cs="Arial"/>
          <w:color w:val="000000"/>
          <w:sz w:val="24"/>
          <w:szCs w:val="24"/>
          <w:lang w:eastAsia="en-GB"/>
        </w:rPr>
      </w:pPr>
      <w:r w:rsidRPr="004D782F">
        <w:rPr>
          <w:rFonts w:ascii="Arial" w:hAnsi="Arial" w:cs="Arial"/>
          <w:sz w:val="24"/>
          <w:szCs w:val="24"/>
        </w:rPr>
        <w:t xml:space="preserve">ACCAC (2003) </w:t>
      </w:r>
      <w:r w:rsidRPr="004D782F">
        <w:rPr>
          <w:rFonts w:ascii="Arial" w:eastAsia="Times New Roman" w:hAnsi="Arial" w:cs="Arial"/>
          <w:i/>
          <w:color w:val="000000"/>
          <w:sz w:val="24"/>
          <w:szCs w:val="24"/>
          <w:lang w:eastAsia="en-GB"/>
        </w:rPr>
        <w:t xml:space="preserve">Developing the Curriculum Cymreig. </w:t>
      </w:r>
      <w:r w:rsidRPr="004D782F">
        <w:rPr>
          <w:rFonts w:ascii="Arial" w:eastAsia="Times New Roman" w:hAnsi="Arial" w:cs="Arial"/>
          <w:color w:val="000000"/>
          <w:sz w:val="24"/>
          <w:szCs w:val="24"/>
          <w:lang w:eastAsia="en-GB"/>
        </w:rPr>
        <w:t xml:space="preserve">Cardiff: Welsh Assembly Government. </w:t>
      </w:r>
    </w:p>
    <w:p w14:paraId="2B3FF95A"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Arts Council for Wales. (2018) </w:t>
      </w:r>
      <w:r w:rsidRPr="004D782F">
        <w:rPr>
          <w:rFonts w:ascii="Arial" w:hAnsi="Arial" w:cs="Arial"/>
          <w:i/>
          <w:sz w:val="24"/>
          <w:szCs w:val="24"/>
        </w:rPr>
        <w:t xml:space="preserve">Experiencing the Arts Fund. Available at: </w:t>
      </w:r>
      <w:hyperlink r:id="rId6" w:history="1">
        <w:r w:rsidRPr="004D782F">
          <w:rPr>
            <w:rStyle w:val="Hyperlink"/>
            <w:rFonts w:ascii="Arial" w:hAnsi="Arial" w:cs="Arial"/>
            <w:sz w:val="24"/>
            <w:szCs w:val="24"/>
          </w:rPr>
          <w:t>file:///C:/Users/Laptop/Downl</w:t>
        </w:r>
        <w:r w:rsidRPr="004D782F">
          <w:rPr>
            <w:rStyle w:val="Hyperlink"/>
            <w:rFonts w:ascii="Arial" w:hAnsi="Arial" w:cs="Arial"/>
            <w:sz w:val="24"/>
            <w:szCs w:val="24"/>
          </w:rPr>
          <w:t>o</w:t>
        </w:r>
        <w:r w:rsidRPr="004D782F">
          <w:rPr>
            <w:rStyle w:val="Hyperlink"/>
            <w:rFonts w:ascii="Arial" w:hAnsi="Arial" w:cs="Arial"/>
            <w:sz w:val="24"/>
            <w:szCs w:val="24"/>
          </w:rPr>
          <w:t>ads/Experiencing_the_Arts_Fund__March_2018.pdf</w:t>
        </w:r>
      </w:hyperlink>
      <w:r w:rsidRPr="004D782F">
        <w:rPr>
          <w:rFonts w:ascii="Arial" w:hAnsi="Arial" w:cs="Arial"/>
          <w:sz w:val="24"/>
          <w:szCs w:val="24"/>
        </w:rPr>
        <w:t xml:space="preserve"> (Accessed: 21</w:t>
      </w:r>
      <w:r w:rsidRPr="004D782F">
        <w:rPr>
          <w:rFonts w:ascii="Arial" w:hAnsi="Arial" w:cs="Arial"/>
          <w:sz w:val="24"/>
          <w:szCs w:val="24"/>
          <w:vertAlign w:val="superscript"/>
        </w:rPr>
        <w:t>st</w:t>
      </w:r>
      <w:r w:rsidRPr="004D782F">
        <w:rPr>
          <w:rFonts w:ascii="Arial" w:hAnsi="Arial" w:cs="Arial"/>
          <w:sz w:val="24"/>
          <w:szCs w:val="24"/>
        </w:rPr>
        <w:t xml:space="preserve"> October 2018).</w:t>
      </w:r>
    </w:p>
    <w:p w14:paraId="504DA9EE"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Aubrey, K and Riley, A. (2016) </w:t>
      </w:r>
      <w:r w:rsidRPr="004D782F">
        <w:rPr>
          <w:rFonts w:ascii="Arial" w:hAnsi="Arial" w:cs="Arial"/>
          <w:i/>
          <w:sz w:val="24"/>
          <w:szCs w:val="24"/>
        </w:rPr>
        <w:t>Understanding and Using Educational Theories</w:t>
      </w:r>
      <w:r w:rsidRPr="004D782F">
        <w:rPr>
          <w:rFonts w:ascii="Arial" w:hAnsi="Arial" w:cs="Arial"/>
          <w:sz w:val="24"/>
          <w:szCs w:val="24"/>
        </w:rPr>
        <w:t>. London: SAGE.</w:t>
      </w:r>
    </w:p>
    <w:p w14:paraId="4E7CE272"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Baldwin, L. and Beauchamp, G. (2014) ‘A study of teacher confidence in teaching music within the context of the introduction of the Foundation Phase (3-7 years) statutory Education Programme in Wales’</w:t>
      </w:r>
      <w:r w:rsidRPr="004D782F">
        <w:rPr>
          <w:rFonts w:ascii="Arial" w:hAnsi="Arial" w:cs="Arial"/>
          <w:i/>
          <w:sz w:val="24"/>
          <w:szCs w:val="24"/>
        </w:rPr>
        <w:t>, British Journal of Music Education</w:t>
      </w:r>
      <w:r w:rsidRPr="004D782F">
        <w:rPr>
          <w:rFonts w:ascii="Arial" w:hAnsi="Arial" w:cs="Arial"/>
          <w:sz w:val="24"/>
          <w:szCs w:val="24"/>
        </w:rPr>
        <w:t>, 31(2), pp. 195-208.</w:t>
      </w:r>
    </w:p>
    <w:p w14:paraId="2807FC7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Bartholomew, S and Strimel, G. (2018) ‘Factors influencing student success on open-ended design problems’, </w:t>
      </w:r>
      <w:r w:rsidRPr="004D782F">
        <w:rPr>
          <w:rFonts w:ascii="Arial" w:hAnsi="Arial" w:cs="Arial"/>
          <w:i/>
          <w:sz w:val="24"/>
          <w:szCs w:val="24"/>
        </w:rPr>
        <w:t>International Journal of Technology &amp; Design Education</w:t>
      </w:r>
      <w:r w:rsidRPr="004D782F">
        <w:rPr>
          <w:rFonts w:ascii="Arial" w:hAnsi="Arial" w:cs="Arial"/>
          <w:sz w:val="24"/>
          <w:szCs w:val="24"/>
        </w:rPr>
        <w:t>, 28(3), pp.753–771.</w:t>
      </w:r>
    </w:p>
    <w:p w14:paraId="556C4A66"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Barnes, J. (2015) </w:t>
      </w:r>
      <w:r w:rsidRPr="004D782F">
        <w:rPr>
          <w:rFonts w:ascii="Arial" w:hAnsi="Arial" w:cs="Arial"/>
          <w:i/>
          <w:sz w:val="24"/>
          <w:szCs w:val="24"/>
        </w:rPr>
        <w:t>Cross-curricular learning 3-14.</w:t>
      </w:r>
      <w:r w:rsidRPr="004D782F">
        <w:rPr>
          <w:rFonts w:ascii="Arial" w:hAnsi="Arial" w:cs="Arial"/>
          <w:sz w:val="24"/>
          <w:szCs w:val="24"/>
        </w:rPr>
        <w:t xml:space="preserve"> 3rd ed. Los Angeles: Sage Publications.</w:t>
      </w:r>
    </w:p>
    <w:p w14:paraId="366F129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Burnard, P. and Murphy, R. (2017) </w:t>
      </w:r>
      <w:r w:rsidRPr="004D782F">
        <w:rPr>
          <w:rFonts w:ascii="Arial" w:hAnsi="Arial" w:cs="Arial"/>
          <w:i/>
          <w:sz w:val="24"/>
          <w:szCs w:val="24"/>
        </w:rPr>
        <w:t>Teaching music creatively</w:t>
      </w:r>
      <w:r w:rsidRPr="004D782F">
        <w:rPr>
          <w:rFonts w:ascii="Arial" w:hAnsi="Arial" w:cs="Arial"/>
          <w:sz w:val="24"/>
          <w:szCs w:val="24"/>
        </w:rPr>
        <w:t>. Second edition. New York: Routledge.</w:t>
      </w:r>
    </w:p>
    <w:p w14:paraId="5E299F32"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Bell, A. P. (2015) ‘Can We Afford These Affordances? GarageBand and the Double-Edged Sword of the Digital Audio Workstation’, </w:t>
      </w:r>
      <w:r w:rsidRPr="004D782F">
        <w:rPr>
          <w:rFonts w:ascii="Arial" w:hAnsi="Arial" w:cs="Arial"/>
          <w:i/>
          <w:sz w:val="24"/>
          <w:szCs w:val="24"/>
        </w:rPr>
        <w:t>Action, Criticism &amp; Theory for Music Education</w:t>
      </w:r>
      <w:r w:rsidRPr="004D782F">
        <w:rPr>
          <w:rFonts w:ascii="Arial" w:hAnsi="Arial" w:cs="Arial"/>
          <w:sz w:val="24"/>
          <w:szCs w:val="24"/>
        </w:rPr>
        <w:t xml:space="preserve">, 14(1), pp. 44–65. </w:t>
      </w:r>
    </w:p>
    <w:p w14:paraId="7DCD27AA"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ChatterPix Kids, version 1.3, 2016, mobile app, Duck Duck Moose, Apple App Store.</w:t>
      </w:r>
    </w:p>
    <w:p w14:paraId="4277912E"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Clarke, S. (2008) </w:t>
      </w:r>
      <w:r w:rsidRPr="004D782F">
        <w:rPr>
          <w:rFonts w:ascii="Arial" w:hAnsi="Arial" w:cs="Arial"/>
          <w:i/>
          <w:sz w:val="24"/>
          <w:szCs w:val="24"/>
        </w:rPr>
        <w:t>Active learning through formative assessment</w:t>
      </w:r>
      <w:r w:rsidRPr="004D782F">
        <w:rPr>
          <w:rFonts w:ascii="Arial" w:hAnsi="Arial" w:cs="Arial"/>
          <w:sz w:val="24"/>
          <w:szCs w:val="24"/>
        </w:rPr>
        <w:t>. London: Hodder Murray.</w:t>
      </w:r>
    </w:p>
    <w:p w14:paraId="00096543"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Creative Industries Council. (2014) </w:t>
      </w:r>
      <w:r w:rsidRPr="004D782F">
        <w:rPr>
          <w:rFonts w:ascii="Arial" w:hAnsi="Arial" w:cs="Arial"/>
          <w:i/>
          <w:sz w:val="24"/>
          <w:szCs w:val="24"/>
        </w:rPr>
        <w:t>Creative Industries Strategy.</w:t>
      </w:r>
      <w:r w:rsidRPr="004D782F">
        <w:rPr>
          <w:rFonts w:ascii="Arial" w:hAnsi="Arial" w:cs="Arial"/>
          <w:sz w:val="24"/>
          <w:szCs w:val="24"/>
        </w:rPr>
        <w:t xml:space="preserve"> Available at: </w:t>
      </w:r>
      <w:hyperlink r:id="rId7" w:history="1">
        <w:r w:rsidRPr="004D782F">
          <w:rPr>
            <w:rStyle w:val="Hyperlink"/>
            <w:rFonts w:ascii="Arial" w:hAnsi="Arial" w:cs="Arial"/>
            <w:sz w:val="24"/>
            <w:szCs w:val="24"/>
          </w:rPr>
          <w:t>http://www.thecreativeindustries.co.uk/media/243587/cic_report_final-hi-res-.pdf</w:t>
        </w:r>
      </w:hyperlink>
      <w:r w:rsidRPr="004D782F">
        <w:rPr>
          <w:rFonts w:ascii="Arial" w:hAnsi="Arial" w:cs="Arial"/>
          <w:sz w:val="24"/>
          <w:szCs w:val="24"/>
        </w:rPr>
        <w:t xml:space="preserve"> (Accessed: 23</w:t>
      </w:r>
      <w:r w:rsidRPr="004D782F">
        <w:rPr>
          <w:rFonts w:ascii="Arial" w:hAnsi="Arial" w:cs="Arial"/>
          <w:sz w:val="24"/>
          <w:szCs w:val="24"/>
          <w:vertAlign w:val="superscript"/>
        </w:rPr>
        <w:t>rd</w:t>
      </w:r>
      <w:r w:rsidRPr="004D782F">
        <w:rPr>
          <w:rFonts w:ascii="Arial" w:hAnsi="Arial" w:cs="Arial"/>
          <w:sz w:val="24"/>
          <w:szCs w:val="24"/>
        </w:rPr>
        <w:t xml:space="preserve"> October 2018). </w:t>
      </w:r>
    </w:p>
    <w:p w14:paraId="037E5CC3"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De Bono, E. (2009) </w:t>
      </w:r>
      <w:r w:rsidRPr="004D782F">
        <w:rPr>
          <w:rFonts w:ascii="Arial" w:hAnsi="Arial" w:cs="Arial"/>
          <w:i/>
          <w:sz w:val="24"/>
          <w:szCs w:val="24"/>
        </w:rPr>
        <w:t>Six thinking hats revised and updated</w:t>
      </w:r>
      <w:r w:rsidRPr="004D782F">
        <w:rPr>
          <w:rFonts w:ascii="Arial" w:hAnsi="Arial" w:cs="Arial"/>
          <w:sz w:val="24"/>
          <w:szCs w:val="24"/>
        </w:rPr>
        <w:t>. London: Penguin.</w:t>
      </w:r>
    </w:p>
    <w:p w14:paraId="21B958C5"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Desailly, J. (2012) </w:t>
      </w:r>
      <w:r w:rsidRPr="004D782F">
        <w:rPr>
          <w:rFonts w:ascii="Arial" w:hAnsi="Arial" w:cs="Arial"/>
          <w:i/>
          <w:sz w:val="24"/>
          <w:szCs w:val="24"/>
        </w:rPr>
        <w:t>Creativity in the primary classroom</w:t>
      </w:r>
      <w:r w:rsidRPr="004D782F">
        <w:rPr>
          <w:rFonts w:ascii="Arial" w:hAnsi="Arial" w:cs="Arial"/>
          <w:sz w:val="24"/>
          <w:szCs w:val="24"/>
        </w:rPr>
        <w:t>. London: SAGE.</w:t>
      </w:r>
    </w:p>
    <w:p w14:paraId="5E8F39FA"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Donaldson, G. (2015) </w:t>
      </w:r>
      <w:r w:rsidRPr="004D782F">
        <w:rPr>
          <w:rFonts w:ascii="Arial" w:hAnsi="Arial" w:cs="Arial"/>
          <w:i/>
          <w:sz w:val="24"/>
          <w:szCs w:val="24"/>
        </w:rPr>
        <w:t>Successful Futures; Independent Review of Curriculum and Assessment Arrangements in Wales in Wales</w:t>
      </w:r>
      <w:r w:rsidRPr="004D782F">
        <w:rPr>
          <w:rFonts w:ascii="Arial" w:hAnsi="Arial" w:cs="Arial"/>
          <w:sz w:val="24"/>
          <w:szCs w:val="24"/>
        </w:rPr>
        <w:t>. OGL: Crown Copyright 2015.</w:t>
      </w:r>
    </w:p>
    <w:p w14:paraId="37B00D3A"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Estrella, M. Á. (2010) ‘The Vital Importance of the Arts in Personal Development’, </w:t>
      </w:r>
      <w:r w:rsidRPr="004D782F">
        <w:rPr>
          <w:rFonts w:ascii="Arial" w:hAnsi="Arial" w:cs="Arial"/>
          <w:i/>
          <w:sz w:val="24"/>
          <w:szCs w:val="24"/>
        </w:rPr>
        <w:t>Museum International</w:t>
      </w:r>
      <w:r w:rsidRPr="004D782F">
        <w:rPr>
          <w:rFonts w:ascii="Arial" w:hAnsi="Arial" w:cs="Arial"/>
          <w:sz w:val="24"/>
          <w:szCs w:val="24"/>
        </w:rPr>
        <w:t xml:space="preserve">, 62(3), pp. 26–30. </w:t>
      </w:r>
    </w:p>
    <w:p w14:paraId="77F84900"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Friesen, D. and Bettger, P. (2015) ‘Creative Ideas for the Music Classroom: Graphic Scoring Ideas and Resources</w:t>
      </w:r>
      <w:r w:rsidRPr="004D782F">
        <w:rPr>
          <w:rFonts w:ascii="Arial" w:hAnsi="Arial" w:cs="Arial"/>
          <w:i/>
          <w:sz w:val="24"/>
          <w:szCs w:val="24"/>
        </w:rPr>
        <w:t>’, Canadian Music Educator / Musicien Educateur au Canada</w:t>
      </w:r>
      <w:r w:rsidRPr="004D782F">
        <w:rPr>
          <w:rFonts w:ascii="Arial" w:hAnsi="Arial" w:cs="Arial"/>
          <w:sz w:val="24"/>
          <w:szCs w:val="24"/>
        </w:rPr>
        <w:t>, 56(3), pp.5–7.</w:t>
      </w:r>
    </w:p>
    <w:p w14:paraId="0B158A87"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GarageBand, Version 2.3.6, 2018, mobile app, Apple, Apple App Store. </w:t>
      </w:r>
    </w:p>
    <w:p w14:paraId="54700487"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Gardener, H. (1999) </w:t>
      </w:r>
      <w:r w:rsidRPr="004D782F">
        <w:rPr>
          <w:rFonts w:ascii="Arial" w:hAnsi="Arial" w:cs="Arial"/>
          <w:i/>
          <w:sz w:val="24"/>
          <w:szCs w:val="24"/>
        </w:rPr>
        <w:t>Intelligence Reframed: Multiple Intelligences for the 21</w:t>
      </w:r>
      <w:r w:rsidRPr="004D782F">
        <w:rPr>
          <w:rFonts w:ascii="Arial" w:hAnsi="Arial" w:cs="Arial"/>
          <w:i/>
          <w:sz w:val="24"/>
          <w:szCs w:val="24"/>
          <w:vertAlign w:val="superscript"/>
        </w:rPr>
        <w:t>st</w:t>
      </w:r>
      <w:r w:rsidRPr="004D782F">
        <w:rPr>
          <w:rFonts w:ascii="Arial" w:hAnsi="Arial" w:cs="Arial"/>
          <w:i/>
          <w:sz w:val="24"/>
          <w:szCs w:val="24"/>
        </w:rPr>
        <w:t xml:space="preserve"> Century</w:t>
      </w:r>
      <w:r w:rsidRPr="004D782F">
        <w:rPr>
          <w:rFonts w:ascii="Arial" w:hAnsi="Arial" w:cs="Arial"/>
          <w:sz w:val="24"/>
          <w:szCs w:val="24"/>
        </w:rPr>
        <w:t>. New York: Basic Books.</w:t>
      </w:r>
    </w:p>
    <w:p w14:paraId="686AA4AE"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lastRenderedPageBreak/>
        <w:t xml:space="preserve">González-Gómez &amp; Richter, (2015) ‘Turning shame into creativity: The importance of exposure to creative team environments’, </w:t>
      </w:r>
      <w:r w:rsidRPr="004D782F">
        <w:rPr>
          <w:rFonts w:ascii="Arial" w:hAnsi="Arial" w:cs="Arial"/>
          <w:i/>
          <w:sz w:val="24"/>
          <w:szCs w:val="24"/>
        </w:rPr>
        <w:t>Organizational Behavior and Human Decision Processes</w:t>
      </w:r>
      <w:r w:rsidRPr="004D782F">
        <w:rPr>
          <w:rFonts w:ascii="Arial" w:hAnsi="Arial" w:cs="Arial"/>
          <w:sz w:val="24"/>
          <w:szCs w:val="24"/>
        </w:rPr>
        <w:t xml:space="preserve">, 126(C), pp.142–161. </w:t>
      </w:r>
    </w:p>
    <w:p w14:paraId="5E3C87C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Grigg, R. (2015) </w:t>
      </w:r>
      <w:r w:rsidRPr="004D782F">
        <w:rPr>
          <w:rFonts w:ascii="Arial" w:hAnsi="Arial" w:cs="Arial"/>
          <w:i/>
          <w:sz w:val="24"/>
          <w:szCs w:val="24"/>
        </w:rPr>
        <w:t>Becoming an outstanding primary school teacher</w:t>
      </w:r>
      <w:r w:rsidRPr="004D782F">
        <w:rPr>
          <w:rFonts w:ascii="Arial" w:hAnsi="Arial" w:cs="Arial"/>
          <w:sz w:val="24"/>
          <w:szCs w:val="24"/>
        </w:rPr>
        <w:t xml:space="preserve">. Second Edition. London: Routledge. </w:t>
      </w:r>
    </w:p>
    <w:p w14:paraId="533255C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Hertzog, N. B. (1998) ‘Using open-ended learning activities to empower teachers and students’, </w:t>
      </w:r>
      <w:r w:rsidRPr="004D782F">
        <w:rPr>
          <w:rFonts w:ascii="Arial" w:hAnsi="Arial" w:cs="Arial"/>
          <w:i/>
          <w:sz w:val="24"/>
          <w:szCs w:val="24"/>
        </w:rPr>
        <w:t>Teaching Exceptional Children</w:t>
      </w:r>
      <w:r w:rsidRPr="004D782F">
        <w:rPr>
          <w:rFonts w:ascii="Arial" w:hAnsi="Arial" w:cs="Arial"/>
          <w:sz w:val="24"/>
          <w:szCs w:val="24"/>
        </w:rPr>
        <w:t xml:space="preserve">, 30(6), pp. 26–31. </w:t>
      </w:r>
    </w:p>
    <w:p w14:paraId="4D10B33D"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Huh, M. (2017) ‘Young children’s understanding of the limits and benefits of group ownership’, </w:t>
      </w:r>
      <w:r w:rsidRPr="004D782F">
        <w:rPr>
          <w:rFonts w:ascii="Arial" w:hAnsi="Arial" w:cs="Arial"/>
          <w:i/>
          <w:sz w:val="24"/>
          <w:szCs w:val="24"/>
        </w:rPr>
        <w:t>Developmental Psychology</w:t>
      </w:r>
      <w:r w:rsidRPr="004D782F">
        <w:rPr>
          <w:rFonts w:ascii="Arial" w:hAnsi="Arial" w:cs="Arial"/>
          <w:sz w:val="24"/>
          <w:szCs w:val="24"/>
        </w:rPr>
        <w:t>, 53(4), pp.686–698.</w:t>
      </w:r>
    </w:p>
    <w:p w14:paraId="14B91B1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Hutson, G. and Howard, R. (2018) ‘Protected Area Risk Communication: Baseline Practices for Outdoor Recreation’, </w:t>
      </w:r>
      <w:r w:rsidRPr="004D782F">
        <w:rPr>
          <w:rFonts w:ascii="Arial" w:hAnsi="Arial" w:cs="Arial"/>
          <w:i/>
          <w:sz w:val="24"/>
          <w:szCs w:val="24"/>
        </w:rPr>
        <w:t>Journal of Outdoor Recreation</w:t>
      </w:r>
      <w:r w:rsidRPr="004D782F">
        <w:rPr>
          <w:rFonts w:ascii="Arial" w:hAnsi="Arial" w:cs="Arial"/>
          <w:sz w:val="24"/>
          <w:szCs w:val="24"/>
        </w:rPr>
        <w:t xml:space="preserve">, </w:t>
      </w:r>
      <w:r w:rsidRPr="004D782F">
        <w:rPr>
          <w:rFonts w:ascii="Arial" w:hAnsi="Arial" w:cs="Arial"/>
          <w:i/>
          <w:sz w:val="24"/>
          <w:szCs w:val="24"/>
        </w:rPr>
        <w:t>Education &amp; Leadership</w:t>
      </w:r>
      <w:r w:rsidRPr="004D782F">
        <w:rPr>
          <w:rFonts w:ascii="Arial" w:hAnsi="Arial" w:cs="Arial"/>
          <w:sz w:val="24"/>
          <w:szCs w:val="24"/>
        </w:rPr>
        <w:t>, 10(3), pp.187–197.</w:t>
      </w:r>
    </w:p>
    <w:p w14:paraId="1C519C86"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Jacoby-Garrett, P. (2018) ‘Take It Outside: The Key to Engaging Young Children with Nature’, </w:t>
      </w:r>
      <w:r w:rsidRPr="004D782F">
        <w:rPr>
          <w:rFonts w:ascii="Arial" w:hAnsi="Arial" w:cs="Arial"/>
          <w:i/>
          <w:sz w:val="24"/>
          <w:szCs w:val="24"/>
        </w:rPr>
        <w:t>Parks &amp; Recreation,</w:t>
      </w:r>
      <w:r w:rsidRPr="004D782F">
        <w:rPr>
          <w:rFonts w:ascii="Arial" w:hAnsi="Arial" w:cs="Arial"/>
          <w:sz w:val="24"/>
          <w:szCs w:val="24"/>
        </w:rPr>
        <w:t xml:space="preserve"> 53(4), pp.50–55.</w:t>
      </w:r>
    </w:p>
    <w:p w14:paraId="01EE7FA0"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Lear, J. Hodge, K. Schulz, S. (2014) ‘TALK TO ME!! Effective, Efficient Communication’, </w:t>
      </w:r>
      <w:r w:rsidRPr="004D782F">
        <w:rPr>
          <w:rFonts w:ascii="Arial" w:hAnsi="Arial" w:cs="Arial"/>
          <w:i/>
          <w:sz w:val="24"/>
          <w:szCs w:val="24"/>
        </w:rPr>
        <w:t>Journal of Research in Business Education</w:t>
      </w:r>
      <w:r w:rsidRPr="004D782F">
        <w:rPr>
          <w:rFonts w:ascii="Arial" w:hAnsi="Arial" w:cs="Arial"/>
          <w:sz w:val="24"/>
          <w:szCs w:val="24"/>
        </w:rPr>
        <w:t>, 56(2), pp.64–78.</w:t>
      </w:r>
    </w:p>
    <w:p w14:paraId="35A2C06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Lugar-Brettin, S. (2014) ‘Mapping Bridges to Creative Collaboration’</w:t>
      </w:r>
      <w:r w:rsidRPr="004D782F">
        <w:rPr>
          <w:rFonts w:ascii="Arial" w:hAnsi="Arial" w:cs="Arial"/>
          <w:i/>
          <w:sz w:val="24"/>
          <w:szCs w:val="24"/>
        </w:rPr>
        <w:t>, Business Education Innovation Journal</w:t>
      </w:r>
      <w:r w:rsidRPr="004D782F">
        <w:rPr>
          <w:rFonts w:ascii="Arial" w:hAnsi="Arial" w:cs="Arial"/>
          <w:sz w:val="24"/>
          <w:szCs w:val="24"/>
        </w:rPr>
        <w:t>, 6(1), pp.24–27.</w:t>
      </w:r>
    </w:p>
    <w:p w14:paraId="3FBC918E"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McCoubrey, R. (2018) </w:t>
      </w:r>
      <w:r w:rsidRPr="004D782F">
        <w:rPr>
          <w:rFonts w:ascii="Arial" w:hAnsi="Arial" w:cs="Arial"/>
          <w:i/>
          <w:sz w:val="24"/>
          <w:szCs w:val="24"/>
        </w:rPr>
        <w:t>Rodney ‘Rodrigo’ McCoubrey</w:t>
      </w:r>
      <w:r w:rsidRPr="004D782F">
        <w:rPr>
          <w:rFonts w:ascii="Arial" w:hAnsi="Arial" w:cs="Arial"/>
          <w:sz w:val="24"/>
          <w:szCs w:val="24"/>
        </w:rPr>
        <w:t xml:space="preserve">. Available at: </w:t>
      </w:r>
      <w:hyperlink r:id="rId8" w:history="1">
        <w:r w:rsidRPr="004D782F">
          <w:rPr>
            <w:rStyle w:val="Hyperlink"/>
            <w:rFonts w:ascii="Arial" w:hAnsi="Arial" w:cs="Arial"/>
            <w:sz w:val="24"/>
            <w:szCs w:val="24"/>
          </w:rPr>
          <w:t>https://www.rodrigosrecycledart.com/</w:t>
        </w:r>
      </w:hyperlink>
      <w:hyperlink r:id="rId9" w:history="1">
        <w:r w:rsidRPr="004D782F">
          <w:rPr>
            <w:rStyle w:val="Hyperlink"/>
            <w:rFonts w:ascii="Arial" w:hAnsi="Arial" w:cs="Arial"/>
            <w:sz w:val="24"/>
            <w:szCs w:val="24"/>
          </w:rPr>
          <w:t>archive</w:t>
        </w:r>
      </w:hyperlink>
      <w:r w:rsidRPr="004D782F">
        <w:rPr>
          <w:rFonts w:ascii="Arial" w:hAnsi="Arial" w:cs="Arial"/>
          <w:sz w:val="24"/>
          <w:szCs w:val="24"/>
        </w:rPr>
        <w:t xml:space="preserve"> (Accessed: 15</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4028C668"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Munday, I. (2016) ‘A Creative Education for the Day after Tomorrow’, </w:t>
      </w:r>
      <w:r w:rsidRPr="004D782F">
        <w:rPr>
          <w:rFonts w:ascii="Arial" w:hAnsi="Arial" w:cs="Arial"/>
          <w:i/>
          <w:sz w:val="24"/>
          <w:szCs w:val="24"/>
        </w:rPr>
        <w:t>Journal of Philosophy of Education</w:t>
      </w:r>
      <w:r w:rsidRPr="004D782F">
        <w:rPr>
          <w:rFonts w:ascii="Arial" w:hAnsi="Arial" w:cs="Arial"/>
          <w:sz w:val="24"/>
          <w:szCs w:val="24"/>
        </w:rPr>
        <w:t xml:space="preserve">, 50(1), pp. 49–61. </w:t>
      </w:r>
    </w:p>
    <w:p w14:paraId="77506B1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Robinson, K. (1999) </w:t>
      </w:r>
      <w:r w:rsidRPr="004D782F">
        <w:rPr>
          <w:rFonts w:ascii="Arial" w:hAnsi="Arial" w:cs="Arial"/>
          <w:i/>
          <w:sz w:val="24"/>
          <w:szCs w:val="24"/>
        </w:rPr>
        <w:t xml:space="preserve">All of Our Futures: Creativity, Culture and Education. </w:t>
      </w:r>
      <w:r w:rsidRPr="004D782F">
        <w:rPr>
          <w:rFonts w:ascii="Arial" w:hAnsi="Arial" w:cs="Arial"/>
          <w:sz w:val="24"/>
          <w:szCs w:val="24"/>
        </w:rPr>
        <w:t>London: NACCCE.</w:t>
      </w:r>
    </w:p>
    <w:p w14:paraId="6329D727"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Nolan, A. Molla, T. (2017) ‘Teacher confidence and professional capital’, </w:t>
      </w:r>
      <w:r w:rsidRPr="004D782F">
        <w:rPr>
          <w:rFonts w:ascii="Arial" w:hAnsi="Arial" w:cs="Arial"/>
          <w:i/>
          <w:sz w:val="24"/>
          <w:szCs w:val="24"/>
        </w:rPr>
        <w:t>Teaching &amp; Teacher Education</w:t>
      </w:r>
      <w:r w:rsidRPr="004D782F">
        <w:rPr>
          <w:rFonts w:ascii="Arial" w:hAnsi="Arial" w:cs="Arial"/>
          <w:sz w:val="24"/>
          <w:szCs w:val="24"/>
        </w:rPr>
        <w:t xml:space="preserve">, 62, pp.10–19. </w:t>
      </w:r>
    </w:p>
    <w:p w14:paraId="572FE62F"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Nowicki, E.A., (2006) ‘Children's Cognitions, Behavioural Intent, and Affect Toward Girls and Boys of Lower or Higher Learning Ability’, </w:t>
      </w:r>
      <w:r w:rsidRPr="004D782F">
        <w:rPr>
          <w:rFonts w:ascii="Arial" w:hAnsi="Arial" w:cs="Arial"/>
          <w:i/>
          <w:sz w:val="24"/>
          <w:szCs w:val="24"/>
        </w:rPr>
        <w:t>Learning Disabilities - A Contemporary Journal</w:t>
      </w:r>
      <w:r w:rsidRPr="004D782F">
        <w:rPr>
          <w:rFonts w:ascii="Arial" w:hAnsi="Arial" w:cs="Arial"/>
          <w:sz w:val="24"/>
          <w:szCs w:val="24"/>
        </w:rPr>
        <w:t>, 4(2), pp.43–58.</w:t>
      </w:r>
    </w:p>
    <w:p w14:paraId="639E6BF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O'Donnell, M. (2013) </w:t>
      </w:r>
      <w:r w:rsidRPr="004D782F">
        <w:rPr>
          <w:rFonts w:ascii="Arial" w:hAnsi="Arial" w:cs="Arial"/>
          <w:i/>
          <w:sz w:val="24"/>
          <w:szCs w:val="24"/>
        </w:rPr>
        <w:t>Maria Montessori a critical introduction to key themes and debates</w:t>
      </w:r>
      <w:r w:rsidRPr="004D782F">
        <w:rPr>
          <w:rFonts w:ascii="Arial" w:hAnsi="Arial" w:cs="Arial"/>
          <w:sz w:val="24"/>
          <w:szCs w:val="24"/>
        </w:rPr>
        <w:t>. London; New York: Bloomsbury.</w:t>
      </w:r>
    </w:p>
    <w:p w14:paraId="4F9FF8B5"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Petersen, G. (2013) </w:t>
      </w:r>
      <w:r w:rsidRPr="004D782F">
        <w:rPr>
          <w:rFonts w:ascii="Arial" w:hAnsi="Arial" w:cs="Arial"/>
          <w:i/>
          <w:sz w:val="24"/>
          <w:szCs w:val="24"/>
        </w:rPr>
        <w:t>Gideon Petersen</w:t>
      </w:r>
      <w:r w:rsidRPr="004D782F">
        <w:rPr>
          <w:rFonts w:ascii="Arial" w:hAnsi="Arial" w:cs="Arial"/>
          <w:sz w:val="24"/>
          <w:szCs w:val="24"/>
        </w:rPr>
        <w:t xml:space="preserve">. Available at:  </w:t>
      </w:r>
      <w:hyperlink r:id="rId10" w:history="1">
        <w:r w:rsidRPr="004D782F">
          <w:rPr>
            <w:rStyle w:val="Hyperlink"/>
            <w:rFonts w:ascii="Arial" w:hAnsi="Arial" w:cs="Arial"/>
            <w:sz w:val="24"/>
            <w:szCs w:val="24"/>
          </w:rPr>
          <w:t>http://www.creativespiral.co.uk/</w:t>
        </w:r>
      </w:hyperlink>
      <w:r w:rsidRPr="004D782F">
        <w:rPr>
          <w:rFonts w:ascii="Arial" w:hAnsi="Arial" w:cs="Arial"/>
          <w:sz w:val="24"/>
          <w:szCs w:val="24"/>
        </w:rPr>
        <w:t xml:space="preserve"> (Accessed: 15</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471510C5"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Pugh, T (2017) </w:t>
      </w:r>
      <w:r w:rsidRPr="004D782F">
        <w:rPr>
          <w:rFonts w:ascii="Arial" w:hAnsi="Arial" w:cs="Arial"/>
          <w:i/>
          <w:sz w:val="24"/>
          <w:szCs w:val="24"/>
        </w:rPr>
        <w:t>Tim Pugh – Environment Artist</w:t>
      </w:r>
      <w:r w:rsidRPr="004D782F">
        <w:rPr>
          <w:rFonts w:ascii="Arial" w:hAnsi="Arial" w:cs="Arial"/>
          <w:sz w:val="24"/>
          <w:szCs w:val="24"/>
        </w:rPr>
        <w:t xml:space="preserve">. Available at: </w:t>
      </w:r>
      <w:hyperlink r:id="rId11" w:history="1">
        <w:r w:rsidRPr="004D782F">
          <w:rPr>
            <w:rStyle w:val="Hyperlink"/>
            <w:rFonts w:ascii="Arial" w:hAnsi="Arial" w:cs="Arial"/>
            <w:sz w:val="24"/>
            <w:szCs w:val="24"/>
          </w:rPr>
          <w:t>http://www.timpugh.co.uk/</w:t>
        </w:r>
      </w:hyperlink>
      <w:r w:rsidRPr="004D782F">
        <w:rPr>
          <w:rFonts w:ascii="Arial" w:hAnsi="Arial" w:cs="Arial"/>
          <w:sz w:val="24"/>
          <w:szCs w:val="24"/>
        </w:rPr>
        <w:t xml:space="preserve"> (Accessed: 15</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0E31275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Roper, K. (2018) Glimpse of a Polluted Future. Available at: </w:t>
      </w:r>
      <w:hyperlink r:id="rId12" w:history="1">
        <w:r w:rsidRPr="004D782F">
          <w:rPr>
            <w:rStyle w:val="Hyperlink"/>
            <w:rFonts w:ascii="Arial" w:hAnsi="Arial" w:cs="Arial"/>
            <w:sz w:val="24"/>
            <w:szCs w:val="24"/>
          </w:rPr>
          <w:t>https://greenliving.lovetoknow.com/Poems_About_Pollution</w:t>
        </w:r>
      </w:hyperlink>
      <w:r w:rsidRPr="004D782F">
        <w:rPr>
          <w:rFonts w:ascii="Arial" w:hAnsi="Arial" w:cs="Arial"/>
          <w:sz w:val="24"/>
          <w:szCs w:val="24"/>
        </w:rPr>
        <w:t xml:space="preserve"> (Accessed: 20</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0EBE086C"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lastRenderedPageBreak/>
        <w:t xml:space="preserve">Santos, G. D. and Lima, R. L. M. (2016) ‘Expressive Arts - Embodying Inclusive Teachers’, </w:t>
      </w:r>
      <w:r w:rsidRPr="004D782F">
        <w:rPr>
          <w:rFonts w:ascii="Arial" w:hAnsi="Arial" w:cs="Arial"/>
          <w:i/>
          <w:sz w:val="24"/>
          <w:szCs w:val="24"/>
        </w:rPr>
        <w:t>Journal of Research in Special Educational Needs</w:t>
      </w:r>
      <w:r w:rsidRPr="004D782F">
        <w:rPr>
          <w:rFonts w:ascii="Arial" w:hAnsi="Arial" w:cs="Arial"/>
          <w:sz w:val="24"/>
          <w:szCs w:val="24"/>
        </w:rPr>
        <w:t xml:space="preserve">, 16, pp. 506–509. </w:t>
      </w:r>
    </w:p>
    <w:p w14:paraId="2B55E157"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Southcott, L. (2015) ‘Learning Stories: Connecting Parents, Celebrating Success, and Valuing Children's Theories’, </w:t>
      </w:r>
      <w:r w:rsidRPr="004D782F">
        <w:rPr>
          <w:rFonts w:ascii="Arial" w:hAnsi="Arial" w:cs="Arial"/>
          <w:i/>
          <w:sz w:val="24"/>
          <w:szCs w:val="24"/>
        </w:rPr>
        <w:t>Voices of Practitioners: Teacher Research in Early Childhood Education</w:t>
      </w:r>
      <w:r w:rsidRPr="004D782F">
        <w:rPr>
          <w:rFonts w:ascii="Arial" w:hAnsi="Arial" w:cs="Arial"/>
          <w:sz w:val="24"/>
          <w:szCs w:val="24"/>
        </w:rPr>
        <w:t>, 10, pp.34–51.</w:t>
      </w:r>
    </w:p>
    <w:p w14:paraId="18B292BC"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Statistics for Wales (2017) National Survey 2014-2015: Online Safety for Children. Available at: </w:t>
      </w:r>
      <w:hyperlink r:id="rId13" w:history="1">
        <w:r w:rsidRPr="004D782F">
          <w:rPr>
            <w:rStyle w:val="Hyperlink"/>
            <w:rFonts w:ascii="Arial" w:hAnsi="Arial" w:cs="Arial"/>
            <w:sz w:val="24"/>
            <w:szCs w:val="24"/>
          </w:rPr>
          <w:t>https://gov.wales/docs/statistics/2017/170328-national-survey-2014-15-online-safety-children-en.pdf</w:t>
        </w:r>
      </w:hyperlink>
      <w:r w:rsidRPr="004D782F">
        <w:rPr>
          <w:rFonts w:ascii="Arial" w:hAnsi="Arial" w:cs="Arial"/>
          <w:sz w:val="24"/>
          <w:szCs w:val="24"/>
        </w:rPr>
        <w:t xml:space="preserve">  (Accessed: 27</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15B3FEC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Statistics for Wales (2018) Revenue Budgeted expenditure. Cardiff: Welsh Government. Available at: </w:t>
      </w:r>
      <w:hyperlink r:id="rId14" w:history="1">
        <w:r w:rsidRPr="004D782F">
          <w:rPr>
            <w:rStyle w:val="Hyperlink"/>
            <w:rFonts w:ascii="Arial" w:hAnsi="Arial" w:cs="Arial"/>
            <w:sz w:val="24"/>
            <w:szCs w:val="24"/>
          </w:rPr>
          <w:t>https://statswales.gov.wales/Catalogue/Local-Government/Finance/Revenue/Budgets/budgetedrevenueexpenditure-by-servicedetail</w:t>
        </w:r>
      </w:hyperlink>
      <w:r w:rsidRPr="004D782F">
        <w:rPr>
          <w:rFonts w:ascii="Arial" w:hAnsi="Arial" w:cs="Arial"/>
          <w:sz w:val="24"/>
          <w:szCs w:val="24"/>
        </w:rPr>
        <w:t xml:space="preserve"> (Accessed: 26</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3540FE64"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United Nations International Emergency Fund. (1990) </w:t>
      </w:r>
      <w:r w:rsidRPr="004D782F">
        <w:rPr>
          <w:rFonts w:ascii="Arial" w:hAnsi="Arial" w:cs="Arial"/>
          <w:i/>
          <w:sz w:val="24"/>
          <w:szCs w:val="24"/>
        </w:rPr>
        <w:t>The United Nations Conventional Right of the Child.</w:t>
      </w:r>
      <w:r w:rsidRPr="004D782F">
        <w:rPr>
          <w:rFonts w:ascii="Arial" w:hAnsi="Arial" w:cs="Arial"/>
          <w:sz w:val="24"/>
          <w:szCs w:val="24"/>
        </w:rPr>
        <w:t xml:space="preserve"> London: UNICEF. </w:t>
      </w:r>
    </w:p>
    <w:p w14:paraId="196C18B9"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Unknown. (2018) ‘14ft sculpture unveiled on Amroth Seafront’, The Western Telegraph. 29 June: pg.1. [Online]. Available at: </w:t>
      </w:r>
      <w:hyperlink r:id="rId15" w:history="1">
        <w:r w:rsidRPr="004D782F">
          <w:rPr>
            <w:rStyle w:val="Hyperlink"/>
            <w:rFonts w:ascii="Arial" w:hAnsi="Arial" w:cs="Arial"/>
            <w:sz w:val="24"/>
            <w:szCs w:val="24"/>
          </w:rPr>
          <w:t>https://www.westerntelegraph.co.uk/news/16323740.14ft-sculpture-unveiled-on-amroth-seafront/</w:t>
        </w:r>
      </w:hyperlink>
      <w:r w:rsidRPr="004D782F">
        <w:rPr>
          <w:rFonts w:ascii="Arial" w:hAnsi="Arial" w:cs="Arial"/>
          <w:sz w:val="24"/>
          <w:szCs w:val="24"/>
        </w:rPr>
        <w:t xml:space="preserve"> (Accessed: 17</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62FD353D"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(2008a) </w:t>
      </w:r>
      <w:r w:rsidRPr="004D782F">
        <w:rPr>
          <w:rFonts w:ascii="Arial" w:hAnsi="Arial" w:cs="Arial"/>
          <w:i/>
          <w:sz w:val="24"/>
          <w:szCs w:val="24"/>
        </w:rPr>
        <w:t>Art and design in the National Curriculum for Wales</w:t>
      </w:r>
      <w:r w:rsidRPr="004D782F">
        <w:rPr>
          <w:rFonts w:ascii="Arial" w:hAnsi="Arial" w:cs="Arial"/>
          <w:sz w:val="24"/>
          <w:szCs w:val="24"/>
        </w:rPr>
        <w:t>. Cardiff: Welsh Assembly Government.</w:t>
      </w:r>
    </w:p>
    <w:p w14:paraId="26F062AB"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(2008b) </w:t>
      </w:r>
      <w:r w:rsidRPr="004D782F">
        <w:rPr>
          <w:rFonts w:ascii="Arial" w:hAnsi="Arial" w:cs="Arial"/>
          <w:i/>
          <w:sz w:val="24"/>
          <w:szCs w:val="24"/>
        </w:rPr>
        <w:t>Design and Technology in the National Curriculum for Wales</w:t>
      </w:r>
      <w:r w:rsidRPr="004D782F">
        <w:rPr>
          <w:rFonts w:ascii="Arial" w:hAnsi="Arial" w:cs="Arial"/>
          <w:sz w:val="24"/>
          <w:szCs w:val="24"/>
        </w:rPr>
        <w:t>. Cardiff: Welsh Assembly Government.</w:t>
      </w:r>
    </w:p>
    <w:p w14:paraId="6F05F71C"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(2008c) </w:t>
      </w:r>
      <w:r w:rsidRPr="004D782F">
        <w:rPr>
          <w:rFonts w:ascii="Arial" w:hAnsi="Arial" w:cs="Arial"/>
          <w:i/>
          <w:sz w:val="24"/>
          <w:szCs w:val="24"/>
        </w:rPr>
        <w:t>Music in the National Curriculum for Wales</w:t>
      </w:r>
      <w:r w:rsidRPr="004D782F">
        <w:rPr>
          <w:rFonts w:ascii="Arial" w:hAnsi="Arial" w:cs="Arial"/>
          <w:sz w:val="24"/>
          <w:szCs w:val="24"/>
        </w:rPr>
        <w:t>. Cardiff: Welsh Assembly Government.</w:t>
      </w:r>
    </w:p>
    <w:p w14:paraId="52E5E7D4"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(2008d) </w:t>
      </w:r>
      <w:r w:rsidRPr="004D782F">
        <w:rPr>
          <w:rFonts w:ascii="Arial" w:hAnsi="Arial" w:cs="Arial"/>
          <w:i/>
          <w:sz w:val="24"/>
          <w:szCs w:val="24"/>
        </w:rPr>
        <w:t>Personal and Social Education Framework or 7 to 19-year olds</w:t>
      </w:r>
      <w:r w:rsidRPr="004D782F">
        <w:rPr>
          <w:rFonts w:ascii="Arial" w:hAnsi="Arial" w:cs="Arial"/>
          <w:sz w:val="24"/>
          <w:szCs w:val="24"/>
        </w:rPr>
        <w:t>. Cardiff: Welsh Assembly Government.</w:t>
      </w:r>
    </w:p>
    <w:p w14:paraId="58FB9731"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(2016) </w:t>
      </w:r>
      <w:r w:rsidRPr="004D782F">
        <w:rPr>
          <w:rFonts w:ascii="Arial" w:hAnsi="Arial" w:cs="Arial"/>
          <w:i/>
          <w:sz w:val="24"/>
          <w:szCs w:val="24"/>
        </w:rPr>
        <w:t>Curriculum for Wales: Programme of Study for English Key Stages 2–4.</w:t>
      </w:r>
      <w:r w:rsidRPr="004D782F">
        <w:rPr>
          <w:rFonts w:ascii="Arial" w:hAnsi="Arial" w:cs="Arial"/>
          <w:sz w:val="24"/>
          <w:szCs w:val="24"/>
        </w:rPr>
        <w:t xml:space="preserve"> Cardiff: Welsh Assembly Government.</w:t>
      </w:r>
    </w:p>
    <w:p w14:paraId="46E41136"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(2016) </w:t>
      </w:r>
      <w:r w:rsidRPr="004D782F">
        <w:rPr>
          <w:rFonts w:ascii="Arial" w:hAnsi="Arial" w:cs="Arial"/>
          <w:i/>
          <w:sz w:val="24"/>
          <w:szCs w:val="24"/>
        </w:rPr>
        <w:t>Curriculum for Wales: Programme of Study for Mathematics Key Stages 2–4.</w:t>
      </w:r>
      <w:r w:rsidRPr="004D782F">
        <w:rPr>
          <w:rFonts w:ascii="Arial" w:hAnsi="Arial" w:cs="Arial"/>
          <w:sz w:val="24"/>
          <w:szCs w:val="24"/>
        </w:rPr>
        <w:t xml:space="preserve"> Cardiff: Welsh Assembly Government.</w:t>
      </w:r>
    </w:p>
    <w:p w14:paraId="3675195D"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Wales: Department for Children, Education, Lifelong Learning and Skills (2008e) </w:t>
      </w:r>
      <w:r w:rsidRPr="004D782F">
        <w:rPr>
          <w:rFonts w:ascii="Arial" w:hAnsi="Arial" w:cs="Arial"/>
          <w:i/>
          <w:sz w:val="24"/>
          <w:szCs w:val="24"/>
        </w:rPr>
        <w:t xml:space="preserve">Education for Sustainable Development and Global Citizenship A Common Understanding for Schools. </w:t>
      </w:r>
      <w:r w:rsidRPr="004D782F">
        <w:rPr>
          <w:rFonts w:ascii="Arial" w:hAnsi="Arial" w:cs="Arial"/>
          <w:sz w:val="24"/>
          <w:szCs w:val="24"/>
        </w:rPr>
        <w:t xml:space="preserve">Cardiff: Welsh Assembly Government. </w:t>
      </w:r>
    </w:p>
    <w:p w14:paraId="455AC8F8"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Waite, S. (2011</w:t>
      </w:r>
      <w:r w:rsidRPr="004D782F">
        <w:rPr>
          <w:rFonts w:ascii="Arial" w:hAnsi="Arial" w:cs="Arial"/>
          <w:i/>
          <w:sz w:val="24"/>
          <w:szCs w:val="24"/>
        </w:rPr>
        <w:t>) Children learning outside the classroom: from birth to eleven</w:t>
      </w:r>
      <w:r w:rsidRPr="004D782F">
        <w:rPr>
          <w:rFonts w:ascii="Arial" w:hAnsi="Arial" w:cs="Arial"/>
          <w:sz w:val="24"/>
          <w:szCs w:val="24"/>
        </w:rPr>
        <w:t>. London: SAGE.</w:t>
      </w:r>
    </w:p>
    <w:p w14:paraId="46DCB72C"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lastRenderedPageBreak/>
        <w:t xml:space="preserve">Welsh Government (2013) Welsh Government Response to Dai Smith’s Report on Arts in Education. </w:t>
      </w:r>
      <w:hyperlink r:id="rId16" w:history="1">
        <w:r w:rsidRPr="004D782F">
          <w:rPr>
            <w:rStyle w:val="Hyperlink"/>
            <w:rFonts w:ascii="Arial" w:hAnsi="Arial" w:cs="Arial"/>
            <w:sz w:val="24"/>
            <w:szCs w:val="24"/>
          </w:rPr>
          <w:t>https://beta.gov.wales/sites/default/files/publications/2018-02/the-welsh-government-response-to-professor-dai-smithss-report-on-arts-in-education-in-the-schools-of-wales.pdf</w:t>
        </w:r>
      </w:hyperlink>
      <w:r w:rsidRPr="004D782F">
        <w:rPr>
          <w:rFonts w:ascii="Arial" w:hAnsi="Arial" w:cs="Arial"/>
          <w:sz w:val="24"/>
          <w:szCs w:val="24"/>
        </w:rPr>
        <w:t xml:space="preserve"> (Accessed: 18</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1C6BEE1A"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Welsh Government. (2017) Creative Industries. Available at: </w:t>
      </w:r>
      <w:hyperlink r:id="rId17" w:history="1">
        <w:r w:rsidRPr="004D782F">
          <w:rPr>
            <w:rStyle w:val="Hyperlink"/>
            <w:rFonts w:ascii="Arial" w:hAnsi="Arial" w:cs="Arial"/>
            <w:sz w:val="24"/>
            <w:szCs w:val="24"/>
          </w:rPr>
          <w:t>https://gov.wales/topics/businessandeconomy/our-priority-sectors/creative-industries/?lang=en</w:t>
        </w:r>
      </w:hyperlink>
      <w:r w:rsidRPr="004D782F">
        <w:rPr>
          <w:rFonts w:ascii="Arial" w:hAnsi="Arial" w:cs="Arial"/>
          <w:sz w:val="24"/>
          <w:szCs w:val="24"/>
        </w:rPr>
        <w:t xml:space="preserve"> (Accessed: 10</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739A0A1F"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Welsh Government. (2018) Evaluation of the Creative Learning Through the Arts Programme. </w:t>
      </w:r>
      <w:hyperlink r:id="rId18" w:history="1">
        <w:r w:rsidRPr="004D782F">
          <w:rPr>
            <w:rStyle w:val="Hyperlink"/>
            <w:rFonts w:ascii="Arial" w:hAnsi="Arial" w:cs="Arial"/>
            <w:sz w:val="24"/>
            <w:szCs w:val="24"/>
          </w:rPr>
          <w:t>https://gov.wales/docs/caecd/research/2018/180313-evaluation-creative-learn</w:t>
        </w:r>
        <w:r w:rsidRPr="004D782F">
          <w:rPr>
            <w:rStyle w:val="Hyperlink"/>
            <w:rFonts w:ascii="Arial" w:hAnsi="Arial" w:cs="Arial"/>
            <w:sz w:val="24"/>
            <w:szCs w:val="24"/>
          </w:rPr>
          <w:t>i</w:t>
        </w:r>
        <w:r w:rsidRPr="004D782F">
          <w:rPr>
            <w:rStyle w:val="Hyperlink"/>
            <w:rFonts w:ascii="Arial" w:hAnsi="Arial" w:cs="Arial"/>
            <w:sz w:val="24"/>
            <w:szCs w:val="24"/>
          </w:rPr>
          <w:t>ng-through-arts-programme-interim-en.pdf</w:t>
        </w:r>
      </w:hyperlink>
      <w:r w:rsidRPr="004D782F">
        <w:rPr>
          <w:rFonts w:ascii="Arial" w:hAnsi="Arial" w:cs="Arial"/>
          <w:sz w:val="24"/>
          <w:szCs w:val="24"/>
        </w:rPr>
        <w:t xml:space="preserve"> (Accessed: 10</w:t>
      </w:r>
      <w:r w:rsidRPr="004D782F">
        <w:rPr>
          <w:rFonts w:ascii="Arial" w:hAnsi="Arial" w:cs="Arial"/>
          <w:sz w:val="24"/>
          <w:szCs w:val="24"/>
          <w:vertAlign w:val="superscript"/>
        </w:rPr>
        <w:t>th</w:t>
      </w:r>
      <w:r w:rsidRPr="004D782F">
        <w:rPr>
          <w:rFonts w:ascii="Arial" w:hAnsi="Arial" w:cs="Arial"/>
          <w:sz w:val="24"/>
          <w:szCs w:val="24"/>
        </w:rPr>
        <w:t xml:space="preserve"> October 2018).</w:t>
      </w:r>
    </w:p>
    <w:p w14:paraId="77834DAE"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Welsh Government. (2016) </w:t>
      </w:r>
      <w:r w:rsidRPr="004D782F">
        <w:rPr>
          <w:rFonts w:ascii="Arial" w:hAnsi="Arial" w:cs="Arial"/>
          <w:i/>
          <w:sz w:val="24"/>
          <w:szCs w:val="24"/>
        </w:rPr>
        <w:t xml:space="preserve">Digital Competence Framework guidance. </w:t>
      </w:r>
      <w:r w:rsidRPr="004D782F">
        <w:rPr>
          <w:rFonts w:ascii="Arial" w:hAnsi="Arial" w:cs="Arial"/>
          <w:sz w:val="24"/>
          <w:szCs w:val="24"/>
        </w:rPr>
        <w:t xml:space="preserve">Cardiff: Welsh Government. </w:t>
      </w:r>
    </w:p>
    <w:p w14:paraId="03480752"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Welsh Government. (2015) </w:t>
      </w:r>
      <w:r w:rsidRPr="004D782F">
        <w:rPr>
          <w:rFonts w:ascii="Arial" w:hAnsi="Arial" w:cs="Arial"/>
          <w:i/>
          <w:sz w:val="24"/>
          <w:szCs w:val="24"/>
        </w:rPr>
        <w:t xml:space="preserve">Pupil Deprivation Grant: Guidance. </w:t>
      </w:r>
      <w:r w:rsidRPr="004D782F">
        <w:rPr>
          <w:rFonts w:ascii="Arial" w:hAnsi="Arial" w:cs="Arial"/>
          <w:sz w:val="24"/>
          <w:szCs w:val="24"/>
        </w:rPr>
        <w:t>Cardiff: Welsh Government.</w:t>
      </w:r>
    </w:p>
    <w:p w14:paraId="7D4D990C"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Wilkins, M. (2006) </w:t>
      </w:r>
      <w:r w:rsidRPr="004D782F">
        <w:rPr>
          <w:rFonts w:ascii="Arial" w:hAnsi="Arial" w:cs="Arial"/>
          <w:i/>
          <w:sz w:val="24"/>
          <w:szCs w:val="24"/>
        </w:rPr>
        <w:t>Creative music composition: the young composer's voice</w:t>
      </w:r>
      <w:r w:rsidRPr="004D782F">
        <w:rPr>
          <w:rFonts w:ascii="Arial" w:hAnsi="Arial" w:cs="Arial"/>
          <w:sz w:val="24"/>
          <w:szCs w:val="24"/>
        </w:rPr>
        <w:t>. London: Routledge.</w:t>
      </w:r>
    </w:p>
    <w:p w14:paraId="24F54D69" w14:textId="77777777" w:rsidR="00397C1E" w:rsidRPr="004D782F" w:rsidRDefault="00397C1E" w:rsidP="00397C1E">
      <w:pPr>
        <w:spacing w:line="240" w:lineRule="auto"/>
        <w:ind w:left="720" w:hanging="720"/>
        <w:rPr>
          <w:rFonts w:ascii="Arial" w:hAnsi="Arial" w:cs="Arial"/>
          <w:sz w:val="24"/>
          <w:szCs w:val="24"/>
        </w:rPr>
      </w:pPr>
      <w:r w:rsidRPr="004D782F">
        <w:rPr>
          <w:rFonts w:ascii="Arial" w:hAnsi="Arial" w:cs="Arial"/>
          <w:sz w:val="24"/>
          <w:szCs w:val="24"/>
        </w:rPr>
        <w:t xml:space="preserve">Wilson, A. (2015) </w:t>
      </w:r>
      <w:r w:rsidRPr="004D782F">
        <w:rPr>
          <w:rFonts w:ascii="Arial" w:hAnsi="Arial" w:cs="Arial"/>
          <w:i/>
          <w:sz w:val="24"/>
          <w:szCs w:val="24"/>
        </w:rPr>
        <w:t>Creativity in primary education</w:t>
      </w:r>
      <w:r w:rsidRPr="004D782F">
        <w:rPr>
          <w:rFonts w:ascii="Arial" w:hAnsi="Arial" w:cs="Arial"/>
          <w:sz w:val="24"/>
          <w:szCs w:val="24"/>
        </w:rPr>
        <w:t>. 3rd ed. London: SAGE.</w:t>
      </w:r>
    </w:p>
    <w:p w14:paraId="502C851D" w14:textId="77777777" w:rsidR="00397C1E" w:rsidRDefault="00397C1E">
      <w:bookmarkStart w:id="0" w:name="_GoBack"/>
      <w:bookmarkEnd w:id="0"/>
    </w:p>
    <w:sectPr w:rsidR="00397C1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446C5" w14:textId="77777777" w:rsidR="005613D0" w:rsidRDefault="005613D0" w:rsidP="00397C1E">
      <w:pPr>
        <w:spacing w:after="0" w:line="240" w:lineRule="auto"/>
      </w:pPr>
      <w:r>
        <w:separator/>
      </w:r>
    </w:p>
  </w:endnote>
  <w:endnote w:type="continuationSeparator" w:id="0">
    <w:p w14:paraId="7CCF855E" w14:textId="77777777" w:rsidR="005613D0" w:rsidRDefault="005613D0" w:rsidP="00397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114673"/>
      <w:docPartObj>
        <w:docPartGallery w:val="Page Numbers (Bottom of Page)"/>
        <w:docPartUnique/>
      </w:docPartObj>
    </w:sdtPr>
    <w:sdtEndPr>
      <w:rPr>
        <w:noProof/>
      </w:rPr>
    </w:sdtEndPr>
    <w:sdtContent>
      <w:p w14:paraId="745787B8" w14:textId="2D94F475" w:rsidR="00397C1E" w:rsidRDefault="00397C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11E201" w14:textId="77777777" w:rsidR="00397C1E" w:rsidRDefault="00397C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A3C95" w14:textId="77777777" w:rsidR="005613D0" w:rsidRDefault="005613D0" w:rsidP="00397C1E">
      <w:pPr>
        <w:spacing w:after="0" w:line="240" w:lineRule="auto"/>
      </w:pPr>
      <w:r>
        <w:separator/>
      </w:r>
    </w:p>
  </w:footnote>
  <w:footnote w:type="continuationSeparator" w:id="0">
    <w:p w14:paraId="12F0AAD2" w14:textId="77777777" w:rsidR="005613D0" w:rsidRDefault="005613D0" w:rsidP="00397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B2445" w14:textId="3813B7C6" w:rsidR="00397C1E" w:rsidRDefault="00397C1E">
    <w:pPr>
      <w:pStyle w:val="Header"/>
    </w:pPr>
    <w:r>
      <w:t>1501392</w:t>
    </w:r>
  </w:p>
  <w:p w14:paraId="55C054E5" w14:textId="77777777" w:rsidR="00397C1E" w:rsidRDefault="00397C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C1E"/>
    <w:rsid w:val="00397C1E"/>
    <w:rsid w:val="00561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0B7E5"/>
  <w15:chartTrackingRefBased/>
  <w15:docId w15:val="{15246C36-AED0-4C38-B092-F26787421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7C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97C1E"/>
    <w:rPr>
      <w:color w:val="0563C1" w:themeColor="hyperlink"/>
      <w:u w:val="single"/>
    </w:rPr>
  </w:style>
  <w:style w:type="character" w:styleId="FollowedHyperlink">
    <w:name w:val="FollowedHyperlink"/>
    <w:basedOn w:val="DefaultParagraphFont"/>
    <w:uiPriority w:val="99"/>
    <w:semiHidden/>
    <w:unhideWhenUsed/>
    <w:rsid w:val="00397C1E"/>
    <w:rPr>
      <w:color w:val="954F72" w:themeColor="followedHyperlink"/>
      <w:u w:val="single"/>
    </w:rPr>
  </w:style>
  <w:style w:type="paragraph" w:styleId="Header">
    <w:name w:val="header"/>
    <w:basedOn w:val="Normal"/>
    <w:link w:val="HeaderChar"/>
    <w:uiPriority w:val="99"/>
    <w:unhideWhenUsed/>
    <w:rsid w:val="00397C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C1E"/>
  </w:style>
  <w:style w:type="paragraph" w:styleId="Footer">
    <w:name w:val="footer"/>
    <w:basedOn w:val="Normal"/>
    <w:link w:val="FooterChar"/>
    <w:uiPriority w:val="99"/>
    <w:unhideWhenUsed/>
    <w:rsid w:val="00397C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drigosrecycledart.com/archive" TargetMode="External"/><Relationship Id="rId13" Type="http://schemas.openxmlformats.org/officeDocument/2006/relationships/hyperlink" Target="https://gov.wales/docs/statistics/2017/170328-national-survey-2014-15-online-safety-children-en.pdf" TargetMode="External"/><Relationship Id="rId18" Type="http://schemas.openxmlformats.org/officeDocument/2006/relationships/hyperlink" Target="https://gov.wales/docs/caecd/research/2018/180313-evaluation-creative-learning-through-arts-programme-interim-en.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thecreativeindustries.co.uk/media/243587/cic_report_final-hi-res-.pdf" TargetMode="External"/><Relationship Id="rId12" Type="http://schemas.openxmlformats.org/officeDocument/2006/relationships/hyperlink" Target="https://greenliving.lovetoknow.com/Poems_About_Pollution" TargetMode="External"/><Relationship Id="rId17" Type="http://schemas.openxmlformats.org/officeDocument/2006/relationships/hyperlink" Target="https://gov.wales/topics/businessandeconomy/our-priority-sectors/creative-industries/?lang=en" TargetMode="External"/><Relationship Id="rId2" Type="http://schemas.openxmlformats.org/officeDocument/2006/relationships/settings" Target="settings.xml"/><Relationship Id="rId16" Type="http://schemas.openxmlformats.org/officeDocument/2006/relationships/hyperlink" Target="https://beta.gov.wales/sites/default/files/publications/2018-02/the-welsh-government-response-to-professor-dai-smithss-report-on-arts-in-education-in-the-schools-of-wales.pd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file:///C:/Users/Laptop/Downloads/Experiencing_the_Arts_Fund__March_2018.pdf" TargetMode="External"/><Relationship Id="rId11" Type="http://schemas.openxmlformats.org/officeDocument/2006/relationships/hyperlink" Target="http://www.timpugh.co.uk/" TargetMode="External"/><Relationship Id="rId5" Type="http://schemas.openxmlformats.org/officeDocument/2006/relationships/endnotes" Target="endnotes.xml"/><Relationship Id="rId15" Type="http://schemas.openxmlformats.org/officeDocument/2006/relationships/hyperlink" Target="https://www.westerntelegraph.co.uk/news/16323740.14ft-sculpture-unveiled-on-amroth-seafront/" TargetMode="External"/><Relationship Id="rId10" Type="http://schemas.openxmlformats.org/officeDocument/2006/relationships/hyperlink" Target="http://www.creativespiral.co.uk/"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rodrigosrecycledart.com/archive" TargetMode="External"/><Relationship Id="rId14" Type="http://schemas.openxmlformats.org/officeDocument/2006/relationships/hyperlink" Target="https://statswales.gov.wales/Catalogue/Local-Government/Finance/Revenue/Budgets/budgetedrevenueexpenditure-by-servicedetai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5726</Words>
  <Characters>30410</Characters>
  <Application>Microsoft Office Word</Application>
  <DocSecurity>0</DocSecurity>
  <Lines>2172</Lines>
  <Paragraphs>1246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Laptop</cp:lastModifiedBy>
  <cp:revision>1</cp:revision>
  <dcterms:created xsi:type="dcterms:W3CDTF">2018-11-11T10:18:00Z</dcterms:created>
  <dcterms:modified xsi:type="dcterms:W3CDTF">2018-11-11T10:19:00Z</dcterms:modified>
</cp:coreProperties>
</file>