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AF1A5C" w14:textId="45FC908A" w:rsidR="00F5783E" w:rsidRPr="00265335" w:rsidRDefault="00265335" w:rsidP="00265335">
      <w:pPr>
        <w:jc w:val="center"/>
        <w:rPr>
          <w:rFonts w:ascii="Arial" w:hAnsi="Arial" w:cs="Arial"/>
          <w:b/>
          <w:bCs/>
          <w:sz w:val="24"/>
          <w:szCs w:val="24"/>
        </w:rPr>
      </w:pPr>
      <w:r w:rsidRPr="00265335">
        <w:rPr>
          <w:rFonts w:ascii="Arial" w:hAnsi="Arial" w:cs="Arial"/>
          <w:b/>
          <w:bCs/>
          <w:sz w:val="24"/>
          <w:szCs w:val="24"/>
        </w:rPr>
        <w:t>Assignment 1</w:t>
      </w:r>
    </w:p>
    <w:p w14:paraId="3FC47CEE" w14:textId="7B32C6DB" w:rsidR="00265335" w:rsidRPr="00265335" w:rsidRDefault="00265335" w:rsidP="00265335">
      <w:pPr>
        <w:rPr>
          <w:rFonts w:ascii="Arial" w:hAnsi="Arial" w:cs="Arial"/>
          <w:b/>
          <w:bCs/>
          <w:sz w:val="24"/>
          <w:szCs w:val="24"/>
        </w:rPr>
      </w:pPr>
      <w:r w:rsidRPr="00265335">
        <w:rPr>
          <w:rFonts w:ascii="Arial" w:hAnsi="Arial" w:cs="Arial"/>
          <w:b/>
          <w:bCs/>
          <w:sz w:val="24"/>
          <w:szCs w:val="24"/>
        </w:rPr>
        <w:t>The price of sexy</w:t>
      </w:r>
    </w:p>
    <w:p w14:paraId="6FF99325"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Background</w:t>
      </w:r>
    </w:p>
    <w:p w14:paraId="548EE6BB" w14:textId="77777777" w:rsidR="00265335" w:rsidRPr="00265335" w:rsidRDefault="00265335" w:rsidP="00265335">
      <w:pPr>
        <w:rPr>
          <w:rFonts w:ascii="Arial" w:hAnsi="Arial" w:cs="Arial"/>
          <w:sz w:val="24"/>
          <w:szCs w:val="24"/>
        </w:rPr>
      </w:pPr>
      <w:r w:rsidRPr="00265335">
        <w:rPr>
          <w:rFonts w:ascii="Arial" w:hAnsi="Arial" w:cs="Arial"/>
          <w:sz w:val="24"/>
          <w:szCs w:val="24"/>
        </w:rPr>
        <w:t xml:space="preserve">In the USA a study shown that the media and TV seem to be pressuring girls and young woman to appear more attractive and sexier. </w:t>
      </w:r>
    </w:p>
    <w:p w14:paraId="09366A2E" w14:textId="77777777" w:rsidR="00265335" w:rsidRPr="00265335" w:rsidRDefault="00265335" w:rsidP="00265335">
      <w:pPr>
        <w:pStyle w:val="ListParagraph"/>
        <w:rPr>
          <w:rFonts w:ascii="Arial" w:hAnsi="Arial" w:cs="Arial"/>
          <w:sz w:val="24"/>
          <w:szCs w:val="24"/>
        </w:rPr>
      </w:pPr>
    </w:p>
    <w:p w14:paraId="07941CD0"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Method</w:t>
      </w:r>
    </w:p>
    <w:p w14:paraId="58221095" w14:textId="77777777" w:rsidR="00265335" w:rsidRPr="00265335" w:rsidRDefault="00265335" w:rsidP="00265335">
      <w:pPr>
        <w:rPr>
          <w:rFonts w:ascii="Arial" w:hAnsi="Arial" w:cs="Arial"/>
          <w:sz w:val="24"/>
          <w:szCs w:val="24"/>
        </w:rPr>
      </w:pPr>
      <w:r w:rsidRPr="00265335">
        <w:rPr>
          <w:rFonts w:ascii="Arial" w:hAnsi="Arial" w:cs="Arial"/>
          <w:sz w:val="24"/>
          <w:szCs w:val="24"/>
        </w:rPr>
        <w:t>The study used a Facebook profile one with a sexualized photograph and a non-sexualized photograph, the profile being the same on both.  The study shows how 60 young adults and 58 adolescent girls viewed a sexualised and non-sexualised profile.</w:t>
      </w:r>
    </w:p>
    <w:p w14:paraId="2DE306BC" w14:textId="77777777" w:rsidR="00265335" w:rsidRPr="00265335" w:rsidRDefault="00265335" w:rsidP="00265335">
      <w:pPr>
        <w:pStyle w:val="ListParagraph"/>
        <w:rPr>
          <w:rFonts w:ascii="Arial" w:hAnsi="Arial" w:cs="Arial"/>
          <w:sz w:val="24"/>
          <w:szCs w:val="24"/>
        </w:rPr>
      </w:pPr>
    </w:p>
    <w:p w14:paraId="798635A2"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Results</w:t>
      </w:r>
    </w:p>
    <w:p w14:paraId="2CC471CD" w14:textId="77777777" w:rsidR="00265335" w:rsidRPr="00265335" w:rsidRDefault="00265335" w:rsidP="00265335">
      <w:pPr>
        <w:rPr>
          <w:rFonts w:ascii="Arial" w:hAnsi="Arial" w:cs="Arial"/>
          <w:sz w:val="24"/>
          <w:szCs w:val="24"/>
        </w:rPr>
      </w:pPr>
      <w:r w:rsidRPr="00265335">
        <w:rPr>
          <w:rFonts w:ascii="Arial" w:hAnsi="Arial" w:cs="Arial"/>
          <w:sz w:val="24"/>
          <w:szCs w:val="24"/>
        </w:rPr>
        <w:t>The study shows that women seen in traditional media in a sexualized, are viewed as less intelligent, less confident, have little determination or goals in life and are promiscuous.  The non-sexualized profile is seen as a loyal friend, intelligent and more goals in life.  There has been an increase in depression, eating disorders and mental health issues and self-esteem through self-objectification.</w:t>
      </w:r>
    </w:p>
    <w:p w14:paraId="074E9952" w14:textId="77777777" w:rsidR="00265335" w:rsidRPr="00265335" w:rsidRDefault="00265335" w:rsidP="00265335">
      <w:pPr>
        <w:rPr>
          <w:rFonts w:ascii="Arial" w:hAnsi="Arial" w:cs="Arial"/>
          <w:b/>
          <w:bCs/>
          <w:sz w:val="24"/>
          <w:szCs w:val="24"/>
        </w:rPr>
      </w:pPr>
    </w:p>
    <w:p w14:paraId="6D5C9C14"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Conclusion</w:t>
      </w:r>
    </w:p>
    <w:p w14:paraId="14DC9B70" w14:textId="77777777" w:rsidR="00265335" w:rsidRPr="00265335" w:rsidRDefault="00265335" w:rsidP="00265335">
      <w:pPr>
        <w:rPr>
          <w:rFonts w:ascii="Arial" w:hAnsi="Arial" w:cs="Arial"/>
          <w:sz w:val="24"/>
          <w:szCs w:val="24"/>
        </w:rPr>
      </w:pPr>
      <w:r w:rsidRPr="00265335">
        <w:rPr>
          <w:rFonts w:ascii="Arial" w:hAnsi="Arial" w:cs="Arial"/>
          <w:sz w:val="24"/>
          <w:szCs w:val="24"/>
        </w:rPr>
        <w:t>There is a need to start educating young people about sexualization in social media.</w:t>
      </w:r>
    </w:p>
    <w:p w14:paraId="6E43C804" w14:textId="4047BC7D" w:rsidR="00265335" w:rsidRPr="00265335" w:rsidRDefault="00265335" w:rsidP="00265335">
      <w:pPr>
        <w:rPr>
          <w:rFonts w:ascii="Arial" w:eastAsia="Times New Roman" w:hAnsi="Arial" w:cs="Arial"/>
          <w:b/>
          <w:bCs/>
          <w:sz w:val="24"/>
          <w:szCs w:val="24"/>
          <w:lang w:eastAsia="en-GB"/>
        </w:rPr>
      </w:pPr>
      <w:r w:rsidRPr="00265335">
        <w:rPr>
          <w:rFonts w:ascii="Arial" w:eastAsia="Times New Roman" w:hAnsi="Arial" w:cs="Arial"/>
          <w:b/>
          <w:bCs/>
          <w:sz w:val="24"/>
          <w:szCs w:val="24"/>
          <w:lang w:eastAsia="en-GB"/>
        </w:rPr>
        <w:t>Reference</w:t>
      </w:r>
    </w:p>
    <w:p w14:paraId="395D215D" w14:textId="77777777" w:rsidR="00265335" w:rsidRPr="00265335" w:rsidRDefault="00265335" w:rsidP="00265335">
      <w:pPr>
        <w:spacing w:after="0" w:line="240" w:lineRule="auto"/>
        <w:rPr>
          <w:rFonts w:ascii="Arial" w:eastAsia="Times New Roman" w:hAnsi="Arial" w:cs="Arial"/>
          <w:color w:val="333333"/>
          <w:sz w:val="24"/>
          <w:szCs w:val="24"/>
          <w:shd w:val="clear" w:color="auto" w:fill="FFFFFF"/>
          <w:lang w:eastAsia="en-GB"/>
        </w:rPr>
      </w:pPr>
      <w:r w:rsidRPr="00265335">
        <w:rPr>
          <w:rFonts w:ascii="Arial" w:eastAsia="Times New Roman" w:hAnsi="Arial" w:cs="Arial"/>
          <w:color w:val="333333"/>
          <w:sz w:val="24"/>
          <w:szCs w:val="24"/>
          <w:shd w:val="clear" w:color="auto" w:fill="FFFFFF"/>
          <w:lang w:eastAsia="en-GB"/>
        </w:rPr>
        <w:t xml:space="preserve">Daniels, E. A., &amp; Zurbriggen, E. L. (2016). The price of sexy: Viewers’ perceptions of a sexualized versus </w:t>
      </w:r>
      <w:proofErr w:type="spellStart"/>
      <w:r w:rsidRPr="00265335">
        <w:rPr>
          <w:rFonts w:ascii="Arial" w:eastAsia="Times New Roman" w:hAnsi="Arial" w:cs="Arial"/>
          <w:color w:val="333333"/>
          <w:sz w:val="24"/>
          <w:szCs w:val="24"/>
          <w:shd w:val="clear" w:color="auto" w:fill="FFFFFF"/>
          <w:lang w:eastAsia="en-GB"/>
        </w:rPr>
        <w:t>nonsexualized</w:t>
      </w:r>
      <w:proofErr w:type="spellEnd"/>
      <w:r w:rsidRPr="00265335">
        <w:rPr>
          <w:rFonts w:ascii="Arial" w:eastAsia="Times New Roman" w:hAnsi="Arial" w:cs="Arial"/>
          <w:color w:val="333333"/>
          <w:sz w:val="24"/>
          <w:szCs w:val="24"/>
          <w:shd w:val="clear" w:color="auto" w:fill="FFFFFF"/>
          <w:lang w:eastAsia="en-GB"/>
        </w:rPr>
        <w:t xml:space="preserve"> Facebook profile photograph. </w:t>
      </w:r>
      <w:r w:rsidRPr="00265335">
        <w:rPr>
          <w:rFonts w:ascii="Arial" w:eastAsia="Times New Roman" w:hAnsi="Arial" w:cs="Arial"/>
          <w:i/>
          <w:iCs/>
          <w:color w:val="333333"/>
          <w:sz w:val="24"/>
          <w:szCs w:val="24"/>
          <w:shd w:val="clear" w:color="auto" w:fill="FFFFFF"/>
          <w:lang w:eastAsia="en-GB"/>
        </w:rPr>
        <w:t>Psychology of Popular Media Culture, 5</w:t>
      </w:r>
      <w:r w:rsidRPr="00265335">
        <w:rPr>
          <w:rFonts w:ascii="Arial" w:eastAsia="Times New Roman" w:hAnsi="Arial" w:cs="Arial"/>
          <w:color w:val="333333"/>
          <w:sz w:val="24"/>
          <w:szCs w:val="24"/>
          <w:shd w:val="clear" w:color="auto" w:fill="FFFFFF"/>
          <w:lang w:eastAsia="en-GB"/>
        </w:rPr>
        <w:t>(1), 2-14.</w:t>
      </w:r>
    </w:p>
    <w:p w14:paraId="44D5B371" w14:textId="010A0C93" w:rsidR="00265335" w:rsidRPr="00265335" w:rsidRDefault="00265335" w:rsidP="00265335">
      <w:pPr>
        <w:rPr>
          <w:rStyle w:val="Hyperlink"/>
          <w:rFonts w:ascii="Arial" w:eastAsia="Times New Roman" w:hAnsi="Arial" w:cs="Arial"/>
          <w:sz w:val="24"/>
          <w:szCs w:val="24"/>
          <w:shd w:val="clear" w:color="auto" w:fill="FFFFFF"/>
          <w:lang w:eastAsia="en-GB"/>
        </w:rPr>
      </w:pPr>
      <w:hyperlink r:id="rId7" w:history="1">
        <w:r w:rsidRPr="00265335">
          <w:rPr>
            <w:rStyle w:val="Hyperlink"/>
            <w:rFonts w:ascii="Arial" w:eastAsia="Times New Roman" w:hAnsi="Arial" w:cs="Arial"/>
            <w:sz w:val="24"/>
            <w:szCs w:val="24"/>
            <w:shd w:val="clear" w:color="auto" w:fill="FFFFFF"/>
            <w:lang w:eastAsia="en-GB"/>
          </w:rPr>
          <w:t>http://dx.doi.org/10.1037/ppm0000048</w:t>
        </w:r>
      </w:hyperlink>
    </w:p>
    <w:p w14:paraId="7991106E" w14:textId="77777777" w:rsidR="00265335" w:rsidRPr="00265335" w:rsidRDefault="00265335" w:rsidP="00265335">
      <w:pPr>
        <w:rPr>
          <w:rFonts w:ascii="Arial" w:hAnsi="Arial" w:cs="Arial"/>
          <w:sz w:val="24"/>
          <w:szCs w:val="24"/>
        </w:rPr>
      </w:pPr>
    </w:p>
    <w:p w14:paraId="04B96E08"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Narcissism</w:t>
      </w:r>
    </w:p>
    <w:p w14:paraId="58BEE838" w14:textId="77777777" w:rsidR="00265335" w:rsidRPr="00265335" w:rsidRDefault="00265335" w:rsidP="00265335">
      <w:pPr>
        <w:rPr>
          <w:rFonts w:ascii="Arial" w:hAnsi="Arial" w:cs="Arial"/>
          <w:b/>
          <w:bCs/>
          <w:color w:val="333333"/>
          <w:sz w:val="24"/>
          <w:szCs w:val="24"/>
          <w:shd w:val="clear" w:color="auto" w:fill="FFFFFF"/>
        </w:rPr>
      </w:pPr>
      <w:r w:rsidRPr="00265335">
        <w:rPr>
          <w:rFonts w:ascii="Arial" w:hAnsi="Arial" w:cs="Arial"/>
          <w:b/>
          <w:bCs/>
          <w:color w:val="333333"/>
          <w:sz w:val="24"/>
          <w:szCs w:val="24"/>
          <w:shd w:val="clear" w:color="auto" w:fill="FFFFFF"/>
        </w:rPr>
        <w:t>Background</w:t>
      </w:r>
    </w:p>
    <w:p w14:paraId="2EDF98D7" w14:textId="77777777" w:rsidR="00265335" w:rsidRPr="00265335" w:rsidRDefault="00265335" w:rsidP="00265335">
      <w:pPr>
        <w:rPr>
          <w:rFonts w:ascii="Arial" w:hAnsi="Arial" w:cs="Arial"/>
          <w:color w:val="333333"/>
          <w:sz w:val="24"/>
          <w:szCs w:val="24"/>
          <w:shd w:val="clear" w:color="auto" w:fill="FFFFFF"/>
        </w:rPr>
      </w:pPr>
      <w:r w:rsidRPr="00265335">
        <w:rPr>
          <w:rFonts w:ascii="Arial" w:hAnsi="Arial" w:cs="Arial"/>
          <w:color w:val="333333"/>
          <w:sz w:val="24"/>
          <w:szCs w:val="24"/>
          <w:shd w:val="clear" w:color="auto" w:fill="FFFFFF"/>
        </w:rPr>
        <w:t>365 undergraduate students were analysed through a set of questionnaires to see how narcissistic traits affects health and behaviours.</w:t>
      </w:r>
    </w:p>
    <w:p w14:paraId="52F74A8B" w14:textId="77777777" w:rsidR="00265335" w:rsidRPr="00265335" w:rsidRDefault="00265335" w:rsidP="00265335">
      <w:pPr>
        <w:rPr>
          <w:rFonts w:ascii="Arial" w:hAnsi="Arial" w:cs="Arial"/>
          <w:b/>
          <w:bCs/>
          <w:color w:val="333333"/>
          <w:sz w:val="24"/>
          <w:szCs w:val="24"/>
          <w:shd w:val="clear" w:color="auto" w:fill="FFFFFF"/>
        </w:rPr>
      </w:pPr>
      <w:r w:rsidRPr="00265335">
        <w:rPr>
          <w:rFonts w:ascii="Arial" w:hAnsi="Arial" w:cs="Arial"/>
          <w:b/>
          <w:bCs/>
          <w:color w:val="333333"/>
          <w:sz w:val="24"/>
          <w:szCs w:val="24"/>
          <w:shd w:val="clear" w:color="auto" w:fill="FFFFFF"/>
        </w:rPr>
        <w:t xml:space="preserve">Method </w:t>
      </w:r>
    </w:p>
    <w:p w14:paraId="73F3998C" w14:textId="77777777" w:rsidR="00265335" w:rsidRPr="00265335" w:rsidRDefault="00265335" w:rsidP="00265335">
      <w:pPr>
        <w:rPr>
          <w:rFonts w:ascii="Arial" w:hAnsi="Arial" w:cs="Arial"/>
          <w:color w:val="333333"/>
          <w:sz w:val="24"/>
          <w:szCs w:val="24"/>
          <w:shd w:val="clear" w:color="auto" w:fill="FFFFFF"/>
        </w:rPr>
      </w:pPr>
      <w:r w:rsidRPr="00265335">
        <w:rPr>
          <w:rFonts w:ascii="Arial" w:hAnsi="Arial" w:cs="Arial"/>
          <w:color w:val="333333"/>
          <w:sz w:val="24"/>
          <w:szCs w:val="24"/>
          <w:shd w:val="clear" w:color="auto" w:fill="FFFFFF"/>
        </w:rPr>
        <w:t xml:space="preserve">A set of questionnaires were given to 365 undergraduates (129 males, 236 females) </w:t>
      </w:r>
    </w:p>
    <w:p w14:paraId="63569501" w14:textId="77777777" w:rsidR="00265335" w:rsidRPr="00265335" w:rsidRDefault="00265335" w:rsidP="00265335">
      <w:pPr>
        <w:rPr>
          <w:rFonts w:ascii="Arial" w:hAnsi="Arial" w:cs="Arial"/>
          <w:b/>
          <w:bCs/>
          <w:color w:val="333333"/>
          <w:sz w:val="24"/>
          <w:szCs w:val="24"/>
          <w:shd w:val="clear" w:color="auto" w:fill="FFFFFF"/>
        </w:rPr>
      </w:pPr>
      <w:r w:rsidRPr="00265335">
        <w:rPr>
          <w:rFonts w:ascii="Arial" w:hAnsi="Arial" w:cs="Arial"/>
          <w:b/>
          <w:bCs/>
          <w:color w:val="333333"/>
          <w:sz w:val="24"/>
          <w:szCs w:val="24"/>
          <w:shd w:val="clear" w:color="auto" w:fill="FFFFFF"/>
        </w:rPr>
        <w:t>Results</w:t>
      </w:r>
    </w:p>
    <w:p w14:paraId="0B9F3F07" w14:textId="77777777" w:rsidR="00265335" w:rsidRPr="00265335" w:rsidRDefault="00265335" w:rsidP="00265335">
      <w:pPr>
        <w:rPr>
          <w:rFonts w:ascii="Arial" w:hAnsi="Arial" w:cs="Arial"/>
          <w:color w:val="333333"/>
          <w:sz w:val="24"/>
          <w:szCs w:val="24"/>
          <w:shd w:val="clear" w:color="auto" w:fill="FFFFFF"/>
        </w:rPr>
      </w:pPr>
      <w:r w:rsidRPr="00265335">
        <w:rPr>
          <w:rFonts w:ascii="Arial" w:hAnsi="Arial" w:cs="Arial"/>
          <w:color w:val="333333"/>
          <w:sz w:val="24"/>
          <w:szCs w:val="24"/>
          <w:shd w:val="clear" w:color="auto" w:fill="FFFFFF"/>
        </w:rPr>
        <w:lastRenderedPageBreak/>
        <w:t xml:space="preserve">The results were that there are links between narcissism and psychological health problems including depression loneliness and anxiety.  Narcissistic people tend to have self-importance and feel superior with a feel of entitlement.  They tend to focus on enhancing their self-esteem.  There are links with use of alcohol, marijuana, unprotected sex and risk-taking driving.  On the positive side there is also an increase in a healthy eating diet and good activity practice. </w:t>
      </w:r>
    </w:p>
    <w:p w14:paraId="7741A616" w14:textId="77777777" w:rsidR="00265335" w:rsidRPr="00265335" w:rsidRDefault="00265335" w:rsidP="00265335">
      <w:pPr>
        <w:rPr>
          <w:rFonts w:ascii="Arial" w:hAnsi="Arial" w:cs="Arial"/>
          <w:b/>
          <w:bCs/>
          <w:color w:val="333333"/>
          <w:sz w:val="24"/>
          <w:szCs w:val="24"/>
          <w:shd w:val="clear" w:color="auto" w:fill="FFFFFF"/>
        </w:rPr>
      </w:pPr>
      <w:r w:rsidRPr="00265335">
        <w:rPr>
          <w:rFonts w:ascii="Arial" w:hAnsi="Arial" w:cs="Arial"/>
          <w:b/>
          <w:bCs/>
          <w:color w:val="333333"/>
          <w:sz w:val="24"/>
          <w:szCs w:val="24"/>
          <w:shd w:val="clear" w:color="auto" w:fill="FFFFFF"/>
        </w:rPr>
        <w:t>Conclusion</w:t>
      </w:r>
    </w:p>
    <w:p w14:paraId="2C8DA330" w14:textId="77777777" w:rsidR="00265335" w:rsidRPr="00265335" w:rsidRDefault="00265335" w:rsidP="00265335">
      <w:pPr>
        <w:rPr>
          <w:rFonts w:ascii="Arial" w:hAnsi="Arial" w:cs="Arial"/>
          <w:color w:val="333333"/>
          <w:sz w:val="24"/>
          <w:szCs w:val="24"/>
          <w:shd w:val="clear" w:color="auto" w:fill="FFFFFF"/>
        </w:rPr>
      </w:pPr>
      <w:r w:rsidRPr="00265335">
        <w:rPr>
          <w:rFonts w:ascii="Arial" w:hAnsi="Arial" w:cs="Arial"/>
          <w:color w:val="333333"/>
          <w:sz w:val="24"/>
          <w:szCs w:val="24"/>
          <w:shd w:val="clear" w:color="auto" w:fill="FFFFFF"/>
        </w:rPr>
        <w:t xml:space="preserve">The study showed the difference between good eating and activity practice and risk-taking behaviours. </w:t>
      </w:r>
    </w:p>
    <w:p w14:paraId="50BA3264" w14:textId="77777777" w:rsidR="00265335" w:rsidRPr="00265335" w:rsidRDefault="00265335" w:rsidP="00265335">
      <w:pPr>
        <w:rPr>
          <w:rFonts w:ascii="Arial" w:hAnsi="Arial" w:cs="Arial"/>
          <w:color w:val="333333"/>
          <w:sz w:val="24"/>
          <w:szCs w:val="24"/>
          <w:shd w:val="clear" w:color="auto" w:fill="FFFFFF"/>
        </w:rPr>
      </w:pPr>
    </w:p>
    <w:p w14:paraId="122C0AE3" w14:textId="77777777" w:rsidR="00265335" w:rsidRPr="00265335" w:rsidRDefault="00265335" w:rsidP="00265335">
      <w:pPr>
        <w:rPr>
          <w:rFonts w:ascii="Arial" w:hAnsi="Arial" w:cs="Arial"/>
          <w:color w:val="333333"/>
          <w:sz w:val="24"/>
          <w:szCs w:val="24"/>
          <w:shd w:val="clear" w:color="auto" w:fill="FFFFFF"/>
        </w:rPr>
      </w:pPr>
      <w:r w:rsidRPr="00265335">
        <w:rPr>
          <w:rFonts w:ascii="Arial" w:hAnsi="Arial" w:cs="Arial"/>
          <w:color w:val="333333"/>
          <w:sz w:val="24"/>
          <w:szCs w:val="24"/>
          <w:shd w:val="clear" w:color="auto" w:fill="FFFFFF"/>
        </w:rPr>
        <w:t>It also shows the need to research more into the basic element and differences between narcissism and health behaviour.</w:t>
      </w:r>
    </w:p>
    <w:p w14:paraId="3EAA50CD" w14:textId="77777777" w:rsidR="00265335" w:rsidRPr="00265335" w:rsidRDefault="00265335" w:rsidP="00265335">
      <w:pPr>
        <w:rPr>
          <w:rFonts w:ascii="Arial" w:hAnsi="Arial" w:cs="Arial"/>
          <w:b/>
          <w:bCs/>
          <w:color w:val="333333"/>
          <w:sz w:val="24"/>
          <w:szCs w:val="24"/>
          <w:shd w:val="clear" w:color="auto" w:fill="FFFFFF"/>
        </w:rPr>
      </w:pPr>
    </w:p>
    <w:p w14:paraId="26EA9401" w14:textId="77777777" w:rsidR="00265335" w:rsidRPr="00265335" w:rsidRDefault="00265335" w:rsidP="00265335">
      <w:pPr>
        <w:rPr>
          <w:rFonts w:ascii="Arial" w:hAnsi="Arial" w:cs="Arial"/>
          <w:b/>
          <w:bCs/>
          <w:color w:val="333333"/>
          <w:sz w:val="24"/>
          <w:szCs w:val="24"/>
          <w:shd w:val="clear" w:color="auto" w:fill="FFFFFF"/>
        </w:rPr>
      </w:pPr>
      <w:r w:rsidRPr="00265335">
        <w:rPr>
          <w:rFonts w:ascii="Arial" w:hAnsi="Arial" w:cs="Arial"/>
          <w:b/>
          <w:bCs/>
          <w:color w:val="333333"/>
          <w:sz w:val="24"/>
          <w:szCs w:val="24"/>
          <w:shd w:val="clear" w:color="auto" w:fill="FFFFFF"/>
        </w:rPr>
        <w:t xml:space="preserve">Reference </w:t>
      </w:r>
    </w:p>
    <w:p w14:paraId="103CA170" w14:textId="0B27DA96" w:rsidR="00265335" w:rsidRDefault="00265335" w:rsidP="00265335">
      <w:pPr>
        <w:rPr>
          <w:rFonts w:ascii="Arial" w:eastAsia="Times New Roman" w:hAnsi="Arial" w:cs="Arial"/>
          <w:color w:val="006ACC"/>
          <w:sz w:val="24"/>
          <w:szCs w:val="24"/>
          <w:u w:val="single"/>
          <w:lang w:eastAsia="en-GB"/>
        </w:rPr>
      </w:pPr>
      <w:r w:rsidRPr="00265335">
        <w:rPr>
          <w:rFonts w:ascii="Arial" w:eastAsia="Times New Roman" w:hAnsi="Arial" w:cs="Arial"/>
          <w:color w:val="333333"/>
          <w:sz w:val="24"/>
          <w:szCs w:val="24"/>
          <w:lang w:eastAsia="en-GB"/>
        </w:rPr>
        <w:t xml:space="preserve">Hill, E. M. (2016). The role of narcissism in health-risk and health-protective </w:t>
      </w:r>
      <w:proofErr w:type="spellStart"/>
      <w:r w:rsidRPr="00265335">
        <w:rPr>
          <w:rFonts w:ascii="Arial" w:eastAsia="Times New Roman" w:hAnsi="Arial" w:cs="Arial"/>
          <w:color w:val="333333"/>
          <w:sz w:val="24"/>
          <w:szCs w:val="24"/>
          <w:lang w:eastAsia="en-GB"/>
        </w:rPr>
        <w:t>behaviors</w:t>
      </w:r>
      <w:proofErr w:type="spellEnd"/>
      <w:r w:rsidRPr="00265335">
        <w:rPr>
          <w:rFonts w:ascii="Arial" w:eastAsia="Times New Roman" w:hAnsi="Arial" w:cs="Arial"/>
          <w:color w:val="333333"/>
          <w:sz w:val="24"/>
          <w:szCs w:val="24"/>
          <w:lang w:eastAsia="en-GB"/>
        </w:rPr>
        <w:t>. </w:t>
      </w:r>
      <w:r w:rsidRPr="00265335">
        <w:rPr>
          <w:rFonts w:ascii="Arial" w:eastAsia="Times New Roman" w:hAnsi="Arial" w:cs="Arial"/>
          <w:i/>
          <w:iCs/>
          <w:color w:val="333333"/>
          <w:sz w:val="24"/>
          <w:szCs w:val="24"/>
          <w:lang w:eastAsia="en-GB"/>
        </w:rPr>
        <w:t>Journal of Health Psychology</w:t>
      </w:r>
      <w:r w:rsidRPr="00265335">
        <w:rPr>
          <w:rFonts w:ascii="Arial" w:eastAsia="Times New Roman" w:hAnsi="Arial" w:cs="Arial"/>
          <w:color w:val="333333"/>
          <w:sz w:val="24"/>
          <w:szCs w:val="24"/>
          <w:lang w:eastAsia="en-GB"/>
        </w:rPr>
        <w:t>, </w:t>
      </w:r>
      <w:r w:rsidRPr="00265335">
        <w:rPr>
          <w:rFonts w:ascii="Arial" w:eastAsia="Times New Roman" w:hAnsi="Arial" w:cs="Arial"/>
          <w:i/>
          <w:iCs/>
          <w:color w:val="333333"/>
          <w:sz w:val="24"/>
          <w:szCs w:val="24"/>
          <w:lang w:eastAsia="en-GB"/>
        </w:rPr>
        <w:t>21</w:t>
      </w:r>
      <w:r w:rsidRPr="00265335">
        <w:rPr>
          <w:rFonts w:ascii="Arial" w:eastAsia="Times New Roman" w:hAnsi="Arial" w:cs="Arial"/>
          <w:color w:val="333333"/>
          <w:sz w:val="24"/>
          <w:szCs w:val="24"/>
          <w:lang w:eastAsia="en-GB"/>
        </w:rPr>
        <w:t>(9), 2021–2032. </w:t>
      </w:r>
      <w:hyperlink r:id="rId8" w:history="1">
        <w:r w:rsidRPr="00265335">
          <w:rPr>
            <w:rFonts w:ascii="Arial" w:eastAsia="Times New Roman" w:hAnsi="Arial" w:cs="Arial"/>
            <w:color w:val="006ACC"/>
            <w:sz w:val="24"/>
            <w:szCs w:val="24"/>
            <w:u w:val="single"/>
            <w:lang w:eastAsia="en-GB"/>
          </w:rPr>
          <w:t>https://doi.org/10.1177/1359105315569858</w:t>
        </w:r>
      </w:hyperlink>
    </w:p>
    <w:p w14:paraId="12F951E2" w14:textId="77777777" w:rsidR="00265335" w:rsidRPr="00265335" w:rsidRDefault="00265335" w:rsidP="00265335">
      <w:pPr>
        <w:rPr>
          <w:rFonts w:ascii="Arial" w:hAnsi="Arial" w:cs="Arial"/>
          <w:sz w:val="24"/>
          <w:szCs w:val="24"/>
        </w:rPr>
      </w:pPr>
    </w:p>
    <w:p w14:paraId="017C1829"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Gambling</w:t>
      </w:r>
    </w:p>
    <w:p w14:paraId="6EF3699F" w14:textId="77777777" w:rsidR="00265335" w:rsidRDefault="00265335" w:rsidP="00265335">
      <w:pPr>
        <w:rPr>
          <w:rFonts w:ascii="Arial" w:hAnsi="Arial" w:cs="Arial"/>
          <w:sz w:val="24"/>
          <w:szCs w:val="24"/>
        </w:rPr>
      </w:pPr>
    </w:p>
    <w:p w14:paraId="285526D3" w14:textId="10B79C49" w:rsidR="00265335" w:rsidRPr="00265335" w:rsidRDefault="00265335" w:rsidP="00265335">
      <w:pPr>
        <w:rPr>
          <w:rFonts w:ascii="Arial" w:hAnsi="Arial" w:cs="Arial"/>
          <w:sz w:val="24"/>
          <w:szCs w:val="24"/>
        </w:rPr>
      </w:pPr>
      <w:r w:rsidRPr="00265335">
        <w:rPr>
          <w:rFonts w:ascii="Arial" w:hAnsi="Arial" w:cs="Arial"/>
          <w:sz w:val="24"/>
          <w:szCs w:val="24"/>
        </w:rPr>
        <w:t xml:space="preserve">Is gambling an emerging public health issue for wales, </w:t>
      </w:r>
      <w:proofErr w:type="spellStart"/>
      <w:r w:rsidRPr="00265335">
        <w:rPr>
          <w:rFonts w:ascii="Arial" w:hAnsi="Arial" w:cs="Arial"/>
          <w:sz w:val="24"/>
          <w:szCs w:val="24"/>
        </w:rPr>
        <w:t>Uk</w:t>
      </w:r>
      <w:proofErr w:type="spellEnd"/>
      <w:r w:rsidRPr="00265335">
        <w:rPr>
          <w:rFonts w:ascii="Arial" w:hAnsi="Arial" w:cs="Arial"/>
          <w:sz w:val="24"/>
          <w:szCs w:val="24"/>
        </w:rPr>
        <w:t>?</w:t>
      </w:r>
    </w:p>
    <w:p w14:paraId="65BF3854"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 xml:space="preserve">Background </w:t>
      </w:r>
    </w:p>
    <w:p w14:paraId="73E0E563" w14:textId="77777777" w:rsidR="00265335" w:rsidRPr="00265335" w:rsidRDefault="00265335" w:rsidP="00265335">
      <w:pPr>
        <w:rPr>
          <w:rFonts w:ascii="Arial" w:hAnsi="Arial" w:cs="Arial"/>
          <w:sz w:val="24"/>
          <w:szCs w:val="24"/>
        </w:rPr>
      </w:pPr>
      <w:r w:rsidRPr="00265335">
        <w:rPr>
          <w:rFonts w:ascii="Arial" w:hAnsi="Arial" w:cs="Arial"/>
          <w:sz w:val="24"/>
          <w:szCs w:val="24"/>
        </w:rPr>
        <w:t>People on a low income are more likely to gamble more than they can afford.  Gambling is harmful for the individual, for the family and friends is associated with mental and physical problems.</w:t>
      </w:r>
    </w:p>
    <w:p w14:paraId="15CCFAA8"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Method</w:t>
      </w:r>
    </w:p>
    <w:p w14:paraId="73B8C3E3" w14:textId="77777777" w:rsidR="00265335" w:rsidRPr="00265335" w:rsidRDefault="00265335" w:rsidP="00265335">
      <w:pPr>
        <w:rPr>
          <w:rFonts w:ascii="Arial" w:hAnsi="Arial" w:cs="Arial"/>
          <w:sz w:val="24"/>
          <w:szCs w:val="24"/>
        </w:rPr>
      </w:pPr>
      <w:r w:rsidRPr="00265335">
        <w:rPr>
          <w:rFonts w:ascii="Arial" w:hAnsi="Arial" w:cs="Arial"/>
          <w:sz w:val="24"/>
          <w:szCs w:val="24"/>
        </w:rPr>
        <w:t>This study reviewed existing data and to explore the depth and seriousness of the impact of gambling.</w:t>
      </w:r>
    </w:p>
    <w:p w14:paraId="123FD8E6"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Results</w:t>
      </w:r>
    </w:p>
    <w:p w14:paraId="3670A5BB" w14:textId="77777777" w:rsidR="00265335" w:rsidRPr="00265335" w:rsidRDefault="00265335" w:rsidP="00265335">
      <w:pPr>
        <w:rPr>
          <w:rFonts w:ascii="Arial" w:hAnsi="Arial" w:cs="Arial"/>
          <w:sz w:val="24"/>
          <w:szCs w:val="24"/>
        </w:rPr>
      </w:pPr>
      <w:r w:rsidRPr="00265335">
        <w:rPr>
          <w:rFonts w:ascii="Arial" w:hAnsi="Arial" w:cs="Arial"/>
          <w:sz w:val="24"/>
          <w:szCs w:val="24"/>
        </w:rPr>
        <w:t>This study shows the extent that gambling has risen since laws relaxed in 2005 and that it is an emergency public health issue.</w:t>
      </w:r>
    </w:p>
    <w:p w14:paraId="1A92B6ED" w14:textId="77777777" w:rsidR="00265335" w:rsidRPr="00265335" w:rsidRDefault="00265335" w:rsidP="00265335">
      <w:pPr>
        <w:rPr>
          <w:rFonts w:ascii="Arial" w:hAnsi="Arial" w:cs="Arial"/>
          <w:sz w:val="24"/>
          <w:szCs w:val="24"/>
        </w:rPr>
      </w:pPr>
      <w:r w:rsidRPr="00265335">
        <w:rPr>
          <w:rFonts w:ascii="Arial" w:hAnsi="Arial" w:cs="Arial"/>
          <w:sz w:val="24"/>
          <w:szCs w:val="24"/>
        </w:rPr>
        <w:t xml:space="preserve">In the last year gambling has raised by 61% (1.5 million people). 68% of </w:t>
      </w:r>
      <w:proofErr w:type="gramStart"/>
      <w:r w:rsidRPr="00265335">
        <w:rPr>
          <w:rFonts w:ascii="Arial" w:hAnsi="Arial" w:cs="Arial"/>
          <w:sz w:val="24"/>
          <w:szCs w:val="24"/>
        </w:rPr>
        <w:t>18-24 year</w:t>
      </w:r>
      <w:proofErr w:type="gramEnd"/>
      <w:r w:rsidRPr="00265335">
        <w:rPr>
          <w:rFonts w:ascii="Arial" w:hAnsi="Arial" w:cs="Arial"/>
          <w:sz w:val="24"/>
          <w:szCs w:val="24"/>
        </w:rPr>
        <w:t xml:space="preserve"> olds have been tempted or gambled from the adverts seen on social media.  Advertising on TV has increased from 152 000 in 2006 to 1.39 million in 2012.  It is estimated cost of gambling in Wales is £40-£70 million.</w:t>
      </w:r>
    </w:p>
    <w:p w14:paraId="09805A39"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Conclusion</w:t>
      </w:r>
    </w:p>
    <w:p w14:paraId="1C11F20F" w14:textId="77777777" w:rsidR="00265335" w:rsidRPr="00265335" w:rsidRDefault="00265335" w:rsidP="00265335">
      <w:pPr>
        <w:rPr>
          <w:rFonts w:ascii="Arial" w:hAnsi="Arial" w:cs="Arial"/>
          <w:sz w:val="24"/>
          <w:szCs w:val="24"/>
        </w:rPr>
      </w:pPr>
      <w:r w:rsidRPr="00265335">
        <w:rPr>
          <w:rFonts w:ascii="Arial" w:hAnsi="Arial" w:cs="Arial"/>
          <w:sz w:val="24"/>
          <w:szCs w:val="24"/>
        </w:rPr>
        <w:lastRenderedPageBreak/>
        <w:t>The research between 2005 and 2016, shows that the society needs to be an emergency public health issue.</w:t>
      </w:r>
    </w:p>
    <w:p w14:paraId="777FE983" w14:textId="77777777" w:rsidR="00265335" w:rsidRPr="00265335" w:rsidRDefault="00265335" w:rsidP="00265335">
      <w:pPr>
        <w:rPr>
          <w:rFonts w:ascii="Arial" w:hAnsi="Arial" w:cs="Arial"/>
          <w:b/>
          <w:bCs/>
          <w:sz w:val="24"/>
          <w:szCs w:val="24"/>
        </w:rPr>
      </w:pPr>
      <w:r w:rsidRPr="00265335">
        <w:rPr>
          <w:rFonts w:ascii="Arial" w:hAnsi="Arial" w:cs="Arial"/>
          <w:b/>
          <w:bCs/>
          <w:sz w:val="24"/>
          <w:szCs w:val="24"/>
        </w:rPr>
        <w:t>References</w:t>
      </w:r>
    </w:p>
    <w:p w14:paraId="012E2C0C" w14:textId="77777777" w:rsidR="00265335" w:rsidRPr="00265335" w:rsidRDefault="00265335" w:rsidP="00265335">
      <w:pPr>
        <w:rPr>
          <w:rFonts w:ascii="Arial" w:hAnsi="Arial" w:cs="Arial"/>
          <w:sz w:val="24"/>
          <w:szCs w:val="24"/>
        </w:rPr>
      </w:pPr>
      <w:r w:rsidRPr="00265335">
        <w:rPr>
          <w:rFonts w:ascii="Arial" w:hAnsi="Arial" w:cs="Arial"/>
          <w:color w:val="2A2A2A"/>
          <w:sz w:val="24"/>
          <w:szCs w:val="24"/>
          <w:shd w:val="clear" w:color="auto" w:fill="FFFFFF"/>
        </w:rPr>
        <w:t>F Atherton, C Beynon, Is gambling an emerging public health issue for Wales, UK?, </w:t>
      </w:r>
      <w:r w:rsidRPr="00265335">
        <w:rPr>
          <w:rFonts w:ascii="Arial" w:hAnsi="Arial" w:cs="Arial"/>
          <w:i/>
          <w:iCs/>
          <w:color w:val="2A2A2A"/>
          <w:sz w:val="24"/>
          <w:szCs w:val="24"/>
          <w:bdr w:val="none" w:sz="0" w:space="0" w:color="auto" w:frame="1"/>
          <w:shd w:val="clear" w:color="auto" w:fill="FFFFFF"/>
        </w:rPr>
        <w:t>Journal of Public Health</w:t>
      </w:r>
      <w:r w:rsidRPr="00265335">
        <w:rPr>
          <w:rFonts w:ascii="Arial" w:hAnsi="Arial" w:cs="Arial"/>
          <w:color w:val="2A2A2A"/>
          <w:sz w:val="24"/>
          <w:szCs w:val="24"/>
          <w:shd w:val="clear" w:color="auto" w:fill="FFFFFF"/>
        </w:rPr>
        <w:t>, , fdy164, </w:t>
      </w:r>
      <w:hyperlink r:id="rId9" w:history="1">
        <w:r w:rsidRPr="00265335">
          <w:rPr>
            <w:rFonts w:ascii="Arial" w:hAnsi="Arial" w:cs="Arial"/>
            <w:color w:val="006FB7"/>
            <w:sz w:val="24"/>
            <w:szCs w:val="24"/>
            <w:u w:val="single"/>
            <w:bdr w:val="none" w:sz="0" w:space="0" w:color="auto" w:frame="1"/>
            <w:shd w:val="clear" w:color="auto" w:fill="FFFFFF"/>
          </w:rPr>
          <w:t>https://doi.org/10.1093/pubmed/fdy164</w:t>
        </w:r>
      </w:hyperlink>
    </w:p>
    <w:p w14:paraId="7CAC1C6F" w14:textId="77777777" w:rsidR="00265335" w:rsidRDefault="00265335" w:rsidP="00265335">
      <w:pPr>
        <w:rPr>
          <w:rFonts w:ascii="Arial" w:hAnsi="Arial" w:cs="Arial"/>
          <w:sz w:val="24"/>
          <w:szCs w:val="24"/>
          <w:lang w:val="en-US"/>
        </w:rPr>
      </w:pPr>
    </w:p>
    <w:p w14:paraId="337F7A33" w14:textId="7978C8AE" w:rsidR="00265335" w:rsidRDefault="00265335" w:rsidP="00265335">
      <w:pPr>
        <w:rPr>
          <w:rFonts w:ascii="Arial" w:hAnsi="Arial" w:cs="Arial"/>
          <w:sz w:val="24"/>
          <w:szCs w:val="24"/>
          <w:lang w:val="en-US"/>
        </w:rPr>
      </w:pPr>
      <w:r>
        <w:rPr>
          <w:rFonts w:ascii="Arial" w:hAnsi="Arial" w:cs="Arial"/>
          <w:sz w:val="24"/>
          <w:szCs w:val="24"/>
          <w:lang w:val="en-US"/>
        </w:rPr>
        <w:t>Chapter 44</w:t>
      </w:r>
    </w:p>
    <w:p w14:paraId="5D08C215" w14:textId="71CBD38B"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Anorexia nervosa</w:t>
      </w:r>
    </w:p>
    <w:p w14:paraId="340A7E6A" w14:textId="77777777" w:rsidR="00265335" w:rsidRPr="00B60877" w:rsidRDefault="00265335" w:rsidP="00265335">
      <w:pPr>
        <w:rPr>
          <w:rFonts w:ascii="Arial" w:hAnsi="Arial" w:cs="Arial"/>
          <w:sz w:val="24"/>
          <w:szCs w:val="24"/>
          <w:lang w:val="en-US"/>
        </w:rPr>
      </w:pPr>
    </w:p>
    <w:p w14:paraId="11A079BC"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 xml:space="preserve">Throughout the western society eating disorders in children can start at (16-17) year old’s, have increased. </w:t>
      </w:r>
    </w:p>
    <w:p w14:paraId="546AD0E0"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 xml:space="preserve">Children as young as (16 to 17) years old’s (90-95% are female) have eating disorders throughout the western society. They become aware of their puppy fat and start the dieting behaviors.  The start can begin with vegetarianism followed by a variety of attempts to lose an abnormal low body weight.  One third of eating disorder sufferers claim they have insuppressible urges to overeat and purge.  If children start as early as </w:t>
      </w:r>
      <w:proofErr w:type="gramStart"/>
      <w:r w:rsidRPr="00B60877">
        <w:rPr>
          <w:rFonts w:ascii="Arial" w:hAnsi="Arial" w:cs="Arial"/>
          <w:sz w:val="24"/>
          <w:szCs w:val="24"/>
          <w:lang w:val="en-US"/>
        </w:rPr>
        <w:t>8-14 year</w:t>
      </w:r>
      <w:proofErr w:type="gramEnd"/>
      <w:r w:rsidRPr="00B60877">
        <w:rPr>
          <w:rFonts w:ascii="Arial" w:hAnsi="Arial" w:cs="Arial"/>
          <w:sz w:val="24"/>
          <w:szCs w:val="24"/>
          <w:lang w:val="en-US"/>
        </w:rPr>
        <w:t xml:space="preserve"> old’s about 25% of them are boys. This leads into the increase of men with eating disorders.</w:t>
      </w:r>
    </w:p>
    <w:p w14:paraId="20DC0854"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There are specific types of anorexia nervosa</w:t>
      </w:r>
    </w:p>
    <w:p w14:paraId="34384805"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Restricting type: When someone is in anorexia nervosa that person restricts all foods and does not over-eat or purge using self-induced vomiting or the misuse of laxatives or diuretics.</w:t>
      </w:r>
    </w:p>
    <w:p w14:paraId="6E2FC8EC"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 xml:space="preserve">Binge eating/purging type: when someone is in anorexia nervosa they binge eat regularly and or purge using self-induced vomiting or the misuse of diuretics or laxatives. </w:t>
      </w:r>
    </w:p>
    <w:p w14:paraId="3A3BEF29" w14:textId="77777777" w:rsidR="00265335" w:rsidRPr="00B60877" w:rsidRDefault="00265335" w:rsidP="00265335">
      <w:pPr>
        <w:rPr>
          <w:rFonts w:ascii="Arial" w:hAnsi="Arial" w:cs="Arial"/>
          <w:sz w:val="24"/>
          <w:szCs w:val="24"/>
          <w:lang w:val="en-US"/>
        </w:rPr>
      </w:pPr>
    </w:p>
    <w:p w14:paraId="2852C140"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The criteria for someone with anorexia nervosa is that they refuse to maintain their body weight to the recommended body weight for their age and height.  They have a fear of putting on weight for the fear of being fat, even if they are underweight.  The persons distorted thoughts that their body shape through self-evaluation is not the reality of what is really happening with the low body weight.</w:t>
      </w:r>
    </w:p>
    <w:p w14:paraId="09CC876D"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Girls and women can delay the menarche (i.e. their first period) or can stop having periods through eating disorders.  This is caused from dramatic weight loss, over exercising, and purging.  When someone has missed their last three periods this is called amenorrhea and often stops at early onset of eating disorders.</w:t>
      </w:r>
    </w:p>
    <w:p w14:paraId="0674058B" w14:textId="77777777" w:rsidR="00265335" w:rsidRPr="00B60877" w:rsidRDefault="00265335" w:rsidP="00265335">
      <w:pPr>
        <w:rPr>
          <w:rFonts w:ascii="Arial" w:hAnsi="Arial" w:cs="Arial"/>
          <w:sz w:val="24"/>
          <w:szCs w:val="24"/>
          <w:lang w:val="en-US"/>
        </w:rPr>
      </w:pPr>
    </w:p>
    <w:p w14:paraId="2C0547AA"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 xml:space="preserve">One difference between anorexia nervosa and bulimia nervosa is the body weight.  People who are bulimic are often of normal weight or overweight whereas anorexia </w:t>
      </w:r>
      <w:r w:rsidRPr="00B60877">
        <w:rPr>
          <w:rFonts w:ascii="Arial" w:hAnsi="Arial" w:cs="Arial"/>
          <w:sz w:val="24"/>
          <w:szCs w:val="24"/>
          <w:lang w:val="en-US"/>
        </w:rPr>
        <w:lastRenderedPageBreak/>
        <w:t xml:space="preserve">nervosa they tend to be underweight.  It was virtually unheard of before the 1970’s and by the 1980s bulimia was considerably more common than anorexia nervosa. </w:t>
      </w:r>
    </w:p>
    <w:p w14:paraId="619B1800"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 xml:space="preserve">Sufferers of eating disorders contemplate suicide or attempt suicide after binging.  People with anorexia are in constant denial that anything is wrong whereas bulimics are aware they have a problem and can sometimes ask for help. </w:t>
      </w:r>
    </w:p>
    <w:p w14:paraId="15F4B0A3"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Anorexia has the highest deaths of any psychiatric disorder (including depression and alcoholism) deaths are around 13-20% from either suicide or the effects of starvation.</w:t>
      </w:r>
    </w:p>
    <w:p w14:paraId="6729219F"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 xml:space="preserve">The criteria for bulimia are the frequent times where someone eats an obsessive amount of food in a short time. The feeling they cannot stop the controlling urge to eat as much as they can. They then have an uncontrollable behavior to self-induce vomiting, so they do not put on weight. They have a minimum average of binge eating twice a week for at least three months. </w:t>
      </w:r>
      <w:proofErr w:type="spellStart"/>
      <w:r w:rsidRPr="00B60877">
        <w:rPr>
          <w:rFonts w:ascii="Arial" w:hAnsi="Arial" w:cs="Arial"/>
          <w:sz w:val="24"/>
          <w:szCs w:val="24"/>
          <w:lang w:val="en-US"/>
        </w:rPr>
        <w:t>Self evaluation</w:t>
      </w:r>
      <w:proofErr w:type="spellEnd"/>
      <w:r w:rsidRPr="00B60877">
        <w:rPr>
          <w:rFonts w:ascii="Arial" w:hAnsi="Arial" w:cs="Arial"/>
          <w:sz w:val="24"/>
          <w:szCs w:val="24"/>
          <w:lang w:val="en-US"/>
        </w:rPr>
        <w:t xml:space="preserve"> is influenced by body shape and size. The binge eating does not happen when someone is in anorexia nervosa. There are two specific types the purging where they regularly binge eat then purge by self-vomiting or the misuse of laxatives.  The second is the non-purging type who don’t self-vomit or use laxatives, but they can use exercise or diet to maintain their weight</w:t>
      </w:r>
    </w:p>
    <w:p w14:paraId="2FFBCABF" w14:textId="77777777" w:rsidR="00265335" w:rsidRPr="00B60877" w:rsidRDefault="00265335" w:rsidP="00265335">
      <w:pPr>
        <w:rPr>
          <w:rFonts w:ascii="Arial" w:hAnsi="Arial" w:cs="Arial"/>
          <w:sz w:val="24"/>
          <w:szCs w:val="24"/>
          <w:lang w:val="en-US"/>
        </w:rPr>
      </w:pPr>
    </w:p>
    <w:p w14:paraId="699DD022"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Sufferers of Eating disorders have common mental health problems like depression or obsessive amounts of alcohol.</w:t>
      </w:r>
    </w:p>
    <w:p w14:paraId="6646A4E1" w14:textId="77777777"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 xml:space="preserve">Over the last few decades woman have become more involved in their careers showing that woman can work just the same as men but the pressure on women to look good and have the hourglass figure and to be seen feminine. The curvaceous look only influences people that they are not as intelligent which has had a knock-on effect on the increase in eating disorders to be that image that they believe is expected. </w:t>
      </w:r>
    </w:p>
    <w:p w14:paraId="3F304798" w14:textId="56B0A9E8" w:rsidR="00265335" w:rsidRPr="00B60877" w:rsidRDefault="00265335" w:rsidP="00265335">
      <w:pPr>
        <w:rPr>
          <w:rFonts w:ascii="Arial" w:hAnsi="Arial" w:cs="Arial"/>
          <w:sz w:val="24"/>
          <w:szCs w:val="24"/>
          <w:lang w:val="en-US"/>
        </w:rPr>
      </w:pPr>
      <w:r w:rsidRPr="00B60877">
        <w:rPr>
          <w:rFonts w:ascii="Arial" w:hAnsi="Arial" w:cs="Arial"/>
          <w:sz w:val="24"/>
          <w:szCs w:val="24"/>
          <w:lang w:val="en-US"/>
        </w:rPr>
        <w:t>The overall factors of eating disorders are that the media and celebrities who display that it</w:t>
      </w:r>
      <w:r>
        <w:rPr>
          <w:rFonts w:ascii="Arial" w:hAnsi="Arial" w:cs="Arial"/>
          <w:sz w:val="24"/>
          <w:szCs w:val="24"/>
          <w:lang w:val="en-US"/>
        </w:rPr>
        <w:t xml:space="preserve"> i</w:t>
      </w:r>
      <w:r w:rsidRPr="00B60877">
        <w:rPr>
          <w:rFonts w:ascii="Arial" w:hAnsi="Arial" w:cs="Arial"/>
          <w:sz w:val="24"/>
          <w:szCs w:val="24"/>
          <w:lang w:val="en-US"/>
        </w:rPr>
        <w:t xml:space="preserve">s good to be thin and feminism rather than being a larger healthier person. The contributing factor (although not altogether) is the media and the social pride of woman in the workforce. </w:t>
      </w:r>
    </w:p>
    <w:p w14:paraId="1B768B97" w14:textId="29B7ABC1" w:rsidR="00265335" w:rsidRDefault="00265335">
      <w:pPr>
        <w:rPr>
          <w:rFonts w:ascii="Arial" w:hAnsi="Arial" w:cs="Arial"/>
          <w:sz w:val="24"/>
          <w:szCs w:val="24"/>
        </w:rPr>
      </w:pPr>
    </w:p>
    <w:p w14:paraId="0644DE5D" w14:textId="251CE1F7" w:rsidR="00265335" w:rsidRPr="00265335" w:rsidRDefault="00265335">
      <w:pPr>
        <w:rPr>
          <w:rFonts w:ascii="Arial" w:hAnsi="Arial" w:cs="Arial"/>
          <w:sz w:val="24"/>
          <w:szCs w:val="24"/>
        </w:rPr>
      </w:pPr>
      <w:r>
        <w:rPr>
          <w:rFonts w:ascii="Arial" w:hAnsi="Arial" w:cs="Arial"/>
          <w:sz w:val="24"/>
          <w:szCs w:val="24"/>
        </w:rPr>
        <w:t>References</w:t>
      </w:r>
      <w:bookmarkStart w:id="0" w:name="_GoBack"/>
      <w:bookmarkEnd w:id="0"/>
    </w:p>
    <w:sectPr w:rsidR="00265335" w:rsidRPr="00265335" w:rsidSect="00C81AD5">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335"/>
    <w:rsid w:val="00265335"/>
    <w:rsid w:val="0063557D"/>
    <w:rsid w:val="00C81AD5"/>
    <w:rsid w:val="00F57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50708"/>
  <w15:chartTrackingRefBased/>
  <w15:docId w15:val="{59FA23D9-5AFE-4FC7-B15B-8447FD26E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5335"/>
    <w:pPr>
      <w:ind w:left="720"/>
      <w:contextualSpacing/>
    </w:pPr>
  </w:style>
  <w:style w:type="character" w:styleId="Hyperlink">
    <w:name w:val="Hyperlink"/>
    <w:basedOn w:val="DefaultParagraphFont"/>
    <w:uiPriority w:val="99"/>
    <w:unhideWhenUsed/>
    <w:rsid w:val="002653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359105315569858" TargetMode="External"/><Relationship Id="rId3" Type="http://schemas.openxmlformats.org/officeDocument/2006/relationships/customXml" Target="../customXml/item3.xml"/><Relationship Id="rId7" Type="http://schemas.openxmlformats.org/officeDocument/2006/relationships/hyperlink" Target="http://dx.doi.org/10.1037/ppm0000048"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1093/pubmed/fdy1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4EC6A18-6146-4226-A141-F890482E9D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C001EF0-165A-469D-9D18-C33144C3387B}">
  <ds:schemaRefs>
    <ds:schemaRef ds:uri="http://schemas.microsoft.com/sharepoint/v3/contenttype/forms"/>
  </ds:schemaRefs>
</ds:datastoreItem>
</file>

<file path=customXml/itemProps3.xml><?xml version="1.0" encoding="utf-8"?>
<ds:datastoreItem xmlns:ds="http://schemas.openxmlformats.org/officeDocument/2006/customXml" ds:itemID="{A6A12C3B-BD52-46D1-BED1-885ADDD3FBDE}">
  <ds:schemaRefs>
    <ds:schemaRef ds:uri="http://purl.org/dc/elements/1.1/"/>
    <ds:schemaRef ds:uri="http://schemas.microsoft.com/office/2006/metadata/properties"/>
    <ds:schemaRef ds:uri="http://purl.org/dc/term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Pages>
  <Words>1150</Words>
  <Characters>6561</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Amba Tidley</dc:creator>
  <cp:keywords/>
  <dc:description/>
  <cp:lastModifiedBy>Amba Tidley</cp:lastModifiedBy>
  <cp:revision>1</cp:revision>
  <dcterms:created xsi:type="dcterms:W3CDTF">2019-11-05T20:48:00Z</dcterms:created>
  <dcterms:modified xsi:type="dcterms:W3CDTF">2019-11-05T20:55:00Z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