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C0D49" w14:textId="77777777" w:rsidR="00056656" w:rsidRPr="009319E7" w:rsidRDefault="00056656" w:rsidP="00056656">
      <w:pPr>
        <w:jc w:val="center"/>
        <w:rPr>
          <w:rFonts w:ascii="Arial Nova" w:hAnsi="Arial Nova"/>
          <w:b/>
          <w:bCs/>
          <w:sz w:val="24"/>
          <w:szCs w:val="24"/>
        </w:rPr>
      </w:pPr>
      <w:r w:rsidRPr="009319E7">
        <w:rPr>
          <w:rFonts w:ascii="Arial Nova" w:hAnsi="Arial Nova"/>
          <w:b/>
          <w:bCs/>
          <w:sz w:val="24"/>
          <w:szCs w:val="24"/>
        </w:rPr>
        <w:t>Explain the architectural setup of Amarna’s urban features as an expression of Akhenaten's religious ideals (palaces, temples, and administrative buildings). 2000 words.</w:t>
      </w:r>
    </w:p>
    <w:p w14:paraId="0916816A" w14:textId="77777777" w:rsidR="00056656" w:rsidRPr="009319E7" w:rsidRDefault="00056656" w:rsidP="00786C63">
      <w:pPr>
        <w:rPr>
          <w:rFonts w:ascii="Arial Nova" w:hAnsi="Arial Nova"/>
          <w:noProof/>
        </w:rPr>
      </w:pPr>
    </w:p>
    <w:p w14:paraId="3F6F7575" w14:textId="583E5D40" w:rsidR="00786C63" w:rsidRPr="009319E7" w:rsidRDefault="00786C63" w:rsidP="00786C63">
      <w:pPr>
        <w:rPr>
          <w:rFonts w:ascii="Arial Nova" w:hAnsi="Arial Nova"/>
          <w:noProof/>
        </w:rPr>
      </w:pPr>
      <w:r w:rsidRPr="009319E7">
        <w:rPr>
          <w:rFonts w:ascii="Arial Nova" w:hAnsi="Arial Nova"/>
          <w:noProof/>
        </w:rPr>
        <w:t>The Egyptian sands preserved the history of the land, even when the peoples’ themselves wished for a particular period of their history to be buried. The period mentioned is known in academia as Amarna, and dated from 1350 BC during the reign of Akhenaten</w:t>
      </w:r>
      <w:r w:rsidR="009332DF" w:rsidRPr="009319E7">
        <w:rPr>
          <w:rFonts w:ascii="Arial Nova" w:hAnsi="Arial Nova"/>
          <w:noProof/>
        </w:rPr>
        <w:t xml:space="preserve"> (‘He who is useful to the Sun Disk/Glorified spirited of the Sun Disk’</w:t>
      </w:r>
      <w:r w:rsidR="009332DF" w:rsidRPr="009319E7">
        <w:rPr>
          <w:rStyle w:val="FootnoteReference"/>
          <w:rFonts w:ascii="Arial Nova" w:hAnsi="Arial Nova"/>
          <w:noProof/>
        </w:rPr>
        <w:footnoteReference w:id="1"/>
      </w:r>
      <w:r w:rsidR="009332DF" w:rsidRPr="009319E7">
        <w:rPr>
          <w:rFonts w:ascii="Arial Nova" w:hAnsi="Arial Nova"/>
          <w:noProof/>
        </w:rPr>
        <w:t>)</w:t>
      </w:r>
      <w:r w:rsidRPr="009319E7">
        <w:rPr>
          <w:rFonts w:ascii="Arial Nova" w:hAnsi="Arial Nova"/>
          <w:noProof/>
        </w:rPr>
        <w:t xml:space="preserve">, originally crowned as Amenhotep IV </w:t>
      </w:r>
      <w:r w:rsidR="00824454" w:rsidRPr="009319E7">
        <w:rPr>
          <w:rFonts w:ascii="Arial Nova" w:hAnsi="Arial Nova"/>
          <w:noProof/>
        </w:rPr>
        <w:t>(</w:t>
      </w:r>
      <w:r w:rsidR="00DA6E94" w:rsidRPr="009319E7">
        <w:rPr>
          <w:rFonts w:ascii="Arial Nova" w:hAnsi="Arial Nova"/>
          <w:noProof/>
        </w:rPr>
        <w:t>‘</w:t>
      </w:r>
      <w:r w:rsidR="00824454" w:rsidRPr="009319E7">
        <w:rPr>
          <w:rFonts w:ascii="Arial Nova" w:hAnsi="Arial Nova"/>
          <w:noProof/>
        </w:rPr>
        <w:t>Amun is content</w:t>
      </w:r>
      <w:r w:rsidR="00DA6E94" w:rsidRPr="009319E7">
        <w:rPr>
          <w:rFonts w:ascii="Arial Nova" w:hAnsi="Arial Nova"/>
          <w:noProof/>
        </w:rPr>
        <w:t>’</w:t>
      </w:r>
      <w:r w:rsidR="00824454" w:rsidRPr="009319E7">
        <w:rPr>
          <w:rStyle w:val="FootnoteReference"/>
          <w:rFonts w:ascii="Arial Nova" w:hAnsi="Arial Nova"/>
          <w:noProof/>
        </w:rPr>
        <w:footnoteReference w:id="2"/>
      </w:r>
      <w:r w:rsidR="00824454" w:rsidRPr="009319E7">
        <w:rPr>
          <w:rFonts w:ascii="Arial Nova" w:hAnsi="Arial Nova"/>
          <w:noProof/>
        </w:rPr>
        <w:t>)</w:t>
      </w:r>
      <w:r w:rsidRPr="009319E7">
        <w:rPr>
          <w:rFonts w:ascii="Arial Nova" w:hAnsi="Arial Nova"/>
          <w:noProof/>
        </w:rPr>
        <w:t>. He was the successor to Amenhotep III and was married to his Chief Wife Nerfertiti pre-coronation, precurssor to the famous Tutankhumun, originally Tutankhaten</w:t>
      </w:r>
      <w:r w:rsidR="009319E7">
        <w:rPr>
          <w:rFonts w:ascii="Arial Nova" w:hAnsi="Arial Nova"/>
          <w:noProof/>
        </w:rPr>
        <w:t xml:space="preserve">. </w:t>
      </w:r>
      <w:r w:rsidRPr="009319E7">
        <w:rPr>
          <w:rFonts w:ascii="Arial Nova" w:hAnsi="Arial Nova"/>
          <w:noProof/>
        </w:rPr>
        <w:t>As indicated by the name changes of this royal family, ruling during the 18</w:t>
      </w:r>
      <w:r w:rsidRPr="009319E7">
        <w:rPr>
          <w:rFonts w:ascii="Arial Nova" w:hAnsi="Arial Nova"/>
          <w:noProof/>
          <w:vertAlign w:val="superscript"/>
        </w:rPr>
        <w:t>th</w:t>
      </w:r>
      <w:r w:rsidRPr="009319E7">
        <w:rPr>
          <w:rFonts w:ascii="Arial Nova" w:hAnsi="Arial Nova"/>
          <w:noProof/>
        </w:rPr>
        <w:t xml:space="preserve"> Dynansty of Egypt from Thebes, the prominent solar deity role transferred from Amun to Aten. This religious ideological change is a major componant to the peculiarity of this Egyptian epoch – traditions that had been practiced and steadily evolved over millenia were rejected by the Pharaoh, whom embraced the non-anthromorphic, distant solar god. </w:t>
      </w:r>
      <w:r w:rsidR="00DD09D9" w:rsidRPr="009319E7">
        <w:rPr>
          <w:rFonts w:ascii="Arial Nova" w:hAnsi="Arial Nova"/>
          <w:noProof/>
        </w:rPr>
        <w:t>The social shift towards solar deities had begun before the reign of Akhenaten or even his father, whom had influenced the kings ideology</w:t>
      </w:r>
      <w:r w:rsidR="00DD09D9" w:rsidRPr="009319E7">
        <w:rPr>
          <w:rStyle w:val="FootnoteReference"/>
          <w:rFonts w:ascii="Arial Nova" w:hAnsi="Arial Nova"/>
          <w:noProof/>
        </w:rPr>
        <w:footnoteReference w:id="3"/>
      </w:r>
      <w:r w:rsidR="00DD09D9" w:rsidRPr="009319E7">
        <w:rPr>
          <w:rFonts w:ascii="Arial Nova" w:hAnsi="Arial Nova"/>
          <w:noProof/>
        </w:rPr>
        <w:t xml:space="preserve">. </w:t>
      </w:r>
      <w:r w:rsidRPr="009319E7">
        <w:rPr>
          <w:rFonts w:ascii="Arial Nova" w:hAnsi="Arial Nova"/>
          <w:noProof/>
        </w:rPr>
        <w:t xml:space="preserve">After his name change in regal year </w:t>
      </w:r>
      <w:r w:rsidR="00ED1B85" w:rsidRPr="009319E7">
        <w:rPr>
          <w:rFonts w:ascii="Arial Nova" w:hAnsi="Arial Nova"/>
          <w:noProof/>
        </w:rPr>
        <w:t>6</w:t>
      </w:r>
      <w:r w:rsidR="002C6F05" w:rsidRPr="009319E7">
        <w:rPr>
          <w:rStyle w:val="FootnoteReference"/>
          <w:rFonts w:ascii="Arial Nova" w:hAnsi="Arial Nova"/>
          <w:noProof/>
        </w:rPr>
        <w:footnoteReference w:id="4"/>
      </w:r>
      <w:r w:rsidR="002C6F05" w:rsidRPr="009319E7">
        <w:rPr>
          <w:rFonts w:ascii="Arial Nova" w:hAnsi="Arial Nova"/>
          <w:noProof/>
        </w:rPr>
        <w:t>,</w:t>
      </w:r>
      <w:r w:rsidRPr="009319E7">
        <w:rPr>
          <w:rFonts w:ascii="Arial Nova" w:hAnsi="Arial Nova"/>
          <w:i/>
          <w:iCs/>
          <w:noProof/>
        </w:rPr>
        <w:t xml:space="preserve"> </w:t>
      </w:r>
      <w:r w:rsidRPr="009319E7">
        <w:rPr>
          <w:rFonts w:ascii="Arial Nova" w:hAnsi="Arial Nova"/>
          <w:noProof/>
        </w:rPr>
        <w:t>Akhenaten uprooted his court and adminsitration and abandoned the city of Thebes in order to take root in the desert; a virgin soil location chosen specifically by the Aten</w:t>
      </w:r>
      <w:r w:rsidRPr="009319E7">
        <w:rPr>
          <w:rStyle w:val="FootnoteReference"/>
          <w:rFonts w:ascii="Arial Nova" w:hAnsi="Arial Nova"/>
          <w:noProof/>
        </w:rPr>
        <w:footnoteReference w:id="5"/>
      </w:r>
      <w:r w:rsidRPr="009319E7">
        <w:rPr>
          <w:rFonts w:ascii="Arial Nova" w:hAnsi="Arial Nova"/>
          <w:noProof/>
        </w:rPr>
        <w:t>. It’s been proposed that the topography is the cause of the cities location due to its reflection of the hieroglyph for ‘horizon’, a connection made</w:t>
      </w:r>
      <w:r w:rsidRPr="009319E7">
        <w:rPr>
          <w:rFonts w:ascii="Arial Nova" w:hAnsi="Arial Nova"/>
          <w:noProof/>
        </w:rPr>
        <w:t xml:space="preserve"> as a possible etymology</w:t>
      </w:r>
      <w:r w:rsidRPr="009319E7">
        <w:rPr>
          <w:rFonts w:ascii="Arial Nova" w:hAnsi="Arial Nova"/>
          <w:noProof/>
        </w:rPr>
        <w:t xml:space="preserve"> due to the cities name; Akhetaten, ‘Horizon of the Solar Disk’. </w:t>
      </w:r>
      <w:r w:rsidRPr="009319E7">
        <w:rPr>
          <w:rFonts w:ascii="Arial Nova" w:hAnsi="Arial Nova"/>
          <w:noProof/>
        </w:rPr>
        <w:t>Ultimately, the reforms made by this Pharaoh were rejected by the culture, and immediately after his reign, the city was abandoned and his successor,</w:t>
      </w:r>
      <w:r w:rsidR="00527EF0" w:rsidRPr="009319E7">
        <w:rPr>
          <w:rFonts w:ascii="Arial Nova" w:hAnsi="Arial Nova"/>
          <w:noProof/>
        </w:rPr>
        <w:t xml:space="preserve"> Horemheb,</w:t>
      </w:r>
      <w:r w:rsidRPr="009319E7">
        <w:rPr>
          <w:rFonts w:ascii="Arial Nova" w:hAnsi="Arial Nova"/>
          <w:noProof/>
        </w:rPr>
        <w:t xml:space="preserve"> begun doing the socio-political changes enforced by Akhenaten</w:t>
      </w:r>
      <w:r w:rsidR="00527EF0" w:rsidRPr="009319E7">
        <w:rPr>
          <w:rFonts w:ascii="Arial Nova" w:hAnsi="Arial Nova"/>
          <w:noProof/>
        </w:rPr>
        <w:t>, and his vizior Rames I began the 19</w:t>
      </w:r>
      <w:r w:rsidR="00527EF0" w:rsidRPr="009319E7">
        <w:rPr>
          <w:rFonts w:ascii="Arial Nova" w:hAnsi="Arial Nova"/>
          <w:noProof/>
          <w:vertAlign w:val="superscript"/>
        </w:rPr>
        <w:t>th</w:t>
      </w:r>
      <w:r w:rsidR="00527EF0" w:rsidRPr="009319E7">
        <w:rPr>
          <w:rFonts w:ascii="Arial Nova" w:hAnsi="Arial Nova"/>
          <w:noProof/>
        </w:rPr>
        <w:t xml:space="preserve"> Dynasty</w:t>
      </w:r>
      <w:r w:rsidRPr="009319E7">
        <w:rPr>
          <w:rStyle w:val="FootnoteReference"/>
          <w:rFonts w:ascii="Arial Nova" w:hAnsi="Arial Nova"/>
          <w:noProof/>
        </w:rPr>
        <w:footnoteReference w:id="6"/>
      </w:r>
      <w:r w:rsidRPr="009319E7">
        <w:rPr>
          <w:rFonts w:ascii="Arial Nova" w:hAnsi="Arial Nova"/>
          <w:noProof/>
        </w:rPr>
        <w:t>. These changes had removed some of the power from the Amun priethood and placed them directly into the hands of the Pharaoh due to the complex religio-political climate of the Egyptians, thus causing disruption and chaos on a socio-economic scale for the every-day people of the country, indicated by their malnurishment</w:t>
      </w:r>
      <w:r w:rsidRPr="009319E7">
        <w:rPr>
          <w:rStyle w:val="FootnoteReference"/>
          <w:rFonts w:ascii="Arial Nova" w:hAnsi="Arial Nova"/>
          <w:noProof/>
        </w:rPr>
        <w:footnoteReference w:id="7"/>
      </w:r>
      <w:r w:rsidRPr="009319E7">
        <w:rPr>
          <w:rFonts w:ascii="Arial Nova" w:hAnsi="Arial Nova"/>
          <w:noProof/>
        </w:rPr>
        <w:t>. The cultural trauma inflicted by this possibly disabled</w:t>
      </w:r>
      <w:r w:rsidRPr="009319E7">
        <w:rPr>
          <w:rStyle w:val="FootnoteReference"/>
          <w:rFonts w:ascii="Arial Nova" w:hAnsi="Arial Nova"/>
          <w:noProof/>
        </w:rPr>
        <w:footnoteReference w:id="8"/>
      </w:r>
      <w:r w:rsidRPr="009319E7">
        <w:rPr>
          <w:rFonts w:ascii="Arial Nova" w:hAnsi="Arial Nova"/>
          <w:noProof/>
        </w:rPr>
        <w:t xml:space="preserve"> king sees its’ influence bleed into its tradition permenantly, and also it’s construction materials’ reused at other monumental sites by later kings</w:t>
      </w:r>
      <w:r w:rsidRPr="009319E7">
        <w:rPr>
          <w:rStyle w:val="FootnoteReference"/>
          <w:rFonts w:ascii="Arial Nova" w:hAnsi="Arial Nova"/>
          <w:noProof/>
        </w:rPr>
        <w:footnoteReference w:id="9"/>
      </w:r>
      <w:r w:rsidRPr="009319E7">
        <w:rPr>
          <w:rFonts w:ascii="Arial Nova" w:hAnsi="Arial Nova"/>
          <w:noProof/>
        </w:rPr>
        <w:t>. Ironically, the persecution and destruction of the Amarna period, caused it to be found and studied most extensively by modern scholars.</w:t>
      </w:r>
    </w:p>
    <w:p w14:paraId="1E7C713E" w14:textId="6DF6A834" w:rsidR="00631E50" w:rsidRPr="009319E7" w:rsidRDefault="00786C63" w:rsidP="00786C63">
      <w:pPr>
        <w:rPr>
          <w:rFonts w:ascii="Arial Nova" w:hAnsi="Arial Nova"/>
          <w:noProof/>
        </w:rPr>
      </w:pPr>
      <w:r w:rsidRPr="009319E7">
        <w:rPr>
          <w:rFonts w:ascii="Arial Nova" w:hAnsi="Arial Nova"/>
          <w:noProof/>
        </w:rPr>
        <w:t xml:space="preserve">The backbone of this period was Akhenatens religious ideology, which is reflected within his city of Akhetaten. </w:t>
      </w:r>
      <w:r w:rsidR="002C7FEE" w:rsidRPr="009319E7">
        <w:rPr>
          <w:rFonts w:ascii="Arial Nova" w:hAnsi="Arial Nova"/>
          <w:noProof/>
        </w:rPr>
        <w:t>This ideology, often referenced as Atenism in modern academia, focused primarily on the supereme solar deity, the Aten</w:t>
      </w:r>
      <w:r w:rsidR="002C7FEE" w:rsidRPr="009319E7">
        <w:rPr>
          <w:rFonts w:ascii="Arial Nova" w:hAnsi="Arial Nova"/>
          <w:noProof/>
        </w:rPr>
        <w:t xml:space="preserve"> – causing schoarly debate questioning if Akhenaten was the first monotheist</w:t>
      </w:r>
      <w:r w:rsidR="002C7FEE" w:rsidRPr="009319E7">
        <w:rPr>
          <w:rFonts w:ascii="Arial Nova" w:hAnsi="Arial Nova"/>
          <w:noProof/>
        </w:rPr>
        <w:t>.</w:t>
      </w:r>
      <w:r w:rsidR="002C7FEE" w:rsidRPr="009319E7">
        <w:rPr>
          <w:rFonts w:ascii="Arial Nova" w:hAnsi="Arial Nova"/>
          <w:noProof/>
        </w:rPr>
        <w:t xml:space="preserve"> The Aten is represented as wholy different from the </w:t>
      </w:r>
      <w:r w:rsidR="002C7FEE" w:rsidRPr="009319E7">
        <w:rPr>
          <w:rFonts w:ascii="Arial Nova" w:hAnsi="Arial Nova"/>
          <w:noProof/>
        </w:rPr>
        <w:lastRenderedPageBreak/>
        <w:t>traditional pantheon of gods, shown as a non-anthropomorphic being and also having a hyper-specific definition within his name</w:t>
      </w:r>
      <w:r w:rsidR="0037064B" w:rsidRPr="009319E7">
        <w:rPr>
          <w:rStyle w:val="FootnoteReference"/>
          <w:rFonts w:ascii="Arial Nova" w:hAnsi="Arial Nova"/>
          <w:noProof/>
        </w:rPr>
        <w:footnoteReference w:id="10"/>
      </w:r>
      <w:r w:rsidR="0037064B" w:rsidRPr="009319E7">
        <w:rPr>
          <w:rFonts w:ascii="Arial Nova" w:hAnsi="Arial Nova"/>
          <w:noProof/>
        </w:rPr>
        <w:t>.</w:t>
      </w:r>
      <w:r w:rsidR="002C7FEE" w:rsidRPr="009319E7">
        <w:rPr>
          <w:rFonts w:ascii="Arial Nova" w:hAnsi="Arial Nova"/>
          <w:noProof/>
        </w:rPr>
        <w:t xml:space="preserve"> </w:t>
      </w:r>
    </w:p>
    <w:p w14:paraId="27B9B137" w14:textId="13533611" w:rsidR="002C7FEE" w:rsidRPr="009319E7" w:rsidRDefault="002C7FEE" w:rsidP="00786C63">
      <w:pPr>
        <w:rPr>
          <w:rFonts w:ascii="Arial Nova" w:hAnsi="Arial Nova"/>
          <w:noProof/>
        </w:rPr>
      </w:pPr>
      <w:r w:rsidRPr="009319E7">
        <w:rPr>
          <w:rFonts w:ascii="Arial Nova" w:hAnsi="Arial Nova"/>
          <w:noProof/>
        </w:rPr>
        <w:t xml:space="preserve">This divine being is also deemed ‘spiritually inaccessible’ because, as dictated within the </w:t>
      </w:r>
      <w:r w:rsidRPr="009319E7">
        <w:rPr>
          <w:rFonts w:ascii="Arial Nova" w:hAnsi="Arial Nova"/>
          <w:i/>
          <w:iCs/>
          <w:noProof/>
        </w:rPr>
        <w:t>Hymn of the Aten</w:t>
      </w:r>
      <w:r w:rsidR="009332DF" w:rsidRPr="009319E7">
        <w:rPr>
          <w:rStyle w:val="FootnoteReference"/>
          <w:rFonts w:ascii="Arial Nova" w:hAnsi="Arial Nova"/>
          <w:noProof/>
        </w:rPr>
        <w:footnoteReference w:id="11"/>
      </w:r>
      <w:r w:rsidRPr="009319E7">
        <w:rPr>
          <w:rFonts w:ascii="Arial Nova" w:hAnsi="Arial Nova"/>
          <w:noProof/>
        </w:rPr>
        <w:t>, only the royal couple may commune directly with the god. Furthermore, within imagery, the Aten’s rays have hands that only extend to Akhenaten and Nefertiti</w:t>
      </w:r>
      <w:r w:rsidR="00A708E5" w:rsidRPr="009319E7">
        <w:rPr>
          <w:rFonts w:ascii="Arial Nova" w:hAnsi="Arial Nova"/>
          <w:noProof/>
        </w:rPr>
        <w:t xml:space="preserve">. </w:t>
      </w:r>
      <w:r w:rsidRPr="009319E7">
        <w:rPr>
          <w:rFonts w:ascii="Arial Nova" w:hAnsi="Arial Nova"/>
          <w:noProof/>
        </w:rPr>
        <w:t xml:space="preserve">The pair were also to perform ceremonies and rites, therefore removing the requiremet for a priesthood and raising their place within the religious hierarchy. </w:t>
      </w:r>
      <w:r w:rsidRPr="009319E7">
        <w:rPr>
          <w:rFonts w:ascii="Arial Nova" w:hAnsi="Arial Nova"/>
          <w:noProof/>
        </w:rPr>
        <w:t>The rejection of the polythiestic religion and its traditional representation can be first seen at Karnak,</w:t>
      </w:r>
      <w:r w:rsidRPr="009319E7">
        <w:rPr>
          <w:rFonts w:ascii="Arial Nova" w:hAnsi="Arial Nova"/>
          <w:noProof/>
        </w:rPr>
        <w:t xml:space="preserve"> </w:t>
      </w:r>
      <w:r w:rsidRPr="009319E7">
        <w:rPr>
          <w:rFonts w:ascii="Arial Nova" w:hAnsi="Arial Nova"/>
          <w:noProof/>
        </w:rPr>
        <w:t xml:space="preserve">where the monument releifs display </w:t>
      </w:r>
      <w:r w:rsidRPr="009319E7">
        <w:rPr>
          <w:rFonts w:ascii="Arial Nova" w:hAnsi="Arial Nova"/>
          <w:noProof/>
        </w:rPr>
        <w:t xml:space="preserve">only </w:t>
      </w:r>
      <w:r w:rsidRPr="009319E7">
        <w:rPr>
          <w:rFonts w:ascii="Arial Nova" w:hAnsi="Arial Nova"/>
          <w:noProof/>
        </w:rPr>
        <w:t xml:space="preserve">Nefertiti attending the divine, and </w:t>
      </w:r>
      <w:r w:rsidRPr="009319E7">
        <w:rPr>
          <w:rFonts w:ascii="Arial Nova" w:hAnsi="Arial Nova"/>
          <w:noProof/>
        </w:rPr>
        <w:t>secondly at</w:t>
      </w:r>
      <w:r w:rsidRPr="009319E7">
        <w:rPr>
          <w:rFonts w:ascii="Arial Nova" w:hAnsi="Arial Nova"/>
          <w:noProof/>
        </w:rPr>
        <w:t xml:space="preserve"> the unsually premature </w:t>
      </w:r>
      <w:r w:rsidRPr="009319E7">
        <w:rPr>
          <w:rFonts w:ascii="Arial Nova" w:hAnsi="Arial Nova"/>
          <w:i/>
          <w:iCs/>
          <w:noProof/>
        </w:rPr>
        <w:t xml:space="preserve">heb-sed </w:t>
      </w:r>
      <w:r w:rsidRPr="009319E7">
        <w:rPr>
          <w:rFonts w:ascii="Arial Nova" w:hAnsi="Arial Nova"/>
          <w:noProof/>
        </w:rPr>
        <w:t>festival, where the king only makes an offering to the Aten</w:t>
      </w:r>
      <w:r w:rsidRPr="009319E7">
        <w:rPr>
          <w:rStyle w:val="FootnoteReference"/>
          <w:rFonts w:ascii="Arial Nova" w:hAnsi="Arial Nova"/>
          <w:noProof/>
        </w:rPr>
        <w:footnoteReference w:id="12"/>
      </w:r>
      <w:r w:rsidRPr="009319E7">
        <w:rPr>
          <w:rFonts w:ascii="Arial Nova" w:hAnsi="Arial Nova"/>
          <w:noProof/>
        </w:rPr>
        <w:t xml:space="preserve">. </w:t>
      </w:r>
      <w:r w:rsidR="00056656" w:rsidRPr="009319E7">
        <w:rPr>
          <w:rFonts w:ascii="Arial Nova" w:hAnsi="Arial Nova"/>
          <w:noProof/>
        </w:rPr>
        <w:t>The king does mention other deities, such as Ma’at and Bes, within the Hymn to the Aten, but e</w:t>
      </w:r>
      <w:r w:rsidRPr="009319E7">
        <w:rPr>
          <w:rFonts w:ascii="Arial Nova" w:hAnsi="Arial Nova"/>
          <w:noProof/>
        </w:rPr>
        <w:t xml:space="preserve">ventually, </w:t>
      </w:r>
      <w:r w:rsidR="00056656" w:rsidRPr="009319E7">
        <w:rPr>
          <w:rFonts w:ascii="Arial Nova" w:hAnsi="Arial Nova"/>
          <w:noProof/>
        </w:rPr>
        <w:t xml:space="preserve">outlawed </w:t>
      </w:r>
      <w:r w:rsidRPr="009319E7">
        <w:rPr>
          <w:rFonts w:ascii="Arial Nova" w:hAnsi="Arial Nova"/>
          <w:noProof/>
        </w:rPr>
        <w:t xml:space="preserve">the worship of the traditional gods, and their idols, particualy that of Amun, </w:t>
      </w:r>
      <w:r w:rsidR="00056656" w:rsidRPr="009319E7">
        <w:rPr>
          <w:rFonts w:ascii="Arial Nova" w:hAnsi="Arial Nova"/>
          <w:noProof/>
        </w:rPr>
        <w:t>and enforced persecuption</w:t>
      </w:r>
      <w:r w:rsidRPr="009319E7">
        <w:rPr>
          <w:rFonts w:ascii="Arial Nova" w:hAnsi="Arial Nova"/>
          <w:noProof/>
        </w:rPr>
        <w:t>.</w:t>
      </w:r>
      <w:r w:rsidR="00056656" w:rsidRPr="009319E7">
        <w:rPr>
          <w:rFonts w:ascii="Arial Nova" w:hAnsi="Arial Nova"/>
          <w:noProof/>
        </w:rPr>
        <w:t xml:space="preserve"> For the everyday people of Egypt, there is no doubt that the religio-political power struggle occuring between royalty and priesthoods caused socio-economic disruption. The abandonment of the traditional gods was not seen as prominantly within urban spaces, and certain house-hold deities such as Bes were still worshipped. The religious climate changed, as people could not directly commune with their state god, and rites and ceremonies were adapted. Yet, upon the death of Akhenaten and the reinstitionalisation of traditional religious practice, the people of Egypt returned to their old, polythiestic ways rapidly.</w:t>
      </w:r>
    </w:p>
    <w:p w14:paraId="4C720298" w14:textId="7A4DE4EB" w:rsidR="00D14EF0" w:rsidRPr="009319E7" w:rsidRDefault="00D14EF0" w:rsidP="00D14EF0">
      <w:pPr>
        <w:keepNext/>
        <w:rPr>
          <w:rFonts w:ascii="Arial Nova" w:hAnsi="Arial Nova"/>
        </w:rPr>
      </w:pPr>
      <w:r w:rsidRPr="009319E7">
        <w:rPr>
          <w:rFonts w:ascii="Arial Nova" w:hAnsi="Arial Nova"/>
          <w:noProof/>
        </w:rPr>
        <w:drawing>
          <wp:anchor distT="0" distB="0" distL="114300" distR="114300" simplePos="0" relativeHeight="251658240" behindDoc="1" locked="0" layoutInCell="1" allowOverlap="1" wp14:anchorId="728D6178" wp14:editId="3E836138">
            <wp:simplePos x="0" y="0"/>
            <wp:positionH relativeFrom="margin">
              <wp:align>right</wp:align>
            </wp:positionH>
            <wp:positionV relativeFrom="paragraph">
              <wp:posOffset>11479</wp:posOffset>
            </wp:positionV>
            <wp:extent cx="2578735" cy="2476500"/>
            <wp:effectExtent l="0" t="0" r="0" b="0"/>
            <wp:wrapTight wrapText="bothSides">
              <wp:wrapPolygon edited="0">
                <wp:start x="0" y="0"/>
                <wp:lineTo x="0" y="21434"/>
                <wp:lineTo x="21382" y="21434"/>
                <wp:lineTo x="2138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4384" t="15521" r="29845" b="8934"/>
                    <a:stretch/>
                  </pic:blipFill>
                  <pic:spPr bwMode="auto">
                    <a:xfrm>
                      <a:off x="0" y="0"/>
                      <a:ext cx="2578735" cy="2476500"/>
                    </a:xfrm>
                    <a:prstGeom prst="rect">
                      <a:avLst/>
                    </a:prstGeom>
                    <a:ln>
                      <a:noFill/>
                    </a:ln>
                    <a:extLst>
                      <a:ext uri="{53640926-AAD7-44D8-BBD7-CCE9431645EC}">
                        <a14:shadowObscured xmlns:a14="http://schemas.microsoft.com/office/drawing/2010/main"/>
                      </a:ext>
                    </a:extLst>
                  </pic:spPr>
                </pic:pic>
              </a:graphicData>
            </a:graphic>
          </wp:anchor>
        </w:drawing>
      </w:r>
    </w:p>
    <w:p w14:paraId="4CDA6CD1" w14:textId="77777777" w:rsidR="00D14EF0" w:rsidRPr="009319E7" w:rsidRDefault="00D14EF0" w:rsidP="00D14EF0">
      <w:pPr>
        <w:pStyle w:val="Caption"/>
        <w:rPr>
          <w:rFonts w:ascii="Arial Nova" w:hAnsi="Arial Nova"/>
        </w:rPr>
      </w:pPr>
      <w:r w:rsidRPr="009319E7">
        <w:rPr>
          <w:rFonts w:ascii="Arial Nova" w:hAnsi="Arial Nova"/>
        </w:rPr>
        <w:t xml:space="preserve">Figure </w:t>
      </w:r>
      <w:r w:rsidRPr="009319E7">
        <w:rPr>
          <w:rFonts w:ascii="Arial Nova" w:hAnsi="Arial Nova"/>
        </w:rPr>
        <w:fldChar w:fldCharType="begin"/>
      </w:r>
      <w:r w:rsidRPr="009319E7">
        <w:rPr>
          <w:rFonts w:ascii="Arial Nova" w:hAnsi="Arial Nova"/>
        </w:rPr>
        <w:instrText xml:space="preserve"> SEQ Figure \* ARABIC </w:instrText>
      </w:r>
      <w:r w:rsidRPr="009319E7">
        <w:rPr>
          <w:rFonts w:ascii="Arial Nova" w:hAnsi="Arial Nova"/>
        </w:rPr>
        <w:fldChar w:fldCharType="separate"/>
      </w:r>
      <w:r w:rsidRPr="009319E7">
        <w:rPr>
          <w:rFonts w:ascii="Arial Nova" w:hAnsi="Arial Nova"/>
          <w:noProof/>
        </w:rPr>
        <w:t>1</w:t>
      </w:r>
      <w:r w:rsidRPr="009319E7">
        <w:rPr>
          <w:rFonts w:ascii="Arial Nova" w:hAnsi="Arial Nova"/>
          <w:noProof/>
        </w:rPr>
        <w:fldChar w:fldCharType="end"/>
      </w:r>
      <w:r w:rsidRPr="009319E7">
        <w:rPr>
          <w:rFonts w:ascii="Arial Nova" w:hAnsi="Arial Nova"/>
        </w:rPr>
        <w:t xml:space="preserve"> - Map of Amarna [taken from Dobson </w:t>
      </w:r>
      <w:proofErr w:type="gramStart"/>
      <w:r w:rsidRPr="009319E7">
        <w:rPr>
          <w:rFonts w:ascii="Arial Nova" w:hAnsi="Arial Nova"/>
        </w:rPr>
        <w:t>2009:xv</w:t>
      </w:r>
      <w:proofErr w:type="gramEnd"/>
      <w:r w:rsidRPr="009319E7">
        <w:rPr>
          <w:rFonts w:ascii="Arial Nova" w:hAnsi="Arial Nova"/>
        </w:rPr>
        <w:t>]</w:t>
      </w:r>
    </w:p>
    <w:p w14:paraId="19D0559D" w14:textId="6CAB351D" w:rsidR="00056656" w:rsidRPr="009319E7" w:rsidRDefault="00056656" w:rsidP="00056656">
      <w:pPr>
        <w:rPr>
          <w:rFonts w:ascii="Arial Nova" w:hAnsi="Arial Nova"/>
          <w:noProof/>
        </w:rPr>
      </w:pPr>
      <w:r w:rsidRPr="009319E7">
        <w:rPr>
          <w:rFonts w:ascii="Arial Nova" w:hAnsi="Arial Nova"/>
          <w:noProof/>
        </w:rPr>
        <w:t xml:space="preserve">The city constructed by Akhenaten was also abandoned after his death, but </w:t>
      </w:r>
      <w:r w:rsidRPr="009319E7">
        <w:rPr>
          <w:rFonts w:ascii="Arial Nova" w:hAnsi="Arial Nova"/>
          <w:noProof/>
        </w:rPr>
        <w:t>the city is said to have housed 20,000-50,000 people at  its’ peak</w:t>
      </w:r>
      <w:r w:rsidRPr="009319E7">
        <w:rPr>
          <w:rStyle w:val="FootnoteReference"/>
          <w:rFonts w:ascii="Arial Nova" w:hAnsi="Arial Nova"/>
          <w:noProof/>
        </w:rPr>
        <w:footnoteReference w:id="13"/>
      </w:r>
      <w:r w:rsidRPr="009319E7">
        <w:rPr>
          <w:rFonts w:ascii="Arial Nova" w:hAnsi="Arial Nova"/>
          <w:noProof/>
        </w:rPr>
        <w:t>.</w:t>
      </w:r>
      <w:r w:rsidR="00682BE8" w:rsidRPr="009319E7">
        <w:rPr>
          <w:rFonts w:ascii="Arial Nova" w:hAnsi="Arial Nova"/>
          <w:noProof/>
        </w:rPr>
        <w:t xml:space="preserve"> It was built in </w:t>
      </w:r>
      <w:r w:rsidR="00C7532D" w:rsidRPr="009319E7">
        <w:rPr>
          <w:rFonts w:ascii="Arial Nova" w:hAnsi="Arial Nova"/>
          <w:noProof/>
        </w:rPr>
        <w:t>his 5</w:t>
      </w:r>
      <w:r w:rsidR="00C7532D" w:rsidRPr="009319E7">
        <w:rPr>
          <w:rFonts w:ascii="Arial Nova" w:hAnsi="Arial Nova"/>
          <w:noProof/>
          <w:vertAlign w:val="superscript"/>
        </w:rPr>
        <w:t>th</w:t>
      </w:r>
      <w:r w:rsidR="00C7532D" w:rsidRPr="009319E7">
        <w:rPr>
          <w:rFonts w:ascii="Arial Nova" w:hAnsi="Arial Nova"/>
          <w:noProof/>
        </w:rPr>
        <w:t xml:space="preserve"> regal year</w:t>
      </w:r>
      <w:r w:rsidR="00C7532D" w:rsidRPr="009319E7">
        <w:rPr>
          <w:rStyle w:val="FootnoteReference"/>
          <w:rFonts w:ascii="Arial Nova" w:hAnsi="Arial Nova"/>
          <w:noProof/>
        </w:rPr>
        <w:footnoteReference w:id="14"/>
      </w:r>
      <w:r w:rsidR="00C7532D" w:rsidRPr="009319E7">
        <w:rPr>
          <w:rFonts w:ascii="Arial Nova" w:hAnsi="Arial Nova"/>
          <w:noProof/>
        </w:rPr>
        <w:t>.</w:t>
      </w:r>
      <w:r w:rsidRPr="009319E7">
        <w:rPr>
          <w:rFonts w:ascii="Arial Nova" w:hAnsi="Arial Nova"/>
          <w:noProof/>
        </w:rPr>
        <w:t xml:space="preserve"> </w:t>
      </w:r>
      <w:r w:rsidRPr="009319E7">
        <w:rPr>
          <w:rFonts w:ascii="Arial Nova" w:hAnsi="Arial Nova"/>
          <w:noProof/>
        </w:rPr>
        <w:t>In archaeological terms, this location is known as Tell el-Amarna, however, the ‘Tell’ causes misinformation as there is no mound of ancient remains on this modern-inhabited floodplain but rather a foundation of the city due to the resue of construction materials by later kings</w:t>
      </w:r>
      <w:r w:rsidRPr="009319E7">
        <w:rPr>
          <w:rStyle w:val="FootnoteReference"/>
          <w:rFonts w:ascii="Arial Nova" w:hAnsi="Arial Nova"/>
          <w:noProof/>
        </w:rPr>
        <w:footnoteReference w:id="15"/>
      </w:r>
      <w:r w:rsidRPr="009319E7">
        <w:rPr>
          <w:rFonts w:ascii="Arial Nova" w:hAnsi="Arial Nova"/>
          <w:noProof/>
        </w:rPr>
        <w:t>.</w:t>
      </w:r>
      <w:r w:rsidRPr="009319E7">
        <w:rPr>
          <w:rFonts w:ascii="Arial Nova" w:hAnsi="Arial Nova"/>
          <w:noProof/>
        </w:rPr>
        <w:t xml:space="preserve"> </w:t>
      </w:r>
      <w:r w:rsidRPr="009319E7">
        <w:rPr>
          <w:rFonts w:ascii="Arial Nova" w:hAnsi="Arial Nova"/>
          <w:noProof/>
        </w:rPr>
        <w:t>The city itself extended along the Nile for 6km north to south and roughly 1km into the eastern desert rather organically with only hints of planning evident</w:t>
      </w:r>
      <w:r w:rsidRPr="009319E7">
        <w:rPr>
          <w:rStyle w:val="FootnoteReference"/>
          <w:rFonts w:ascii="Arial Nova" w:hAnsi="Arial Nova"/>
          <w:noProof/>
        </w:rPr>
        <w:footnoteReference w:id="16"/>
      </w:r>
      <w:r w:rsidRPr="009319E7">
        <w:rPr>
          <w:rFonts w:ascii="Arial Nova" w:hAnsi="Arial Nova"/>
          <w:noProof/>
        </w:rPr>
        <w:t xml:space="preserve">. Two styles of bricks were used for construction; traditional mudbrick and nearby-quarried stone, that were fashioned into smaller blocks known as </w:t>
      </w:r>
      <w:r w:rsidRPr="009319E7">
        <w:rPr>
          <w:rFonts w:ascii="Arial Nova" w:hAnsi="Arial Nova"/>
          <w:i/>
          <w:iCs/>
          <w:noProof/>
        </w:rPr>
        <w:t xml:space="preserve">talatats. </w:t>
      </w:r>
      <w:r w:rsidRPr="009319E7">
        <w:rPr>
          <w:rFonts w:ascii="Arial Nova" w:hAnsi="Arial Nova"/>
          <w:noProof/>
        </w:rPr>
        <w:t xml:space="preserve">For archaeological cateogrisational purposes, the city is then organised into four categoires; Central city, Main City, North Suburb and North city. The Central City was the central hub of the Pharoah and it contained the two main Aten temples, two royal residances and “further ceremonial, </w:t>
      </w:r>
      <w:r w:rsidRPr="009319E7">
        <w:rPr>
          <w:rFonts w:ascii="Arial Nova" w:hAnsi="Arial Nova"/>
          <w:noProof/>
        </w:rPr>
        <w:lastRenderedPageBreak/>
        <w:t>administrative, military, industrial and food-production complexes”</w:t>
      </w:r>
      <w:r w:rsidRPr="009319E7">
        <w:rPr>
          <w:rStyle w:val="FootnoteReference"/>
          <w:rFonts w:ascii="Arial Nova" w:hAnsi="Arial Nova"/>
          <w:noProof/>
        </w:rPr>
        <w:footnoteReference w:id="17"/>
      </w:r>
      <w:r w:rsidRPr="009319E7">
        <w:rPr>
          <w:rFonts w:ascii="Arial Nova" w:hAnsi="Arial Nova"/>
          <w:noProof/>
        </w:rPr>
        <w:t>. The Main City and North Suburb were primarily residential, along with the North City albiet this area contained two royal residences and complimentative adminstrative buildings. The sections were connected by a Royal Road, which was likely an “important stage for the public display of the royal family”</w:t>
      </w:r>
      <w:r w:rsidRPr="009319E7">
        <w:rPr>
          <w:rStyle w:val="FootnoteReference"/>
          <w:rFonts w:ascii="Arial Nova" w:hAnsi="Arial Nova"/>
          <w:noProof/>
        </w:rPr>
        <w:footnoteReference w:id="18"/>
      </w:r>
      <w:r w:rsidRPr="009319E7">
        <w:rPr>
          <w:rFonts w:ascii="Arial Nova" w:hAnsi="Arial Nova"/>
          <w:noProof/>
        </w:rPr>
        <w:t>. There are some workers villages and cemetaries on the outskirts of the city that contain eye-opening information</w:t>
      </w:r>
      <w:r w:rsidRPr="009319E7">
        <w:rPr>
          <w:rStyle w:val="FootnoteReference"/>
          <w:rFonts w:ascii="Arial Nova" w:hAnsi="Arial Nova"/>
          <w:noProof/>
        </w:rPr>
        <w:footnoteReference w:id="19"/>
      </w:r>
      <w:r w:rsidRPr="009319E7">
        <w:rPr>
          <w:rFonts w:ascii="Arial Nova" w:hAnsi="Arial Nova"/>
          <w:noProof/>
        </w:rPr>
        <w:t xml:space="preserve"> concerning the everyday person and their daily lives, however, the focus of this work is on Akhenatens expression of his religious ideology through his city. As stated by Stevens, “the city was a manifestation of the king’s commitment to the Aten, its cult architecture dominated by open air shrines, altars, and courts”</w:t>
      </w:r>
      <w:r w:rsidRPr="009319E7">
        <w:rPr>
          <w:rStyle w:val="FootnoteReference"/>
          <w:rFonts w:ascii="Arial Nova" w:hAnsi="Arial Nova"/>
          <w:noProof/>
        </w:rPr>
        <w:footnoteReference w:id="20"/>
      </w:r>
      <w:r w:rsidRPr="009319E7">
        <w:rPr>
          <w:rFonts w:ascii="Arial Nova" w:hAnsi="Arial Nova"/>
          <w:noProof/>
        </w:rPr>
        <w:t>. The Boundary Stela that display the cities boundaries and discuss Akhenatens’ intentions concerning the founding of his new city also have relief images of his family making offerings to the Aten</w:t>
      </w:r>
      <w:r w:rsidRPr="009319E7">
        <w:rPr>
          <w:rStyle w:val="FootnoteReference"/>
          <w:rFonts w:ascii="Arial Nova" w:hAnsi="Arial Nova"/>
          <w:noProof/>
        </w:rPr>
        <w:footnoteReference w:id="21"/>
      </w:r>
      <w:r w:rsidRPr="009319E7">
        <w:rPr>
          <w:rFonts w:ascii="Arial Nova" w:hAnsi="Arial Nova"/>
          <w:noProof/>
        </w:rPr>
        <w:t xml:space="preserve">. As seen in Fig {insert picture from class showing the rays spread across the city}, the design of the city seems to follow the imagery of the god. The shrines and temples have open courtards, allowing the suns rays to extend on temple-goers and their offerings within. Altar tables were loaded with food every morning and left to rot in the sunshine. </w:t>
      </w:r>
    </w:p>
    <w:p w14:paraId="55BAC7F3" w14:textId="77777777" w:rsidR="00056656" w:rsidRPr="009319E7" w:rsidRDefault="00056656" w:rsidP="00056656">
      <w:pPr>
        <w:rPr>
          <w:rFonts w:ascii="Arial Nova" w:hAnsi="Arial Nova"/>
          <w:noProof/>
        </w:rPr>
      </w:pPr>
      <w:r w:rsidRPr="009319E7">
        <w:rPr>
          <w:rFonts w:ascii="Arial Nova" w:hAnsi="Arial Nova"/>
          <w:noProof/>
        </w:rPr>
        <w:t>The North Riverside Palace dominated the North city section of Amarna, and beside it lay a “large terraced complex”</w:t>
      </w:r>
      <w:r w:rsidRPr="009319E7">
        <w:rPr>
          <w:rStyle w:val="FootnoteReference"/>
          <w:rFonts w:ascii="Arial Nova" w:hAnsi="Arial Nova"/>
          <w:noProof/>
        </w:rPr>
        <w:footnoteReference w:id="22"/>
      </w:r>
      <w:r w:rsidRPr="009319E7">
        <w:rPr>
          <w:rFonts w:ascii="Arial Nova" w:hAnsi="Arial Nova"/>
          <w:noProof/>
        </w:rPr>
        <w:t xml:space="preserve"> of open-court administrative buildings. It is not to be confused with the North Palace, the royal accomodation whose prominent feature was its’ well-preserved wall paintings</w:t>
      </w:r>
      <w:r w:rsidRPr="009319E7">
        <w:rPr>
          <w:rStyle w:val="FootnoteReference"/>
          <w:rFonts w:ascii="Arial Nova" w:hAnsi="Arial Nova"/>
          <w:noProof/>
        </w:rPr>
        <w:footnoteReference w:id="23"/>
      </w:r>
      <w:r w:rsidRPr="009319E7">
        <w:rPr>
          <w:rFonts w:ascii="Arial Nova" w:hAnsi="Arial Nova"/>
          <w:noProof/>
        </w:rPr>
        <w:t xml:space="preserve"> . The palace has open courts seperated by pylons or Window of Appearance’s, sunken gardens and courtyards with altars and magazines, areas for animals and congregation. </w:t>
      </w:r>
    </w:p>
    <w:p w14:paraId="7995AA89" w14:textId="77777777" w:rsidR="00056656" w:rsidRPr="009319E7" w:rsidRDefault="006C1FD1" w:rsidP="00056656">
      <w:pPr>
        <w:rPr>
          <w:rFonts w:ascii="Arial Nova" w:hAnsi="Arial Nova"/>
          <w:noProof/>
        </w:rPr>
      </w:pPr>
      <w:r w:rsidRPr="009319E7">
        <w:rPr>
          <w:rFonts w:ascii="Arial Nova" w:hAnsi="Arial Nova"/>
          <w:noProof/>
        </w:rPr>
        <w:t>The Great Palace, located within the Central city and reaching 580m in length, is mostly destroyed in modern times or beneith cultivation</w:t>
      </w:r>
      <w:r w:rsidRPr="009319E7">
        <w:rPr>
          <w:rStyle w:val="FootnoteReference"/>
          <w:rFonts w:ascii="Arial Nova" w:hAnsi="Arial Nova"/>
          <w:noProof/>
        </w:rPr>
        <w:footnoteReference w:id="24"/>
      </w:r>
      <w:r w:rsidRPr="009319E7">
        <w:rPr>
          <w:rFonts w:ascii="Arial Nova" w:hAnsi="Arial Nova"/>
          <w:noProof/>
        </w:rPr>
        <w:t>.</w:t>
      </w:r>
      <w:r w:rsidRPr="009319E7">
        <w:rPr>
          <w:rFonts w:ascii="Arial Nova" w:hAnsi="Arial Nova"/>
          <w:noProof/>
        </w:rPr>
        <w:t xml:space="preserve"> The sheer size indicates the distance between the Pharaoh and his people, yet a bridge across the royal road housing a Window of Appearance somewhat reconnected the gap</w:t>
      </w:r>
      <w:r w:rsidRPr="009319E7">
        <w:rPr>
          <w:rStyle w:val="FootnoteReference"/>
          <w:rFonts w:ascii="Arial Nova" w:hAnsi="Arial Nova"/>
          <w:noProof/>
        </w:rPr>
        <w:footnoteReference w:id="25"/>
      </w:r>
      <w:r w:rsidRPr="009319E7">
        <w:rPr>
          <w:rFonts w:ascii="Arial Nova" w:hAnsi="Arial Nova"/>
          <w:noProof/>
        </w:rPr>
        <w:t xml:space="preserve">. It </w:t>
      </w:r>
      <w:r w:rsidR="00056656" w:rsidRPr="009319E7">
        <w:rPr>
          <w:rFonts w:ascii="Arial Nova" w:hAnsi="Arial Nova"/>
          <w:noProof/>
        </w:rPr>
        <w:t>was built with a combination of mud-brick and stone and decorated lavishly with stone inlays and painted floors</w:t>
      </w:r>
      <w:r w:rsidR="00056656" w:rsidRPr="009319E7">
        <w:rPr>
          <w:rStyle w:val="FootnoteReference"/>
          <w:rFonts w:ascii="Arial Nova" w:hAnsi="Arial Nova"/>
          <w:noProof/>
        </w:rPr>
        <w:footnoteReference w:id="26"/>
      </w:r>
      <w:r w:rsidR="00056656" w:rsidRPr="009319E7">
        <w:rPr>
          <w:rFonts w:ascii="Arial Nova" w:hAnsi="Arial Nova"/>
          <w:noProof/>
        </w:rPr>
        <w:t>. Due to its representaions within nearby elite tombs, archaeologists were able to reconstruct the palaces’ floorplan</w:t>
      </w:r>
      <w:r w:rsidRPr="009319E7">
        <w:rPr>
          <w:rStyle w:val="FootnoteReference"/>
          <w:rFonts w:ascii="Arial Nova" w:hAnsi="Arial Nova"/>
          <w:noProof/>
        </w:rPr>
        <w:footnoteReference w:id="27"/>
      </w:r>
      <w:r w:rsidR="00056656" w:rsidRPr="009319E7">
        <w:rPr>
          <w:rFonts w:ascii="Arial Nova" w:hAnsi="Arial Nova"/>
          <w:noProof/>
        </w:rPr>
        <w:t xml:space="preserve"> with its western section dominated by a courtyard of royal statues and state apartments</w:t>
      </w:r>
      <w:r w:rsidRPr="009319E7">
        <w:rPr>
          <w:rFonts w:ascii="Arial Nova" w:hAnsi="Arial Nova"/>
          <w:noProof/>
        </w:rPr>
        <w:t>, and important adminstration buildings</w:t>
      </w:r>
      <w:r w:rsidRPr="009319E7">
        <w:rPr>
          <w:rStyle w:val="FootnoteReference"/>
          <w:rFonts w:ascii="Arial Nova" w:hAnsi="Arial Nova"/>
          <w:noProof/>
        </w:rPr>
        <w:footnoteReference w:id="28"/>
      </w:r>
      <w:r w:rsidRPr="009319E7">
        <w:rPr>
          <w:rFonts w:ascii="Arial Nova" w:hAnsi="Arial Nova"/>
          <w:noProof/>
        </w:rPr>
        <w:t>,</w:t>
      </w:r>
      <w:r w:rsidR="00056656" w:rsidRPr="009319E7">
        <w:rPr>
          <w:rFonts w:ascii="Arial Nova" w:hAnsi="Arial Nova"/>
          <w:noProof/>
        </w:rPr>
        <w:t xml:space="preserve"> with the eastern section comprising of magazine strips and possibly the ‘harem quarter’</w:t>
      </w:r>
      <w:r w:rsidR="00056656" w:rsidRPr="009319E7">
        <w:rPr>
          <w:rStyle w:val="FootnoteReference"/>
          <w:rFonts w:ascii="Arial Nova" w:hAnsi="Arial Nova"/>
          <w:noProof/>
        </w:rPr>
        <w:footnoteReference w:id="29"/>
      </w:r>
      <w:r w:rsidRPr="009319E7">
        <w:rPr>
          <w:rFonts w:ascii="Arial Nova" w:hAnsi="Arial Nova"/>
          <w:noProof/>
        </w:rPr>
        <w:t>, alongwith the kings quarters</w:t>
      </w:r>
      <w:r w:rsidRPr="009319E7">
        <w:rPr>
          <w:rStyle w:val="FootnoteReference"/>
          <w:rFonts w:ascii="Arial Nova" w:hAnsi="Arial Nova"/>
          <w:noProof/>
        </w:rPr>
        <w:footnoteReference w:id="30"/>
      </w:r>
      <w:r w:rsidR="00056656" w:rsidRPr="009319E7">
        <w:rPr>
          <w:rFonts w:ascii="Arial Nova" w:hAnsi="Arial Nova"/>
          <w:noProof/>
        </w:rPr>
        <w:t>. Later in the Amarna period, a collumned hall was added to the building</w:t>
      </w:r>
      <w:r w:rsidR="00056656" w:rsidRPr="009319E7">
        <w:rPr>
          <w:rStyle w:val="FootnoteReference"/>
          <w:rFonts w:ascii="Arial Nova" w:hAnsi="Arial Nova"/>
          <w:noProof/>
        </w:rPr>
        <w:footnoteReference w:id="31"/>
      </w:r>
      <w:r w:rsidR="00056656" w:rsidRPr="009319E7">
        <w:rPr>
          <w:rFonts w:ascii="Arial Nova" w:hAnsi="Arial Nova"/>
          <w:noProof/>
        </w:rPr>
        <w:t>.</w:t>
      </w:r>
      <w:r w:rsidRPr="009319E7">
        <w:rPr>
          <w:rFonts w:ascii="Arial Nova" w:hAnsi="Arial Nova"/>
          <w:noProof/>
        </w:rPr>
        <w:t xml:space="preserve"> </w:t>
      </w:r>
      <w:r w:rsidR="00056656" w:rsidRPr="009319E7">
        <w:rPr>
          <w:rFonts w:ascii="Arial Nova" w:hAnsi="Arial Nova"/>
          <w:noProof/>
        </w:rPr>
        <w:t>At the Kings House, located south of the Great Palace, had a bridge that descended into a tree-</w:t>
      </w:r>
      <w:r w:rsidR="00056656" w:rsidRPr="009319E7">
        <w:rPr>
          <w:rFonts w:ascii="Arial Nova" w:hAnsi="Arial Nova"/>
          <w:noProof/>
        </w:rPr>
        <w:lastRenderedPageBreak/>
        <w:t>filled courtyard which lead to a coloumed area and eventualy, a room thought to be the throne room</w:t>
      </w:r>
      <w:r w:rsidR="00056656" w:rsidRPr="009319E7">
        <w:rPr>
          <w:rStyle w:val="FootnoteReference"/>
          <w:rFonts w:ascii="Arial Nova" w:hAnsi="Arial Nova"/>
          <w:noProof/>
        </w:rPr>
        <w:footnoteReference w:id="32"/>
      </w:r>
      <w:r w:rsidR="00056656" w:rsidRPr="009319E7">
        <w:rPr>
          <w:rFonts w:ascii="Arial Nova" w:hAnsi="Arial Nova"/>
          <w:noProof/>
        </w:rPr>
        <w:t>. It’s reliefs display the royal family either relaxing or fulfilling their royal duties</w:t>
      </w:r>
      <w:r w:rsidR="00056656" w:rsidRPr="009319E7">
        <w:rPr>
          <w:rStyle w:val="FootnoteReference"/>
          <w:rFonts w:ascii="Arial Nova" w:hAnsi="Arial Nova"/>
          <w:noProof/>
        </w:rPr>
        <w:footnoteReference w:id="33"/>
      </w:r>
      <w:r w:rsidR="00056656" w:rsidRPr="009319E7">
        <w:rPr>
          <w:rFonts w:ascii="Arial Nova" w:hAnsi="Arial Nova"/>
          <w:noProof/>
        </w:rPr>
        <w:t>.</w:t>
      </w:r>
    </w:p>
    <w:p w14:paraId="3CF87569" w14:textId="77777777" w:rsidR="00056656" w:rsidRPr="009319E7" w:rsidRDefault="00056656" w:rsidP="00056656">
      <w:pPr>
        <w:rPr>
          <w:rFonts w:ascii="Arial Nova" w:hAnsi="Arial Nova"/>
          <w:noProof/>
        </w:rPr>
      </w:pPr>
      <w:r w:rsidRPr="009319E7">
        <w:rPr>
          <w:rFonts w:ascii="Arial Nova" w:hAnsi="Arial Nova"/>
          <w:noProof/>
        </w:rPr>
        <w:t>The Great and Small Aten temples are both located on the eastern side of the Royal Road, contained within mud-brick enclosure walls</w:t>
      </w:r>
      <w:r w:rsidRPr="009319E7">
        <w:rPr>
          <w:rStyle w:val="FootnoteReference"/>
          <w:rFonts w:ascii="Arial Nova" w:hAnsi="Arial Nova"/>
          <w:noProof/>
        </w:rPr>
        <w:footnoteReference w:id="34"/>
      </w:r>
      <w:r w:rsidRPr="009319E7">
        <w:rPr>
          <w:rFonts w:ascii="Arial Nova" w:hAnsi="Arial Nova"/>
          <w:noProof/>
        </w:rPr>
        <w:t>.</w:t>
      </w:r>
      <w:r w:rsidR="00527EF0" w:rsidRPr="009319E7">
        <w:rPr>
          <w:rFonts w:ascii="Arial Nova" w:hAnsi="Arial Nova"/>
          <w:noProof/>
        </w:rPr>
        <w:t xml:space="preserve"> Several shrines were scattered about the enclosure, and the main enterance led to the Royal Road</w:t>
      </w:r>
      <w:r w:rsidR="00527EF0" w:rsidRPr="009319E7">
        <w:rPr>
          <w:rStyle w:val="FootnoteReference"/>
          <w:rFonts w:ascii="Arial Nova" w:hAnsi="Arial Nova"/>
          <w:noProof/>
        </w:rPr>
        <w:footnoteReference w:id="35"/>
      </w:r>
      <w:r w:rsidR="00527EF0" w:rsidRPr="009319E7">
        <w:rPr>
          <w:rFonts w:ascii="Arial Nova" w:hAnsi="Arial Nova"/>
          <w:noProof/>
        </w:rPr>
        <w:t>.</w:t>
      </w:r>
      <w:r w:rsidRPr="009319E7">
        <w:rPr>
          <w:rFonts w:ascii="Arial Nova" w:hAnsi="Arial Nova"/>
          <w:noProof/>
        </w:rPr>
        <w:t xml:space="preserve"> Evidence that the Great Aten temple underwent several construction phases, but its’ final phase saw it contain two buildings; </w:t>
      </w:r>
      <w:r w:rsidRPr="009319E7">
        <w:rPr>
          <w:rFonts w:ascii="Arial Nova" w:hAnsi="Arial Nova"/>
          <w:i/>
          <w:iCs/>
          <w:noProof/>
        </w:rPr>
        <w:t xml:space="preserve">Gem-pa-Aten </w:t>
      </w:r>
      <w:r w:rsidRPr="009319E7">
        <w:rPr>
          <w:rFonts w:ascii="Arial Nova" w:hAnsi="Arial Nova"/>
          <w:noProof/>
        </w:rPr>
        <w:t>and the Sanctuary</w:t>
      </w:r>
      <w:r w:rsidR="00527EF0" w:rsidRPr="009319E7">
        <w:rPr>
          <w:rStyle w:val="FootnoteReference"/>
          <w:rFonts w:ascii="Arial Nova" w:hAnsi="Arial Nova"/>
          <w:noProof/>
        </w:rPr>
        <w:footnoteReference w:id="36"/>
      </w:r>
      <w:r w:rsidRPr="009319E7">
        <w:rPr>
          <w:rFonts w:ascii="Arial Nova" w:hAnsi="Arial Nova"/>
          <w:noProof/>
        </w:rPr>
        <w:t xml:space="preserve">. </w:t>
      </w:r>
      <w:r w:rsidR="00527EF0" w:rsidRPr="009319E7">
        <w:rPr>
          <w:rFonts w:ascii="Arial Nova" w:hAnsi="Arial Nova"/>
          <w:noProof/>
        </w:rPr>
        <w:t xml:space="preserve">The </w:t>
      </w:r>
      <w:r w:rsidR="00527EF0" w:rsidRPr="009319E7">
        <w:rPr>
          <w:rFonts w:ascii="Arial Nova" w:hAnsi="Arial Nova"/>
          <w:i/>
          <w:iCs/>
          <w:noProof/>
        </w:rPr>
        <w:t xml:space="preserve">Gem-pa-Aten </w:t>
      </w:r>
      <w:r w:rsidR="00527EF0" w:rsidRPr="009319E7">
        <w:rPr>
          <w:rFonts w:ascii="Arial Nova" w:hAnsi="Arial Nova"/>
          <w:noProof/>
        </w:rPr>
        <w:t>had 365 offering tables, due to the days of the solar year and the food left on them obviously included food, indicated by an on site butcher</w:t>
      </w:r>
      <w:r w:rsidR="00527EF0" w:rsidRPr="009319E7">
        <w:rPr>
          <w:rStyle w:val="FootnoteReference"/>
          <w:rFonts w:ascii="Arial Nova" w:hAnsi="Arial Nova"/>
          <w:noProof/>
        </w:rPr>
        <w:footnoteReference w:id="37"/>
      </w:r>
      <w:r w:rsidR="00527EF0" w:rsidRPr="009319E7">
        <w:rPr>
          <w:rFonts w:ascii="Arial Nova" w:hAnsi="Arial Nova"/>
          <w:noProof/>
        </w:rPr>
        <w:t xml:space="preserve">. </w:t>
      </w:r>
      <w:r w:rsidR="006C1FD1" w:rsidRPr="009319E7">
        <w:rPr>
          <w:rFonts w:ascii="Arial Nova" w:hAnsi="Arial Nova"/>
          <w:noProof/>
        </w:rPr>
        <w:t>Unfortunately, knowledge of the Great temples original appearance and ceremonies relies on relief imagery from nearby tombs</w:t>
      </w:r>
      <w:r w:rsidR="006C1FD1" w:rsidRPr="009319E7">
        <w:rPr>
          <w:rStyle w:val="FootnoteReference"/>
          <w:rFonts w:ascii="Arial Nova" w:hAnsi="Arial Nova"/>
          <w:noProof/>
        </w:rPr>
        <w:footnoteReference w:id="38"/>
      </w:r>
      <w:r w:rsidR="006C1FD1" w:rsidRPr="009319E7">
        <w:rPr>
          <w:rFonts w:ascii="Arial Nova" w:hAnsi="Arial Nova"/>
          <w:noProof/>
        </w:rPr>
        <w:t xml:space="preserve">. </w:t>
      </w:r>
      <w:r w:rsidRPr="009319E7">
        <w:rPr>
          <w:rFonts w:ascii="Arial Nova" w:hAnsi="Arial Nova"/>
          <w:noProof/>
        </w:rPr>
        <w:t>The abundance of offering tables is evident within both temples and the accompaning courtyards contained cultic focal points such as raised altars and basins</w:t>
      </w:r>
      <w:r w:rsidRPr="009319E7">
        <w:rPr>
          <w:rStyle w:val="FootnoteReference"/>
          <w:rFonts w:ascii="Arial Nova" w:hAnsi="Arial Nova"/>
          <w:noProof/>
        </w:rPr>
        <w:footnoteReference w:id="39"/>
      </w:r>
      <w:r w:rsidRPr="009319E7">
        <w:rPr>
          <w:rFonts w:ascii="Arial Nova" w:hAnsi="Arial Nova"/>
          <w:noProof/>
        </w:rPr>
        <w:t>. Initially, the Sanctuary featured an altar admist a tree grove</w:t>
      </w:r>
      <w:r w:rsidRPr="009319E7">
        <w:rPr>
          <w:rStyle w:val="FootnoteReference"/>
          <w:rFonts w:ascii="Arial Nova" w:hAnsi="Arial Nova"/>
          <w:noProof/>
        </w:rPr>
        <w:footnoteReference w:id="40"/>
      </w:r>
      <w:r w:rsidRPr="009319E7">
        <w:rPr>
          <w:rFonts w:ascii="Arial Nova" w:hAnsi="Arial Nova"/>
          <w:noProof/>
        </w:rPr>
        <w:t>. The Small Aten temple is divided into three courts; the first contained a platform of mysterious function flanked by offering tables, the second revealed a dais platform and the third contained a stone Sanctuary, flanked by flora</w:t>
      </w:r>
      <w:r w:rsidRPr="009319E7">
        <w:rPr>
          <w:rStyle w:val="FootnoteReference"/>
          <w:rFonts w:ascii="Arial Nova" w:hAnsi="Arial Nova"/>
          <w:noProof/>
        </w:rPr>
        <w:footnoteReference w:id="41"/>
      </w:r>
      <w:r w:rsidRPr="009319E7">
        <w:rPr>
          <w:rFonts w:ascii="Arial Nova" w:hAnsi="Arial Nova"/>
          <w:noProof/>
        </w:rPr>
        <w:t xml:space="preserve">. </w:t>
      </w:r>
    </w:p>
    <w:p w14:paraId="22BD217A" w14:textId="77777777" w:rsidR="00056656" w:rsidRPr="009319E7" w:rsidRDefault="00056656" w:rsidP="00056656">
      <w:pPr>
        <w:rPr>
          <w:rFonts w:ascii="Arial Nova" w:hAnsi="Arial Nova"/>
          <w:noProof/>
        </w:rPr>
      </w:pPr>
      <w:r w:rsidRPr="009319E7">
        <w:rPr>
          <w:rFonts w:ascii="Arial Nova" w:hAnsi="Arial Nova"/>
          <w:noProof/>
        </w:rPr>
        <w:t xml:space="preserve">There are also several shrines scattered amongst the sands, including one named </w:t>
      </w:r>
      <w:r w:rsidRPr="009319E7">
        <w:rPr>
          <w:rFonts w:ascii="Arial Nova" w:hAnsi="Arial Nova"/>
          <w:i/>
          <w:iCs/>
          <w:noProof/>
        </w:rPr>
        <w:t xml:space="preserve">Kom el-Nana, </w:t>
      </w:r>
      <w:r w:rsidRPr="009319E7">
        <w:rPr>
          <w:rFonts w:ascii="Arial Nova" w:hAnsi="Arial Nova"/>
          <w:noProof/>
        </w:rPr>
        <w:t>the best preserved and studied of the outskirt cult complexes</w:t>
      </w:r>
      <w:r w:rsidRPr="009319E7">
        <w:rPr>
          <w:rStyle w:val="FootnoteReference"/>
          <w:rFonts w:ascii="Arial Nova" w:hAnsi="Arial Nova"/>
          <w:noProof/>
        </w:rPr>
        <w:footnoteReference w:id="42"/>
      </w:r>
      <w:r w:rsidRPr="009319E7">
        <w:rPr>
          <w:rFonts w:ascii="Arial Nova" w:hAnsi="Arial Nova"/>
          <w:noProof/>
        </w:rPr>
        <w:t>. This building, located southeast of the Main city, is divided into southern and northen courts and comprised of raised podiums accesssible by ramps and open spaced areas with sunken gardens. Unfortuantely, this site was badly demolished at the end of the Amarna period</w:t>
      </w:r>
      <w:r w:rsidRPr="009319E7">
        <w:rPr>
          <w:rStyle w:val="FootnoteReference"/>
          <w:rFonts w:ascii="Arial Nova" w:hAnsi="Arial Nova"/>
          <w:noProof/>
        </w:rPr>
        <w:footnoteReference w:id="43"/>
      </w:r>
      <w:r w:rsidRPr="009319E7">
        <w:rPr>
          <w:rFonts w:ascii="Arial Nova" w:hAnsi="Arial Nova"/>
          <w:noProof/>
        </w:rPr>
        <w:t xml:space="preserve">. Other desert shrines include the elborately decorated </w:t>
      </w:r>
      <w:r w:rsidRPr="009319E7">
        <w:rPr>
          <w:rFonts w:ascii="Arial Nova" w:hAnsi="Arial Nova"/>
          <w:i/>
          <w:iCs/>
          <w:noProof/>
        </w:rPr>
        <w:t>Maru-Aten</w:t>
      </w:r>
      <w:r w:rsidRPr="009319E7">
        <w:rPr>
          <w:rFonts w:ascii="Arial Nova" w:hAnsi="Arial Nova"/>
          <w:noProof/>
        </w:rPr>
        <w:t xml:space="preserve">, dedicated to Meritaten the daughter of Akhenaten and Nefertiti, and </w:t>
      </w:r>
      <w:r w:rsidRPr="009319E7">
        <w:rPr>
          <w:rFonts w:ascii="Arial Nova" w:hAnsi="Arial Nova"/>
          <w:i/>
          <w:iCs/>
          <w:noProof/>
        </w:rPr>
        <w:t xml:space="preserve">El- Mangara, </w:t>
      </w:r>
      <w:r w:rsidRPr="009319E7">
        <w:rPr>
          <w:rFonts w:ascii="Arial Nova" w:hAnsi="Arial Nova"/>
          <w:noProof/>
        </w:rPr>
        <w:t>a stone-constructed ceremonial complex</w:t>
      </w:r>
      <w:r w:rsidRPr="009319E7">
        <w:rPr>
          <w:rStyle w:val="FootnoteReference"/>
          <w:rFonts w:ascii="Arial Nova" w:hAnsi="Arial Nova"/>
          <w:noProof/>
        </w:rPr>
        <w:footnoteReference w:id="44"/>
      </w:r>
      <w:r w:rsidRPr="009319E7">
        <w:rPr>
          <w:rFonts w:ascii="Arial Nova" w:hAnsi="Arial Nova"/>
          <w:noProof/>
        </w:rPr>
        <w:t>.</w:t>
      </w:r>
      <w:r w:rsidRPr="009319E7">
        <w:rPr>
          <w:rFonts w:ascii="Arial Nova" w:hAnsi="Arial Nova"/>
          <w:i/>
          <w:iCs/>
          <w:noProof/>
        </w:rPr>
        <w:t xml:space="preserve"> </w:t>
      </w:r>
    </w:p>
    <w:p w14:paraId="4CBA011D" w14:textId="5292BE2A" w:rsidR="00056656" w:rsidRPr="009319E7" w:rsidRDefault="00047717" w:rsidP="00056656">
      <w:pPr>
        <w:rPr>
          <w:rFonts w:ascii="Arial Nova" w:hAnsi="Arial Nova"/>
          <w:noProof/>
        </w:rPr>
      </w:pPr>
      <w:r w:rsidRPr="009319E7">
        <w:rPr>
          <w:rFonts w:ascii="Arial Nova" w:hAnsi="Arial Nova"/>
          <w:noProof/>
        </w:rPr>
        <w:t>To conclude, the architecture and art of the Amarna period have the ideology of the epoc</w:t>
      </w:r>
      <w:r w:rsidR="00D37E31" w:rsidRPr="009319E7">
        <w:rPr>
          <w:rFonts w:ascii="Arial Nova" w:hAnsi="Arial Nova"/>
          <w:noProof/>
        </w:rPr>
        <w:t xml:space="preserve">h influening their designs. The Pharaoh developed his art style, and turned away from tradition not only in a socio-political form, but also in the way that </w:t>
      </w:r>
      <w:r w:rsidR="000F09AE" w:rsidRPr="009319E7">
        <w:rPr>
          <w:rFonts w:ascii="Arial Nova" w:hAnsi="Arial Nova"/>
          <w:noProof/>
        </w:rPr>
        <w:t xml:space="preserve">the royal family were depicted within reliefs. His adoration for the Aten is noticable in his architectual features. </w:t>
      </w:r>
      <w:r w:rsidR="00056656" w:rsidRPr="009319E7">
        <w:rPr>
          <w:rFonts w:ascii="Arial Nova" w:hAnsi="Arial Nova"/>
          <w:noProof/>
        </w:rPr>
        <w:t xml:space="preserve">Notably, similar items appear repeatedly concerning cultic activities and these seem to be the open courtyards, abundance of altars and offering tables and plethora of </w:t>
      </w:r>
      <w:r w:rsidR="00527EF0" w:rsidRPr="009319E7">
        <w:rPr>
          <w:rFonts w:ascii="Arial Nova" w:hAnsi="Arial Nova"/>
          <w:noProof/>
        </w:rPr>
        <w:t xml:space="preserve">sacred </w:t>
      </w:r>
      <w:r w:rsidR="00056656" w:rsidRPr="009319E7">
        <w:rPr>
          <w:rFonts w:ascii="Arial Nova" w:hAnsi="Arial Nova"/>
          <w:noProof/>
        </w:rPr>
        <w:t>locations to choose from. There is also the inclusion of gardens whom presumably would’ve included bright, colourful plants. These flora could indicate the life-giving properties of the Aten.</w:t>
      </w:r>
      <w:r w:rsidR="00527EF0" w:rsidRPr="009319E7">
        <w:rPr>
          <w:rFonts w:ascii="Arial Nova" w:hAnsi="Arial Nova"/>
          <w:noProof/>
        </w:rPr>
        <w:t xml:space="preserve"> The open courtyards would have allowed the sun to beat down on worshippers, thus touching them with the Aten’s rays</w:t>
      </w:r>
      <w:r w:rsidR="00527EF0" w:rsidRPr="009319E7">
        <w:rPr>
          <w:rStyle w:val="FootnoteReference"/>
          <w:rFonts w:ascii="Arial Nova" w:hAnsi="Arial Nova"/>
          <w:noProof/>
        </w:rPr>
        <w:footnoteReference w:id="45"/>
      </w:r>
      <w:r w:rsidR="00527EF0" w:rsidRPr="009319E7">
        <w:rPr>
          <w:rFonts w:ascii="Arial Nova" w:hAnsi="Arial Nova"/>
          <w:noProof/>
        </w:rPr>
        <w:t xml:space="preserve">. </w:t>
      </w:r>
    </w:p>
    <w:p w14:paraId="52BA78ED" w14:textId="77777777" w:rsidR="00056656" w:rsidRPr="009319E7" w:rsidRDefault="00056656" w:rsidP="00056656">
      <w:pPr>
        <w:rPr>
          <w:rFonts w:ascii="Arial Nova" w:hAnsi="Arial Nova"/>
          <w:b/>
          <w:bCs/>
        </w:rPr>
      </w:pPr>
      <w:r w:rsidRPr="009319E7">
        <w:rPr>
          <w:rFonts w:ascii="Arial Nova" w:hAnsi="Arial Nova"/>
          <w:b/>
          <w:bCs/>
        </w:rPr>
        <w:lastRenderedPageBreak/>
        <w:t>References</w:t>
      </w:r>
    </w:p>
    <w:p w14:paraId="45B35F65" w14:textId="77777777" w:rsidR="00516D33" w:rsidRPr="009319E7" w:rsidRDefault="00516D33" w:rsidP="00D023AA">
      <w:pPr>
        <w:rPr>
          <w:rFonts w:ascii="Arial Nova" w:hAnsi="Arial Nova" w:cs="Arial"/>
          <w:color w:val="000000"/>
          <w:shd w:val="clear" w:color="auto" w:fill="FFFFFF"/>
        </w:rPr>
      </w:pPr>
      <w:bookmarkStart w:id="0" w:name="_GoBack"/>
      <w:r w:rsidRPr="009319E7">
        <w:rPr>
          <w:rFonts w:ascii="Arial Nova" w:hAnsi="Arial Nova" w:cs="Arial"/>
          <w:color w:val="000000"/>
          <w:shd w:val="clear" w:color="auto" w:fill="FFFFFF"/>
        </w:rPr>
        <w:t>Dodson, A. 2009. </w:t>
      </w:r>
      <w:r w:rsidRPr="009319E7">
        <w:rPr>
          <w:rFonts w:ascii="Arial Nova" w:hAnsi="Arial Nova" w:cs="Arial"/>
          <w:i/>
          <w:iCs/>
          <w:color w:val="000000"/>
          <w:shd w:val="clear" w:color="auto" w:fill="FFFFFF"/>
        </w:rPr>
        <w:t>Amarna Sunset</w:t>
      </w:r>
      <w:r w:rsidRPr="009319E7">
        <w:rPr>
          <w:rFonts w:ascii="Arial Nova" w:hAnsi="Arial Nova" w:cs="Arial"/>
          <w:color w:val="000000"/>
          <w:shd w:val="clear" w:color="auto" w:fill="FFFFFF"/>
        </w:rPr>
        <w:t>. The American University in Cairo Press.</w:t>
      </w:r>
    </w:p>
    <w:p w14:paraId="0D5F77F7" w14:textId="77777777" w:rsidR="00516D33" w:rsidRPr="009319E7" w:rsidRDefault="00516D33" w:rsidP="00D023AA">
      <w:pPr>
        <w:rPr>
          <w:rFonts w:ascii="Arial Nova" w:hAnsi="Arial Nova" w:cs="Arial"/>
          <w:sz w:val="24"/>
          <w:szCs w:val="24"/>
          <w:shd w:val="clear" w:color="auto" w:fill="FFFFFF"/>
        </w:rPr>
      </w:pPr>
      <w:r w:rsidRPr="009319E7">
        <w:rPr>
          <w:rFonts w:ascii="Arial Nova" w:hAnsi="Arial Nova" w:cs="Arial"/>
          <w:color w:val="000000"/>
          <w:shd w:val="clear" w:color="auto" w:fill="FFFFFF"/>
        </w:rPr>
        <w:t>Gates, C. 2003. </w:t>
      </w:r>
      <w:r w:rsidRPr="009319E7">
        <w:rPr>
          <w:rFonts w:ascii="Arial Nova" w:hAnsi="Arial Nova" w:cs="Arial"/>
          <w:i/>
          <w:iCs/>
          <w:color w:val="000000"/>
          <w:shd w:val="clear" w:color="auto" w:fill="FFFFFF"/>
        </w:rPr>
        <w:t>Ancient cities</w:t>
      </w:r>
      <w:r w:rsidRPr="009319E7">
        <w:rPr>
          <w:rFonts w:ascii="Arial Nova" w:hAnsi="Arial Nova" w:cs="Arial"/>
          <w:color w:val="000000"/>
          <w:shd w:val="clear" w:color="auto" w:fill="FFFFFF"/>
        </w:rPr>
        <w:t>. London: Routledge.</w:t>
      </w:r>
    </w:p>
    <w:p w14:paraId="228A0324" w14:textId="77777777" w:rsidR="00516D33" w:rsidRPr="009319E7" w:rsidRDefault="00516D33" w:rsidP="00D023AA">
      <w:pPr>
        <w:rPr>
          <w:rFonts w:ascii="Arial Nova" w:hAnsi="Arial Nova" w:cs="Arial"/>
          <w:shd w:val="clear" w:color="auto" w:fill="FFFFFF"/>
        </w:rPr>
      </w:pPr>
      <w:proofErr w:type="spellStart"/>
      <w:r w:rsidRPr="009319E7">
        <w:rPr>
          <w:rFonts w:ascii="Arial Nova" w:hAnsi="Arial Nova" w:cs="Arial"/>
          <w:shd w:val="clear" w:color="auto" w:fill="FFFFFF"/>
        </w:rPr>
        <w:t>Hanus.C</w:t>
      </w:r>
      <w:proofErr w:type="spellEnd"/>
      <w:r w:rsidRPr="009319E7">
        <w:rPr>
          <w:rFonts w:ascii="Arial Nova" w:hAnsi="Arial Nova" w:cs="Arial"/>
          <w:shd w:val="clear" w:color="auto" w:fill="FFFFFF"/>
        </w:rPr>
        <w:t xml:space="preserve">. 2012. Before and After Amarna – the </w:t>
      </w:r>
      <w:proofErr w:type="spellStart"/>
      <w:r w:rsidRPr="009319E7">
        <w:rPr>
          <w:rFonts w:ascii="Arial Nova" w:hAnsi="Arial Nova" w:cs="Arial"/>
          <w:shd w:val="clear" w:color="auto" w:fill="FFFFFF"/>
        </w:rPr>
        <w:t>Beginings</w:t>
      </w:r>
      <w:proofErr w:type="spellEnd"/>
      <w:r w:rsidRPr="009319E7">
        <w:rPr>
          <w:rFonts w:ascii="Arial Nova" w:hAnsi="Arial Nova" w:cs="Arial"/>
          <w:shd w:val="clear" w:color="auto" w:fill="FFFFFF"/>
        </w:rPr>
        <w:t xml:space="preserve"> and Consequences of the Cult of the Aten. In: </w:t>
      </w:r>
      <w:proofErr w:type="spellStart"/>
      <w:r w:rsidRPr="009319E7">
        <w:rPr>
          <w:rFonts w:ascii="Arial Nova" w:hAnsi="Arial Nova" w:cs="Arial"/>
          <w:shd w:val="clear" w:color="auto" w:fill="FFFFFF"/>
        </w:rPr>
        <w:t>Seyfried</w:t>
      </w:r>
      <w:proofErr w:type="spellEnd"/>
      <w:r w:rsidRPr="009319E7">
        <w:rPr>
          <w:rFonts w:ascii="Arial Nova" w:hAnsi="Arial Nova" w:cs="Arial"/>
          <w:shd w:val="clear" w:color="auto" w:fill="FFFFFF"/>
        </w:rPr>
        <w:t xml:space="preserve">, F. </w:t>
      </w:r>
      <w:r w:rsidRPr="009319E7">
        <w:rPr>
          <w:rFonts w:ascii="Arial Nova" w:hAnsi="Arial Nova" w:cs="Arial"/>
          <w:i/>
          <w:shd w:val="clear" w:color="auto" w:fill="FFFFFF"/>
        </w:rPr>
        <w:t xml:space="preserve">In the Light of Amarna: 100 years of the Nefertiti discovery. </w:t>
      </w:r>
      <w:r w:rsidRPr="009319E7">
        <w:rPr>
          <w:rFonts w:ascii="Arial Nova" w:hAnsi="Arial Nova" w:cs="Arial"/>
          <w:shd w:val="clear" w:color="auto" w:fill="FFFFFF"/>
        </w:rPr>
        <w:t>32-42.</w:t>
      </w:r>
      <w:r w:rsidRPr="009319E7">
        <w:rPr>
          <w:rFonts w:ascii="Arial Nova" w:hAnsi="Arial Nova" w:cs="Arial"/>
          <w:i/>
          <w:shd w:val="clear" w:color="auto" w:fill="FFFFFF"/>
        </w:rPr>
        <w:t xml:space="preserve"> </w:t>
      </w:r>
      <w:r w:rsidRPr="009319E7">
        <w:rPr>
          <w:rFonts w:ascii="Arial Nova" w:hAnsi="Arial Nova" w:cs="Arial"/>
          <w:shd w:val="clear" w:color="auto" w:fill="FFFFFF"/>
        </w:rPr>
        <w:t xml:space="preserve">Berlin: </w:t>
      </w:r>
      <w:proofErr w:type="spellStart"/>
      <w:r w:rsidRPr="009319E7">
        <w:rPr>
          <w:rFonts w:ascii="Arial Nova" w:hAnsi="Arial Nova" w:cs="Arial"/>
          <w:shd w:val="clear" w:color="auto" w:fill="FFFFFF"/>
        </w:rPr>
        <w:t>Staatliches</w:t>
      </w:r>
      <w:proofErr w:type="spellEnd"/>
      <w:r w:rsidRPr="009319E7">
        <w:rPr>
          <w:rFonts w:ascii="Arial Nova" w:hAnsi="Arial Nova" w:cs="Arial"/>
          <w:shd w:val="clear" w:color="auto" w:fill="FFFFFF"/>
        </w:rPr>
        <w:t xml:space="preserve"> Museum.</w:t>
      </w:r>
    </w:p>
    <w:p w14:paraId="23A74FB3" w14:textId="77777777" w:rsidR="00516D33" w:rsidRPr="009319E7" w:rsidRDefault="00516D33" w:rsidP="00D023AA">
      <w:pPr>
        <w:rPr>
          <w:rFonts w:ascii="Arial Nova" w:hAnsi="Arial Nova"/>
        </w:rPr>
      </w:pPr>
      <w:r w:rsidRPr="009319E7">
        <w:rPr>
          <w:rFonts w:ascii="Arial Nova" w:hAnsi="Arial Nova"/>
        </w:rPr>
        <w:t xml:space="preserve">Murnane, W. 1995. </w:t>
      </w:r>
      <w:r w:rsidRPr="009319E7">
        <w:rPr>
          <w:rFonts w:ascii="Arial Nova" w:hAnsi="Arial Nova"/>
          <w:i/>
        </w:rPr>
        <w:t xml:space="preserve">Texts from the Amarna period in Egypt. </w:t>
      </w:r>
      <w:r w:rsidRPr="009319E7">
        <w:rPr>
          <w:rFonts w:ascii="Arial Nova" w:hAnsi="Arial Nova"/>
        </w:rPr>
        <w:t>73-81.</w:t>
      </w:r>
      <w:r w:rsidRPr="009319E7">
        <w:rPr>
          <w:rFonts w:ascii="Arial Nova" w:hAnsi="Arial Nova"/>
          <w:i/>
        </w:rPr>
        <w:t xml:space="preserve"> </w:t>
      </w:r>
      <w:r w:rsidRPr="009319E7">
        <w:rPr>
          <w:rFonts w:ascii="Arial Nova" w:hAnsi="Arial Nova"/>
        </w:rPr>
        <w:t>Atlanta. Scholars Press.</w:t>
      </w:r>
    </w:p>
    <w:p w14:paraId="64A954C6" w14:textId="77777777" w:rsidR="00516D33" w:rsidRPr="009319E7" w:rsidRDefault="00516D33" w:rsidP="00D023AA">
      <w:pPr>
        <w:rPr>
          <w:rFonts w:ascii="Arial Nova" w:hAnsi="Arial Nova" w:cs="Arial"/>
          <w:shd w:val="clear" w:color="auto" w:fill="FFFFFF"/>
        </w:rPr>
      </w:pPr>
      <w:r w:rsidRPr="009319E7">
        <w:rPr>
          <w:rFonts w:ascii="Arial Nova" w:hAnsi="Arial Nova" w:cs="Arial"/>
          <w:shd w:val="clear" w:color="auto" w:fill="FFFFFF"/>
        </w:rPr>
        <w:t xml:space="preserve">Stevens, A. 2016. Tell el-Amarna. In. </w:t>
      </w:r>
      <w:proofErr w:type="spellStart"/>
      <w:r w:rsidRPr="009319E7">
        <w:rPr>
          <w:rFonts w:ascii="Arial Nova" w:hAnsi="Arial Nova" w:cs="Arial"/>
          <w:shd w:val="clear" w:color="auto" w:fill="FFFFFF"/>
        </w:rPr>
        <w:t>Willeke</w:t>
      </w:r>
      <w:proofErr w:type="spellEnd"/>
      <w:r w:rsidRPr="009319E7">
        <w:rPr>
          <w:rFonts w:ascii="Arial Nova" w:hAnsi="Arial Nova" w:cs="Arial"/>
          <w:shd w:val="clear" w:color="auto" w:fill="FFFFFF"/>
        </w:rPr>
        <w:t xml:space="preserve"> </w:t>
      </w:r>
      <w:proofErr w:type="spellStart"/>
      <w:r w:rsidRPr="009319E7">
        <w:rPr>
          <w:rFonts w:ascii="Arial Nova" w:hAnsi="Arial Nova" w:cs="Arial"/>
          <w:shd w:val="clear" w:color="auto" w:fill="FFFFFF"/>
        </w:rPr>
        <w:t>Wendrich</w:t>
      </w:r>
      <w:proofErr w:type="spellEnd"/>
      <w:r w:rsidRPr="009319E7">
        <w:rPr>
          <w:rFonts w:ascii="Arial Nova" w:hAnsi="Arial Nova" w:cs="Arial"/>
          <w:shd w:val="clear" w:color="auto" w:fill="FFFFFF"/>
        </w:rPr>
        <w:t xml:space="preserve"> (ed.), </w:t>
      </w:r>
      <w:r w:rsidRPr="009319E7">
        <w:rPr>
          <w:rFonts w:ascii="Arial Nova" w:hAnsi="Arial Nova" w:cs="Arial"/>
          <w:i/>
          <w:iCs/>
          <w:shd w:val="clear" w:color="auto" w:fill="FFFFFF"/>
        </w:rPr>
        <w:t xml:space="preserve">UCLA </w:t>
      </w:r>
      <w:proofErr w:type="spellStart"/>
      <w:r w:rsidRPr="009319E7">
        <w:rPr>
          <w:rFonts w:ascii="Arial Nova" w:hAnsi="Arial Nova" w:cs="Arial"/>
          <w:i/>
          <w:iCs/>
          <w:shd w:val="clear" w:color="auto" w:fill="FFFFFF"/>
        </w:rPr>
        <w:t>Encyclopedia</w:t>
      </w:r>
      <w:proofErr w:type="spellEnd"/>
      <w:r w:rsidRPr="009319E7">
        <w:rPr>
          <w:rFonts w:ascii="Arial Nova" w:hAnsi="Arial Nova" w:cs="Arial"/>
          <w:i/>
          <w:iCs/>
          <w:shd w:val="clear" w:color="auto" w:fill="FFFFFF"/>
        </w:rPr>
        <w:t xml:space="preserve"> of Egyptology,</w:t>
      </w:r>
      <w:r w:rsidRPr="009319E7">
        <w:rPr>
          <w:rFonts w:ascii="Arial Nova" w:hAnsi="Arial Nova" w:cs="Arial"/>
          <w:shd w:val="clear" w:color="auto" w:fill="FFFFFF"/>
        </w:rPr>
        <w:t xml:space="preserve"> </w:t>
      </w:r>
      <w:proofErr w:type="spellStart"/>
      <w:r w:rsidRPr="009319E7">
        <w:rPr>
          <w:rFonts w:ascii="Arial Nova" w:hAnsi="Arial Nova" w:cs="Arial"/>
          <w:shd w:val="clear" w:color="auto" w:fill="FFFFFF"/>
        </w:rPr>
        <w:t>Loas</w:t>
      </w:r>
      <w:proofErr w:type="spellEnd"/>
      <w:r w:rsidRPr="009319E7">
        <w:rPr>
          <w:rFonts w:ascii="Arial Nova" w:hAnsi="Arial Nova" w:cs="Arial"/>
          <w:shd w:val="clear" w:color="auto" w:fill="FFFFFF"/>
        </w:rPr>
        <w:t xml:space="preserve"> Angeles. </w:t>
      </w:r>
      <w:hyperlink r:id="rId7" w:history="1">
        <w:r w:rsidRPr="009319E7">
          <w:rPr>
            <w:rStyle w:val="Hyperlink"/>
            <w:rFonts w:ascii="Arial Nova" w:hAnsi="Arial Nova" w:cs="Arial"/>
            <w:shd w:val="clear" w:color="auto" w:fill="FFFFFF"/>
          </w:rPr>
          <w:t>http://digital2library.ucla.edu/viewItem.do?ark=21198/zz002k6x4x</w:t>
        </w:r>
      </w:hyperlink>
    </w:p>
    <w:p w14:paraId="4F262C76" w14:textId="77777777" w:rsidR="00516D33" w:rsidRPr="009319E7" w:rsidRDefault="00516D33" w:rsidP="00D023AA">
      <w:pPr>
        <w:rPr>
          <w:rFonts w:ascii="Arial Nova" w:hAnsi="Arial Nova" w:cs="Arial"/>
          <w:shd w:val="clear" w:color="auto" w:fill="FFFFFF"/>
        </w:rPr>
      </w:pPr>
      <w:r w:rsidRPr="009319E7">
        <w:rPr>
          <w:rFonts w:ascii="Arial Nova" w:hAnsi="Arial Nova" w:cs="Arial"/>
          <w:shd w:val="clear" w:color="auto" w:fill="FFFFFF"/>
        </w:rPr>
        <w:t>Tietze, C</w:t>
      </w:r>
      <w:r w:rsidRPr="009319E7">
        <w:rPr>
          <w:rFonts w:ascii="Arial Nova" w:hAnsi="Arial Nova" w:cs="Arial"/>
          <w:shd w:val="clear" w:color="auto" w:fill="FFFFFF"/>
        </w:rPr>
        <w:t>. 2012.</w:t>
      </w:r>
      <w:r w:rsidRPr="009319E7">
        <w:rPr>
          <w:rFonts w:ascii="Arial Nova" w:hAnsi="Arial Nova" w:cs="Arial"/>
          <w:shd w:val="clear" w:color="auto" w:fill="FFFFFF"/>
        </w:rPr>
        <w:t xml:space="preserve"> Amarna – The city and surrounding area.</w:t>
      </w:r>
      <w:r w:rsidRPr="009319E7">
        <w:rPr>
          <w:rFonts w:ascii="Arial Nova" w:hAnsi="Arial Nova" w:cs="Arial"/>
          <w:shd w:val="clear" w:color="auto" w:fill="FFFFFF"/>
        </w:rPr>
        <w:t xml:space="preserve"> In: </w:t>
      </w:r>
      <w:proofErr w:type="spellStart"/>
      <w:r w:rsidRPr="009319E7">
        <w:rPr>
          <w:rFonts w:ascii="Arial Nova" w:hAnsi="Arial Nova" w:cs="Arial"/>
          <w:shd w:val="clear" w:color="auto" w:fill="FFFFFF"/>
        </w:rPr>
        <w:t>Seyfried</w:t>
      </w:r>
      <w:proofErr w:type="spellEnd"/>
      <w:r w:rsidRPr="009319E7">
        <w:rPr>
          <w:rFonts w:ascii="Arial Nova" w:hAnsi="Arial Nova" w:cs="Arial"/>
          <w:shd w:val="clear" w:color="auto" w:fill="FFFFFF"/>
        </w:rPr>
        <w:t xml:space="preserve">, F. </w:t>
      </w:r>
      <w:r w:rsidRPr="009319E7">
        <w:rPr>
          <w:rFonts w:ascii="Arial Nova" w:hAnsi="Arial Nova" w:cs="Arial"/>
          <w:i/>
          <w:shd w:val="clear" w:color="auto" w:fill="FFFFFF"/>
        </w:rPr>
        <w:t xml:space="preserve">In the Light of Amarna: 100 years of the Nefertiti discovery. </w:t>
      </w:r>
      <w:r w:rsidRPr="009319E7">
        <w:rPr>
          <w:rFonts w:ascii="Arial Nova" w:hAnsi="Arial Nova" w:cs="Arial"/>
          <w:shd w:val="clear" w:color="auto" w:fill="FFFFFF"/>
        </w:rPr>
        <w:t>32-42.</w:t>
      </w:r>
      <w:r w:rsidRPr="009319E7">
        <w:rPr>
          <w:rFonts w:ascii="Arial Nova" w:hAnsi="Arial Nova" w:cs="Arial"/>
          <w:i/>
          <w:shd w:val="clear" w:color="auto" w:fill="FFFFFF"/>
        </w:rPr>
        <w:t xml:space="preserve"> </w:t>
      </w:r>
      <w:r w:rsidRPr="009319E7">
        <w:rPr>
          <w:rFonts w:ascii="Arial Nova" w:hAnsi="Arial Nova" w:cs="Arial"/>
          <w:shd w:val="clear" w:color="auto" w:fill="FFFFFF"/>
        </w:rPr>
        <w:t xml:space="preserve">Berlin: </w:t>
      </w:r>
      <w:proofErr w:type="spellStart"/>
      <w:r w:rsidRPr="009319E7">
        <w:rPr>
          <w:rFonts w:ascii="Arial Nova" w:hAnsi="Arial Nova" w:cs="Arial"/>
          <w:shd w:val="clear" w:color="auto" w:fill="FFFFFF"/>
        </w:rPr>
        <w:t>Staatliches</w:t>
      </w:r>
      <w:proofErr w:type="spellEnd"/>
      <w:r w:rsidRPr="009319E7">
        <w:rPr>
          <w:rFonts w:ascii="Arial Nova" w:hAnsi="Arial Nova" w:cs="Arial"/>
          <w:shd w:val="clear" w:color="auto" w:fill="FFFFFF"/>
        </w:rPr>
        <w:t xml:space="preserve"> Museum.</w:t>
      </w:r>
    </w:p>
    <w:p w14:paraId="0684805D" w14:textId="77777777" w:rsidR="00516D33" w:rsidRPr="009319E7" w:rsidRDefault="00516D33" w:rsidP="00D023AA">
      <w:pPr>
        <w:rPr>
          <w:rFonts w:ascii="Arial Nova" w:hAnsi="Arial Nova"/>
        </w:rPr>
      </w:pPr>
      <w:r w:rsidRPr="009319E7">
        <w:rPr>
          <w:rFonts w:ascii="Arial Nova" w:hAnsi="Arial Nova"/>
        </w:rPr>
        <w:t xml:space="preserve">Williamson, J. 2015. Amarna period. In: </w:t>
      </w:r>
      <w:proofErr w:type="spellStart"/>
      <w:r w:rsidRPr="009319E7">
        <w:rPr>
          <w:rFonts w:ascii="Arial Nova" w:hAnsi="Arial Nova"/>
        </w:rPr>
        <w:t>Grajetzki</w:t>
      </w:r>
      <w:proofErr w:type="spellEnd"/>
      <w:r w:rsidRPr="009319E7">
        <w:rPr>
          <w:rFonts w:ascii="Arial Nova" w:hAnsi="Arial Nova"/>
        </w:rPr>
        <w:t xml:space="preserve">, W &amp; </w:t>
      </w:r>
      <w:proofErr w:type="spellStart"/>
      <w:r w:rsidRPr="009319E7">
        <w:rPr>
          <w:rFonts w:ascii="Arial Nova" w:hAnsi="Arial Nova"/>
        </w:rPr>
        <w:t>Wendrich</w:t>
      </w:r>
      <w:proofErr w:type="spellEnd"/>
      <w:r w:rsidRPr="009319E7">
        <w:rPr>
          <w:rFonts w:ascii="Arial Nova" w:hAnsi="Arial Nova"/>
        </w:rPr>
        <w:t xml:space="preserve">, W (Ed.). </w:t>
      </w:r>
      <w:r w:rsidRPr="009319E7">
        <w:rPr>
          <w:rFonts w:ascii="Arial Nova" w:hAnsi="Arial Nova"/>
          <w:i/>
        </w:rPr>
        <w:t xml:space="preserve">UCLA </w:t>
      </w:r>
      <w:proofErr w:type="spellStart"/>
      <w:r w:rsidRPr="009319E7">
        <w:rPr>
          <w:rFonts w:ascii="Arial Nova" w:hAnsi="Arial Nova"/>
          <w:i/>
        </w:rPr>
        <w:t>Encyclopedia</w:t>
      </w:r>
      <w:proofErr w:type="spellEnd"/>
      <w:r w:rsidRPr="009319E7">
        <w:rPr>
          <w:rFonts w:ascii="Arial Nova" w:hAnsi="Arial Nova"/>
          <w:i/>
        </w:rPr>
        <w:t xml:space="preserve"> of Egyptology. </w:t>
      </w:r>
      <w:r w:rsidRPr="009319E7">
        <w:rPr>
          <w:rFonts w:ascii="Arial Nova" w:hAnsi="Arial Nova"/>
        </w:rPr>
        <w:t xml:space="preserve">Los Angeles. </w:t>
      </w:r>
      <w:hyperlink r:id="rId8" w:history="1">
        <w:r w:rsidRPr="009319E7">
          <w:rPr>
            <w:rStyle w:val="Hyperlink"/>
            <w:rFonts w:ascii="Arial Nova" w:hAnsi="Arial Nova"/>
          </w:rPr>
          <w:t>http://digital2library.ucla.edu/viewItem.do?ark=21198/zz002k2h3t</w:t>
        </w:r>
      </w:hyperlink>
    </w:p>
    <w:bookmarkEnd w:id="0"/>
    <w:p w14:paraId="4F74088C" w14:textId="77777777" w:rsidR="00D023AA" w:rsidRPr="009319E7" w:rsidRDefault="00D023AA" w:rsidP="00EF1D03">
      <w:pPr>
        <w:jc w:val="both"/>
        <w:rPr>
          <w:rFonts w:ascii="Arial Nova" w:hAnsi="Arial Nova" w:cs="Arial"/>
          <w:shd w:val="clear" w:color="auto" w:fill="FFFFFF"/>
        </w:rPr>
      </w:pPr>
    </w:p>
    <w:p w14:paraId="75B65298" w14:textId="77777777" w:rsidR="00056656" w:rsidRPr="009319E7" w:rsidRDefault="00056656" w:rsidP="00786C63">
      <w:pPr>
        <w:rPr>
          <w:rFonts w:ascii="Arial Nova" w:hAnsi="Arial Nova"/>
          <w:caps/>
          <w:noProof/>
        </w:rPr>
      </w:pPr>
    </w:p>
    <w:p w14:paraId="6E8B7937" w14:textId="77777777" w:rsidR="006462D8" w:rsidRPr="009319E7" w:rsidRDefault="006462D8">
      <w:pPr>
        <w:rPr>
          <w:rFonts w:ascii="Arial Nova" w:hAnsi="Arial Nova"/>
        </w:rPr>
      </w:pPr>
    </w:p>
    <w:sectPr w:rsidR="006462D8" w:rsidRPr="009319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780B7A" w14:textId="77777777" w:rsidR="005945EB" w:rsidRDefault="005945EB" w:rsidP="00786C63">
      <w:pPr>
        <w:spacing w:after="0" w:line="240" w:lineRule="auto"/>
      </w:pPr>
      <w:r>
        <w:separator/>
      </w:r>
    </w:p>
  </w:endnote>
  <w:endnote w:type="continuationSeparator" w:id="0">
    <w:p w14:paraId="184EF6BB" w14:textId="77777777" w:rsidR="005945EB" w:rsidRDefault="005945EB" w:rsidP="00786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B5BDCA" w14:textId="77777777" w:rsidR="005945EB" w:rsidRDefault="005945EB" w:rsidP="00786C63">
      <w:pPr>
        <w:spacing w:after="0" w:line="240" w:lineRule="auto"/>
      </w:pPr>
      <w:r>
        <w:separator/>
      </w:r>
    </w:p>
  </w:footnote>
  <w:footnote w:type="continuationSeparator" w:id="0">
    <w:p w14:paraId="629FAF5F" w14:textId="77777777" w:rsidR="005945EB" w:rsidRDefault="005945EB" w:rsidP="00786C63">
      <w:pPr>
        <w:spacing w:after="0" w:line="240" w:lineRule="auto"/>
      </w:pPr>
      <w:r>
        <w:continuationSeparator/>
      </w:r>
    </w:p>
  </w:footnote>
  <w:footnote w:id="1">
    <w:p w14:paraId="35414F35" w14:textId="579F0814" w:rsidR="009332DF" w:rsidRPr="009319E7" w:rsidRDefault="009332DF">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Gates </w:t>
      </w:r>
      <w:r w:rsidR="00077F9E" w:rsidRPr="009319E7">
        <w:rPr>
          <w:rFonts w:ascii="Arial Nova" w:hAnsi="Arial Nova"/>
        </w:rPr>
        <w:t>2003</w:t>
      </w:r>
      <w:r w:rsidRPr="009319E7">
        <w:rPr>
          <w:rFonts w:ascii="Arial Nova" w:hAnsi="Arial Nova"/>
        </w:rPr>
        <w:t>:109</w:t>
      </w:r>
    </w:p>
  </w:footnote>
  <w:footnote w:id="2">
    <w:p w14:paraId="0D0A578A" w14:textId="02C5CBDD" w:rsidR="00824454" w:rsidRPr="009319E7" w:rsidRDefault="00824454">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w:t>
      </w:r>
      <w:proofErr w:type="spellStart"/>
      <w:r w:rsidRPr="009319E7">
        <w:rPr>
          <w:rFonts w:ascii="Arial Nova" w:hAnsi="Arial Nova"/>
        </w:rPr>
        <w:t>Hanus</w:t>
      </w:r>
      <w:proofErr w:type="spellEnd"/>
      <w:r w:rsidRPr="009319E7">
        <w:rPr>
          <w:rFonts w:ascii="Arial Nova" w:hAnsi="Arial Nova"/>
        </w:rPr>
        <w:t xml:space="preserve"> 2012:</w:t>
      </w:r>
      <w:r w:rsidR="00383F66" w:rsidRPr="009319E7">
        <w:rPr>
          <w:rFonts w:ascii="Arial Nova" w:hAnsi="Arial Nova"/>
        </w:rPr>
        <w:t>34</w:t>
      </w:r>
    </w:p>
  </w:footnote>
  <w:footnote w:id="3">
    <w:p w14:paraId="0048F12C" w14:textId="1FE9D633" w:rsidR="00DD09D9" w:rsidRPr="009319E7" w:rsidRDefault="00DD09D9">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w:t>
      </w:r>
      <w:proofErr w:type="spellStart"/>
      <w:r w:rsidR="00055384" w:rsidRPr="009319E7">
        <w:rPr>
          <w:rFonts w:ascii="Arial Nova" w:hAnsi="Arial Nova"/>
        </w:rPr>
        <w:t>Hanus</w:t>
      </w:r>
      <w:proofErr w:type="spellEnd"/>
      <w:r w:rsidR="00055384" w:rsidRPr="009319E7">
        <w:rPr>
          <w:rFonts w:ascii="Arial Nova" w:hAnsi="Arial Nova"/>
        </w:rPr>
        <w:t xml:space="preserve"> 2012:32</w:t>
      </w:r>
    </w:p>
  </w:footnote>
  <w:footnote w:id="4">
    <w:p w14:paraId="35240FAB" w14:textId="06B600A5" w:rsidR="002C6F05" w:rsidRPr="009319E7" w:rsidRDefault="002C6F05">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w:t>
      </w:r>
      <w:proofErr w:type="spellStart"/>
      <w:r w:rsidRPr="009319E7">
        <w:rPr>
          <w:rFonts w:ascii="Arial Nova" w:hAnsi="Arial Nova"/>
        </w:rPr>
        <w:t>Hanus</w:t>
      </w:r>
      <w:proofErr w:type="spellEnd"/>
      <w:r w:rsidRPr="009319E7">
        <w:rPr>
          <w:rFonts w:ascii="Arial Nova" w:hAnsi="Arial Nova"/>
        </w:rPr>
        <w:t xml:space="preserve"> 2012:34</w:t>
      </w:r>
    </w:p>
  </w:footnote>
  <w:footnote w:id="5">
    <w:p w14:paraId="2E5890DB" w14:textId="1DB12373" w:rsidR="00786C63" w:rsidRPr="009319E7" w:rsidRDefault="00786C63">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w:t>
      </w:r>
      <w:r w:rsidR="009332DF" w:rsidRPr="009319E7">
        <w:rPr>
          <w:rFonts w:ascii="Arial Nova" w:hAnsi="Arial Nova"/>
        </w:rPr>
        <w:t>Williamson 2015:</w:t>
      </w:r>
      <w:r w:rsidR="005E5563" w:rsidRPr="009319E7">
        <w:rPr>
          <w:rFonts w:ascii="Arial Nova" w:hAnsi="Arial Nova"/>
        </w:rPr>
        <w:t xml:space="preserve">6, </w:t>
      </w:r>
      <w:proofErr w:type="spellStart"/>
      <w:r w:rsidR="005E5563" w:rsidRPr="009319E7">
        <w:rPr>
          <w:rFonts w:ascii="Arial Nova" w:hAnsi="Arial Nova"/>
        </w:rPr>
        <w:t>Hanus</w:t>
      </w:r>
      <w:proofErr w:type="spellEnd"/>
      <w:r w:rsidR="005E5563" w:rsidRPr="009319E7">
        <w:rPr>
          <w:rFonts w:ascii="Arial Nova" w:hAnsi="Arial Nova"/>
        </w:rPr>
        <w:t xml:space="preserve"> 2012:35</w:t>
      </w:r>
    </w:p>
  </w:footnote>
  <w:footnote w:id="6">
    <w:p w14:paraId="75644AFA" w14:textId="7B8C52EF" w:rsidR="00786C63" w:rsidRPr="009319E7" w:rsidRDefault="00786C63" w:rsidP="009319E7">
      <w:pPr>
        <w:pStyle w:val="FootnoteText"/>
        <w:tabs>
          <w:tab w:val="center" w:pos="4513"/>
        </w:tabs>
        <w:rPr>
          <w:rFonts w:ascii="Arial Nova" w:hAnsi="Arial Nova"/>
        </w:rPr>
      </w:pPr>
      <w:r w:rsidRPr="009319E7">
        <w:rPr>
          <w:rStyle w:val="FootnoteReference"/>
          <w:rFonts w:ascii="Arial Nova" w:hAnsi="Arial Nova"/>
        </w:rPr>
        <w:footnoteRef/>
      </w:r>
      <w:r w:rsidRPr="009319E7">
        <w:rPr>
          <w:rFonts w:ascii="Arial Nova" w:hAnsi="Arial Nova"/>
        </w:rPr>
        <w:t xml:space="preserve"> </w:t>
      </w:r>
      <w:r w:rsidR="00527EF0" w:rsidRPr="009319E7">
        <w:rPr>
          <w:rFonts w:ascii="Arial Nova" w:hAnsi="Arial Nova"/>
        </w:rPr>
        <w:t xml:space="preserve">Gates </w:t>
      </w:r>
      <w:r w:rsidR="00077F9E" w:rsidRPr="009319E7">
        <w:rPr>
          <w:rFonts w:ascii="Arial Nova" w:hAnsi="Arial Nova"/>
        </w:rPr>
        <w:t>2003</w:t>
      </w:r>
      <w:r w:rsidR="00527EF0" w:rsidRPr="009319E7">
        <w:rPr>
          <w:rFonts w:ascii="Arial Nova" w:hAnsi="Arial Nova"/>
        </w:rPr>
        <w:t>:112</w:t>
      </w:r>
      <w:r w:rsidR="002F6181" w:rsidRPr="009319E7">
        <w:rPr>
          <w:rFonts w:ascii="Arial Nova" w:hAnsi="Arial Nova"/>
        </w:rPr>
        <w:t xml:space="preserve">, </w:t>
      </w:r>
      <w:proofErr w:type="spellStart"/>
      <w:r w:rsidR="002F6181" w:rsidRPr="009319E7">
        <w:rPr>
          <w:rFonts w:ascii="Arial Nova" w:hAnsi="Arial Nova"/>
        </w:rPr>
        <w:t>Hanus</w:t>
      </w:r>
      <w:proofErr w:type="spellEnd"/>
      <w:r w:rsidR="002F6181" w:rsidRPr="009319E7">
        <w:rPr>
          <w:rFonts w:ascii="Arial Nova" w:hAnsi="Arial Nova"/>
        </w:rPr>
        <w:t xml:space="preserve"> 2012:38</w:t>
      </w:r>
      <w:r w:rsidR="009319E7" w:rsidRPr="009319E7">
        <w:rPr>
          <w:rFonts w:ascii="Arial Nova" w:hAnsi="Arial Nova"/>
        </w:rPr>
        <w:tab/>
      </w:r>
    </w:p>
  </w:footnote>
  <w:footnote w:id="7">
    <w:p w14:paraId="239D516B" w14:textId="1B70CC5E" w:rsidR="00786C63" w:rsidRPr="009319E7" w:rsidRDefault="00786C63">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w:t>
      </w:r>
      <w:r w:rsidR="0020064A" w:rsidRPr="009319E7">
        <w:rPr>
          <w:rFonts w:ascii="Arial Nova" w:hAnsi="Arial Nova"/>
        </w:rPr>
        <w:t>Stevens 2016:20-21</w:t>
      </w:r>
    </w:p>
  </w:footnote>
  <w:footnote w:id="8">
    <w:p w14:paraId="65494A03" w14:textId="74820101" w:rsidR="00786C63" w:rsidRPr="009319E7" w:rsidRDefault="00786C63">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w:t>
      </w:r>
      <w:r w:rsidR="00AA3247" w:rsidRPr="009319E7">
        <w:rPr>
          <w:rFonts w:ascii="Arial Nova" w:hAnsi="Arial Nova" w:cs="Arial"/>
          <w:i/>
          <w:iCs/>
          <w:color w:val="000000"/>
          <w:shd w:val="clear" w:color="auto" w:fill="FFFFFF"/>
        </w:rPr>
        <w:t>Ancient Egyptians: Akhenaten</w:t>
      </w:r>
      <w:r w:rsidR="00AA3247" w:rsidRPr="009319E7">
        <w:rPr>
          <w:rFonts w:ascii="Arial Nova" w:hAnsi="Arial Nova" w:cs="Arial"/>
          <w:color w:val="000000"/>
          <w:shd w:val="clear" w:color="auto" w:fill="FFFFFF"/>
        </w:rPr>
        <w:t>. 1998</w:t>
      </w:r>
    </w:p>
  </w:footnote>
  <w:footnote w:id="9">
    <w:p w14:paraId="47A9549E" w14:textId="77777777" w:rsidR="00786C63" w:rsidRPr="009319E7" w:rsidRDefault="00786C63">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w:t>
      </w:r>
      <w:r w:rsidR="009332DF" w:rsidRPr="009319E7">
        <w:rPr>
          <w:rFonts w:ascii="Arial Nova" w:hAnsi="Arial Nova"/>
        </w:rPr>
        <w:t>Stevens 2016:2-3</w:t>
      </w:r>
    </w:p>
  </w:footnote>
  <w:footnote w:id="10">
    <w:p w14:paraId="652B9B15" w14:textId="154FB8E6" w:rsidR="0037064B" w:rsidRPr="009319E7" w:rsidRDefault="0037064B">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w:t>
      </w:r>
      <w:r w:rsidRPr="009319E7">
        <w:rPr>
          <w:rFonts w:ascii="Arial Nova" w:hAnsi="Arial Nova"/>
        </w:rPr>
        <w:t>Williamson 2015:5-6</w:t>
      </w:r>
    </w:p>
  </w:footnote>
  <w:footnote w:id="11">
    <w:p w14:paraId="3A40AC3E" w14:textId="77777777" w:rsidR="009332DF" w:rsidRPr="009319E7" w:rsidRDefault="009332DF" w:rsidP="009332DF">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Murnane 1995:73-81</w:t>
      </w:r>
    </w:p>
  </w:footnote>
  <w:footnote w:id="12">
    <w:p w14:paraId="5E1C8B9B" w14:textId="77777777" w:rsidR="002C7FEE" w:rsidRPr="009319E7" w:rsidRDefault="002C7FEE" w:rsidP="002C7FEE">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Williamson 2015:5</w:t>
      </w:r>
    </w:p>
  </w:footnote>
  <w:footnote w:id="13">
    <w:p w14:paraId="00E58B2F" w14:textId="606699EA"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2016:1</w:t>
      </w:r>
      <w:r w:rsidR="00FC63AB" w:rsidRPr="009319E7">
        <w:rPr>
          <w:rFonts w:ascii="Arial Nova" w:hAnsi="Arial Nova"/>
        </w:rPr>
        <w:t xml:space="preserve">, </w:t>
      </w:r>
      <w:proofErr w:type="spellStart"/>
      <w:r w:rsidR="00FC63AB" w:rsidRPr="009319E7">
        <w:rPr>
          <w:rFonts w:ascii="Arial Nova" w:hAnsi="Arial Nova"/>
        </w:rPr>
        <w:t>Hanus</w:t>
      </w:r>
      <w:proofErr w:type="spellEnd"/>
      <w:r w:rsidR="00FC63AB" w:rsidRPr="009319E7">
        <w:rPr>
          <w:rFonts w:ascii="Arial Nova" w:hAnsi="Arial Nova"/>
        </w:rPr>
        <w:t xml:space="preserve"> 2012:35</w:t>
      </w:r>
    </w:p>
  </w:footnote>
  <w:footnote w:id="14">
    <w:p w14:paraId="612CCF13" w14:textId="6AACAA12" w:rsidR="00C7532D" w:rsidRPr="009319E7" w:rsidRDefault="00C7532D">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w:t>
      </w:r>
      <w:proofErr w:type="spellStart"/>
      <w:r w:rsidRPr="009319E7">
        <w:rPr>
          <w:rFonts w:ascii="Arial Nova" w:hAnsi="Arial Nova"/>
        </w:rPr>
        <w:t>Hanus</w:t>
      </w:r>
      <w:proofErr w:type="spellEnd"/>
      <w:r w:rsidRPr="009319E7">
        <w:rPr>
          <w:rFonts w:ascii="Arial Nova" w:hAnsi="Arial Nova"/>
        </w:rPr>
        <w:t xml:space="preserve"> 2012:35</w:t>
      </w:r>
      <w:r w:rsidR="00E12058" w:rsidRPr="009319E7">
        <w:rPr>
          <w:rFonts w:ascii="Arial Nova" w:hAnsi="Arial Nova"/>
        </w:rPr>
        <w:t>, Tietze 2012:57</w:t>
      </w:r>
    </w:p>
  </w:footnote>
  <w:footnote w:id="15">
    <w:p w14:paraId="01193D41"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2016:2-3</w:t>
      </w:r>
    </w:p>
  </w:footnote>
  <w:footnote w:id="16">
    <w:p w14:paraId="404F9C6A"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2016:6</w:t>
      </w:r>
    </w:p>
  </w:footnote>
  <w:footnote w:id="17">
    <w:p w14:paraId="49305D84"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2016:4</w:t>
      </w:r>
    </w:p>
  </w:footnote>
  <w:footnote w:id="18">
    <w:p w14:paraId="5F807BB9"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2016:28</w:t>
      </w:r>
    </w:p>
  </w:footnote>
  <w:footnote w:id="19">
    <w:p w14:paraId="5F176230" w14:textId="3CFF8B43"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Concerning the health of citizens </w:t>
      </w:r>
      <w:r w:rsidR="00077F9E" w:rsidRPr="009319E7">
        <w:rPr>
          <w:rFonts w:ascii="Arial Nova" w:hAnsi="Arial Nova"/>
        </w:rPr>
        <w:t>see Stevens 2016</w:t>
      </w:r>
    </w:p>
  </w:footnote>
  <w:footnote w:id="20">
    <w:p w14:paraId="1F1EC08E"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2016:6</w:t>
      </w:r>
    </w:p>
  </w:footnote>
  <w:footnote w:id="21">
    <w:p w14:paraId="79CDB763"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Williamson 2015:1, Stevens 2016:18</w:t>
      </w:r>
    </w:p>
  </w:footnote>
  <w:footnote w:id="22">
    <w:p w14:paraId="64014CD2"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2016:8</w:t>
      </w:r>
    </w:p>
  </w:footnote>
  <w:footnote w:id="23">
    <w:p w14:paraId="20ECF7DF"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2016:10</w:t>
      </w:r>
    </w:p>
  </w:footnote>
  <w:footnote w:id="24">
    <w:p w14:paraId="3DEDE8D9" w14:textId="76BA4B5E" w:rsidR="006C1FD1" w:rsidRPr="009319E7" w:rsidRDefault="006C1FD1" w:rsidP="006C1FD1">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w:t>
      </w:r>
      <w:r w:rsidRPr="009319E7">
        <w:rPr>
          <w:rFonts w:ascii="Arial Nova" w:hAnsi="Arial Nova"/>
        </w:rPr>
        <w:t xml:space="preserve">Stevens 2016:12, </w:t>
      </w:r>
      <w:r w:rsidRPr="009319E7">
        <w:rPr>
          <w:rFonts w:ascii="Arial Nova" w:hAnsi="Arial Nova"/>
        </w:rPr>
        <w:t xml:space="preserve">Gates </w:t>
      </w:r>
      <w:r w:rsidR="00597B5D" w:rsidRPr="009319E7">
        <w:rPr>
          <w:rFonts w:ascii="Arial Nova" w:hAnsi="Arial Nova"/>
        </w:rPr>
        <w:t>2003</w:t>
      </w:r>
      <w:r w:rsidRPr="009319E7">
        <w:rPr>
          <w:rFonts w:ascii="Arial Nova" w:hAnsi="Arial Nova"/>
        </w:rPr>
        <w:t>:111</w:t>
      </w:r>
    </w:p>
  </w:footnote>
  <w:footnote w:id="25">
    <w:p w14:paraId="6B0AA791" w14:textId="5397227C" w:rsidR="006C1FD1" w:rsidRPr="009319E7" w:rsidRDefault="006C1FD1">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Gates </w:t>
      </w:r>
      <w:r w:rsidR="00597B5D" w:rsidRPr="009319E7">
        <w:rPr>
          <w:rFonts w:ascii="Arial Nova" w:hAnsi="Arial Nova"/>
        </w:rPr>
        <w:t>2003</w:t>
      </w:r>
      <w:r w:rsidRPr="009319E7">
        <w:rPr>
          <w:rFonts w:ascii="Arial Nova" w:hAnsi="Arial Nova"/>
        </w:rPr>
        <w:t>:111</w:t>
      </w:r>
    </w:p>
  </w:footnote>
  <w:footnote w:id="26">
    <w:p w14:paraId="12CB649B"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2016:12</w:t>
      </w:r>
    </w:p>
  </w:footnote>
  <w:footnote w:id="27">
    <w:p w14:paraId="1FDF5CC3" w14:textId="77777777" w:rsidR="006C1FD1" w:rsidRPr="009319E7" w:rsidRDefault="006C1FD1" w:rsidP="006C1FD1">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2016:13</w:t>
      </w:r>
    </w:p>
  </w:footnote>
  <w:footnote w:id="28">
    <w:p w14:paraId="56F65F22" w14:textId="627A2F29" w:rsidR="006C1FD1" w:rsidRPr="009319E7" w:rsidRDefault="006C1FD1">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Gates </w:t>
      </w:r>
      <w:r w:rsidR="00597B5D" w:rsidRPr="009319E7">
        <w:rPr>
          <w:rFonts w:ascii="Arial Nova" w:hAnsi="Arial Nova"/>
        </w:rPr>
        <w:t>2003</w:t>
      </w:r>
      <w:r w:rsidRPr="009319E7">
        <w:rPr>
          <w:rFonts w:ascii="Arial Nova" w:hAnsi="Arial Nova"/>
        </w:rPr>
        <w:t>:111</w:t>
      </w:r>
    </w:p>
  </w:footnote>
  <w:footnote w:id="29">
    <w:p w14:paraId="44AC8154"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2016:13</w:t>
      </w:r>
    </w:p>
  </w:footnote>
  <w:footnote w:id="30">
    <w:p w14:paraId="28EA5586" w14:textId="4C50768D" w:rsidR="006C1FD1" w:rsidRPr="009319E7" w:rsidRDefault="006C1FD1">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Gates </w:t>
      </w:r>
      <w:r w:rsidR="00597B5D" w:rsidRPr="009319E7">
        <w:rPr>
          <w:rFonts w:ascii="Arial Nova" w:hAnsi="Arial Nova"/>
        </w:rPr>
        <w:t>2003</w:t>
      </w:r>
      <w:r w:rsidRPr="009319E7">
        <w:rPr>
          <w:rFonts w:ascii="Arial Nova" w:hAnsi="Arial Nova"/>
        </w:rPr>
        <w:t>:111</w:t>
      </w:r>
    </w:p>
  </w:footnote>
  <w:footnote w:id="31">
    <w:p w14:paraId="40DFBFA2"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2016:13</w:t>
      </w:r>
    </w:p>
  </w:footnote>
  <w:footnote w:id="32">
    <w:p w14:paraId="62C78E67"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2016:16</w:t>
      </w:r>
    </w:p>
  </w:footnote>
  <w:footnote w:id="33">
    <w:p w14:paraId="1CAEFC7B"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2016:16</w:t>
      </w:r>
    </w:p>
  </w:footnote>
  <w:footnote w:id="34">
    <w:p w14:paraId="0018C637"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2016:13</w:t>
      </w:r>
    </w:p>
  </w:footnote>
  <w:footnote w:id="35">
    <w:p w14:paraId="5178E30D" w14:textId="1C9CDA0B" w:rsidR="00527EF0" w:rsidRPr="009319E7" w:rsidRDefault="00527EF0">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Gates </w:t>
      </w:r>
      <w:r w:rsidR="00597B5D" w:rsidRPr="009319E7">
        <w:rPr>
          <w:rFonts w:ascii="Arial Nova" w:hAnsi="Arial Nova"/>
        </w:rPr>
        <w:t>2003</w:t>
      </w:r>
      <w:r w:rsidRPr="009319E7">
        <w:rPr>
          <w:rFonts w:ascii="Arial Nova" w:hAnsi="Arial Nova"/>
        </w:rPr>
        <w:t>:111</w:t>
      </w:r>
    </w:p>
  </w:footnote>
  <w:footnote w:id="36">
    <w:p w14:paraId="25AB56F9" w14:textId="77777777" w:rsidR="00527EF0" w:rsidRPr="009319E7" w:rsidRDefault="00527EF0" w:rsidP="00527EF0">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2016:6</w:t>
      </w:r>
    </w:p>
  </w:footnote>
  <w:footnote w:id="37">
    <w:p w14:paraId="39344920" w14:textId="4C7A091B" w:rsidR="00527EF0" w:rsidRPr="009319E7" w:rsidRDefault="00527EF0">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Gates </w:t>
      </w:r>
      <w:r w:rsidR="00597B5D" w:rsidRPr="009319E7">
        <w:rPr>
          <w:rFonts w:ascii="Arial Nova" w:hAnsi="Arial Nova"/>
        </w:rPr>
        <w:t>2003</w:t>
      </w:r>
      <w:r w:rsidRPr="009319E7">
        <w:rPr>
          <w:rFonts w:ascii="Arial Nova" w:hAnsi="Arial Nova"/>
        </w:rPr>
        <w:t>:112</w:t>
      </w:r>
    </w:p>
  </w:footnote>
  <w:footnote w:id="38">
    <w:p w14:paraId="25E63315" w14:textId="03110BA8" w:rsidR="006C1FD1" w:rsidRPr="009319E7" w:rsidRDefault="006C1FD1">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Gates </w:t>
      </w:r>
      <w:r w:rsidR="00597B5D" w:rsidRPr="009319E7">
        <w:rPr>
          <w:rFonts w:ascii="Arial Nova" w:hAnsi="Arial Nova"/>
        </w:rPr>
        <w:t>2003</w:t>
      </w:r>
      <w:r w:rsidRPr="009319E7">
        <w:rPr>
          <w:rFonts w:ascii="Arial Nova" w:hAnsi="Arial Nova"/>
        </w:rPr>
        <w:t>:111</w:t>
      </w:r>
    </w:p>
  </w:footnote>
  <w:footnote w:id="39">
    <w:p w14:paraId="0B427A09"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2016:14</w:t>
      </w:r>
    </w:p>
  </w:footnote>
  <w:footnote w:id="40">
    <w:p w14:paraId="105050BD"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2016:16</w:t>
      </w:r>
    </w:p>
  </w:footnote>
  <w:footnote w:id="41">
    <w:p w14:paraId="74360F3D"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2016:16</w:t>
      </w:r>
    </w:p>
  </w:footnote>
  <w:footnote w:id="42">
    <w:p w14:paraId="58F39A49"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2016:26</w:t>
      </w:r>
    </w:p>
  </w:footnote>
  <w:footnote w:id="43">
    <w:p w14:paraId="1472B791"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2016:27</w:t>
      </w:r>
    </w:p>
  </w:footnote>
  <w:footnote w:id="44">
    <w:p w14:paraId="0FF8EF60" w14:textId="77777777" w:rsidR="00056656" w:rsidRPr="009319E7" w:rsidRDefault="00056656" w:rsidP="00056656">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Stevens 2016:27</w:t>
      </w:r>
    </w:p>
  </w:footnote>
  <w:footnote w:id="45">
    <w:p w14:paraId="5C03E41B" w14:textId="55664A82" w:rsidR="00527EF0" w:rsidRPr="009319E7" w:rsidRDefault="00527EF0">
      <w:pPr>
        <w:pStyle w:val="FootnoteText"/>
        <w:rPr>
          <w:rFonts w:ascii="Arial Nova" w:hAnsi="Arial Nova"/>
        </w:rPr>
      </w:pPr>
      <w:r w:rsidRPr="009319E7">
        <w:rPr>
          <w:rStyle w:val="FootnoteReference"/>
          <w:rFonts w:ascii="Arial Nova" w:hAnsi="Arial Nova"/>
        </w:rPr>
        <w:footnoteRef/>
      </w:r>
      <w:r w:rsidRPr="009319E7">
        <w:rPr>
          <w:rFonts w:ascii="Arial Nova" w:hAnsi="Arial Nova"/>
        </w:rPr>
        <w:t xml:space="preserve"> Gates </w:t>
      </w:r>
      <w:r w:rsidR="00597B5D" w:rsidRPr="009319E7">
        <w:rPr>
          <w:rFonts w:ascii="Arial Nova" w:hAnsi="Arial Nova"/>
        </w:rPr>
        <w:t>2003</w:t>
      </w:r>
      <w:r w:rsidRPr="009319E7">
        <w:rPr>
          <w:rFonts w:ascii="Arial Nova" w:hAnsi="Arial Nova"/>
        </w:rPr>
        <w:t>:111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63"/>
    <w:rsid w:val="00047717"/>
    <w:rsid w:val="00055384"/>
    <w:rsid w:val="00056656"/>
    <w:rsid w:val="00077F9E"/>
    <w:rsid w:val="000D6A2F"/>
    <w:rsid w:val="000F09AE"/>
    <w:rsid w:val="001B42E9"/>
    <w:rsid w:val="0020064A"/>
    <w:rsid w:val="002C6F05"/>
    <w:rsid w:val="002C7FEE"/>
    <w:rsid w:val="002F6181"/>
    <w:rsid w:val="003643DF"/>
    <w:rsid w:val="0037064B"/>
    <w:rsid w:val="00380205"/>
    <w:rsid w:val="00383F66"/>
    <w:rsid w:val="003B074F"/>
    <w:rsid w:val="00490719"/>
    <w:rsid w:val="004C0E0C"/>
    <w:rsid w:val="004C425B"/>
    <w:rsid w:val="00516D33"/>
    <w:rsid w:val="00527EF0"/>
    <w:rsid w:val="005945EB"/>
    <w:rsid w:val="00597B5D"/>
    <w:rsid w:val="005E5563"/>
    <w:rsid w:val="00631E50"/>
    <w:rsid w:val="006462D8"/>
    <w:rsid w:val="00682BE8"/>
    <w:rsid w:val="0069104C"/>
    <w:rsid w:val="006C1FD1"/>
    <w:rsid w:val="006D0D0B"/>
    <w:rsid w:val="00786C63"/>
    <w:rsid w:val="007A4D16"/>
    <w:rsid w:val="00824454"/>
    <w:rsid w:val="008A511E"/>
    <w:rsid w:val="009319E7"/>
    <w:rsid w:val="009332DF"/>
    <w:rsid w:val="00963A35"/>
    <w:rsid w:val="00985148"/>
    <w:rsid w:val="00A00689"/>
    <w:rsid w:val="00A13DB6"/>
    <w:rsid w:val="00A43711"/>
    <w:rsid w:val="00A708E5"/>
    <w:rsid w:val="00AA3247"/>
    <w:rsid w:val="00B14552"/>
    <w:rsid w:val="00BD375A"/>
    <w:rsid w:val="00C74945"/>
    <w:rsid w:val="00C7532D"/>
    <w:rsid w:val="00C87E4B"/>
    <w:rsid w:val="00CA062B"/>
    <w:rsid w:val="00CA4B26"/>
    <w:rsid w:val="00D023AA"/>
    <w:rsid w:val="00D02B68"/>
    <w:rsid w:val="00D03384"/>
    <w:rsid w:val="00D14EF0"/>
    <w:rsid w:val="00D37E31"/>
    <w:rsid w:val="00DA045B"/>
    <w:rsid w:val="00DA6E94"/>
    <w:rsid w:val="00DD09D9"/>
    <w:rsid w:val="00DE22DA"/>
    <w:rsid w:val="00E12058"/>
    <w:rsid w:val="00ED1B85"/>
    <w:rsid w:val="00EF1D03"/>
    <w:rsid w:val="00F802B3"/>
    <w:rsid w:val="00F92F76"/>
    <w:rsid w:val="00FB1BCA"/>
    <w:rsid w:val="00FC63AB"/>
    <w:rsid w:val="00FE3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BBE690"/>
  <w15:chartTrackingRefBased/>
  <w15:docId w15:val="{5817666D-9B2B-4F12-920F-F5E87349F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C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86C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6C63"/>
    <w:rPr>
      <w:sz w:val="20"/>
      <w:szCs w:val="20"/>
    </w:rPr>
  </w:style>
  <w:style w:type="character" w:styleId="FootnoteReference">
    <w:name w:val="footnote reference"/>
    <w:basedOn w:val="DefaultParagraphFont"/>
    <w:uiPriority w:val="99"/>
    <w:semiHidden/>
    <w:unhideWhenUsed/>
    <w:rsid w:val="00786C63"/>
    <w:rPr>
      <w:vertAlign w:val="superscript"/>
    </w:rPr>
  </w:style>
  <w:style w:type="paragraph" w:styleId="Caption">
    <w:name w:val="caption"/>
    <w:basedOn w:val="Normal"/>
    <w:next w:val="Normal"/>
    <w:uiPriority w:val="35"/>
    <w:unhideWhenUsed/>
    <w:qFormat/>
    <w:rsid w:val="00056656"/>
    <w:pPr>
      <w:spacing w:after="200" w:line="240" w:lineRule="auto"/>
    </w:pPr>
    <w:rPr>
      <w:i/>
      <w:iCs/>
      <w:color w:val="44546A" w:themeColor="text2"/>
      <w:sz w:val="18"/>
      <w:szCs w:val="18"/>
    </w:rPr>
  </w:style>
  <w:style w:type="character" w:styleId="Hyperlink">
    <w:name w:val="Hyperlink"/>
    <w:basedOn w:val="DefaultParagraphFont"/>
    <w:uiPriority w:val="99"/>
    <w:unhideWhenUsed/>
    <w:rsid w:val="00FE3770"/>
    <w:rPr>
      <w:color w:val="0563C1" w:themeColor="hyperlink"/>
      <w:u w:val="single"/>
    </w:rPr>
  </w:style>
  <w:style w:type="character" w:styleId="UnresolvedMention">
    <w:name w:val="Unresolved Mention"/>
    <w:basedOn w:val="DefaultParagraphFont"/>
    <w:uiPriority w:val="99"/>
    <w:semiHidden/>
    <w:unhideWhenUsed/>
    <w:rsid w:val="00D023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igital2library.ucla.edu/viewItem.do?ark=21198/zz002k2h3t" TargetMode="External"/><Relationship Id="rId3" Type="http://schemas.openxmlformats.org/officeDocument/2006/relationships/webSettings" Target="webSettings.xml"/><Relationship Id="rId7" Type="http://schemas.openxmlformats.org/officeDocument/2006/relationships/hyperlink" Target="http://digital2library.ucla.edu/viewItem.do?ark=21198/zz002k6x4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5</Pages>
  <Words>1992</Words>
  <Characters>10582</Characters>
  <Application>Microsoft Office Word</Application>
  <DocSecurity>0</DocSecurity>
  <Lines>162</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Alexander (1600109)</dc:creator>
  <cp:keywords/>
  <dc:description/>
  <cp:lastModifiedBy>Danielle Alexander (1600109)</cp:lastModifiedBy>
  <cp:revision>41</cp:revision>
  <dcterms:created xsi:type="dcterms:W3CDTF">2019-06-07T15:40:00Z</dcterms:created>
  <dcterms:modified xsi:type="dcterms:W3CDTF">2019-06-08T10:19:00Z</dcterms:modified>
</cp:coreProperties>
</file>