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8C1D27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34BEE">
              <w:rPr>
                <w:rFonts w:ascii="Times New Roman" w:hAnsi="Times New Roman" w:cs="Times New Roman"/>
                <w:b/>
                <w:color w:val="auto"/>
                <w:sz w:val="48"/>
              </w:rPr>
              <w:t>Emma Wootton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F023B5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34BEE">
              <w:rPr>
                <w:rFonts w:ascii="Times New Roman" w:hAnsi="Times New Roman" w:cs="Times New Roman"/>
                <w:b/>
                <w:color w:val="auto"/>
                <w:sz w:val="48"/>
              </w:rPr>
              <w:t>emma.wootton@swansea.gov.uk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BE23806" w:rsidR="0085230E" w:rsidRPr="005D3F07" w:rsidRDefault="00A34BE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2417219</w:t>
            </w: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0318E819" w14:textId="2FD27819" w:rsidR="00FC0334" w:rsidRDefault="00BB7FD2" w:rsidP="00A648A3">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D8CB8AF" w14:textId="77777777" w:rsidR="00FC0334" w:rsidRDefault="00FC0334" w:rsidP="00A648A3">
            <w:pPr>
              <w:spacing w:line="360" w:lineRule="auto"/>
              <w:jc w:val="both"/>
              <w:rPr>
                <w:sz w:val="24"/>
                <w:szCs w:val="24"/>
              </w:rPr>
            </w:pPr>
          </w:p>
          <w:p w14:paraId="5519AF9D" w14:textId="6C0DE03D" w:rsidR="00A648A3" w:rsidRPr="00A648A3" w:rsidRDefault="00A648A3" w:rsidP="00A648A3">
            <w:pPr>
              <w:spacing w:line="360" w:lineRule="auto"/>
              <w:jc w:val="both"/>
              <w:rPr>
                <w:sz w:val="24"/>
                <w:szCs w:val="24"/>
              </w:rPr>
            </w:pPr>
            <w:r w:rsidRPr="00A648A3">
              <w:rPr>
                <w:sz w:val="24"/>
                <w:szCs w:val="24"/>
              </w:rPr>
              <w:t>The principal legislative framework governing adult safeguarding within Wales is the Social Services and Wellbeing Act (SS</w:t>
            </w:r>
            <w:r w:rsidR="00296AD7">
              <w:rPr>
                <w:sz w:val="24"/>
                <w:szCs w:val="24"/>
              </w:rPr>
              <w:t>&amp;</w:t>
            </w:r>
            <w:r w:rsidRPr="00A648A3">
              <w:rPr>
                <w:sz w:val="24"/>
                <w:szCs w:val="24"/>
              </w:rPr>
              <w:t xml:space="preserve">WBA) 2014. Part 7 of the SS&amp;WA 2014 outlines the statutory duties of Local Authorities (LA) and relevant partners to safeguard adults at risk (Social Care Wales (SCW) Learning Outcomes (LO), 3). Also, as per section 126, an “adult at risk” is defined as someone experiencing or at risk of abuse or neglect, who has care and support needs and is unable to protect themselves as a result (SS&amp;WBA 2014). </w:t>
            </w:r>
          </w:p>
          <w:p w14:paraId="55730209" w14:textId="77777777" w:rsidR="00A648A3" w:rsidRPr="00A648A3" w:rsidRDefault="00A648A3" w:rsidP="00A648A3">
            <w:pPr>
              <w:spacing w:line="360" w:lineRule="auto"/>
              <w:jc w:val="both"/>
              <w:rPr>
                <w:sz w:val="24"/>
                <w:szCs w:val="24"/>
              </w:rPr>
            </w:pPr>
          </w:p>
          <w:p w14:paraId="3821F19B" w14:textId="2DBA6927" w:rsidR="00A648A3" w:rsidRPr="00A648A3" w:rsidRDefault="00A648A3" w:rsidP="00A648A3">
            <w:pPr>
              <w:spacing w:line="360" w:lineRule="auto"/>
              <w:jc w:val="both"/>
              <w:rPr>
                <w:sz w:val="24"/>
                <w:szCs w:val="24"/>
              </w:rPr>
            </w:pPr>
            <w:r w:rsidRPr="00A648A3">
              <w:rPr>
                <w:sz w:val="24"/>
                <w:szCs w:val="24"/>
              </w:rPr>
              <w:t>Furthermore, guidance is clear that safeguarding is everyone’s responsibility, and we must incite a collaborative approach in investigating harm (Welsh Government (WG), 2019a). That said, sections 128-130 of the SS&amp;WA 2014, imposes the LA and their relevant partners a duty to report concerns to the appropriate authority</w:t>
            </w:r>
            <w:r w:rsidR="000C0DF1">
              <w:rPr>
                <w:sz w:val="24"/>
                <w:szCs w:val="24"/>
              </w:rPr>
              <w:t xml:space="preserve"> if there is </w:t>
            </w:r>
            <w:r w:rsidR="00F85F03">
              <w:rPr>
                <w:sz w:val="24"/>
                <w:szCs w:val="24"/>
              </w:rPr>
              <w:t>suspicion of abuse and/or neglect</w:t>
            </w:r>
            <w:r w:rsidRPr="00A648A3">
              <w:rPr>
                <w:sz w:val="24"/>
                <w:szCs w:val="24"/>
              </w:rPr>
              <w:t>, which promotes and encourages a multi-agency approach</w:t>
            </w:r>
            <w:r w:rsidR="0088770E">
              <w:rPr>
                <w:sz w:val="24"/>
                <w:szCs w:val="24"/>
              </w:rPr>
              <w:t xml:space="preserve"> </w:t>
            </w:r>
            <w:r w:rsidRPr="00A648A3">
              <w:rPr>
                <w:sz w:val="24"/>
                <w:szCs w:val="24"/>
              </w:rPr>
              <w:t>as per Wales Safeguarding Procedures (WSP) (Williams</w:t>
            </w:r>
            <w:r w:rsidR="007035C6">
              <w:rPr>
                <w:sz w:val="24"/>
                <w:szCs w:val="24"/>
              </w:rPr>
              <w:t>,</w:t>
            </w:r>
            <w:r w:rsidRPr="00A648A3">
              <w:rPr>
                <w:sz w:val="24"/>
                <w:szCs w:val="24"/>
              </w:rPr>
              <w:t xml:space="preserve"> 2017</w:t>
            </w:r>
            <w:r w:rsidR="007035C6">
              <w:rPr>
                <w:sz w:val="24"/>
                <w:szCs w:val="24"/>
              </w:rPr>
              <w:t>;</w:t>
            </w:r>
            <w:r w:rsidRPr="00A648A3">
              <w:rPr>
                <w:sz w:val="24"/>
                <w:szCs w:val="24"/>
              </w:rPr>
              <w:t xml:space="preserve"> </w:t>
            </w:r>
            <w:r w:rsidR="00E24C60">
              <w:rPr>
                <w:sz w:val="24"/>
                <w:szCs w:val="24"/>
              </w:rPr>
              <w:t>SCW</w:t>
            </w:r>
            <w:r w:rsidRPr="00A648A3">
              <w:rPr>
                <w:sz w:val="24"/>
                <w:szCs w:val="24"/>
              </w:rPr>
              <w:t>, 2019</w:t>
            </w:r>
            <w:r w:rsidR="00647A9F">
              <w:rPr>
                <w:sz w:val="24"/>
                <w:szCs w:val="24"/>
              </w:rPr>
              <w:t>; SCW LO</w:t>
            </w:r>
            <w:r w:rsidR="00305DC8">
              <w:rPr>
                <w:sz w:val="24"/>
                <w:szCs w:val="24"/>
              </w:rPr>
              <w:t xml:space="preserve"> 2</w:t>
            </w:r>
            <w:r w:rsidRPr="00A648A3">
              <w:rPr>
                <w:sz w:val="24"/>
                <w:szCs w:val="24"/>
              </w:rPr>
              <w:t xml:space="preserve">). </w:t>
            </w:r>
          </w:p>
          <w:p w14:paraId="093E9516" w14:textId="77777777" w:rsidR="00A648A3" w:rsidRPr="00A648A3" w:rsidRDefault="00A648A3" w:rsidP="00A648A3">
            <w:pPr>
              <w:spacing w:line="360" w:lineRule="auto"/>
              <w:jc w:val="both"/>
              <w:rPr>
                <w:sz w:val="24"/>
                <w:szCs w:val="24"/>
              </w:rPr>
            </w:pPr>
          </w:p>
          <w:p w14:paraId="40EA354C" w14:textId="43847E52" w:rsidR="00A648A3" w:rsidRPr="00A648A3" w:rsidRDefault="00A648A3" w:rsidP="00A648A3">
            <w:pPr>
              <w:spacing w:line="360" w:lineRule="auto"/>
              <w:jc w:val="both"/>
              <w:rPr>
                <w:sz w:val="24"/>
                <w:szCs w:val="24"/>
              </w:rPr>
            </w:pPr>
            <w:r w:rsidRPr="00A648A3">
              <w:rPr>
                <w:sz w:val="24"/>
                <w:szCs w:val="24"/>
              </w:rPr>
              <w:t>Moreover, from an organisational level, any concerns raised are reported to adult safeguarding team, who undertake initial assessment. A social worker will undertake a visit to further investigate, depending on worries raised, a potential further assessment will take place, alongside safety planning</w:t>
            </w:r>
            <w:r w:rsidR="00871B4B">
              <w:rPr>
                <w:sz w:val="24"/>
                <w:szCs w:val="24"/>
              </w:rPr>
              <w:t xml:space="preserve"> (SCW, LO </w:t>
            </w:r>
            <w:r w:rsidR="003F44BB">
              <w:rPr>
                <w:sz w:val="24"/>
                <w:szCs w:val="24"/>
              </w:rPr>
              <w:t>1)</w:t>
            </w:r>
            <w:r w:rsidRPr="00A648A3">
              <w:rPr>
                <w:sz w:val="24"/>
                <w:szCs w:val="24"/>
              </w:rPr>
              <w:t xml:space="preserve">. If worries have escalated, and there is question as to </w:t>
            </w:r>
            <w:r w:rsidRPr="00A648A3">
              <w:rPr>
                <w:sz w:val="24"/>
                <w:szCs w:val="24"/>
              </w:rPr>
              <w:lastRenderedPageBreak/>
              <w:t>whether threshold for harm has been met, a strategy meeting with multiple agencies to discuss this will be held to explore further.</w:t>
            </w:r>
          </w:p>
          <w:p w14:paraId="740B894F" w14:textId="77777777" w:rsidR="00A648A3" w:rsidRPr="00A648A3" w:rsidRDefault="00A648A3" w:rsidP="00A648A3">
            <w:pPr>
              <w:spacing w:line="360" w:lineRule="auto"/>
              <w:jc w:val="both"/>
              <w:rPr>
                <w:sz w:val="24"/>
                <w:szCs w:val="24"/>
              </w:rPr>
            </w:pPr>
          </w:p>
          <w:p w14:paraId="799FA0B2" w14:textId="5B4C1119" w:rsidR="00A648A3" w:rsidRPr="00A648A3" w:rsidRDefault="00A648A3" w:rsidP="00A648A3">
            <w:pPr>
              <w:spacing w:line="360" w:lineRule="auto"/>
              <w:jc w:val="both"/>
              <w:rPr>
                <w:sz w:val="24"/>
                <w:szCs w:val="24"/>
              </w:rPr>
            </w:pPr>
            <w:r w:rsidRPr="00A648A3">
              <w:rPr>
                <w:sz w:val="24"/>
                <w:szCs w:val="24"/>
              </w:rPr>
              <w:t>However, the complexity of recognising harm can be challenging, particularly when signs such as unexplained bruising, pressure sores, memory loss, aggression, or isolation, can be attributed to ageing, disability, or mental illness. Whilst professionals and/or individuals have a shared duty to safeguard adults at risk, we also have a duty to promote and safeguard their feelings, wishes, voice and control as per the Code of Professional Practice</w:t>
            </w:r>
            <w:r w:rsidR="00871B4B">
              <w:rPr>
                <w:sz w:val="24"/>
                <w:szCs w:val="24"/>
              </w:rPr>
              <w:t xml:space="preserve"> (CoPP)</w:t>
            </w:r>
            <w:r w:rsidRPr="00A648A3">
              <w:rPr>
                <w:sz w:val="24"/>
                <w:szCs w:val="24"/>
              </w:rPr>
              <w:t xml:space="preserve"> </w:t>
            </w:r>
            <w:r w:rsidR="00871B4B">
              <w:rPr>
                <w:sz w:val="24"/>
                <w:szCs w:val="24"/>
              </w:rPr>
              <w:t>c</w:t>
            </w:r>
            <w:r w:rsidRPr="00A648A3">
              <w:rPr>
                <w:sz w:val="24"/>
                <w:szCs w:val="24"/>
              </w:rPr>
              <w:t>.3 and The Human Rights Act 1989 Article 10 (SCW, 2017</w:t>
            </w:r>
            <w:r w:rsidR="00305DC8">
              <w:rPr>
                <w:sz w:val="24"/>
                <w:szCs w:val="24"/>
              </w:rPr>
              <w:t>; SCW LO</w:t>
            </w:r>
            <w:r w:rsidR="00637B72">
              <w:rPr>
                <w:sz w:val="24"/>
                <w:szCs w:val="24"/>
              </w:rPr>
              <w:t xml:space="preserve"> 3</w:t>
            </w:r>
            <w:r w:rsidRPr="00A648A3">
              <w:rPr>
                <w:sz w:val="24"/>
                <w:szCs w:val="24"/>
              </w:rPr>
              <w:t xml:space="preserve">). </w:t>
            </w:r>
          </w:p>
          <w:p w14:paraId="7BE4B662" w14:textId="77777777" w:rsidR="00A648A3" w:rsidRPr="00A648A3" w:rsidRDefault="00A648A3" w:rsidP="00A648A3">
            <w:pPr>
              <w:spacing w:line="360" w:lineRule="auto"/>
              <w:jc w:val="both"/>
              <w:rPr>
                <w:sz w:val="24"/>
                <w:szCs w:val="24"/>
              </w:rPr>
            </w:pPr>
          </w:p>
          <w:p w14:paraId="1035D932" w14:textId="0BBBFE61" w:rsidR="00A648A3" w:rsidRPr="00A648A3" w:rsidRDefault="00A648A3" w:rsidP="00A648A3">
            <w:pPr>
              <w:spacing w:line="360" w:lineRule="auto"/>
              <w:jc w:val="both"/>
              <w:rPr>
                <w:sz w:val="24"/>
                <w:szCs w:val="24"/>
              </w:rPr>
            </w:pPr>
            <w:r w:rsidRPr="00A648A3">
              <w:rPr>
                <w:sz w:val="24"/>
                <w:szCs w:val="24"/>
              </w:rPr>
              <w:t xml:space="preserve">Furthermore, professionals’ diagnostic abilities are further compounded by the interaction of the Mental Capacity Act (MCA) 2005 and the Mental Health Act </w:t>
            </w:r>
            <w:r w:rsidR="00871B4B">
              <w:rPr>
                <w:sz w:val="24"/>
                <w:szCs w:val="24"/>
              </w:rPr>
              <w:t>(</w:t>
            </w:r>
            <w:r w:rsidRPr="00A648A3">
              <w:rPr>
                <w:sz w:val="24"/>
                <w:szCs w:val="24"/>
              </w:rPr>
              <w:t>M</w:t>
            </w:r>
            <w:r w:rsidR="00871B4B">
              <w:rPr>
                <w:sz w:val="24"/>
                <w:szCs w:val="24"/>
              </w:rPr>
              <w:t>H</w:t>
            </w:r>
            <w:r w:rsidRPr="00A648A3">
              <w:rPr>
                <w:sz w:val="24"/>
                <w:szCs w:val="24"/>
              </w:rPr>
              <w:t>A</w:t>
            </w:r>
            <w:r w:rsidR="00871B4B">
              <w:rPr>
                <w:sz w:val="24"/>
                <w:szCs w:val="24"/>
              </w:rPr>
              <w:t>)</w:t>
            </w:r>
            <w:r w:rsidRPr="00A648A3">
              <w:rPr>
                <w:sz w:val="24"/>
                <w:szCs w:val="24"/>
              </w:rPr>
              <w:t xml:space="preserve"> 1983. If an adult chooses to live the way they want, and with whom, the MCA 2005 provides if an adult has capacity, they have the right to make unwise decisions. Equally challenging however, is that adults may present with fluctuating or unclear capacity, this can obscure whether an adult is actually consenting to harmful situations or unable to protect themselves. Importantly, in such cases, whereby a professional cannot gain access to an adult who may be experiencing harm, one could seek to use Adult Protection and Support Orders as per SS&amp;WBA 2014. Also, the MHA </w:t>
            </w:r>
            <w:r w:rsidR="00871B4B">
              <w:rPr>
                <w:sz w:val="24"/>
                <w:szCs w:val="24"/>
              </w:rPr>
              <w:t xml:space="preserve">1983 </w:t>
            </w:r>
            <w:r w:rsidRPr="00A648A3">
              <w:rPr>
                <w:sz w:val="24"/>
                <w:szCs w:val="24"/>
              </w:rPr>
              <w:t xml:space="preserve">allows for compulsory intervention in cases of mental disorder, yet its safeguarding application can </w:t>
            </w:r>
            <w:r w:rsidR="0088770E">
              <w:rPr>
                <w:sz w:val="24"/>
                <w:szCs w:val="24"/>
              </w:rPr>
              <w:t xml:space="preserve">be </w:t>
            </w:r>
            <w:r w:rsidRPr="00A648A3">
              <w:rPr>
                <w:sz w:val="24"/>
                <w:szCs w:val="24"/>
              </w:rPr>
              <w:t xml:space="preserve">practically inconsistent (Foss, 2023). </w:t>
            </w:r>
          </w:p>
          <w:p w14:paraId="7CDA15EC" w14:textId="77777777" w:rsidR="00A648A3" w:rsidRPr="00A648A3" w:rsidRDefault="00A648A3" w:rsidP="00A648A3">
            <w:pPr>
              <w:spacing w:line="360" w:lineRule="auto"/>
              <w:jc w:val="both"/>
              <w:rPr>
                <w:sz w:val="24"/>
                <w:szCs w:val="24"/>
              </w:rPr>
            </w:pPr>
          </w:p>
          <w:p w14:paraId="60D8C669" w14:textId="77A9D5C6" w:rsidR="00FC0334" w:rsidRDefault="00A648A3" w:rsidP="00871B4B">
            <w:pPr>
              <w:spacing w:line="360" w:lineRule="auto"/>
              <w:jc w:val="both"/>
              <w:rPr>
                <w:sz w:val="24"/>
                <w:szCs w:val="24"/>
              </w:rPr>
            </w:pPr>
            <w:r w:rsidRPr="00A648A3">
              <w:rPr>
                <w:sz w:val="24"/>
                <w:szCs w:val="24"/>
              </w:rPr>
              <w:t>In practice, this means that professionals must navigate the overlapping legal duties while ensuring that the rights and well-being of the adult at risk remain central, which reinforces the importance of multi-agency working and local safeguarding boards (Williams, 2017</w:t>
            </w:r>
            <w:r w:rsidR="00DF3DFA">
              <w:rPr>
                <w:sz w:val="24"/>
                <w:szCs w:val="24"/>
              </w:rPr>
              <w:t>;</w:t>
            </w:r>
            <w:r w:rsidRPr="00A648A3">
              <w:rPr>
                <w:sz w:val="24"/>
                <w:szCs w:val="24"/>
              </w:rPr>
              <w:t xml:space="preserve"> WG, 2019b).</w:t>
            </w:r>
          </w:p>
          <w:p w14:paraId="774095BD" w14:textId="77777777" w:rsidR="00FC0334" w:rsidRDefault="00FC0334" w:rsidP="00FF7EBB">
            <w:pPr>
              <w:jc w:val="both"/>
              <w:rPr>
                <w:sz w:val="24"/>
                <w:szCs w:val="24"/>
              </w:rPr>
            </w:pPr>
          </w:p>
          <w:p w14:paraId="6C8FA5E6" w14:textId="47CECF0E" w:rsidR="0088770E" w:rsidRDefault="0088770E" w:rsidP="00FF7EBB">
            <w:pPr>
              <w:jc w:val="both"/>
              <w:rPr>
                <w:sz w:val="24"/>
                <w:szCs w:val="24"/>
              </w:rPr>
            </w:pPr>
            <w:r>
              <w:rPr>
                <w:sz w:val="24"/>
                <w:szCs w:val="24"/>
              </w:rPr>
              <w:t xml:space="preserve">Word Count- </w:t>
            </w:r>
            <w:r w:rsidR="0049125E">
              <w:rPr>
                <w:sz w:val="24"/>
                <w:szCs w:val="24"/>
              </w:rPr>
              <w:t>500</w:t>
            </w:r>
          </w:p>
          <w:p w14:paraId="4D79FBB1" w14:textId="77777777" w:rsidR="00DF3DFA" w:rsidRPr="006108C9" w:rsidRDefault="00DF3DFA"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lastRenderedPageBreak/>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64BA4FE" w14:textId="77777777" w:rsidR="005E5E78" w:rsidRPr="005E5E78" w:rsidRDefault="005E5E78" w:rsidP="005E5E78">
            <w:pPr>
              <w:jc w:val="both"/>
              <w:rPr>
                <w:sz w:val="24"/>
                <w:szCs w:val="24"/>
              </w:rPr>
            </w:pPr>
          </w:p>
          <w:p w14:paraId="6F055580" w14:textId="7EBF0A97" w:rsidR="005E5E78" w:rsidRPr="005E5E78" w:rsidRDefault="005E5E78" w:rsidP="005E5E78">
            <w:pPr>
              <w:spacing w:line="360" w:lineRule="auto"/>
              <w:jc w:val="both"/>
              <w:rPr>
                <w:sz w:val="24"/>
                <w:szCs w:val="24"/>
              </w:rPr>
            </w:pPr>
            <w:r w:rsidRPr="005E5E78">
              <w:rPr>
                <w:sz w:val="24"/>
                <w:szCs w:val="24"/>
              </w:rPr>
              <w:t>Primarily within Wales, both adults and children’s safeguarding are underpinned by the Social Services and Wellbeing Act</w:t>
            </w:r>
            <w:r>
              <w:rPr>
                <w:sz w:val="24"/>
                <w:szCs w:val="24"/>
              </w:rPr>
              <w:t xml:space="preserve"> (SS&amp;WBA)</w:t>
            </w:r>
            <w:r w:rsidRPr="005E5E78">
              <w:rPr>
                <w:sz w:val="24"/>
                <w:szCs w:val="24"/>
              </w:rPr>
              <w:t xml:space="preserve"> 2014, and the Wales Safeguarding Procedures (Social Care Wales (SCW), 2019). However, the practical approach to safeguarding children and adults at risk differs significantly, given the varying policies, procedures, legislative framework, autonomy, and developmental needs. </w:t>
            </w:r>
          </w:p>
          <w:p w14:paraId="3AADF64D" w14:textId="77777777" w:rsidR="005E5E78" w:rsidRPr="005E5E78" w:rsidRDefault="005E5E78" w:rsidP="005E5E78">
            <w:pPr>
              <w:spacing w:line="360" w:lineRule="auto"/>
              <w:jc w:val="both"/>
              <w:rPr>
                <w:sz w:val="24"/>
                <w:szCs w:val="24"/>
              </w:rPr>
            </w:pPr>
          </w:p>
          <w:p w14:paraId="3ECEC9E8" w14:textId="241239B0" w:rsidR="005E5E78" w:rsidRPr="005E5E78" w:rsidRDefault="005E5E78" w:rsidP="005E5E78">
            <w:pPr>
              <w:spacing w:line="360" w:lineRule="auto"/>
              <w:jc w:val="both"/>
              <w:rPr>
                <w:sz w:val="24"/>
                <w:szCs w:val="24"/>
              </w:rPr>
            </w:pPr>
            <w:r w:rsidRPr="005E5E78">
              <w:rPr>
                <w:sz w:val="24"/>
                <w:szCs w:val="24"/>
              </w:rPr>
              <w:t>The Children Act (CA) 1989 stipulates that a child’s welfare is paramount, due to their inherent vulnerability, given their age of development. Due to this, professionals operate on a lower threshold, in assessing the threshold for significant harm. In contrast, adults have the right to make unwise decisions and exercise self-determination. Adult safeguarding is defined by care and support needs and the ability to protect oneself, with professionals required to assess consent and capacity under the Mental Capacity Act (MCA) 2005 (Williams, 201</w:t>
            </w:r>
            <w:r w:rsidR="00AC01EA">
              <w:rPr>
                <w:sz w:val="24"/>
                <w:szCs w:val="24"/>
              </w:rPr>
              <w:t>7</w:t>
            </w:r>
            <w:r w:rsidRPr="005E5E78">
              <w:rPr>
                <w:sz w:val="24"/>
                <w:szCs w:val="24"/>
              </w:rPr>
              <w:t>).</w:t>
            </w:r>
          </w:p>
          <w:p w14:paraId="1E248C45" w14:textId="77777777" w:rsidR="005E5E78" w:rsidRPr="005E5E78" w:rsidRDefault="005E5E78" w:rsidP="005E5E78">
            <w:pPr>
              <w:spacing w:line="360" w:lineRule="auto"/>
              <w:jc w:val="both"/>
              <w:rPr>
                <w:sz w:val="24"/>
                <w:szCs w:val="24"/>
              </w:rPr>
            </w:pPr>
          </w:p>
          <w:p w14:paraId="7B25F560" w14:textId="027D1D27" w:rsidR="005E5E78" w:rsidRPr="005E5E78" w:rsidRDefault="005E5E78" w:rsidP="005E5E78">
            <w:pPr>
              <w:spacing w:line="360" w:lineRule="auto"/>
              <w:jc w:val="both"/>
              <w:rPr>
                <w:sz w:val="24"/>
                <w:szCs w:val="24"/>
              </w:rPr>
            </w:pPr>
            <w:r w:rsidRPr="005E5E78">
              <w:rPr>
                <w:sz w:val="24"/>
                <w:szCs w:val="24"/>
              </w:rPr>
              <w:t>That said, the differences remain in consent and participation. Whilst a child’s welfare takes paramount consideration, we must also uphold their wishes and feelings where safe to do so, as per the Code of Professional Practice, Gillick competency and the United Nations Convention on the Rights of the Child 1989 (Social Care Wales (SCW), 2017</w:t>
            </w:r>
            <w:r w:rsidR="00BC7495">
              <w:rPr>
                <w:sz w:val="24"/>
                <w:szCs w:val="24"/>
              </w:rPr>
              <w:t>c.3</w:t>
            </w:r>
            <w:r w:rsidRPr="005E5E78">
              <w:rPr>
                <w:sz w:val="24"/>
                <w:szCs w:val="24"/>
              </w:rPr>
              <w:t>). Gillick competency allows for a child under the age of 16, to give consent for medical treatment, if they demonstrate sufficient intelligence and understanding, which negates the need for parental consent</w:t>
            </w:r>
            <w:r w:rsidR="00C62528">
              <w:rPr>
                <w:sz w:val="24"/>
                <w:szCs w:val="24"/>
              </w:rPr>
              <w:t xml:space="preserve"> (</w:t>
            </w:r>
            <w:r w:rsidR="00EE31F4" w:rsidRPr="00EE31F4">
              <w:rPr>
                <w:sz w:val="24"/>
                <w:szCs w:val="24"/>
              </w:rPr>
              <w:t>NSPCC (n.d.)</w:t>
            </w:r>
            <w:r w:rsidRPr="005E5E78">
              <w:rPr>
                <w:sz w:val="24"/>
                <w:szCs w:val="24"/>
              </w:rPr>
              <w:t>. Whereby, an adult must be assumed to have the capacity, and safeguarding interventions must respect their autonomy, unless there is evidence, they lack capacity (Williams, 2017</w:t>
            </w:r>
            <w:r w:rsidR="00B6046E">
              <w:rPr>
                <w:sz w:val="24"/>
                <w:szCs w:val="24"/>
              </w:rPr>
              <w:t>;</w:t>
            </w:r>
            <w:r w:rsidRPr="005E5E78">
              <w:rPr>
                <w:sz w:val="24"/>
                <w:szCs w:val="24"/>
              </w:rPr>
              <w:t xml:space="preserve"> Llewellyn et al</w:t>
            </w:r>
            <w:r w:rsidR="00F42B54">
              <w:rPr>
                <w:sz w:val="24"/>
                <w:szCs w:val="24"/>
              </w:rPr>
              <w:t>.</w:t>
            </w:r>
            <w:r w:rsidRPr="005E5E78">
              <w:rPr>
                <w:sz w:val="24"/>
                <w:szCs w:val="24"/>
              </w:rPr>
              <w:t>, 2023</w:t>
            </w:r>
            <w:r w:rsidR="001B4C7C">
              <w:rPr>
                <w:sz w:val="24"/>
                <w:szCs w:val="24"/>
              </w:rPr>
              <w:t xml:space="preserve">; SCW Learning Outcomes (LO) </w:t>
            </w:r>
            <w:r w:rsidR="00FF352F">
              <w:rPr>
                <w:sz w:val="24"/>
                <w:szCs w:val="24"/>
              </w:rPr>
              <w:t>3</w:t>
            </w:r>
            <w:r w:rsidRPr="005E5E78">
              <w:rPr>
                <w:sz w:val="24"/>
                <w:szCs w:val="24"/>
              </w:rPr>
              <w:t>).</w:t>
            </w:r>
          </w:p>
          <w:p w14:paraId="7A435A8F" w14:textId="77777777" w:rsidR="005E5E78" w:rsidRPr="005E5E78" w:rsidRDefault="005E5E78" w:rsidP="005E5E78">
            <w:pPr>
              <w:spacing w:line="360" w:lineRule="auto"/>
              <w:jc w:val="both"/>
              <w:rPr>
                <w:sz w:val="24"/>
                <w:szCs w:val="24"/>
              </w:rPr>
            </w:pPr>
          </w:p>
          <w:p w14:paraId="04F6155E" w14:textId="36A0F336" w:rsidR="005E5E78" w:rsidRPr="005E5E78" w:rsidRDefault="005E5E78" w:rsidP="005E5E78">
            <w:pPr>
              <w:spacing w:line="360" w:lineRule="auto"/>
              <w:jc w:val="both"/>
              <w:rPr>
                <w:sz w:val="24"/>
                <w:szCs w:val="24"/>
              </w:rPr>
            </w:pPr>
            <w:r w:rsidRPr="005E5E78">
              <w:rPr>
                <w:sz w:val="24"/>
                <w:szCs w:val="24"/>
              </w:rPr>
              <w:t xml:space="preserve">The multi-agency approach also differs, children’s safeguarding procedures involves Child Protection Conferences, where a multi-agency decision is made as to whether a child has or is likely to experience significant harm (SCW LO, </w:t>
            </w:r>
            <w:r w:rsidR="00B73353">
              <w:rPr>
                <w:sz w:val="24"/>
                <w:szCs w:val="24"/>
              </w:rPr>
              <w:t>1</w:t>
            </w:r>
            <w:r w:rsidRPr="005E5E78">
              <w:rPr>
                <w:sz w:val="24"/>
                <w:szCs w:val="24"/>
              </w:rPr>
              <w:t xml:space="preserve">). In contrast, adult safeguarding may include the application of Adult Protection and Support Orders, in such cases where a practitioner cannot gain access to the individual. Also, where there are disputes between </w:t>
            </w:r>
            <w:r w:rsidRPr="005E5E78">
              <w:rPr>
                <w:sz w:val="24"/>
                <w:szCs w:val="24"/>
              </w:rPr>
              <w:lastRenderedPageBreak/>
              <w:t>families and local authorities regarding care plans for adults lacking capacity may be resolved by the Court of Protection (McElwee et al., 2022</w:t>
            </w:r>
            <w:r w:rsidR="00FF352F">
              <w:rPr>
                <w:sz w:val="24"/>
                <w:szCs w:val="24"/>
              </w:rPr>
              <w:t>; SCW LO 2</w:t>
            </w:r>
            <w:r w:rsidRPr="005E5E78">
              <w:rPr>
                <w:sz w:val="24"/>
                <w:szCs w:val="24"/>
              </w:rPr>
              <w:t>).</w:t>
            </w:r>
          </w:p>
          <w:p w14:paraId="6F9E5C89" w14:textId="77777777" w:rsidR="005E5E78" w:rsidRPr="005E5E78" w:rsidRDefault="005E5E78" w:rsidP="005E5E78">
            <w:pPr>
              <w:spacing w:line="360" w:lineRule="auto"/>
              <w:jc w:val="both"/>
              <w:rPr>
                <w:sz w:val="24"/>
                <w:szCs w:val="24"/>
              </w:rPr>
            </w:pPr>
          </w:p>
          <w:p w14:paraId="478D2F84" w14:textId="2950E61D" w:rsidR="00FC0334" w:rsidRDefault="005E5E78" w:rsidP="005E5E78">
            <w:pPr>
              <w:spacing w:line="360" w:lineRule="auto"/>
              <w:jc w:val="both"/>
              <w:rPr>
                <w:sz w:val="24"/>
                <w:szCs w:val="24"/>
              </w:rPr>
            </w:pPr>
            <w:r w:rsidRPr="005E5E78">
              <w:rPr>
                <w:sz w:val="24"/>
                <w:szCs w:val="24"/>
              </w:rPr>
              <w:t>In conclusion, while children and adults safeguarding share a common legal foundation, it appears the major difference is autonomy, a child does not have an overarching right to live in unsafe situations, whereby an adult may choose to live at risk, if found to have capacity.</w:t>
            </w:r>
          </w:p>
          <w:p w14:paraId="7B7B4827" w14:textId="77777777" w:rsidR="00FC0334" w:rsidRDefault="00FC0334" w:rsidP="00FC0334">
            <w:pPr>
              <w:jc w:val="both"/>
              <w:rPr>
                <w:sz w:val="24"/>
                <w:szCs w:val="24"/>
              </w:rPr>
            </w:pPr>
          </w:p>
          <w:p w14:paraId="438BF787" w14:textId="679C6E5A" w:rsidR="00FC0334" w:rsidRDefault="00FF352F" w:rsidP="00FC0334">
            <w:pPr>
              <w:jc w:val="both"/>
              <w:rPr>
                <w:sz w:val="24"/>
                <w:szCs w:val="24"/>
              </w:rPr>
            </w:pPr>
            <w:r>
              <w:rPr>
                <w:sz w:val="24"/>
                <w:szCs w:val="24"/>
              </w:rPr>
              <w:t>Word Count- 39</w:t>
            </w:r>
            <w:r w:rsidR="00B072F5">
              <w:rPr>
                <w:sz w:val="24"/>
                <w:szCs w:val="24"/>
              </w:rPr>
              <w:t>7</w:t>
            </w:r>
          </w:p>
          <w:p w14:paraId="05E14E5C" w14:textId="77777777" w:rsidR="00FF352F" w:rsidRPr="006108C9" w:rsidRDefault="00FF352F"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2D411" w14:textId="77777777" w:rsidR="00DD2A68" w:rsidRDefault="00DD2A68">
      <w:r>
        <w:separator/>
      </w:r>
    </w:p>
  </w:endnote>
  <w:endnote w:type="continuationSeparator" w:id="0">
    <w:p w14:paraId="42C706FE" w14:textId="77777777" w:rsidR="00DD2A68" w:rsidRDefault="00DD2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CAC1E" w14:textId="77777777" w:rsidR="00DD2A68" w:rsidRDefault="00DD2A68">
      <w:r>
        <w:separator/>
      </w:r>
    </w:p>
  </w:footnote>
  <w:footnote w:type="continuationSeparator" w:id="0">
    <w:p w14:paraId="517AF460" w14:textId="77777777" w:rsidR="00DD2A68" w:rsidRDefault="00DD2A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0DF1"/>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4C7C"/>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96AD7"/>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5DC8"/>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4BB"/>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25E"/>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5E78"/>
    <w:rsid w:val="005F64AA"/>
    <w:rsid w:val="005F7851"/>
    <w:rsid w:val="00606E27"/>
    <w:rsid w:val="006108C9"/>
    <w:rsid w:val="00614DF7"/>
    <w:rsid w:val="006179BB"/>
    <w:rsid w:val="0062158D"/>
    <w:rsid w:val="006223FD"/>
    <w:rsid w:val="006326D1"/>
    <w:rsid w:val="00632E0A"/>
    <w:rsid w:val="00633165"/>
    <w:rsid w:val="00637B72"/>
    <w:rsid w:val="006447DE"/>
    <w:rsid w:val="00644889"/>
    <w:rsid w:val="00647A9F"/>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35C6"/>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1B4B"/>
    <w:rsid w:val="0087369F"/>
    <w:rsid w:val="00880539"/>
    <w:rsid w:val="008859E8"/>
    <w:rsid w:val="0088737B"/>
    <w:rsid w:val="0088770E"/>
    <w:rsid w:val="00891078"/>
    <w:rsid w:val="00892716"/>
    <w:rsid w:val="00893067"/>
    <w:rsid w:val="008933DE"/>
    <w:rsid w:val="00895FCE"/>
    <w:rsid w:val="00897F3E"/>
    <w:rsid w:val="008A21B4"/>
    <w:rsid w:val="008B07DE"/>
    <w:rsid w:val="008B1309"/>
    <w:rsid w:val="008B28E7"/>
    <w:rsid w:val="008B67F6"/>
    <w:rsid w:val="008C14C7"/>
    <w:rsid w:val="008C2534"/>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1B8B"/>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4BEE"/>
    <w:rsid w:val="00A37416"/>
    <w:rsid w:val="00A40ED6"/>
    <w:rsid w:val="00A47621"/>
    <w:rsid w:val="00A479CD"/>
    <w:rsid w:val="00A50CFC"/>
    <w:rsid w:val="00A54D67"/>
    <w:rsid w:val="00A55A3F"/>
    <w:rsid w:val="00A5656A"/>
    <w:rsid w:val="00A60103"/>
    <w:rsid w:val="00A648A3"/>
    <w:rsid w:val="00A652F6"/>
    <w:rsid w:val="00A65861"/>
    <w:rsid w:val="00A732EA"/>
    <w:rsid w:val="00A7489E"/>
    <w:rsid w:val="00A8015F"/>
    <w:rsid w:val="00A85039"/>
    <w:rsid w:val="00A906AA"/>
    <w:rsid w:val="00A94C5E"/>
    <w:rsid w:val="00AA252C"/>
    <w:rsid w:val="00AA666E"/>
    <w:rsid w:val="00AA7960"/>
    <w:rsid w:val="00AB5518"/>
    <w:rsid w:val="00AC01EA"/>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2F5"/>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046E"/>
    <w:rsid w:val="00B6548F"/>
    <w:rsid w:val="00B71A32"/>
    <w:rsid w:val="00B73353"/>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49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2528"/>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2EA9"/>
    <w:rsid w:val="00D84841"/>
    <w:rsid w:val="00D876E6"/>
    <w:rsid w:val="00D90958"/>
    <w:rsid w:val="00DA1025"/>
    <w:rsid w:val="00DA22EC"/>
    <w:rsid w:val="00DA5682"/>
    <w:rsid w:val="00DA5860"/>
    <w:rsid w:val="00DA5C0C"/>
    <w:rsid w:val="00DB2767"/>
    <w:rsid w:val="00DC1B10"/>
    <w:rsid w:val="00DC2924"/>
    <w:rsid w:val="00DC4729"/>
    <w:rsid w:val="00DD2A68"/>
    <w:rsid w:val="00DD31C5"/>
    <w:rsid w:val="00DD5020"/>
    <w:rsid w:val="00DD63BE"/>
    <w:rsid w:val="00DE4296"/>
    <w:rsid w:val="00DF2469"/>
    <w:rsid w:val="00DF3DFA"/>
    <w:rsid w:val="00DF7899"/>
    <w:rsid w:val="00E0524C"/>
    <w:rsid w:val="00E15751"/>
    <w:rsid w:val="00E17160"/>
    <w:rsid w:val="00E17D41"/>
    <w:rsid w:val="00E231D1"/>
    <w:rsid w:val="00E24C60"/>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1F4"/>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2B54"/>
    <w:rsid w:val="00F444F0"/>
    <w:rsid w:val="00F446FF"/>
    <w:rsid w:val="00F45521"/>
    <w:rsid w:val="00F50847"/>
    <w:rsid w:val="00F53F27"/>
    <w:rsid w:val="00F546D1"/>
    <w:rsid w:val="00F60281"/>
    <w:rsid w:val="00F66272"/>
    <w:rsid w:val="00F709C0"/>
    <w:rsid w:val="00F81FEC"/>
    <w:rsid w:val="00F85F03"/>
    <w:rsid w:val="00F927A1"/>
    <w:rsid w:val="00F92E4D"/>
    <w:rsid w:val="00F95A8A"/>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352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33</TotalTime>
  <Pages>5</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Wootton</cp:lastModifiedBy>
  <cp:revision>29</cp:revision>
  <cp:lastPrinted>2020-02-11T19:20:00Z</cp:lastPrinted>
  <dcterms:created xsi:type="dcterms:W3CDTF">2025-10-06T12:55:00Z</dcterms:created>
  <dcterms:modified xsi:type="dcterms:W3CDTF">2025-10-06T13:41:00Z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