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F47A5"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7BC48E1A" w14:textId="77777777" w:rsidR="00FF3E16" w:rsidRDefault="006F1490" w:rsidP="006F1490">
      <w:pPr>
        <w:pStyle w:val="paragraph"/>
        <w:spacing w:before="0" w:beforeAutospacing="0" w:after="0" w:afterAutospacing="0"/>
        <w:textAlignment w:val="baseline"/>
        <w:rPr>
          <w:rStyle w:val="normaltextrun"/>
          <w:rFonts w:ascii="Arial" w:hAnsi="Arial" w:cs="Arial"/>
          <w:color w:val="000000"/>
          <w:sz w:val="22"/>
          <w:szCs w:val="22"/>
        </w:rPr>
      </w:pPr>
      <w:r>
        <w:rPr>
          <w:rStyle w:val="normaltextrun"/>
          <w:rFonts w:ascii="Arial" w:hAnsi="Arial" w:cs="Arial"/>
          <w:color w:val="000000"/>
          <w:sz w:val="22"/>
          <w:szCs w:val="22"/>
        </w:rPr>
        <w:t>                                              University of Wales Trinity Saint David               </w:t>
      </w:r>
    </w:p>
    <w:p w14:paraId="2AECA99B" w14:textId="77777777" w:rsidR="00FF3E16" w:rsidRDefault="00FF3E16" w:rsidP="006F1490">
      <w:pPr>
        <w:pStyle w:val="paragraph"/>
        <w:spacing w:before="0" w:beforeAutospacing="0" w:after="0" w:afterAutospacing="0"/>
        <w:textAlignment w:val="baseline"/>
        <w:rPr>
          <w:rStyle w:val="normaltextrun"/>
          <w:rFonts w:ascii="Arial" w:hAnsi="Arial" w:cs="Arial"/>
          <w:color w:val="000000"/>
          <w:sz w:val="22"/>
          <w:szCs w:val="22"/>
        </w:rPr>
      </w:pPr>
    </w:p>
    <w:p w14:paraId="6F9C5364" w14:textId="3E8C6432" w:rsidR="006F1490" w:rsidRPr="00FF3E16" w:rsidRDefault="006F1490" w:rsidP="006F1490">
      <w:pPr>
        <w:pStyle w:val="paragraph"/>
        <w:spacing w:before="0" w:beforeAutospacing="0" w:after="0" w:afterAutospacing="0"/>
        <w:textAlignment w:val="baseline"/>
        <w:rPr>
          <w:rFonts w:ascii="Arial" w:hAnsi="Arial" w:cs="Arial"/>
          <w:color w:val="000000"/>
          <w:sz w:val="22"/>
          <w:szCs w:val="22"/>
        </w:rPr>
      </w:pPr>
      <w:r>
        <w:rPr>
          <w:rStyle w:val="normaltextrun"/>
          <w:rFonts w:ascii="Arial" w:hAnsi="Arial" w:cs="Arial"/>
          <w:color w:val="000000"/>
          <w:sz w:val="22"/>
          <w:szCs w:val="22"/>
        </w:rPr>
        <w:t>                    </w:t>
      </w:r>
      <w:r>
        <w:rPr>
          <w:rStyle w:val="scxw266571167"/>
          <w:rFonts w:ascii="Arial" w:hAnsi="Arial" w:cs="Arial"/>
          <w:color w:val="000000"/>
          <w:sz w:val="22"/>
          <w:szCs w:val="22"/>
        </w:rPr>
        <w:t> </w:t>
      </w:r>
      <w:r>
        <w:rPr>
          <w:rFonts w:ascii="Arial" w:hAnsi="Arial" w:cs="Arial"/>
          <w:color w:val="000000"/>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Arial" w:hAnsi="Arial" w:cs="Arial"/>
          <w:color w:val="000000"/>
          <w:sz w:val="22"/>
          <w:szCs w:val="22"/>
        </w:rPr>
        <w:t>Module </w:t>
      </w:r>
      <w:r>
        <w:rPr>
          <w:rStyle w:val="eop"/>
          <w:rFonts w:ascii="Arial" w:hAnsi="Arial" w:cs="Arial"/>
          <w:color w:val="000000"/>
          <w:sz w:val="22"/>
          <w:szCs w:val="22"/>
        </w:rPr>
        <w:t> </w:t>
      </w:r>
    </w:p>
    <w:p w14:paraId="5B3803FC" w14:textId="5433782C" w:rsidR="006F1490" w:rsidRDefault="006F1490" w:rsidP="006F1490">
      <w:pPr>
        <w:pStyle w:val="paragraph"/>
        <w:spacing w:before="0" w:beforeAutospacing="0" w:after="0" w:afterAutospacing="0"/>
        <w:textAlignment w:val="baseline"/>
        <w:rPr>
          <w:rStyle w:val="eop"/>
          <w:rFonts w:ascii="Arial" w:hAnsi="Arial" w:cs="Arial"/>
          <w:color w:val="000000"/>
          <w:sz w:val="22"/>
          <w:szCs w:val="22"/>
        </w:rPr>
      </w:pPr>
      <w:r>
        <w:rPr>
          <w:rStyle w:val="normaltextrun"/>
          <w:rFonts w:ascii="Arial" w:hAnsi="Arial" w:cs="Arial"/>
          <w:color w:val="000000"/>
          <w:sz w:val="22"/>
          <w:szCs w:val="22"/>
        </w:rPr>
        <w:t>Complementary Therapies </w:t>
      </w:r>
      <w:r>
        <w:rPr>
          <w:rStyle w:val="eop"/>
          <w:rFonts w:ascii="Arial" w:hAnsi="Arial" w:cs="Arial"/>
          <w:color w:val="000000"/>
          <w:sz w:val="22"/>
          <w:szCs w:val="22"/>
        </w:rPr>
        <w:t> </w:t>
      </w:r>
    </w:p>
    <w:p w14:paraId="55961A28" w14:textId="77777777" w:rsidR="00FF3E16" w:rsidRDefault="00FF3E16" w:rsidP="006F1490">
      <w:pPr>
        <w:pStyle w:val="paragraph"/>
        <w:spacing w:before="0" w:beforeAutospacing="0" w:after="0" w:afterAutospacing="0"/>
        <w:textAlignment w:val="baseline"/>
        <w:rPr>
          <w:rFonts w:ascii="Segoe UI" w:hAnsi="Segoe UI" w:cs="Segoe UI"/>
          <w:sz w:val="18"/>
          <w:szCs w:val="18"/>
        </w:rPr>
      </w:pPr>
    </w:p>
    <w:p w14:paraId="0EFDC0AD" w14:textId="7A765921" w:rsidR="006F1490" w:rsidRDefault="006F1490" w:rsidP="006F1490">
      <w:pPr>
        <w:pStyle w:val="paragraph"/>
        <w:spacing w:before="0" w:beforeAutospacing="0" w:after="0" w:afterAutospacing="0"/>
        <w:textAlignment w:val="baseline"/>
        <w:rPr>
          <w:rStyle w:val="eop"/>
          <w:rFonts w:ascii="Arial" w:hAnsi="Arial" w:cs="Arial"/>
          <w:color w:val="000000"/>
          <w:sz w:val="22"/>
          <w:szCs w:val="22"/>
        </w:rPr>
      </w:pPr>
      <w:r>
        <w:rPr>
          <w:rStyle w:val="normaltextrun"/>
          <w:rFonts w:ascii="Arial" w:hAnsi="Arial" w:cs="Arial"/>
          <w:color w:val="000000"/>
          <w:sz w:val="22"/>
          <w:szCs w:val="22"/>
        </w:rPr>
        <w:t>BMHP5001 </w:t>
      </w:r>
      <w:r>
        <w:rPr>
          <w:rStyle w:val="eop"/>
          <w:rFonts w:ascii="Arial" w:hAnsi="Arial" w:cs="Arial"/>
          <w:color w:val="000000"/>
          <w:sz w:val="22"/>
          <w:szCs w:val="22"/>
        </w:rPr>
        <w:t> </w:t>
      </w:r>
    </w:p>
    <w:p w14:paraId="294636B5" w14:textId="77777777" w:rsidR="00FF3E16" w:rsidRDefault="00FF3E16" w:rsidP="006F1490">
      <w:pPr>
        <w:pStyle w:val="paragraph"/>
        <w:spacing w:before="0" w:beforeAutospacing="0" w:after="0" w:afterAutospacing="0"/>
        <w:textAlignment w:val="baseline"/>
        <w:rPr>
          <w:rFonts w:ascii="Segoe UI" w:hAnsi="Segoe UI" w:cs="Segoe UI"/>
          <w:sz w:val="18"/>
          <w:szCs w:val="18"/>
        </w:rPr>
      </w:pPr>
    </w:p>
    <w:p w14:paraId="37D5766E" w14:textId="1E3F64D7" w:rsidR="006F1490" w:rsidRDefault="006F1490" w:rsidP="006F1490">
      <w:pPr>
        <w:pStyle w:val="paragraph"/>
        <w:spacing w:before="0" w:beforeAutospacing="0" w:after="0" w:afterAutospacing="0"/>
        <w:textAlignment w:val="baseline"/>
        <w:rPr>
          <w:rStyle w:val="eop"/>
          <w:rFonts w:ascii="Arial" w:hAnsi="Arial" w:cs="Arial"/>
          <w:color w:val="000000"/>
          <w:sz w:val="22"/>
          <w:szCs w:val="22"/>
        </w:rPr>
      </w:pPr>
      <w:r>
        <w:rPr>
          <w:rStyle w:val="normaltextrun"/>
          <w:rFonts w:ascii="Arial" w:hAnsi="Arial" w:cs="Arial"/>
          <w:color w:val="000000"/>
          <w:sz w:val="22"/>
          <w:szCs w:val="22"/>
        </w:rPr>
        <w:t>Andreea Lupu </w:t>
      </w:r>
      <w:r>
        <w:rPr>
          <w:rStyle w:val="eop"/>
          <w:rFonts w:ascii="Arial" w:hAnsi="Arial" w:cs="Arial"/>
          <w:color w:val="000000"/>
          <w:sz w:val="22"/>
          <w:szCs w:val="22"/>
        </w:rPr>
        <w:t> </w:t>
      </w:r>
    </w:p>
    <w:p w14:paraId="010C5FCE" w14:textId="77777777" w:rsidR="00FF3E16" w:rsidRDefault="00FF3E16" w:rsidP="006F1490">
      <w:pPr>
        <w:pStyle w:val="paragraph"/>
        <w:spacing w:before="0" w:beforeAutospacing="0" w:after="0" w:afterAutospacing="0"/>
        <w:textAlignment w:val="baseline"/>
        <w:rPr>
          <w:rFonts w:ascii="Segoe UI" w:hAnsi="Segoe UI" w:cs="Segoe UI"/>
          <w:sz w:val="18"/>
          <w:szCs w:val="18"/>
        </w:rPr>
      </w:pPr>
    </w:p>
    <w:p w14:paraId="132D1BAD" w14:textId="05AD9101" w:rsidR="006F1490" w:rsidRDefault="006F1490" w:rsidP="006F1490">
      <w:pPr>
        <w:pStyle w:val="paragraph"/>
        <w:spacing w:before="0" w:beforeAutospacing="0" w:after="0" w:afterAutospacing="0"/>
        <w:textAlignment w:val="baseline"/>
        <w:rPr>
          <w:rStyle w:val="eop"/>
          <w:rFonts w:ascii="Arial" w:hAnsi="Arial" w:cs="Arial"/>
          <w:color w:val="000000"/>
          <w:sz w:val="22"/>
          <w:szCs w:val="22"/>
        </w:rPr>
      </w:pPr>
      <w:r>
        <w:rPr>
          <w:rStyle w:val="normaltextrun"/>
          <w:rFonts w:ascii="Arial" w:hAnsi="Arial" w:cs="Arial"/>
          <w:color w:val="000000"/>
          <w:sz w:val="22"/>
          <w:szCs w:val="22"/>
        </w:rPr>
        <w:t>1906519 </w:t>
      </w:r>
      <w:r>
        <w:rPr>
          <w:rStyle w:val="eop"/>
          <w:rFonts w:ascii="Arial" w:hAnsi="Arial" w:cs="Arial"/>
          <w:color w:val="000000"/>
          <w:sz w:val="22"/>
          <w:szCs w:val="22"/>
        </w:rPr>
        <w:t> </w:t>
      </w:r>
    </w:p>
    <w:p w14:paraId="6EA07F45" w14:textId="77777777" w:rsidR="00FF3E16" w:rsidRDefault="00FF3E16" w:rsidP="006F1490">
      <w:pPr>
        <w:pStyle w:val="paragraph"/>
        <w:spacing w:before="0" w:beforeAutospacing="0" w:after="0" w:afterAutospacing="0"/>
        <w:textAlignment w:val="baseline"/>
        <w:rPr>
          <w:rFonts w:ascii="Segoe UI" w:hAnsi="Segoe UI" w:cs="Segoe UI"/>
          <w:sz w:val="18"/>
          <w:szCs w:val="18"/>
        </w:rPr>
      </w:pPr>
    </w:p>
    <w:p w14:paraId="448B7ACA"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Arial" w:hAnsi="Arial" w:cs="Arial"/>
          <w:sz w:val="22"/>
          <w:szCs w:val="22"/>
        </w:rPr>
        <w:t> </w:t>
      </w:r>
      <w:r>
        <w:rPr>
          <w:rStyle w:val="eop"/>
          <w:rFonts w:ascii="Arial" w:hAnsi="Arial" w:cs="Arial"/>
          <w:sz w:val="22"/>
          <w:szCs w:val="22"/>
        </w:rPr>
        <w:t> </w:t>
      </w:r>
    </w:p>
    <w:p w14:paraId="35F2610A"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Lecturer </w:t>
      </w:r>
      <w:r>
        <w:rPr>
          <w:rStyle w:val="eop"/>
          <w:rFonts w:ascii="Arial" w:hAnsi="Arial" w:cs="Arial"/>
          <w:color w:val="000000"/>
          <w:sz w:val="22"/>
          <w:szCs w:val="22"/>
        </w:rPr>
        <w:t> </w:t>
      </w:r>
    </w:p>
    <w:p w14:paraId="2E818551"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Magdalena </w:t>
      </w:r>
      <w:proofErr w:type="spellStart"/>
      <w:r>
        <w:rPr>
          <w:rStyle w:val="normaltextrun"/>
          <w:rFonts w:ascii="Arial" w:hAnsi="Arial" w:cs="Arial"/>
          <w:color w:val="000000"/>
          <w:sz w:val="22"/>
          <w:szCs w:val="22"/>
        </w:rPr>
        <w:t>Wronska</w:t>
      </w:r>
      <w:proofErr w:type="spellEnd"/>
      <w:r>
        <w:rPr>
          <w:rStyle w:val="normaltextrun"/>
          <w:rFonts w:ascii="Arial" w:hAnsi="Arial" w:cs="Arial"/>
          <w:color w:val="000000"/>
          <w:sz w:val="22"/>
          <w:szCs w:val="22"/>
        </w:rPr>
        <w:t>  </w:t>
      </w:r>
      <w:r>
        <w:rPr>
          <w:rStyle w:val="eop"/>
          <w:rFonts w:ascii="Arial" w:hAnsi="Arial" w:cs="Arial"/>
          <w:color w:val="000000"/>
          <w:sz w:val="22"/>
          <w:szCs w:val="22"/>
        </w:rPr>
        <w:t> </w:t>
      </w:r>
    </w:p>
    <w:p w14:paraId="43029BD2" w14:textId="77777777" w:rsidR="00FF3E16" w:rsidRDefault="006F1490" w:rsidP="006F1490">
      <w:pPr>
        <w:pStyle w:val="paragraph"/>
        <w:spacing w:before="0" w:beforeAutospacing="0" w:after="0" w:afterAutospacing="0"/>
        <w:textAlignment w:val="baseline"/>
        <w:rPr>
          <w:rStyle w:val="scxw266571167"/>
          <w:rFonts w:ascii="Calibri" w:hAnsi="Calibri" w:cs="Calibri"/>
          <w:sz w:val="22"/>
          <w:szCs w:val="22"/>
        </w:rPr>
      </w:pP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p>
    <w:p w14:paraId="3B373328" w14:textId="77777777" w:rsidR="00FF3E16" w:rsidRDefault="00FF3E16" w:rsidP="006F1490">
      <w:pPr>
        <w:pStyle w:val="paragraph"/>
        <w:spacing w:before="0" w:beforeAutospacing="0" w:after="0" w:afterAutospacing="0"/>
        <w:textAlignment w:val="baseline"/>
        <w:rPr>
          <w:rStyle w:val="scxw266571167"/>
          <w:rFonts w:ascii="Calibri" w:hAnsi="Calibri" w:cs="Calibri"/>
          <w:sz w:val="22"/>
          <w:szCs w:val="22"/>
        </w:rPr>
      </w:pPr>
    </w:p>
    <w:p w14:paraId="05445C41" w14:textId="77777777" w:rsidR="00FF3E16" w:rsidRDefault="00FF3E16" w:rsidP="006F1490">
      <w:pPr>
        <w:pStyle w:val="paragraph"/>
        <w:spacing w:before="0" w:beforeAutospacing="0" w:after="0" w:afterAutospacing="0"/>
        <w:textAlignment w:val="baseline"/>
        <w:rPr>
          <w:rStyle w:val="scxw266571167"/>
          <w:rFonts w:ascii="Calibri" w:hAnsi="Calibri" w:cs="Calibri"/>
          <w:sz w:val="22"/>
          <w:szCs w:val="22"/>
        </w:rPr>
      </w:pPr>
    </w:p>
    <w:p w14:paraId="0433FCF0" w14:textId="77777777" w:rsidR="00FF3E16" w:rsidRDefault="00FF3E16" w:rsidP="006F1490">
      <w:pPr>
        <w:pStyle w:val="paragraph"/>
        <w:spacing w:before="0" w:beforeAutospacing="0" w:after="0" w:afterAutospacing="0"/>
        <w:textAlignment w:val="baseline"/>
        <w:rPr>
          <w:rStyle w:val="scxw266571167"/>
          <w:rFonts w:ascii="Calibri" w:hAnsi="Calibri" w:cs="Calibri"/>
          <w:sz w:val="22"/>
          <w:szCs w:val="22"/>
        </w:rPr>
      </w:pPr>
    </w:p>
    <w:p w14:paraId="6814FC1B" w14:textId="77777777" w:rsidR="00FF3E16" w:rsidRDefault="00FF3E16" w:rsidP="006F1490">
      <w:pPr>
        <w:pStyle w:val="paragraph"/>
        <w:spacing w:before="0" w:beforeAutospacing="0" w:after="0" w:afterAutospacing="0"/>
        <w:textAlignment w:val="baseline"/>
        <w:rPr>
          <w:rStyle w:val="scxw266571167"/>
          <w:rFonts w:ascii="Calibri" w:hAnsi="Calibri" w:cs="Calibri"/>
          <w:sz w:val="22"/>
          <w:szCs w:val="22"/>
        </w:rPr>
      </w:pPr>
    </w:p>
    <w:p w14:paraId="321C61CE" w14:textId="77777777" w:rsidR="00FF3E16" w:rsidRDefault="00FF3E16" w:rsidP="006F1490">
      <w:pPr>
        <w:pStyle w:val="paragraph"/>
        <w:spacing w:before="0" w:beforeAutospacing="0" w:after="0" w:afterAutospacing="0"/>
        <w:textAlignment w:val="baseline"/>
        <w:rPr>
          <w:rStyle w:val="scxw266571167"/>
          <w:rFonts w:ascii="Calibri" w:hAnsi="Calibri" w:cs="Calibri"/>
          <w:sz w:val="22"/>
          <w:szCs w:val="22"/>
        </w:rPr>
      </w:pPr>
    </w:p>
    <w:p w14:paraId="234353C1" w14:textId="77777777" w:rsidR="00FF3E16" w:rsidRDefault="00FF3E16" w:rsidP="006F1490">
      <w:pPr>
        <w:pStyle w:val="paragraph"/>
        <w:spacing w:before="0" w:beforeAutospacing="0" w:after="0" w:afterAutospacing="0"/>
        <w:textAlignment w:val="baseline"/>
        <w:rPr>
          <w:rStyle w:val="scxw266571167"/>
          <w:rFonts w:ascii="Calibri" w:hAnsi="Calibri" w:cs="Calibri"/>
          <w:sz w:val="22"/>
          <w:szCs w:val="22"/>
        </w:rPr>
      </w:pPr>
    </w:p>
    <w:p w14:paraId="7938B26D" w14:textId="77777777" w:rsidR="00FF3E16" w:rsidRDefault="00FF3E16" w:rsidP="006F1490">
      <w:pPr>
        <w:pStyle w:val="paragraph"/>
        <w:spacing w:before="0" w:beforeAutospacing="0" w:after="0" w:afterAutospacing="0"/>
        <w:textAlignment w:val="baseline"/>
        <w:rPr>
          <w:rStyle w:val="scxw266571167"/>
          <w:rFonts w:ascii="Calibri" w:hAnsi="Calibri" w:cs="Calibri"/>
          <w:sz w:val="22"/>
          <w:szCs w:val="22"/>
        </w:rPr>
      </w:pPr>
    </w:p>
    <w:p w14:paraId="27FA3ACD" w14:textId="77777777" w:rsidR="00FF3E16" w:rsidRDefault="00FF3E16" w:rsidP="006F1490">
      <w:pPr>
        <w:pStyle w:val="paragraph"/>
        <w:spacing w:before="0" w:beforeAutospacing="0" w:after="0" w:afterAutospacing="0"/>
        <w:textAlignment w:val="baseline"/>
        <w:rPr>
          <w:rStyle w:val="scxw266571167"/>
          <w:rFonts w:ascii="Calibri" w:hAnsi="Calibri" w:cs="Calibri"/>
          <w:sz w:val="22"/>
          <w:szCs w:val="22"/>
        </w:rPr>
      </w:pPr>
    </w:p>
    <w:p w14:paraId="57D40361" w14:textId="77777777" w:rsidR="00FF3E16" w:rsidRDefault="00FF3E16" w:rsidP="006F1490">
      <w:pPr>
        <w:pStyle w:val="paragraph"/>
        <w:spacing w:before="0" w:beforeAutospacing="0" w:after="0" w:afterAutospacing="0"/>
        <w:textAlignment w:val="baseline"/>
        <w:rPr>
          <w:rStyle w:val="scxw266571167"/>
          <w:rFonts w:ascii="Calibri" w:hAnsi="Calibri" w:cs="Calibri"/>
          <w:sz w:val="22"/>
          <w:szCs w:val="22"/>
        </w:rPr>
      </w:pPr>
    </w:p>
    <w:p w14:paraId="40676026" w14:textId="77777777" w:rsidR="00FF3E16" w:rsidRDefault="00FF3E16" w:rsidP="006F1490">
      <w:pPr>
        <w:pStyle w:val="paragraph"/>
        <w:spacing w:before="0" w:beforeAutospacing="0" w:after="0" w:afterAutospacing="0"/>
        <w:textAlignment w:val="baseline"/>
        <w:rPr>
          <w:rStyle w:val="scxw266571167"/>
          <w:rFonts w:ascii="Calibri" w:hAnsi="Calibri" w:cs="Calibri"/>
          <w:sz w:val="22"/>
          <w:szCs w:val="22"/>
        </w:rPr>
      </w:pPr>
    </w:p>
    <w:p w14:paraId="35186468" w14:textId="77777777" w:rsidR="00FF3E16" w:rsidRDefault="00FF3E16" w:rsidP="006F1490">
      <w:pPr>
        <w:pStyle w:val="paragraph"/>
        <w:spacing w:before="0" w:beforeAutospacing="0" w:after="0" w:afterAutospacing="0"/>
        <w:textAlignment w:val="baseline"/>
        <w:rPr>
          <w:rStyle w:val="scxw266571167"/>
          <w:rFonts w:ascii="Calibri" w:hAnsi="Calibri" w:cs="Calibri"/>
          <w:sz w:val="22"/>
          <w:szCs w:val="22"/>
        </w:rPr>
      </w:pPr>
    </w:p>
    <w:p w14:paraId="79F6478D" w14:textId="77777777" w:rsidR="00FF3E16" w:rsidRDefault="00FF3E16" w:rsidP="006F1490">
      <w:pPr>
        <w:pStyle w:val="paragraph"/>
        <w:spacing w:before="0" w:beforeAutospacing="0" w:after="0" w:afterAutospacing="0"/>
        <w:textAlignment w:val="baseline"/>
        <w:rPr>
          <w:rStyle w:val="scxw266571167"/>
          <w:rFonts w:ascii="Calibri" w:hAnsi="Calibri" w:cs="Calibri"/>
          <w:sz w:val="22"/>
          <w:szCs w:val="22"/>
        </w:rPr>
      </w:pPr>
    </w:p>
    <w:p w14:paraId="167F5458" w14:textId="77777777" w:rsidR="00FF3E16" w:rsidRDefault="00FF3E16" w:rsidP="006F1490">
      <w:pPr>
        <w:pStyle w:val="paragraph"/>
        <w:spacing w:before="0" w:beforeAutospacing="0" w:after="0" w:afterAutospacing="0"/>
        <w:textAlignment w:val="baseline"/>
        <w:rPr>
          <w:rStyle w:val="scxw266571167"/>
          <w:rFonts w:ascii="Calibri" w:hAnsi="Calibri" w:cs="Calibri"/>
          <w:sz w:val="22"/>
          <w:szCs w:val="22"/>
        </w:rPr>
      </w:pPr>
    </w:p>
    <w:p w14:paraId="264AA303" w14:textId="77777777" w:rsidR="00FF3E16" w:rsidRDefault="00FF3E16" w:rsidP="006F1490">
      <w:pPr>
        <w:pStyle w:val="paragraph"/>
        <w:spacing w:before="0" w:beforeAutospacing="0" w:after="0" w:afterAutospacing="0"/>
        <w:textAlignment w:val="baseline"/>
        <w:rPr>
          <w:rStyle w:val="scxw266571167"/>
          <w:rFonts w:ascii="Calibri" w:hAnsi="Calibri" w:cs="Calibri"/>
          <w:sz w:val="22"/>
          <w:szCs w:val="22"/>
        </w:rPr>
      </w:pPr>
    </w:p>
    <w:p w14:paraId="2F975AA3" w14:textId="77777777" w:rsidR="00FF3E16" w:rsidRDefault="00FF3E16" w:rsidP="006F1490">
      <w:pPr>
        <w:pStyle w:val="paragraph"/>
        <w:spacing w:before="0" w:beforeAutospacing="0" w:after="0" w:afterAutospacing="0"/>
        <w:textAlignment w:val="baseline"/>
        <w:rPr>
          <w:rStyle w:val="scxw266571167"/>
          <w:rFonts w:ascii="Calibri" w:hAnsi="Calibri" w:cs="Calibri"/>
          <w:sz w:val="22"/>
          <w:szCs w:val="22"/>
        </w:rPr>
      </w:pPr>
    </w:p>
    <w:p w14:paraId="3CED937D" w14:textId="77777777" w:rsidR="00FF3E16" w:rsidRDefault="00FF3E16" w:rsidP="006F1490">
      <w:pPr>
        <w:pStyle w:val="paragraph"/>
        <w:spacing w:before="0" w:beforeAutospacing="0" w:after="0" w:afterAutospacing="0"/>
        <w:textAlignment w:val="baseline"/>
        <w:rPr>
          <w:rStyle w:val="scxw266571167"/>
          <w:rFonts w:ascii="Calibri" w:hAnsi="Calibri" w:cs="Calibri"/>
          <w:sz w:val="22"/>
          <w:szCs w:val="22"/>
        </w:rPr>
      </w:pPr>
    </w:p>
    <w:p w14:paraId="0E7DB7C5" w14:textId="77777777" w:rsidR="00FF3E16" w:rsidRDefault="00FF3E16" w:rsidP="006F1490">
      <w:pPr>
        <w:pStyle w:val="paragraph"/>
        <w:spacing w:before="0" w:beforeAutospacing="0" w:after="0" w:afterAutospacing="0"/>
        <w:textAlignment w:val="baseline"/>
        <w:rPr>
          <w:rStyle w:val="scxw266571167"/>
          <w:rFonts w:ascii="Calibri" w:hAnsi="Calibri" w:cs="Calibri"/>
          <w:sz w:val="22"/>
          <w:szCs w:val="22"/>
        </w:rPr>
      </w:pPr>
    </w:p>
    <w:p w14:paraId="39E42F3F" w14:textId="013FFA9B" w:rsidR="006F1490" w:rsidRDefault="006F1490" w:rsidP="006F1490">
      <w:pPr>
        <w:pStyle w:val="paragraph"/>
        <w:spacing w:before="0" w:beforeAutospacing="0" w:after="0" w:afterAutospacing="0"/>
        <w:textAlignment w:val="baseline"/>
        <w:rPr>
          <w:rFonts w:ascii="Segoe UI" w:hAnsi="Segoe UI" w:cs="Segoe UI"/>
          <w:sz w:val="18"/>
          <w:szCs w:val="18"/>
        </w:rPr>
      </w:pP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eop"/>
          <w:rFonts w:ascii="Calibri" w:hAnsi="Calibri" w:cs="Calibri"/>
          <w:sz w:val="22"/>
          <w:szCs w:val="22"/>
        </w:rPr>
        <w:t> </w:t>
      </w:r>
    </w:p>
    <w:p w14:paraId="01F54DEC"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eop"/>
          <w:rFonts w:ascii="Calibri" w:hAnsi="Calibri" w:cs="Calibri"/>
          <w:sz w:val="22"/>
          <w:szCs w:val="22"/>
        </w:rPr>
        <w:t> </w:t>
      </w:r>
    </w:p>
    <w:p w14:paraId="3ABAF588"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Arial" w:hAnsi="Arial" w:cs="Arial"/>
          <w:b/>
          <w:bCs/>
          <w:color w:val="000000"/>
          <w:sz w:val="22"/>
          <w:szCs w:val="22"/>
          <w:u w:val="single"/>
        </w:rPr>
        <w:t>Introduction</w:t>
      </w:r>
      <w:r>
        <w:rPr>
          <w:rStyle w:val="normaltextrun"/>
          <w:rFonts w:ascii="Arial" w:hAnsi="Arial" w:cs="Arial"/>
          <w:color w:val="000000"/>
          <w:sz w:val="22"/>
          <w:szCs w:val="22"/>
        </w:rPr>
        <w:t> </w:t>
      </w:r>
      <w:r>
        <w:rPr>
          <w:rStyle w:val="eop"/>
          <w:rFonts w:ascii="Arial" w:hAnsi="Arial" w:cs="Arial"/>
          <w:color w:val="000000"/>
          <w:sz w:val="22"/>
          <w:szCs w:val="22"/>
        </w:rPr>
        <w:t> </w:t>
      </w:r>
    </w:p>
    <w:p w14:paraId="316A2EFD"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I will write an Academic report of 2500 words having the main subject the Alexander technique for Complementary therapies module, the second written assignment. This report will contain the history of this therapy, the principals behind it, and its current use. I will compare my findings of the Alexander Technique with the traditional </w:t>
      </w:r>
      <w:proofErr w:type="gramStart"/>
      <w:r>
        <w:rPr>
          <w:rStyle w:val="normaltextrun"/>
          <w:rFonts w:ascii="Arial" w:hAnsi="Arial" w:cs="Arial"/>
          <w:color w:val="000000"/>
          <w:sz w:val="22"/>
          <w:szCs w:val="22"/>
        </w:rPr>
        <w:t>treatments</w:t>
      </w:r>
      <w:proofErr w:type="gramEnd"/>
      <w:r>
        <w:rPr>
          <w:rStyle w:val="normaltextrun"/>
          <w:rFonts w:ascii="Arial" w:hAnsi="Arial" w:cs="Arial"/>
          <w:color w:val="000000"/>
          <w:sz w:val="22"/>
          <w:szCs w:val="22"/>
        </w:rPr>
        <w:t> and I will explain the effectiveness of this therapy, furthermore I will do an evaluation of the statutory self-regulation system and the voluntary self-regulation system, ethical considerations will also be included as well as contraindications and recommendations.  </w:t>
      </w:r>
      <w:r>
        <w:rPr>
          <w:rStyle w:val="eop"/>
          <w:rFonts w:ascii="Arial" w:hAnsi="Arial" w:cs="Arial"/>
          <w:color w:val="000000"/>
          <w:sz w:val="22"/>
          <w:szCs w:val="22"/>
        </w:rPr>
        <w:t> </w:t>
      </w:r>
    </w:p>
    <w:p w14:paraId="51995C74"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Arial" w:hAnsi="Arial" w:cs="Arial"/>
          <w:sz w:val="22"/>
          <w:szCs w:val="22"/>
        </w:rPr>
        <w:t> </w:t>
      </w:r>
      <w:r>
        <w:rPr>
          <w:rStyle w:val="eop"/>
          <w:rFonts w:ascii="Arial" w:hAnsi="Arial" w:cs="Arial"/>
          <w:sz w:val="22"/>
          <w:szCs w:val="22"/>
        </w:rPr>
        <w:t> </w:t>
      </w:r>
    </w:p>
    <w:p w14:paraId="037C9EFE"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sz w:val="22"/>
          <w:szCs w:val="22"/>
          <w:u w:val="single"/>
        </w:rPr>
        <w:t>History</w:t>
      </w:r>
      <w:r>
        <w:rPr>
          <w:rStyle w:val="normaltextrun"/>
          <w:rFonts w:ascii="Arial" w:hAnsi="Arial" w:cs="Arial"/>
          <w:color w:val="000000"/>
          <w:sz w:val="22"/>
          <w:szCs w:val="22"/>
        </w:rPr>
        <w:t> </w:t>
      </w:r>
      <w:r>
        <w:rPr>
          <w:rStyle w:val="eop"/>
          <w:rFonts w:ascii="Arial" w:hAnsi="Arial" w:cs="Arial"/>
          <w:color w:val="000000"/>
          <w:sz w:val="22"/>
          <w:szCs w:val="22"/>
        </w:rPr>
        <w:t> </w:t>
      </w:r>
    </w:p>
    <w:p w14:paraId="5EEC295F"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F.A. Alexander was the founder of the Alexander Technique in 1890s, Alexander was a young actor who encountered vocal problems, he then started seeking medical advice as he wanted to resolve his problem and save his career but unfortunately, he did not receive one as all doctors told him that his problem does not have any medical background. By continuing to search and to understand his problem, one day watching himself in the mirror he discovered that his neck was stiffened, he then started to do some movements and pull his head back and down releasing his larynx. At this point he understood that it is a bigger issue with the tension through all of his body, so he started to dig into the problem and find solutions. People noticed him using his own techniques to release stress and tension in his body and therefore started coming to him for help with the same type of issues this is how he developed this technique, now by working with this movement he released his voice and he continued acting. When other people have saw his results, they started to search for his advice and so he become a teacher of his own therapy. By 1904 this technique was brought to London.  </w:t>
      </w:r>
      <w:r>
        <w:rPr>
          <w:rStyle w:val="eop"/>
          <w:rFonts w:ascii="Arial" w:hAnsi="Arial" w:cs="Arial"/>
          <w:color w:val="000000"/>
          <w:sz w:val="22"/>
          <w:szCs w:val="22"/>
        </w:rPr>
        <w:t> </w:t>
      </w:r>
    </w:p>
    <w:p w14:paraId="24FC1D12" w14:textId="563268EF"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One large person that supported Alexander during the development of his technique was John </w:t>
      </w:r>
      <w:proofErr w:type="spellStart"/>
      <w:r>
        <w:rPr>
          <w:rStyle w:val="normaltextrun"/>
          <w:rFonts w:ascii="Arial" w:hAnsi="Arial" w:cs="Arial"/>
          <w:color w:val="000000"/>
          <w:sz w:val="22"/>
          <w:szCs w:val="22"/>
        </w:rPr>
        <w:t>Dawey</w:t>
      </w:r>
      <w:proofErr w:type="spellEnd"/>
      <w:r>
        <w:rPr>
          <w:rStyle w:val="normaltextrun"/>
          <w:rFonts w:ascii="Arial" w:hAnsi="Arial" w:cs="Arial"/>
          <w:color w:val="000000"/>
          <w:sz w:val="22"/>
          <w:szCs w:val="22"/>
        </w:rPr>
        <w:t> the great philosopher that was also nicknamed ‘the father of the American Education system’ this was before the technique made its way to London. Around 1924 Alexander founded a school called the ‘little school’ as he thought that the alexander technique is something that needed to be applied by children as well, so the school encourage all the children to apply said technique during most activities as well as lessons, however the children were evacuated soon due to the second world war as it affected the area, and the school system was never brought back. He helped others using his technique since about 1895, until he changed his profession to a teacher properly to help others learn his techniques for the relief of tensions through the body. Around the 1930s he trained around 80 people to be able to teach his techniques further, he also published four books on his therapies and how they helped which were used by patients to look into his techniques and understand them better as well as teachers themselves so they could improve their abilities to help others with them.  </w:t>
      </w:r>
      <w:r w:rsidR="00BB1B4B">
        <w:rPr>
          <w:rStyle w:val="eop"/>
          <w:rFonts w:ascii="Arial" w:hAnsi="Arial" w:cs="Arial"/>
          <w:color w:val="000000"/>
          <w:sz w:val="22"/>
          <w:szCs w:val="22"/>
        </w:rPr>
        <w:t>The man behind the Alexander technique however had become a Shakespeare recitalist by the age of 19 due to the use of his technique giving him the ability to move further.</w:t>
      </w:r>
    </w:p>
    <w:p w14:paraId="76F4032B"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Arial" w:hAnsi="Arial" w:cs="Arial"/>
          <w:sz w:val="22"/>
          <w:szCs w:val="22"/>
        </w:rPr>
        <w:t> </w:t>
      </w:r>
      <w:r>
        <w:rPr>
          <w:rStyle w:val="eop"/>
          <w:rFonts w:ascii="Arial" w:hAnsi="Arial" w:cs="Arial"/>
          <w:sz w:val="22"/>
          <w:szCs w:val="22"/>
        </w:rPr>
        <w:t> </w:t>
      </w:r>
    </w:p>
    <w:p w14:paraId="66975745" w14:textId="77777777" w:rsidR="00B4303D" w:rsidRDefault="00B4303D" w:rsidP="00B4303D">
      <w:pPr>
        <w:pStyle w:val="NormalWeb"/>
        <w:spacing w:before="0" w:beforeAutospacing="0" w:after="0" w:afterAutospacing="0"/>
        <w:textAlignment w:val="baseline"/>
        <w:rPr>
          <w:rFonts w:ascii="Segoe UI" w:hAnsi="Segoe UI" w:cs="Segoe UI"/>
          <w:sz w:val="18"/>
          <w:szCs w:val="18"/>
        </w:rPr>
      </w:pPr>
      <w:r>
        <w:rPr>
          <w:rFonts w:ascii="Arial" w:hAnsi="Arial" w:cs="Arial"/>
          <w:b/>
          <w:bCs/>
          <w:sz w:val="22"/>
          <w:szCs w:val="22"/>
        </w:rPr>
        <w:br/>
        <w:t>Uses</w:t>
      </w:r>
      <w:r>
        <w:rPr>
          <w:rFonts w:ascii="Arial" w:hAnsi="Arial" w:cs="Arial"/>
          <w:sz w:val="22"/>
          <w:szCs w:val="22"/>
        </w:rPr>
        <w:t> </w:t>
      </w:r>
    </w:p>
    <w:p w14:paraId="56FBD14D" w14:textId="77777777" w:rsidR="00B4303D" w:rsidRDefault="00B4303D" w:rsidP="00B4303D">
      <w:pPr>
        <w:pStyle w:val="NormalWeb"/>
        <w:spacing w:before="0" w:beforeAutospacing="0" w:after="0" w:afterAutospacing="0"/>
        <w:textAlignment w:val="baseline"/>
        <w:rPr>
          <w:rFonts w:ascii="Segoe UI" w:hAnsi="Segoe UI" w:cs="Segoe UI"/>
          <w:sz w:val="18"/>
          <w:szCs w:val="18"/>
        </w:rPr>
      </w:pPr>
      <w:r>
        <w:rPr>
          <w:rFonts w:ascii="Arial" w:hAnsi="Arial" w:cs="Arial"/>
          <w:sz w:val="22"/>
          <w:szCs w:val="22"/>
        </w:rPr>
        <w:t xml:space="preserve">(NHS,2018) Alexander technique is believed to be very useful in releasing tension from the body and lead to the relieve of problems such as back pain, neck ache and sore shoulders. The key principles are, the function of the body is affected by how you move, sit and stand, the fundamental ability to function optimally is the relationship between head neck and spine, it is necessary to become mindful of the way you go about your daily activities by gaining benefits, the body and the mind are always working with each other in intimate relationship and actually influencing one and the other. Another time that the Alexander technique is </w:t>
      </w:r>
      <w:r>
        <w:rPr>
          <w:rFonts w:ascii="Arial" w:hAnsi="Arial" w:cs="Arial"/>
          <w:sz w:val="22"/>
          <w:szCs w:val="22"/>
        </w:rPr>
        <w:lastRenderedPageBreak/>
        <w:t>used, in the more modern times, is when someone is getting ready to do some work at their desk for example, as it is a good time to practice the technique and essentially relax the body before sitting down in the same position for a longer period of time.   </w:t>
      </w:r>
    </w:p>
    <w:p w14:paraId="15994BA5" w14:textId="40CC598D" w:rsidR="00B4303D" w:rsidRDefault="00B4303D" w:rsidP="00B4303D">
      <w:pPr>
        <w:pStyle w:val="NormalWeb"/>
        <w:spacing w:before="0" w:beforeAutospacing="0" w:after="0" w:afterAutospacing="0"/>
        <w:textAlignment w:val="baseline"/>
        <w:rPr>
          <w:rFonts w:ascii="Segoe UI" w:hAnsi="Segoe UI" w:cs="Segoe UI"/>
          <w:sz w:val="18"/>
          <w:szCs w:val="18"/>
        </w:rPr>
      </w:pPr>
      <w:r>
        <w:rPr>
          <w:rFonts w:ascii="Arial" w:hAnsi="Arial" w:cs="Arial"/>
          <w:sz w:val="22"/>
          <w:szCs w:val="22"/>
        </w:rPr>
        <w:t>Discarding from your memory the bad habits and arrive to a balanced more naturally aligned body is the aim of Alexander Technique. In recent times the Alexander Technique costs anywhere between 30 to 60 British pounds, the lessons themselves are private lessons and even some of the NHS trusts have been recommending certain patients the Alexander Technique as a form of treatment in pain clinics around the UK. Some places that the technique is known to work well in are long lasting back pains or neck pains as well as Parkinson's disease, these are the main three </w:t>
      </w:r>
      <w:proofErr w:type="gramStart"/>
      <w:r>
        <w:rPr>
          <w:rFonts w:ascii="Arial" w:hAnsi="Arial" w:cs="Arial"/>
          <w:sz w:val="22"/>
          <w:szCs w:val="22"/>
        </w:rPr>
        <w:t>known</w:t>
      </w:r>
      <w:proofErr w:type="gramEnd"/>
      <w:r>
        <w:rPr>
          <w:rFonts w:ascii="Arial" w:hAnsi="Arial" w:cs="Arial"/>
          <w:sz w:val="22"/>
          <w:szCs w:val="22"/>
        </w:rPr>
        <w:t> to work best in relation to the Alexander Technique. When learning the Alexander Technique, the teacher will guide you through it and then let you take over and do it yourself, so that they can see in which areas you go wrong and help you understand it properly. Another major use of the Alexander technique is for older people, the technique is very useful for retaining motor skills in older people, as this is a big thing that doctors have to deal with in care home or in general, as the loss of motor skills is a big issue in older people, tests have revealed that the older people that did the experiment had much more control over their physical movements after going through with the Alexander Technique for a period of time. The teachers of the Alexander technique that helped with this experiment had requested more study because of a much lower risk of falling in those people meaning that it would be safer to take the Alexander technique lessons. </w:t>
      </w:r>
      <w:r w:rsidR="00667BA0">
        <w:rPr>
          <w:rFonts w:ascii="Arial" w:hAnsi="Arial" w:cs="Arial"/>
          <w:sz w:val="22"/>
          <w:szCs w:val="22"/>
        </w:rPr>
        <w:t xml:space="preserve">One of the big improvements that the Alexander technique has the ability to give the patients that it uses improved ability to care for themselves which is a big plus for anyone looking at using the technique. Ever teacher will be able to tell the patient that the technique </w:t>
      </w:r>
      <w:r w:rsidR="00CD1773">
        <w:rPr>
          <w:rFonts w:ascii="Arial" w:hAnsi="Arial" w:cs="Arial"/>
          <w:sz w:val="22"/>
          <w:szCs w:val="22"/>
        </w:rPr>
        <w:t>is known for its self-efficacy and ability to reduce pains in the patient’s day to day life. It is mainly focused towards relieve of stress because of its effects on the body.</w:t>
      </w:r>
    </w:p>
    <w:p w14:paraId="0A6DC51E"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Arial" w:hAnsi="Arial" w:cs="Arial"/>
          <w:sz w:val="22"/>
          <w:szCs w:val="22"/>
        </w:rPr>
        <w:t> </w:t>
      </w:r>
      <w:r>
        <w:rPr>
          <w:rStyle w:val="eop"/>
          <w:rFonts w:ascii="Arial" w:hAnsi="Arial" w:cs="Arial"/>
          <w:sz w:val="22"/>
          <w:szCs w:val="22"/>
        </w:rPr>
        <w:t> </w:t>
      </w:r>
    </w:p>
    <w:p w14:paraId="302FC9BF"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sz w:val="22"/>
          <w:szCs w:val="22"/>
          <w:u w:val="single"/>
        </w:rPr>
        <w:t>Efficacy</w:t>
      </w:r>
      <w:r>
        <w:rPr>
          <w:rStyle w:val="normaltextrun"/>
          <w:rFonts w:ascii="Arial" w:hAnsi="Arial" w:cs="Arial"/>
          <w:color w:val="000000"/>
          <w:sz w:val="22"/>
          <w:szCs w:val="22"/>
        </w:rPr>
        <w:t> </w:t>
      </w:r>
      <w:r>
        <w:rPr>
          <w:rStyle w:val="eop"/>
          <w:rFonts w:ascii="Arial" w:hAnsi="Arial" w:cs="Arial"/>
          <w:color w:val="000000"/>
          <w:sz w:val="22"/>
          <w:szCs w:val="22"/>
        </w:rPr>
        <w:t> </w:t>
      </w:r>
    </w:p>
    <w:p w14:paraId="345B608E"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Many studies have been conducted to see its effectiveness and in most of them we have seen improvement on self-care management of pain for example (J.J Becker et al,2018), in this article it was researched preliminary evidence of practicability, efficacy and structure of Alexander technique so a trial has been done on ten participants aged 28 – 61 by the end of the trial the people that took part in the series of teachings finished them. By the end of the classes, the participants that started with pains in the neck and any other issues related to the things that were helped by the classes, were found to have had better posture with marginally less fatigued surface muscles compared to the start of said intervention. There were no large improvements however the little improvements since the start of the intervention were much appreciated by the people partaking, all the improvements were related to each other however meaning that there was good development, however it only lasted about 5 weeks since the intervention ended. However according to the NHS there currently is not a lot of evidence supporting the Alexander technique and its ability to solve issues like health issues or physical issues. </w:t>
      </w:r>
      <w:r>
        <w:rPr>
          <w:rStyle w:val="eop"/>
          <w:rFonts w:ascii="Arial" w:hAnsi="Arial" w:cs="Arial"/>
          <w:color w:val="000000"/>
          <w:sz w:val="22"/>
          <w:szCs w:val="22"/>
        </w:rPr>
        <w:t> </w:t>
      </w:r>
    </w:p>
    <w:p w14:paraId="3093FBF5"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Going further with the research (R. </w:t>
      </w:r>
      <w:proofErr w:type="spellStart"/>
      <w:r>
        <w:rPr>
          <w:rStyle w:val="normaltextrun"/>
          <w:rFonts w:ascii="Arial" w:hAnsi="Arial" w:cs="Arial"/>
          <w:color w:val="000000"/>
          <w:sz w:val="22"/>
          <w:szCs w:val="22"/>
        </w:rPr>
        <w:t>Lauche</w:t>
      </w:r>
      <w:proofErr w:type="spellEnd"/>
      <w:r>
        <w:rPr>
          <w:rStyle w:val="normaltextrun"/>
          <w:rFonts w:ascii="Arial" w:hAnsi="Arial" w:cs="Arial"/>
          <w:color w:val="000000"/>
          <w:sz w:val="22"/>
          <w:szCs w:val="22"/>
        </w:rPr>
        <w:t> et al,2015) another trail conducted to see the efficacy in chronic non-specific neck pain. This time the trial has been conducted on three different groups in parallel with a total of 72 patient’s, who has received five sessions of Alexander Technique each as a result significantly group differences in favour to Alexander Technique for physical quality of life, even though the alexander technique used was not above the widely used local heat application in the use of treating related pain in the neck muscles and around therefore since no clear evidence has been produced, it would not be something a doctor would recommend for treating nonspecific pains. There has however been evidence supporting the Alexander Technique and its lessons in relation to lower back pain and the benefits in using said technique to treat it. After around a year of the therapy the patients have been found to have been relieved partially by the pains, the lessons are in the format of a one on one so that the teaching person is able to give full attention to the patient (</w:t>
      </w:r>
      <w:proofErr w:type="gramStart"/>
      <w:r>
        <w:rPr>
          <w:rStyle w:val="normaltextrun"/>
          <w:rFonts w:ascii="Arial" w:hAnsi="Arial" w:cs="Arial"/>
          <w:color w:val="000000"/>
          <w:sz w:val="22"/>
          <w:szCs w:val="22"/>
        </w:rPr>
        <w:t>A.Wenham</w:t>
      </w:r>
      <w:proofErr w:type="gramEnd"/>
      <w:r>
        <w:rPr>
          <w:rStyle w:val="normaltextrun"/>
          <w:rFonts w:ascii="Arial" w:hAnsi="Arial" w:cs="Arial"/>
          <w:color w:val="000000"/>
          <w:sz w:val="22"/>
          <w:szCs w:val="22"/>
        </w:rPr>
        <w:t>,2018) </w:t>
      </w:r>
      <w:r>
        <w:rPr>
          <w:rStyle w:val="eop"/>
          <w:rFonts w:ascii="Arial" w:hAnsi="Arial" w:cs="Arial"/>
          <w:color w:val="000000"/>
          <w:sz w:val="22"/>
          <w:szCs w:val="22"/>
        </w:rPr>
        <w:t> </w:t>
      </w:r>
    </w:p>
    <w:p w14:paraId="1C209C3B" w14:textId="77777777" w:rsidR="00387F3F" w:rsidRDefault="006F1490" w:rsidP="006F1490">
      <w:pPr>
        <w:pStyle w:val="paragraph"/>
        <w:spacing w:before="0" w:beforeAutospacing="0" w:after="0" w:afterAutospacing="0"/>
        <w:textAlignment w:val="baseline"/>
        <w:rPr>
          <w:rStyle w:val="normaltextrun"/>
          <w:rFonts w:ascii="Arial" w:hAnsi="Arial" w:cs="Arial"/>
          <w:color w:val="000000"/>
          <w:sz w:val="22"/>
          <w:szCs w:val="22"/>
        </w:rPr>
      </w:pPr>
      <w:r>
        <w:rPr>
          <w:rStyle w:val="normaltextrun"/>
          <w:rFonts w:ascii="Arial" w:hAnsi="Arial" w:cs="Arial"/>
          <w:color w:val="000000"/>
          <w:sz w:val="22"/>
          <w:szCs w:val="22"/>
        </w:rPr>
        <w:lastRenderedPageBreak/>
        <w:t>Researching different articles, the trials that have been done can be used as a conclusion, different outcomes have been seen, and in some of them we can see the efficacy in reducing pain by using Alexander therapy and in some trials the subject of the trials a big improvement could not be seen.</w:t>
      </w:r>
    </w:p>
    <w:p w14:paraId="3835ADB6" w14:textId="222E26AE" w:rsidR="006F1490" w:rsidRDefault="00387F3F"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 </w:t>
      </w:r>
      <w:r>
        <w:rPr>
          <w:rStyle w:val="normaltextrun"/>
          <w:rFonts w:ascii="Arial" w:hAnsi="Arial" w:cs="Arial"/>
          <w:color w:val="000000"/>
          <w:sz w:val="22"/>
          <w:szCs w:val="22"/>
        </w:rPr>
        <w:fldChar w:fldCharType="begin" w:fldLock="1"/>
      </w:r>
      <w:r w:rsidR="00FF3E16">
        <w:rPr>
          <w:rStyle w:val="normaltextrun"/>
          <w:rFonts w:ascii="Arial" w:hAnsi="Arial" w:cs="Arial"/>
          <w:color w:val="000000"/>
          <w:sz w:val="22"/>
          <w:szCs w:val="22"/>
        </w:rPr>
        <w:instrText>ADDIN CSL_CITATION {"citationItems":[{"id":"ITEM-1","itemData":{"DOI":"10.1186/1745-6215-14-209","ISSN":"17456215","PMID":"23841901","abstract":"Background: Chronic neck pain is a common condition in the adult population. More research is needed to evaluate interventions aiming to facilitate beneficial long-term change. We propose to evaluate the effect of Alexander Technique lessons and acupuncture in a rigorously conducted pragmatic trial with an embedded qualitative study.Methods/Design: We will recruit 500 patients who have been diagnosed with neck pain in primary care, who have continued to experience neck pain for at least three months with 28% minimum cut-off score on the Northwick Park Neck Pain Questionnaire (NPQ). We will exclude patients with serious underlying pathology, prior cervical spine surgery, history of psychosis, rheumatoid arthritis, ankylosing spondylitis, osteoporosis, haemophilia, cancer, HIV or hepatitis, or with alcohol or drug dependency currently or in the last 12 months, or actively pursuing compensation or with pending litigation.The York Trials Unit will randomly allocate participants using a secure computer-based system. We will use block randomisation with allocation to each intervention arm being unambiguously concealed from anyone who might subvert the randomisation process.Participants will be randomised in equal proportions to Alexander Technique lessons, acupuncture or usual care alone. Twenty 30-minute Alexander Technique lessons will be provided by teachers registered with the Society of Teachers of the Alexander Technique and twelve 50-minute sessions of acupuncture will be provided by acupuncturists registered with the British Acupuncture Council. All participants will continue to receive usual GP care.The primary outcome will be the NPQ at 12 months, with the secondary time point at 6 months, and an area-under-curve analysis will include 3, 6 and 12 month time-points. Adverse events will be documented. Potential intervention effect modifiers and mediators to be explored include: self-efficacy, stress management, and the incorporation of practitioner advice about self-care and lifestyle. Qualitative material will be used to address issues of safety, acceptability and factors that impact on longer term outcomes.Discussion: This study will provide robust evidence on whether there are significant clinical benefits to patients, economic benefits demonstrating value for money, and sufficient levels of acceptability and safety. © 2013 MacPherson et al.; licensee BioMed Central Ltd.","author":[{"dropping-particle":"","family":"MacPherson","given":"Hugh","non-dropping-particle":"","parse-names":false,"suffix":""},{"dropping-particle":"","family":"Tilbrook","given":"Helen E.","non-dropping-particle":"","parse-names":false,"suffix":""},{"dropping-particle":"","family":"Richmond","given":"Stewart J.","non-dropping-particle":"","parse-names":false,"suffix":""},{"dropping-particle":"","family":"Atkin","given":"Karl","non-dropping-particle":"","parse-names":false,"suffix":""},{"dropping-particle":"","family":"Ballard","given":"Kathleen","non-dropping-particle":"","parse-names":false,"suffix":""},{"dropping-particle":"","family":"Bland","given":"Martin","non-dropping-particle":"","parse-names":false,"suffix":""},{"dropping-particle":"","family":"Eldred","given":"Janet","non-dropping-particle":"","parse-names":false,"suffix":""},{"dropping-particle":"","family":"Essex","given":"Holly N.","non-dropping-particle":"","parse-names":false,"suffix":""},{"dropping-particle":"","family":"Hopton","given":"Ann","non-dropping-particle":"","parse-names":false,"suffix":""},{"dropping-particle":"","family":"Lansdown","given":"Harriet","non-dropping-particle":"","parse-names":false,"suffix":""},{"dropping-particle":"","family":"Muhammad","given":"Usman","non-dropping-particle":"","parse-names":false,"suffix":""},{"dropping-particle":"","family":"Parrott","given":"Steve","non-dropping-particle":"","parse-names":false,"suffix":""},{"dropping-particle":"","family":"Torgerson","given":"David","non-dropping-particle":"","parse-names":false,"suffix":""},{"dropping-particle":"","family":"Wenham","given":"Aniela","non-dropping-particle":"","parse-names":false,"suffix":""},{"dropping-particle":"","family":"Woodman","given":"Julia","non-dropping-particle":"","parse-names":false,"suffix":""},{"dropping-particle":"","family":"Watt","given":"Ian","non-dropping-particle":"","parse-names":false,"suffix":""}],"container-title":"Trials","id":"ITEM-1","issue":"1","issued":{"date-parts":[["2013","7","10"]]},"title":"Alexander Technique Lessons, Acupuncture Sessions or usual care for patients with chronic neck pain (ATLAS): Study protocol for a randomised controlled trial","type":"article-journal","volume":"14"},"uris":["http://www.mendeley.com/documents/?uuid=82a99a81-ebe2-3fd4-8a49-cb59d79fa2f1"]}],"mendeley":{"formattedCitation":"(MacPherson &lt;i&gt;et al.&lt;/i&gt;, 2013)","plainTextFormattedCitation":"(MacPherson et al., 2013)","previouslyFormattedCitation":"(MacPherson &lt;i&gt;et al.&lt;/i&gt;, 2013)"},"properties":{"noteIndex":0},"schema":"https://github.com/citation-style-language/schema/raw/master/csl-citation.json"}</w:instrText>
      </w:r>
      <w:r>
        <w:rPr>
          <w:rStyle w:val="normaltextrun"/>
          <w:rFonts w:ascii="Arial" w:hAnsi="Arial" w:cs="Arial"/>
          <w:color w:val="000000"/>
          <w:sz w:val="22"/>
          <w:szCs w:val="22"/>
        </w:rPr>
        <w:fldChar w:fldCharType="separate"/>
      </w:r>
      <w:r w:rsidRPr="00387F3F">
        <w:rPr>
          <w:rStyle w:val="normaltextrun"/>
          <w:rFonts w:ascii="Arial" w:hAnsi="Arial" w:cs="Arial"/>
          <w:noProof/>
          <w:color w:val="000000"/>
          <w:sz w:val="22"/>
          <w:szCs w:val="22"/>
        </w:rPr>
        <w:t xml:space="preserve">(MacPherson </w:t>
      </w:r>
      <w:r w:rsidRPr="00387F3F">
        <w:rPr>
          <w:rStyle w:val="normaltextrun"/>
          <w:rFonts w:ascii="Arial" w:hAnsi="Arial" w:cs="Arial"/>
          <w:i/>
          <w:noProof/>
          <w:color w:val="000000"/>
          <w:sz w:val="22"/>
          <w:szCs w:val="22"/>
        </w:rPr>
        <w:t>et al.</w:t>
      </w:r>
      <w:r w:rsidRPr="00387F3F">
        <w:rPr>
          <w:rStyle w:val="normaltextrun"/>
          <w:rFonts w:ascii="Arial" w:hAnsi="Arial" w:cs="Arial"/>
          <w:noProof/>
          <w:color w:val="000000"/>
          <w:sz w:val="22"/>
          <w:szCs w:val="22"/>
        </w:rPr>
        <w:t>, 2013)</w:t>
      </w:r>
      <w:r>
        <w:rPr>
          <w:rStyle w:val="normaltextrun"/>
          <w:rFonts w:ascii="Arial" w:hAnsi="Arial" w:cs="Arial"/>
          <w:color w:val="000000"/>
          <w:sz w:val="22"/>
          <w:szCs w:val="22"/>
        </w:rPr>
        <w:fldChar w:fldCharType="end"/>
      </w:r>
      <w:r>
        <w:rPr>
          <w:rStyle w:val="normaltextrun"/>
          <w:rFonts w:ascii="Arial" w:hAnsi="Arial" w:cs="Arial"/>
          <w:color w:val="000000"/>
          <w:sz w:val="22"/>
          <w:szCs w:val="22"/>
        </w:rPr>
        <w:t xml:space="preserve"> </w:t>
      </w:r>
      <w:r w:rsidR="006F1490">
        <w:rPr>
          <w:rStyle w:val="normaltextrun"/>
          <w:rFonts w:ascii="Arial" w:hAnsi="Arial" w:cs="Arial"/>
          <w:color w:val="000000"/>
          <w:sz w:val="22"/>
          <w:szCs w:val="22"/>
        </w:rPr>
        <w:t> </w:t>
      </w:r>
      <w:r>
        <w:rPr>
          <w:rStyle w:val="eop"/>
          <w:rFonts w:ascii="Arial" w:hAnsi="Arial" w:cs="Arial"/>
          <w:color w:val="000000"/>
          <w:sz w:val="22"/>
          <w:szCs w:val="22"/>
        </w:rPr>
        <w:t xml:space="preserve">A randomized trial called ATLAS recruited patients with chronic neck pain, </w:t>
      </w:r>
      <w:r w:rsidR="005E48C6">
        <w:rPr>
          <w:rStyle w:val="eop"/>
          <w:rFonts w:ascii="Arial" w:hAnsi="Arial" w:cs="Arial"/>
          <w:color w:val="000000"/>
          <w:sz w:val="22"/>
          <w:szCs w:val="22"/>
        </w:rPr>
        <w:t xml:space="preserve">using the alexander technique to </w:t>
      </w:r>
      <w:r w:rsidR="00CF3C3D">
        <w:rPr>
          <w:rStyle w:val="eop"/>
          <w:rFonts w:ascii="Arial" w:hAnsi="Arial" w:cs="Arial"/>
          <w:color w:val="000000"/>
          <w:sz w:val="22"/>
          <w:szCs w:val="22"/>
        </w:rPr>
        <w:t>consider.</w:t>
      </w:r>
      <w:r w:rsidR="005E48C6">
        <w:rPr>
          <w:rStyle w:val="eop"/>
          <w:rFonts w:ascii="Arial" w:hAnsi="Arial" w:cs="Arial"/>
          <w:color w:val="000000"/>
          <w:sz w:val="22"/>
          <w:szCs w:val="22"/>
        </w:rPr>
        <w:t xml:space="preserve"> </w:t>
      </w:r>
      <w:r w:rsidR="002C2AA8">
        <w:rPr>
          <w:rStyle w:val="eop"/>
          <w:rFonts w:ascii="Arial" w:hAnsi="Arial" w:cs="Arial"/>
          <w:color w:val="000000"/>
          <w:sz w:val="22"/>
          <w:szCs w:val="22"/>
        </w:rPr>
        <w:t>The trial consisted of the comparison of usual treatments for chronic neck pain against using the alexander technique on patients with the same chronic neck pain issues, over the period of 12 months, using the techniques learned every day. There was a significant improvement in the patients using the Alexander Technique compared to the usual techniques.</w:t>
      </w:r>
      <w:r w:rsidR="00667BA0">
        <w:rPr>
          <w:rStyle w:val="eop"/>
          <w:rFonts w:ascii="Arial" w:hAnsi="Arial" w:cs="Arial"/>
          <w:color w:val="000000"/>
          <w:sz w:val="22"/>
          <w:szCs w:val="22"/>
        </w:rPr>
        <w:t xml:space="preserve"> All of the improvements due to the Alexander technique have been seen to be long term improvements not just only to the people but mainly also to the quality of life for those people. </w:t>
      </w:r>
    </w:p>
    <w:p w14:paraId="7E55F26F"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w:t>
      </w:r>
      <w:r>
        <w:rPr>
          <w:rStyle w:val="eop"/>
          <w:rFonts w:ascii="Arial" w:hAnsi="Arial" w:cs="Arial"/>
          <w:color w:val="000000"/>
          <w:sz w:val="22"/>
          <w:szCs w:val="22"/>
        </w:rPr>
        <w:t> </w:t>
      </w:r>
    </w:p>
    <w:p w14:paraId="42428BED"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sz w:val="22"/>
          <w:szCs w:val="22"/>
          <w:u w:val="single"/>
        </w:rPr>
        <w:t>Statutory self and voluntary self-regulation system</w:t>
      </w:r>
      <w:r>
        <w:rPr>
          <w:rStyle w:val="normaltextrun"/>
          <w:rFonts w:ascii="Arial" w:hAnsi="Arial" w:cs="Arial"/>
          <w:color w:val="000000"/>
          <w:sz w:val="22"/>
          <w:szCs w:val="22"/>
        </w:rPr>
        <w:t> </w:t>
      </w:r>
      <w:r>
        <w:rPr>
          <w:rStyle w:val="eop"/>
          <w:rFonts w:ascii="Arial" w:hAnsi="Arial" w:cs="Arial"/>
          <w:color w:val="000000"/>
          <w:sz w:val="22"/>
          <w:szCs w:val="22"/>
        </w:rPr>
        <w:t> </w:t>
      </w:r>
    </w:p>
    <w:p w14:paraId="0DFEE9D4" w14:textId="4F2C16A9"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The Complementary and Natural Healthcare Council (CNHC) is the body that gives the ability of registration to the complementary instead of alternative medicine techniques in the UK, it registers therapists in a lot of different areas not just the alexander technique. The official association for the Alexaner Technique is called The Professional Association of Alexander Teachers (PAAT) was created in 1986 with a couple aims already planned, some of those being the fact that they wanted to teach the technique itself to the best ability, another one being to give people the ability to become teachers and teach the technique themselves. One of the big aims of the association was also to promote the alexander technique to the rest of the world not just the couple countries it was known in at the time. The association strives to pass on the Alexander Technique from generation to generation of teachers, so that people can be learning these techniques properly. The association uses the books made by F.M Alexander based on his technique to teach it further to more teachers, while also accommodating for the more modern side that also needs to be introduced, that still keeps the technique itself effective. Members from withing the organization are able to connect and communicatee with other members whether in the same country or others which helps the organization itself grow bigger and be more successful in achieving the goals they set out with, and their ability to stay connected means that their principles stay the same. All of the official teachers associated with PAAT have undergone four full years of training in the association’s course for training and practice so that no patient is not taught accordingly by the teacher, the training time is so long mainly because the teacher has to be able to relate the Alexander Technique on to whatever the patient </w:t>
      </w:r>
      <w:proofErr w:type="gramStart"/>
      <w:r>
        <w:rPr>
          <w:rStyle w:val="normaltextrun"/>
          <w:rFonts w:ascii="Arial" w:hAnsi="Arial" w:cs="Arial"/>
          <w:color w:val="000000"/>
          <w:sz w:val="22"/>
          <w:szCs w:val="22"/>
        </w:rPr>
        <w:t>needs, and</w:t>
      </w:r>
      <w:proofErr w:type="gramEnd"/>
      <w:r>
        <w:rPr>
          <w:rStyle w:val="normaltextrun"/>
          <w:rFonts w:ascii="Arial" w:hAnsi="Arial" w:cs="Arial"/>
          <w:color w:val="000000"/>
          <w:sz w:val="22"/>
          <w:szCs w:val="22"/>
        </w:rPr>
        <w:t> form it after their physical active and schedule so that it's personalized for them. The training provided carries on even after the teachers are qualified, because the technique changes a lot due to modern day needs, and therefore all teachers get training through all the time that they work under the association. </w:t>
      </w:r>
      <w:r w:rsidR="00BB1B4B">
        <w:rPr>
          <w:rStyle w:val="eop"/>
          <w:rFonts w:ascii="Arial" w:hAnsi="Arial" w:cs="Arial"/>
          <w:color w:val="000000"/>
          <w:sz w:val="22"/>
          <w:szCs w:val="22"/>
        </w:rPr>
        <w:t xml:space="preserve">The technique rides on its ability for self-development as well as self-analysis and eventually after a period of doing the </w:t>
      </w:r>
      <w:proofErr w:type="spellStart"/>
      <w:r w:rsidR="00BB1B4B">
        <w:rPr>
          <w:rStyle w:val="eop"/>
          <w:rFonts w:ascii="Arial" w:hAnsi="Arial" w:cs="Arial"/>
          <w:color w:val="000000"/>
          <w:sz w:val="22"/>
          <w:szCs w:val="22"/>
        </w:rPr>
        <w:t>techinues</w:t>
      </w:r>
      <w:proofErr w:type="spellEnd"/>
      <w:r w:rsidR="00BB1B4B">
        <w:rPr>
          <w:rStyle w:val="eop"/>
          <w:rFonts w:ascii="Arial" w:hAnsi="Arial" w:cs="Arial"/>
          <w:color w:val="000000"/>
          <w:sz w:val="22"/>
          <w:szCs w:val="22"/>
        </w:rPr>
        <w:t xml:space="preserve"> giving the patient the ability for self-care that they would not have had without taking the courses with the professionals.</w:t>
      </w:r>
    </w:p>
    <w:p w14:paraId="075D1E9E"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Arial" w:hAnsi="Arial" w:cs="Arial"/>
          <w:sz w:val="22"/>
          <w:szCs w:val="22"/>
        </w:rPr>
        <w:t> </w:t>
      </w:r>
      <w:r>
        <w:rPr>
          <w:rStyle w:val="eop"/>
          <w:rFonts w:ascii="Arial" w:hAnsi="Arial" w:cs="Arial"/>
          <w:sz w:val="22"/>
          <w:szCs w:val="22"/>
        </w:rPr>
        <w:t> </w:t>
      </w:r>
    </w:p>
    <w:p w14:paraId="1A6C5A82"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sz w:val="22"/>
          <w:szCs w:val="22"/>
          <w:u w:val="single"/>
        </w:rPr>
        <w:t>Contraindications</w:t>
      </w:r>
      <w:r>
        <w:rPr>
          <w:rStyle w:val="normaltextrun"/>
          <w:rFonts w:ascii="Arial" w:hAnsi="Arial" w:cs="Arial"/>
          <w:color w:val="000000"/>
          <w:sz w:val="22"/>
          <w:szCs w:val="22"/>
        </w:rPr>
        <w:t> </w:t>
      </w:r>
      <w:r>
        <w:rPr>
          <w:rStyle w:val="eop"/>
          <w:rFonts w:ascii="Arial" w:hAnsi="Arial" w:cs="Arial"/>
          <w:color w:val="000000"/>
          <w:sz w:val="22"/>
          <w:szCs w:val="22"/>
        </w:rPr>
        <w:t> </w:t>
      </w:r>
    </w:p>
    <w:p w14:paraId="49D8EF2A" w14:textId="1FEABC72"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(NHS 2018) The Alexander Technique is seen as very safe in comparation with other techniques for loosing </w:t>
      </w:r>
      <w:proofErr w:type="gramStart"/>
      <w:r>
        <w:rPr>
          <w:rStyle w:val="normaltextrun"/>
          <w:rFonts w:ascii="Arial" w:hAnsi="Arial" w:cs="Arial"/>
          <w:sz w:val="22"/>
          <w:szCs w:val="22"/>
        </w:rPr>
        <w:t>pain, and</w:t>
      </w:r>
      <w:proofErr w:type="gramEnd"/>
      <w:r>
        <w:rPr>
          <w:rStyle w:val="normaltextrun"/>
          <w:rFonts w:ascii="Arial" w:hAnsi="Arial" w:cs="Arial"/>
          <w:sz w:val="22"/>
          <w:szCs w:val="22"/>
        </w:rPr>
        <w:t> is only really opposed for people with known spinal injuries or spinal problems, the technique uses gentle and smooth touches. However, all the teachers of the Alexander Technique are not health care professionals and will not give you and specific advice or have the ability to treat medical conditions that a professional is needed for. Although pretty much anyone qualified and experienced in this technique will tell you that there are basically no contraindications, this is because the therapy itself is customised to the patient in such way that it is best for them and therefore would not be able to do any harm even to pregnant women. </w:t>
      </w:r>
      <w:r w:rsidR="00CF3C3D">
        <w:rPr>
          <w:rStyle w:val="eop"/>
          <w:rFonts w:ascii="Arial" w:hAnsi="Arial" w:cs="Arial"/>
          <w:sz w:val="22"/>
          <w:szCs w:val="22"/>
        </w:rPr>
        <w:t xml:space="preserve">The technique leans more towards giving people </w:t>
      </w:r>
      <w:r w:rsidR="00CF3C3D">
        <w:rPr>
          <w:rStyle w:val="eop"/>
          <w:rFonts w:ascii="Arial" w:hAnsi="Arial" w:cs="Arial"/>
          <w:sz w:val="22"/>
          <w:szCs w:val="22"/>
        </w:rPr>
        <w:lastRenderedPageBreak/>
        <w:t xml:space="preserve">the ability to release tension in their muscles at any given point, even in a 15 minute work break or a lunch break, it is designed to fit in with your schedule by doing certain exercises that are modelled to you and your overall needs, therefore any part of the technique can be done either when sitting down when walking, standing or at any time therefore it is a lot more convenient than other techniques that are popular. </w:t>
      </w:r>
    </w:p>
    <w:p w14:paraId="225BF21B"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3C63B31A"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w:t>
      </w:r>
      <w:r>
        <w:rPr>
          <w:rStyle w:val="eop"/>
          <w:rFonts w:ascii="Arial" w:hAnsi="Arial" w:cs="Arial"/>
          <w:color w:val="000000"/>
          <w:sz w:val="22"/>
          <w:szCs w:val="22"/>
        </w:rPr>
        <w:t> </w:t>
      </w:r>
    </w:p>
    <w:p w14:paraId="57DAB640"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w:t>
      </w:r>
      <w:r>
        <w:rPr>
          <w:rStyle w:val="eop"/>
          <w:rFonts w:ascii="Arial" w:hAnsi="Arial" w:cs="Arial"/>
          <w:color w:val="000000"/>
          <w:sz w:val="22"/>
          <w:szCs w:val="22"/>
        </w:rPr>
        <w:t> </w:t>
      </w:r>
    </w:p>
    <w:p w14:paraId="7C8E8BDD"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w:t>
      </w:r>
      <w:r>
        <w:rPr>
          <w:rStyle w:val="eop"/>
          <w:rFonts w:ascii="Arial" w:hAnsi="Arial" w:cs="Arial"/>
          <w:color w:val="000000"/>
          <w:sz w:val="22"/>
          <w:szCs w:val="22"/>
        </w:rPr>
        <w:t> </w:t>
      </w:r>
    </w:p>
    <w:p w14:paraId="03989C98"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sz w:val="22"/>
          <w:szCs w:val="22"/>
          <w:u w:val="single"/>
        </w:rPr>
        <w:t>Summary</w:t>
      </w:r>
      <w:r>
        <w:rPr>
          <w:rStyle w:val="normaltextrun"/>
          <w:rFonts w:ascii="Arial" w:hAnsi="Arial" w:cs="Arial"/>
          <w:color w:val="000000"/>
          <w:sz w:val="22"/>
          <w:szCs w:val="22"/>
        </w:rPr>
        <w:t> </w:t>
      </w:r>
      <w:r>
        <w:rPr>
          <w:rStyle w:val="eop"/>
          <w:rFonts w:ascii="Arial" w:hAnsi="Arial" w:cs="Arial"/>
          <w:color w:val="000000"/>
          <w:sz w:val="22"/>
          <w:szCs w:val="22"/>
        </w:rPr>
        <w:t> </w:t>
      </w:r>
    </w:p>
    <w:p w14:paraId="10BC17B6" w14:textId="77777777" w:rsidR="006F1490" w:rsidRDefault="006F1490" w:rsidP="006F149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I have written an Academic report of 2500 words with the main subject being the Alexander technique for the Complementary </w:t>
      </w:r>
      <w:proofErr w:type="gramStart"/>
      <w:r>
        <w:rPr>
          <w:rStyle w:val="normaltextrun"/>
          <w:rFonts w:ascii="Arial" w:hAnsi="Arial" w:cs="Arial"/>
          <w:color w:val="000000"/>
          <w:sz w:val="22"/>
          <w:szCs w:val="22"/>
        </w:rPr>
        <w:t>therapies</w:t>
      </w:r>
      <w:proofErr w:type="gramEnd"/>
      <w:r>
        <w:rPr>
          <w:rStyle w:val="normaltextrun"/>
          <w:rFonts w:ascii="Arial" w:hAnsi="Arial" w:cs="Arial"/>
          <w:color w:val="000000"/>
          <w:sz w:val="22"/>
          <w:szCs w:val="22"/>
        </w:rPr>
        <w:t> module, the second written assignment. This report has gone over the history of this therapy, the principals behind it, and its current uses. I have compared my findings of the Alexander Technique with the traditional </w:t>
      </w:r>
      <w:proofErr w:type="gramStart"/>
      <w:r>
        <w:rPr>
          <w:rStyle w:val="normaltextrun"/>
          <w:rFonts w:ascii="Arial" w:hAnsi="Arial" w:cs="Arial"/>
          <w:color w:val="000000"/>
          <w:sz w:val="22"/>
          <w:szCs w:val="22"/>
        </w:rPr>
        <w:t>treatments</w:t>
      </w:r>
      <w:proofErr w:type="gramEnd"/>
      <w:r>
        <w:rPr>
          <w:rStyle w:val="normaltextrun"/>
          <w:rFonts w:ascii="Arial" w:hAnsi="Arial" w:cs="Arial"/>
          <w:color w:val="000000"/>
          <w:sz w:val="22"/>
          <w:szCs w:val="22"/>
        </w:rPr>
        <w:t> and I have also explained the effectiveness of this therapy, furthermore I have done an evaluation of the statutory self-regulation system and the voluntary self-regulation system, ethical consideration, contraindications and recommendations.  </w:t>
      </w:r>
      <w:r>
        <w:rPr>
          <w:rStyle w:val="eop"/>
          <w:rFonts w:ascii="Arial" w:hAnsi="Arial" w:cs="Arial"/>
          <w:color w:val="000000"/>
          <w:sz w:val="22"/>
          <w:szCs w:val="22"/>
        </w:rPr>
        <w:t> </w:t>
      </w:r>
    </w:p>
    <w:p w14:paraId="6466C1F2" w14:textId="77777777" w:rsidR="00FF3E16" w:rsidRDefault="006F1490" w:rsidP="00FF3E16">
      <w:pPr>
        <w:pStyle w:val="paragraph"/>
        <w:spacing w:before="0" w:beforeAutospacing="0" w:after="0" w:afterAutospacing="0"/>
        <w:textAlignment w:val="baseline"/>
        <w:rPr>
          <w:rStyle w:val="scxw266571167"/>
          <w:rFonts w:ascii="Calibri" w:hAnsi="Calibri" w:cs="Calibri"/>
          <w:sz w:val="22"/>
          <w:szCs w:val="22"/>
        </w:rPr>
      </w:pPr>
      <w:r>
        <w:rPr>
          <w:rStyle w:val="normaltextrun"/>
          <w:rFonts w:ascii="Calibri" w:hAnsi="Calibri" w:cs="Calibri"/>
          <w:sz w:val="22"/>
          <w:szCs w:val="22"/>
        </w:rPr>
        <w:t> </w:t>
      </w:r>
    </w:p>
    <w:p w14:paraId="7A0BE6A8" w14:textId="77777777" w:rsidR="00FF3E16" w:rsidRDefault="00FF3E16" w:rsidP="00FF3E16">
      <w:pPr>
        <w:pStyle w:val="paragraph"/>
        <w:spacing w:before="0" w:beforeAutospacing="0" w:after="0" w:afterAutospacing="0"/>
        <w:textAlignment w:val="baseline"/>
        <w:rPr>
          <w:rStyle w:val="scxw266571167"/>
          <w:rFonts w:ascii="Calibri" w:hAnsi="Calibri" w:cs="Calibri"/>
          <w:sz w:val="22"/>
          <w:szCs w:val="22"/>
        </w:rPr>
      </w:pPr>
    </w:p>
    <w:p w14:paraId="57CAC9EC" w14:textId="77777777" w:rsidR="00FF3E16" w:rsidRDefault="00FF3E16" w:rsidP="00FF3E16">
      <w:pPr>
        <w:pStyle w:val="paragraph"/>
        <w:spacing w:before="0" w:beforeAutospacing="0" w:after="0" w:afterAutospacing="0"/>
        <w:textAlignment w:val="baseline"/>
        <w:rPr>
          <w:rStyle w:val="scxw266571167"/>
          <w:rFonts w:ascii="Calibri" w:hAnsi="Calibri" w:cs="Calibri"/>
          <w:sz w:val="22"/>
          <w:szCs w:val="22"/>
        </w:rPr>
      </w:pPr>
    </w:p>
    <w:p w14:paraId="338DFF3D" w14:textId="77777777" w:rsidR="00FF3E16" w:rsidRDefault="00FF3E16" w:rsidP="00FF3E16">
      <w:pPr>
        <w:pStyle w:val="paragraph"/>
        <w:spacing w:before="0" w:beforeAutospacing="0" w:after="0" w:afterAutospacing="0"/>
        <w:textAlignment w:val="baseline"/>
        <w:rPr>
          <w:rFonts w:ascii="Calibri" w:hAnsi="Calibri" w:cs="Calibri"/>
          <w:sz w:val="22"/>
          <w:szCs w:val="22"/>
        </w:rPr>
      </w:pPr>
      <w:r>
        <w:rPr>
          <w:rFonts w:ascii="Calibri" w:hAnsi="Calibri" w:cs="Calibri"/>
          <w:sz w:val="22"/>
          <w:szCs w:val="22"/>
        </w:rPr>
        <w:t xml:space="preserve"> </w:t>
      </w:r>
    </w:p>
    <w:p w14:paraId="435972E2"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6319A7D3"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6E74D433"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25704004"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6CD4B673"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36F7FF09"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0AA36EE9"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206AA5AB"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7821575F"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58D02878"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4AA6D455"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3204C45B"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65B15B5E"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22EA6A4E"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25C9430B"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4FA8DC63"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6A0CC151"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590DD3C9"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67C2D206"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776D2961"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7EE18609"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2A4C161E"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4AA4BA54"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3B82ED7F"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6362E37D"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0D252236" w14:textId="77777777" w:rsidR="00FF3E16" w:rsidRDefault="00FF3E16" w:rsidP="00FF3E16">
      <w:pPr>
        <w:pStyle w:val="paragraph"/>
        <w:spacing w:before="0" w:beforeAutospacing="0" w:after="0" w:afterAutospacing="0"/>
        <w:textAlignment w:val="baseline"/>
        <w:rPr>
          <w:rFonts w:ascii="Calibri" w:hAnsi="Calibri" w:cs="Calibri"/>
          <w:sz w:val="22"/>
          <w:szCs w:val="22"/>
        </w:rPr>
      </w:pPr>
    </w:p>
    <w:p w14:paraId="4800B4B0" w14:textId="63BE0DD2" w:rsidR="00FF3E16" w:rsidRDefault="006F1490" w:rsidP="00FF3E16">
      <w:pPr>
        <w:pStyle w:val="paragraph"/>
        <w:spacing w:before="0" w:beforeAutospacing="0" w:after="0" w:afterAutospacing="0"/>
        <w:textAlignment w:val="baseline"/>
        <w:rPr>
          <w:rStyle w:val="scxw266571167"/>
          <w:rFonts w:ascii="Calibri" w:hAnsi="Calibri" w:cs="Calibri"/>
          <w:sz w:val="22"/>
          <w:szCs w:val="22"/>
        </w:rPr>
      </w:pP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lastRenderedPageBreak/>
        <w:t> </w:t>
      </w:r>
      <w:r>
        <w:rPr>
          <w:rStyle w:val="scxw266571167"/>
          <w:rFonts w:ascii="Calibri" w:hAnsi="Calibri" w:cs="Calibri"/>
          <w:sz w:val="22"/>
          <w:szCs w:val="22"/>
        </w:rPr>
        <w:t> </w:t>
      </w:r>
      <w:r>
        <w:rPr>
          <w:rFonts w:ascii="Calibri" w:hAnsi="Calibri" w:cs="Calibri"/>
          <w:sz w:val="22"/>
          <w:szCs w:val="22"/>
        </w:rPr>
        <w:br/>
      </w:r>
      <w:r w:rsidR="00FF3E16">
        <w:rPr>
          <w:rStyle w:val="normaltextrun"/>
          <w:rFonts w:ascii="Calibri" w:hAnsi="Calibri" w:cs="Calibri"/>
          <w:sz w:val="22"/>
          <w:szCs w:val="22"/>
        </w:rPr>
        <w:t>List of </w:t>
      </w:r>
      <w:r w:rsidR="00FF3E16">
        <w:rPr>
          <w:rStyle w:val="scxw266571167"/>
          <w:rFonts w:ascii="Calibri" w:hAnsi="Calibri" w:cs="Calibri"/>
          <w:sz w:val="22"/>
          <w:szCs w:val="22"/>
        </w:rPr>
        <w:t xml:space="preserve">References </w:t>
      </w:r>
    </w:p>
    <w:p w14:paraId="49DF8299" w14:textId="0CC4987E"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Pr>
          <w:rStyle w:val="scxw266571167"/>
          <w:rFonts w:ascii="Calibri" w:hAnsi="Calibri" w:cs="Calibri"/>
        </w:rPr>
        <w:fldChar w:fldCharType="begin" w:fldLock="1"/>
      </w:r>
      <w:r>
        <w:rPr>
          <w:rStyle w:val="scxw266571167"/>
          <w:rFonts w:ascii="Calibri" w:hAnsi="Calibri" w:cs="Calibri"/>
        </w:rPr>
        <w:instrText xml:space="preserve">ADDIN Mendeley Bibliography CSL_BIBLIOGRAPHY </w:instrText>
      </w:r>
      <w:r>
        <w:rPr>
          <w:rStyle w:val="scxw266571167"/>
          <w:rFonts w:ascii="Calibri" w:hAnsi="Calibri" w:cs="Calibri"/>
        </w:rPr>
        <w:fldChar w:fldCharType="separate"/>
      </w:r>
      <w:r w:rsidRPr="00FF3E16">
        <w:rPr>
          <w:rFonts w:ascii="Calibri" w:hAnsi="Calibri" w:cs="Calibri"/>
          <w:i/>
          <w:iCs/>
          <w:noProof/>
          <w:szCs w:val="24"/>
        </w:rPr>
        <w:t>Alexander technique - NHS</w:t>
      </w:r>
      <w:r w:rsidRPr="00FF3E16">
        <w:rPr>
          <w:rFonts w:ascii="Calibri" w:hAnsi="Calibri" w:cs="Calibri"/>
          <w:noProof/>
          <w:szCs w:val="24"/>
        </w:rPr>
        <w:t xml:space="preserve"> (no date). Available at: https://www.nhs.uk/conditions/alexander-technique/ (Accessed: 3 May 2021).</w:t>
      </w:r>
    </w:p>
    <w:p w14:paraId="1EA1FC67"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i/>
          <w:iCs/>
          <w:noProof/>
          <w:szCs w:val="24"/>
        </w:rPr>
        <w:t>Effects of Alexander Technique training experience on gait behavior in older adults - PubMed</w:t>
      </w:r>
      <w:r w:rsidRPr="00FF3E16">
        <w:rPr>
          <w:rFonts w:ascii="Calibri" w:hAnsi="Calibri" w:cs="Calibri"/>
          <w:noProof/>
          <w:szCs w:val="24"/>
        </w:rPr>
        <w:t xml:space="preserve"> (no date). Available at: https://pubmed.ncbi.nlm.nih.gov/26118520/ (Accessed: 3 May 2021).</w:t>
      </w:r>
    </w:p>
    <w:p w14:paraId="475CC692"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noProof/>
          <w:szCs w:val="24"/>
        </w:rPr>
        <w:t xml:space="preserve">Essex, H. </w:t>
      </w:r>
      <w:r w:rsidRPr="00FF3E16">
        <w:rPr>
          <w:rFonts w:ascii="Calibri" w:hAnsi="Calibri" w:cs="Calibri"/>
          <w:i/>
          <w:iCs/>
          <w:noProof/>
          <w:szCs w:val="24"/>
        </w:rPr>
        <w:t>et al.</w:t>
      </w:r>
      <w:r w:rsidRPr="00FF3E16">
        <w:rPr>
          <w:rFonts w:ascii="Calibri" w:hAnsi="Calibri" w:cs="Calibri"/>
          <w:noProof/>
          <w:szCs w:val="24"/>
        </w:rPr>
        <w:t xml:space="preserve"> (2017) ‘An economic evaluation of Alexander Technique lessons or acupuncture sessions for patients with chronic neck pain: A randomized trial (ATLAS)’, </w:t>
      </w:r>
      <w:r w:rsidRPr="00FF3E16">
        <w:rPr>
          <w:rFonts w:ascii="Calibri" w:hAnsi="Calibri" w:cs="Calibri"/>
          <w:i/>
          <w:iCs/>
          <w:noProof/>
          <w:szCs w:val="24"/>
        </w:rPr>
        <w:t>PLoS ONE</w:t>
      </w:r>
      <w:r w:rsidRPr="00FF3E16">
        <w:rPr>
          <w:rFonts w:ascii="Calibri" w:hAnsi="Calibri" w:cs="Calibri"/>
          <w:noProof/>
          <w:szCs w:val="24"/>
        </w:rPr>
        <w:t>, 12(12). doi: 10.1371/journal.pone.0178918.</w:t>
      </w:r>
    </w:p>
    <w:p w14:paraId="4D3AAFFF"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noProof/>
          <w:szCs w:val="24"/>
        </w:rPr>
        <w:t xml:space="preserve">Gleeson, M. </w:t>
      </w:r>
      <w:r w:rsidRPr="00FF3E16">
        <w:rPr>
          <w:rFonts w:ascii="Calibri" w:hAnsi="Calibri" w:cs="Calibri"/>
          <w:i/>
          <w:iCs/>
          <w:noProof/>
          <w:szCs w:val="24"/>
        </w:rPr>
        <w:t>et al.</w:t>
      </w:r>
      <w:r w:rsidRPr="00FF3E16">
        <w:rPr>
          <w:rFonts w:ascii="Calibri" w:hAnsi="Calibri" w:cs="Calibri"/>
          <w:noProof/>
          <w:szCs w:val="24"/>
        </w:rPr>
        <w:t xml:space="preserve"> (2015) ‘Can the alexander technique improve balance and mobility in older adults with visual impairments? A randomized controlled trial’, </w:t>
      </w:r>
      <w:r w:rsidRPr="00FF3E16">
        <w:rPr>
          <w:rFonts w:ascii="Calibri" w:hAnsi="Calibri" w:cs="Calibri"/>
          <w:i/>
          <w:iCs/>
          <w:noProof/>
          <w:szCs w:val="24"/>
        </w:rPr>
        <w:t>Clinical Rehabilitation</w:t>
      </w:r>
      <w:r w:rsidRPr="00FF3E16">
        <w:rPr>
          <w:rFonts w:ascii="Calibri" w:hAnsi="Calibri" w:cs="Calibri"/>
          <w:noProof/>
          <w:szCs w:val="24"/>
        </w:rPr>
        <w:t>, 29(3), pp. 244–260. doi: 10.1177/0269215514542636.</w:t>
      </w:r>
    </w:p>
    <w:p w14:paraId="5F7EA51F"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noProof/>
          <w:szCs w:val="24"/>
        </w:rPr>
        <w:t xml:space="preserve">Halvarsson, A., Franzén, E. and Ståhle, A. (2014) ‘Balance training with multi-task exercises improves fall-related self-efficacy, gait, balance performance and physical function in older adults with osteoporosis: a randomized controlled trial’, </w:t>
      </w:r>
      <w:r w:rsidRPr="00FF3E16">
        <w:rPr>
          <w:rFonts w:ascii="Calibri" w:hAnsi="Calibri" w:cs="Calibri"/>
          <w:i/>
          <w:iCs/>
          <w:noProof/>
          <w:szCs w:val="24"/>
        </w:rPr>
        <w:t>Clinical Rehabilitation</w:t>
      </w:r>
      <w:r w:rsidRPr="00FF3E16">
        <w:rPr>
          <w:rFonts w:ascii="Calibri" w:hAnsi="Calibri" w:cs="Calibri"/>
          <w:noProof/>
          <w:szCs w:val="24"/>
        </w:rPr>
        <w:t>, 29(4), pp. 365–375. doi: 10.1177/0269215514544983.</w:t>
      </w:r>
    </w:p>
    <w:p w14:paraId="18918E26"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i/>
          <w:iCs/>
          <w:noProof/>
          <w:szCs w:val="24"/>
        </w:rPr>
        <w:t>History | The Definitive Guide to the Alexander Technique</w:t>
      </w:r>
      <w:r w:rsidRPr="00FF3E16">
        <w:rPr>
          <w:rFonts w:ascii="Calibri" w:hAnsi="Calibri" w:cs="Calibri"/>
          <w:noProof/>
          <w:szCs w:val="24"/>
        </w:rPr>
        <w:t xml:space="preserve"> (no date). Available at: https://alexandertechnique.co.uk/alexander-technique/history (Accessed: 3 May 2021).</w:t>
      </w:r>
    </w:p>
    <w:p w14:paraId="23071342"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i/>
          <w:iCs/>
          <w:noProof/>
          <w:szCs w:val="24"/>
        </w:rPr>
        <w:t>Home | The Definitive Guide to the Alexander Technique</w:t>
      </w:r>
      <w:r w:rsidRPr="00FF3E16">
        <w:rPr>
          <w:rFonts w:ascii="Calibri" w:hAnsi="Calibri" w:cs="Calibri"/>
          <w:noProof/>
          <w:szCs w:val="24"/>
        </w:rPr>
        <w:t xml:space="preserve"> (no date). Available at: https://alexandertechnique.co.uk/ (Accessed: 3 May 2021).</w:t>
      </w:r>
    </w:p>
    <w:p w14:paraId="617AA171"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noProof/>
          <w:szCs w:val="24"/>
        </w:rPr>
        <w:t xml:space="preserve">Langevin, H. M. (2021) ‘Reconnecting the Brain With the Rest of the Body in Musculoskeletal Pain Research’, </w:t>
      </w:r>
      <w:r w:rsidRPr="00FF3E16">
        <w:rPr>
          <w:rFonts w:ascii="Calibri" w:hAnsi="Calibri" w:cs="Calibri"/>
          <w:i/>
          <w:iCs/>
          <w:noProof/>
          <w:szCs w:val="24"/>
        </w:rPr>
        <w:t>Journal of Pain</w:t>
      </w:r>
      <w:r w:rsidRPr="00FF3E16">
        <w:rPr>
          <w:rFonts w:ascii="Calibri" w:hAnsi="Calibri" w:cs="Calibri"/>
          <w:noProof/>
          <w:szCs w:val="24"/>
        </w:rPr>
        <w:t>, 22(1), pp. 1–8. doi: 10.1016/j.jpain.2020.02.006.</w:t>
      </w:r>
    </w:p>
    <w:p w14:paraId="38905D6B"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noProof/>
          <w:szCs w:val="24"/>
        </w:rPr>
        <w:t xml:space="preserve">Lauche, R. </w:t>
      </w:r>
      <w:r w:rsidRPr="00FF3E16">
        <w:rPr>
          <w:rFonts w:ascii="Calibri" w:hAnsi="Calibri" w:cs="Calibri"/>
          <w:i/>
          <w:iCs/>
          <w:noProof/>
          <w:szCs w:val="24"/>
        </w:rPr>
        <w:t>et al.</w:t>
      </w:r>
      <w:r w:rsidRPr="00FF3E16">
        <w:rPr>
          <w:rFonts w:ascii="Calibri" w:hAnsi="Calibri" w:cs="Calibri"/>
          <w:noProof/>
          <w:szCs w:val="24"/>
        </w:rPr>
        <w:t xml:space="preserve"> (2016) ‘Efficacy of the Alexander Technique in treating chronic non-specific neck pain: A randomized controlled trial’. doi: 10.1177/0269215515578699.</w:t>
      </w:r>
    </w:p>
    <w:p w14:paraId="155CA4E5"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noProof/>
          <w:szCs w:val="24"/>
        </w:rPr>
        <w:t xml:space="preserve">MacPherson, H. </w:t>
      </w:r>
      <w:r w:rsidRPr="00FF3E16">
        <w:rPr>
          <w:rFonts w:ascii="Calibri" w:hAnsi="Calibri" w:cs="Calibri"/>
          <w:i/>
          <w:iCs/>
          <w:noProof/>
          <w:szCs w:val="24"/>
        </w:rPr>
        <w:t>et al.</w:t>
      </w:r>
      <w:r w:rsidRPr="00FF3E16">
        <w:rPr>
          <w:rFonts w:ascii="Calibri" w:hAnsi="Calibri" w:cs="Calibri"/>
          <w:noProof/>
          <w:szCs w:val="24"/>
        </w:rPr>
        <w:t xml:space="preserve"> (2013) ‘Alexander Technique Lessons, Acupuncture Sessions or usual care for patients with chronic neck pain (ATLAS): Study protocol for a randomised controlled trial’, </w:t>
      </w:r>
      <w:r w:rsidRPr="00FF3E16">
        <w:rPr>
          <w:rFonts w:ascii="Calibri" w:hAnsi="Calibri" w:cs="Calibri"/>
          <w:i/>
          <w:iCs/>
          <w:noProof/>
          <w:szCs w:val="24"/>
        </w:rPr>
        <w:t>Trials</w:t>
      </w:r>
      <w:r w:rsidRPr="00FF3E16">
        <w:rPr>
          <w:rFonts w:ascii="Calibri" w:hAnsi="Calibri" w:cs="Calibri"/>
          <w:noProof/>
          <w:szCs w:val="24"/>
        </w:rPr>
        <w:t>, 14(1). doi: 10.1186/1745-6215-14-209.</w:t>
      </w:r>
    </w:p>
    <w:p w14:paraId="1E2EA28F"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noProof/>
          <w:szCs w:val="24"/>
        </w:rPr>
        <w:t xml:space="preserve">MacPherson, H. </w:t>
      </w:r>
      <w:r w:rsidRPr="00FF3E16">
        <w:rPr>
          <w:rFonts w:ascii="Calibri" w:hAnsi="Calibri" w:cs="Calibri"/>
          <w:i/>
          <w:iCs/>
          <w:noProof/>
          <w:szCs w:val="24"/>
        </w:rPr>
        <w:t>et al.</w:t>
      </w:r>
      <w:r w:rsidRPr="00FF3E16">
        <w:rPr>
          <w:rFonts w:ascii="Calibri" w:hAnsi="Calibri" w:cs="Calibri"/>
          <w:noProof/>
          <w:szCs w:val="24"/>
        </w:rPr>
        <w:t xml:space="preserve"> (2015) ‘Alexander technique lessons or acupuncture sessions for persons with chronic neck pain: A randomized trial’, </w:t>
      </w:r>
      <w:r w:rsidRPr="00FF3E16">
        <w:rPr>
          <w:rFonts w:ascii="Calibri" w:hAnsi="Calibri" w:cs="Calibri"/>
          <w:i/>
          <w:iCs/>
          <w:noProof/>
          <w:szCs w:val="24"/>
        </w:rPr>
        <w:t>Annals of Internal Medicine</w:t>
      </w:r>
      <w:r w:rsidRPr="00FF3E16">
        <w:rPr>
          <w:rFonts w:ascii="Calibri" w:hAnsi="Calibri" w:cs="Calibri"/>
          <w:noProof/>
          <w:szCs w:val="24"/>
        </w:rPr>
        <w:t>, 163(9), pp. 653–662. doi: 10.7326/M15-0667.</w:t>
      </w:r>
    </w:p>
    <w:p w14:paraId="7E1F18B8"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noProof/>
          <w:szCs w:val="24"/>
        </w:rPr>
        <w:t xml:space="preserve">Martelli, D., Kang, J. and Agrawal, S. K. (2017) ‘A single session of perturbation-based gait training with the A-TPAD improves dynamic stability in healthy young subjects’, in </w:t>
      </w:r>
      <w:r w:rsidRPr="00FF3E16">
        <w:rPr>
          <w:rFonts w:ascii="Calibri" w:hAnsi="Calibri" w:cs="Calibri"/>
          <w:i/>
          <w:iCs/>
          <w:noProof/>
          <w:szCs w:val="24"/>
        </w:rPr>
        <w:t>IEEE International Conference on Rehabilitation Robotics</w:t>
      </w:r>
      <w:r w:rsidRPr="00FF3E16">
        <w:rPr>
          <w:rFonts w:ascii="Calibri" w:hAnsi="Calibri" w:cs="Calibri"/>
          <w:noProof/>
          <w:szCs w:val="24"/>
        </w:rPr>
        <w:t>. IEEE Computer Society, pp. 479–484. doi: 10.1109/ICORR.2017.8009294.</w:t>
      </w:r>
    </w:p>
    <w:p w14:paraId="0A0443B5"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noProof/>
          <w:szCs w:val="24"/>
        </w:rPr>
        <w:t xml:space="preserve">Meehan, E. and Carter, B. (2020) ‘Moving With Pain: What Principles From Somatic Practices Can Offer to People Living With Chronic Pain.’, </w:t>
      </w:r>
      <w:r w:rsidRPr="00FF3E16">
        <w:rPr>
          <w:rFonts w:ascii="Calibri" w:hAnsi="Calibri" w:cs="Calibri"/>
          <w:i/>
          <w:iCs/>
          <w:noProof/>
          <w:szCs w:val="24"/>
        </w:rPr>
        <w:t>Frontiers in psychology</w:t>
      </w:r>
      <w:r w:rsidRPr="00FF3E16">
        <w:rPr>
          <w:rFonts w:ascii="Calibri" w:hAnsi="Calibri" w:cs="Calibri"/>
          <w:noProof/>
          <w:szCs w:val="24"/>
        </w:rPr>
        <w:t>, 11, p. 620381. doi: 10.3389/fpsyg.2020.620381.</w:t>
      </w:r>
    </w:p>
    <w:p w14:paraId="60A629C7"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noProof/>
          <w:szCs w:val="24"/>
        </w:rPr>
        <w:t xml:space="preserve">O’Neill, M. M. </w:t>
      </w:r>
      <w:r w:rsidRPr="00FF3E16">
        <w:rPr>
          <w:rFonts w:ascii="Calibri" w:hAnsi="Calibri" w:cs="Calibri"/>
          <w:i/>
          <w:iCs/>
          <w:noProof/>
          <w:szCs w:val="24"/>
        </w:rPr>
        <w:t>et al.</w:t>
      </w:r>
      <w:r w:rsidRPr="00FF3E16">
        <w:rPr>
          <w:rFonts w:ascii="Calibri" w:hAnsi="Calibri" w:cs="Calibri"/>
          <w:noProof/>
          <w:szCs w:val="24"/>
        </w:rPr>
        <w:t xml:space="preserve"> (2015) ‘Effects of Alexander Technique training experience on gait behavior in older adults’, </w:t>
      </w:r>
      <w:r w:rsidRPr="00FF3E16">
        <w:rPr>
          <w:rFonts w:ascii="Calibri" w:hAnsi="Calibri" w:cs="Calibri"/>
          <w:i/>
          <w:iCs/>
          <w:noProof/>
          <w:szCs w:val="24"/>
        </w:rPr>
        <w:t>Journal of Bodywork and Movement Therapies</w:t>
      </w:r>
      <w:r w:rsidRPr="00FF3E16">
        <w:rPr>
          <w:rFonts w:ascii="Calibri" w:hAnsi="Calibri" w:cs="Calibri"/>
          <w:noProof/>
          <w:szCs w:val="24"/>
        </w:rPr>
        <w:t>, 19(3), pp. 473–481. doi: 10.1016/j.jbmt.2014.12.006.</w:t>
      </w:r>
    </w:p>
    <w:p w14:paraId="619DABE1"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i/>
          <w:iCs/>
          <w:noProof/>
          <w:szCs w:val="24"/>
        </w:rPr>
        <w:t>Self-efficacy and self-care-related outcomes following Alexander Technique lessons for people with chronic neck pain in the ATLAS randomised, controlled trial - PubMed</w:t>
      </w:r>
      <w:r w:rsidRPr="00FF3E16">
        <w:rPr>
          <w:rFonts w:ascii="Calibri" w:hAnsi="Calibri" w:cs="Calibri"/>
          <w:noProof/>
          <w:szCs w:val="24"/>
        </w:rPr>
        <w:t xml:space="preserve"> (no date). Available at: https://pubmed.ncbi.nlm.nih.gov/29527245/ (Accessed: 3 May 2021).</w:t>
      </w:r>
    </w:p>
    <w:p w14:paraId="78D7C8DA"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noProof/>
          <w:szCs w:val="24"/>
        </w:rPr>
        <w:t xml:space="preserve">Skelly, A. C. </w:t>
      </w:r>
      <w:r w:rsidRPr="00FF3E16">
        <w:rPr>
          <w:rFonts w:ascii="Calibri" w:hAnsi="Calibri" w:cs="Calibri"/>
          <w:i/>
          <w:iCs/>
          <w:noProof/>
          <w:szCs w:val="24"/>
        </w:rPr>
        <w:t>et al.</w:t>
      </w:r>
      <w:r w:rsidRPr="00FF3E16">
        <w:rPr>
          <w:rFonts w:ascii="Calibri" w:hAnsi="Calibri" w:cs="Calibri"/>
          <w:noProof/>
          <w:szCs w:val="24"/>
        </w:rPr>
        <w:t xml:space="preserve"> (2018) ‘Noninvasive Nonpharmacological Treatment for Chronic Pain: A Systematic Review’, </w:t>
      </w:r>
      <w:r w:rsidRPr="00FF3E16">
        <w:rPr>
          <w:rFonts w:ascii="Calibri" w:hAnsi="Calibri" w:cs="Calibri"/>
          <w:i/>
          <w:iCs/>
          <w:noProof/>
          <w:szCs w:val="24"/>
        </w:rPr>
        <w:t>AHRQ Comparative Effectiveness Reviews</w:t>
      </w:r>
      <w:r w:rsidRPr="00FF3E16">
        <w:rPr>
          <w:rFonts w:ascii="Calibri" w:hAnsi="Calibri" w:cs="Calibri"/>
          <w:noProof/>
          <w:szCs w:val="24"/>
        </w:rPr>
        <w:t>, (209), pp. 18-EHC013-EF.</w:t>
      </w:r>
    </w:p>
    <w:p w14:paraId="0941458A"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noProof/>
          <w:szCs w:val="24"/>
        </w:rPr>
        <w:t xml:space="preserve">Taheri, H. </w:t>
      </w:r>
      <w:r w:rsidRPr="00FF3E16">
        <w:rPr>
          <w:rFonts w:ascii="Calibri" w:hAnsi="Calibri" w:cs="Calibri"/>
          <w:i/>
          <w:iCs/>
          <w:noProof/>
          <w:szCs w:val="24"/>
        </w:rPr>
        <w:t>et al.</w:t>
      </w:r>
      <w:r w:rsidRPr="00FF3E16">
        <w:rPr>
          <w:rFonts w:ascii="Calibri" w:hAnsi="Calibri" w:cs="Calibri"/>
          <w:noProof/>
          <w:szCs w:val="24"/>
        </w:rPr>
        <w:t xml:space="preserve"> (2019) ‘Comparing the Effect of Foot and Hand Reflexology on Pain Severity after Appendectomy: A Randomized Clinical Trial.’, </w:t>
      </w:r>
      <w:r w:rsidRPr="00FF3E16">
        <w:rPr>
          <w:rFonts w:ascii="Calibri" w:hAnsi="Calibri" w:cs="Calibri"/>
          <w:i/>
          <w:iCs/>
          <w:noProof/>
          <w:szCs w:val="24"/>
        </w:rPr>
        <w:t>Iranian journal of nursing and midwifery research</w:t>
      </w:r>
      <w:r w:rsidRPr="00FF3E16">
        <w:rPr>
          <w:rFonts w:ascii="Calibri" w:hAnsi="Calibri" w:cs="Calibri"/>
          <w:noProof/>
          <w:szCs w:val="24"/>
        </w:rPr>
        <w:t>, 24(6), pp. 451–456. doi: 10.4103/ijnmr.IJNMR_85_18.</w:t>
      </w:r>
    </w:p>
    <w:p w14:paraId="281579CE"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noProof/>
          <w:szCs w:val="24"/>
        </w:rPr>
        <w:t xml:space="preserve">Thomas, M. A. and Fast, A. (2000) ‘One step forward and two steps back: The dangers of walking backwards in therapy’, </w:t>
      </w:r>
      <w:r w:rsidRPr="00FF3E16">
        <w:rPr>
          <w:rFonts w:ascii="Calibri" w:hAnsi="Calibri" w:cs="Calibri"/>
          <w:i/>
          <w:iCs/>
          <w:noProof/>
          <w:szCs w:val="24"/>
        </w:rPr>
        <w:t>American Journal of Physical Medicine and Rehabilitation</w:t>
      </w:r>
      <w:r w:rsidRPr="00FF3E16">
        <w:rPr>
          <w:rFonts w:ascii="Calibri" w:hAnsi="Calibri" w:cs="Calibri"/>
          <w:noProof/>
          <w:szCs w:val="24"/>
        </w:rPr>
        <w:t>, 79(5), pp. 459–461. doi: 10.1097/00002060-200009000-00011.</w:t>
      </w:r>
    </w:p>
    <w:p w14:paraId="5AEE8FED"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noProof/>
          <w:szCs w:val="24"/>
        </w:rPr>
        <w:lastRenderedPageBreak/>
        <w:t xml:space="preserve">Wenham, A. </w:t>
      </w:r>
      <w:r w:rsidRPr="00FF3E16">
        <w:rPr>
          <w:rFonts w:ascii="Calibri" w:hAnsi="Calibri" w:cs="Calibri"/>
          <w:i/>
          <w:iCs/>
          <w:noProof/>
          <w:szCs w:val="24"/>
        </w:rPr>
        <w:t>et al.</w:t>
      </w:r>
      <w:r w:rsidRPr="00FF3E16">
        <w:rPr>
          <w:rFonts w:ascii="Calibri" w:hAnsi="Calibri" w:cs="Calibri"/>
          <w:noProof/>
          <w:szCs w:val="24"/>
        </w:rPr>
        <w:t xml:space="preserve"> (2018a) ‘Self-efficacy and embodiment associated with Alexander Technique lessons or with acupuncture sessions: A longitudinal qualitative sub-study within the ATLAS trial’, </w:t>
      </w:r>
      <w:r w:rsidRPr="00FF3E16">
        <w:rPr>
          <w:rFonts w:ascii="Calibri" w:hAnsi="Calibri" w:cs="Calibri"/>
          <w:i/>
          <w:iCs/>
          <w:noProof/>
          <w:szCs w:val="24"/>
        </w:rPr>
        <w:t>Complementary Therapies in Clinical Practice</w:t>
      </w:r>
      <w:r w:rsidRPr="00FF3E16">
        <w:rPr>
          <w:rFonts w:ascii="Calibri" w:hAnsi="Calibri" w:cs="Calibri"/>
          <w:noProof/>
          <w:szCs w:val="24"/>
        </w:rPr>
        <w:t>, 31, pp. 308–314. doi: 10.1016/j.ctcp.2018.03.009.</w:t>
      </w:r>
    </w:p>
    <w:p w14:paraId="0D146ADE"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noProof/>
          <w:szCs w:val="24"/>
        </w:rPr>
        <w:t xml:space="preserve">Wenham, A. </w:t>
      </w:r>
      <w:r w:rsidRPr="00FF3E16">
        <w:rPr>
          <w:rFonts w:ascii="Calibri" w:hAnsi="Calibri" w:cs="Calibri"/>
          <w:i/>
          <w:iCs/>
          <w:noProof/>
          <w:szCs w:val="24"/>
        </w:rPr>
        <w:t>et al.</w:t>
      </w:r>
      <w:r w:rsidRPr="00FF3E16">
        <w:rPr>
          <w:rFonts w:ascii="Calibri" w:hAnsi="Calibri" w:cs="Calibri"/>
          <w:noProof/>
          <w:szCs w:val="24"/>
        </w:rPr>
        <w:t xml:space="preserve"> (2018b) ‘Self-efficacy and embodiment associated with Alexander Technique lessons or with acupuncture sessions: A longitudinal qualitative sub-study within the ATLAS trial’, </w:t>
      </w:r>
      <w:r w:rsidRPr="00FF3E16">
        <w:rPr>
          <w:rFonts w:ascii="Calibri" w:hAnsi="Calibri" w:cs="Calibri"/>
          <w:i/>
          <w:iCs/>
          <w:noProof/>
          <w:szCs w:val="24"/>
        </w:rPr>
        <w:t>Complementary Therapies in Clinical Practice</w:t>
      </w:r>
      <w:r w:rsidRPr="00FF3E16">
        <w:rPr>
          <w:rFonts w:ascii="Calibri" w:hAnsi="Calibri" w:cs="Calibri"/>
          <w:noProof/>
          <w:szCs w:val="24"/>
        </w:rPr>
        <w:t>, 31, pp. 308–314. doi: 10.1016/j.ctcp.2018.03.009.</w:t>
      </w:r>
    </w:p>
    <w:p w14:paraId="63546C1C"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noProof/>
          <w:szCs w:val="24"/>
        </w:rPr>
        <w:t xml:space="preserve">Woodman, J. </w:t>
      </w:r>
      <w:r w:rsidRPr="00FF3E16">
        <w:rPr>
          <w:rFonts w:ascii="Calibri" w:hAnsi="Calibri" w:cs="Calibri"/>
          <w:i/>
          <w:iCs/>
          <w:noProof/>
          <w:szCs w:val="24"/>
        </w:rPr>
        <w:t>et al.</w:t>
      </w:r>
      <w:r w:rsidRPr="00FF3E16">
        <w:rPr>
          <w:rFonts w:ascii="Calibri" w:hAnsi="Calibri" w:cs="Calibri"/>
          <w:noProof/>
          <w:szCs w:val="24"/>
        </w:rPr>
        <w:t xml:space="preserve"> (2018a) ‘Self-efficacy and self-care-related outcomes following Alexander Technique lessons for people with chronic neck pain in the ATLAS randomised, controlled trial’, </w:t>
      </w:r>
      <w:r w:rsidRPr="00FF3E16">
        <w:rPr>
          <w:rFonts w:ascii="Calibri" w:hAnsi="Calibri" w:cs="Calibri"/>
          <w:i/>
          <w:iCs/>
          <w:noProof/>
          <w:szCs w:val="24"/>
        </w:rPr>
        <w:t>European Journal of Integrative Medicine</w:t>
      </w:r>
      <w:r w:rsidRPr="00FF3E16">
        <w:rPr>
          <w:rFonts w:ascii="Calibri" w:hAnsi="Calibri" w:cs="Calibri"/>
          <w:noProof/>
          <w:szCs w:val="24"/>
        </w:rPr>
        <w:t>, 17, pp. 64–71. doi: 10.1016/j.eujim.2017.11.006.</w:t>
      </w:r>
    </w:p>
    <w:p w14:paraId="38C4677B" w14:textId="77777777" w:rsidR="00FF3E16" w:rsidRPr="00FF3E16" w:rsidRDefault="00FF3E16" w:rsidP="00FF3E16">
      <w:pPr>
        <w:widowControl w:val="0"/>
        <w:autoSpaceDE w:val="0"/>
        <w:autoSpaceDN w:val="0"/>
        <w:adjustRightInd w:val="0"/>
        <w:spacing w:after="0" w:line="240" w:lineRule="auto"/>
        <w:rPr>
          <w:rFonts w:ascii="Calibri" w:hAnsi="Calibri" w:cs="Calibri"/>
          <w:noProof/>
          <w:szCs w:val="24"/>
        </w:rPr>
      </w:pPr>
      <w:r w:rsidRPr="00FF3E16">
        <w:rPr>
          <w:rFonts w:ascii="Calibri" w:hAnsi="Calibri" w:cs="Calibri"/>
          <w:noProof/>
          <w:szCs w:val="24"/>
        </w:rPr>
        <w:t xml:space="preserve">Woodman, J. </w:t>
      </w:r>
      <w:r w:rsidRPr="00FF3E16">
        <w:rPr>
          <w:rFonts w:ascii="Calibri" w:hAnsi="Calibri" w:cs="Calibri"/>
          <w:i/>
          <w:iCs/>
          <w:noProof/>
          <w:szCs w:val="24"/>
        </w:rPr>
        <w:t>et al.</w:t>
      </w:r>
      <w:r w:rsidRPr="00FF3E16">
        <w:rPr>
          <w:rFonts w:ascii="Calibri" w:hAnsi="Calibri" w:cs="Calibri"/>
          <w:noProof/>
          <w:szCs w:val="24"/>
        </w:rPr>
        <w:t xml:space="preserve"> (2018b) ‘Self-efficacy and self-care-related outcomes following Alexander Technique lessons for people with chronic neck pain in the ATLAS randomised, controlled trial’, </w:t>
      </w:r>
      <w:r w:rsidRPr="00FF3E16">
        <w:rPr>
          <w:rFonts w:ascii="Calibri" w:hAnsi="Calibri" w:cs="Calibri"/>
          <w:i/>
          <w:iCs/>
          <w:noProof/>
          <w:szCs w:val="24"/>
        </w:rPr>
        <w:t>European Journal of Integrative Medicine</w:t>
      </w:r>
      <w:r w:rsidRPr="00FF3E16">
        <w:rPr>
          <w:rFonts w:ascii="Calibri" w:hAnsi="Calibri" w:cs="Calibri"/>
          <w:noProof/>
          <w:szCs w:val="24"/>
        </w:rPr>
        <w:t>, 17, pp. 64–71. doi: 10.1016/j.eujim.2017.11.006.</w:t>
      </w:r>
    </w:p>
    <w:p w14:paraId="61C2B671" w14:textId="77777777" w:rsidR="00FF3E16" w:rsidRPr="00FF3E16" w:rsidRDefault="00FF3E16" w:rsidP="00FF3E16">
      <w:pPr>
        <w:widowControl w:val="0"/>
        <w:autoSpaceDE w:val="0"/>
        <w:autoSpaceDN w:val="0"/>
        <w:adjustRightInd w:val="0"/>
        <w:spacing w:after="0" w:line="240" w:lineRule="auto"/>
        <w:rPr>
          <w:rFonts w:ascii="Calibri" w:hAnsi="Calibri" w:cs="Calibri"/>
          <w:noProof/>
        </w:rPr>
      </w:pPr>
      <w:r w:rsidRPr="00FF3E16">
        <w:rPr>
          <w:rFonts w:ascii="Calibri" w:hAnsi="Calibri" w:cs="Calibri"/>
          <w:noProof/>
          <w:szCs w:val="24"/>
        </w:rPr>
        <w:t xml:space="preserve">Woodman, J. P. and Moore, N. R. (2012) ‘Evidence for the effectiveness of Alexander Technique lessons in medical and health-related conditions: A systematic review’, </w:t>
      </w:r>
      <w:r w:rsidRPr="00FF3E16">
        <w:rPr>
          <w:rFonts w:ascii="Calibri" w:hAnsi="Calibri" w:cs="Calibri"/>
          <w:i/>
          <w:iCs/>
          <w:noProof/>
          <w:szCs w:val="24"/>
        </w:rPr>
        <w:t>International Journal of Clinical Practice</w:t>
      </w:r>
      <w:r w:rsidRPr="00FF3E16">
        <w:rPr>
          <w:rFonts w:ascii="Calibri" w:hAnsi="Calibri" w:cs="Calibri"/>
          <w:noProof/>
          <w:szCs w:val="24"/>
        </w:rPr>
        <w:t>, pp. 98–112. doi: 10.1111/j.1742-1241.2011.02817.x.</w:t>
      </w:r>
    </w:p>
    <w:p w14:paraId="455ACE81" w14:textId="1B4DA521" w:rsidR="00FF3E16" w:rsidRDefault="00FF3E16" w:rsidP="006F1490">
      <w:pPr>
        <w:pStyle w:val="paragraph"/>
        <w:spacing w:before="0" w:beforeAutospacing="0" w:after="0" w:afterAutospacing="0"/>
        <w:textAlignment w:val="baseline"/>
        <w:rPr>
          <w:rStyle w:val="scxw266571167"/>
          <w:rFonts w:ascii="Calibri" w:hAnsi="Calibri" w:cs="Calibri"/>
          <w:sz w:val="22"/>
          <w:szCs w:val="22"/>
        </w:rPr>
      </w:pPr>
      <w:r>
        <w:rPr>
          <w:rStyle w:val="scxw266571167"/>
          <w:rFonts w:ascii="Calibri" w:hAnsi="Calibri" w:cs="Calibri"/>
          <w:sz w:val="22"/>
          <w:szCs w:val="22"/>
        </w:rPr>
        <w:fldChar w:fldCharType="end"/>
      </w:r>
    </w:p>
    <w:p w14:paraId="71C349A8" w14:textId="686A1050" w:rsidR="006F1490" w:rsidRDefault="006F1490" w:rsidP="006F1490">
      <w:pPr>
        <w:pStyle w:val="paragraph"/>
        <w:spacing w:before="0" w:beforeAutospacing="0" w:after="0" w:afterAutospacing="0"/>
        <w:textAlignment w:val="baseline"/>
        <w:rPr>
          <w:rFonts w:ascii="Segoe UI" w:hAnsi="Segoe UI" w:cs="Segoe UI"/>
          <w:sz w:val="18"/>
          <w:szCs w:val="18"/>
        </w:rPr>
      </w:pP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Fonts w:ascii="Calibri" w:hAnsi="Calibri" w:cs="Calibri"/>
          <w:sz w:val="22"/>
          <w:szCs w:val="22"/>
        </w:rPr>
        <w:br/>
      </w:r>
      <w:r>
        <w:rPr>
          <w:rStyle w:val="normaltextrun"/>
          <w:rFonts w:ascii="Calibri" w:hAnsi="Calibri" w:cs="Calibri"/>
          <w:sz w:val="22"/>
          <w:szCs w:val="22"/>
        </w:rPr>
        <w:t> </w:t>
      </w:r>
      <w:r>
        <w:rPr>
          <w:rStyle w:val="scxw26657116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w:t>
      </w:r>
      <w:r>
        <w:rPr>
          <w:rStyle w:val="eop"/>
          <w:rFonts w:ascii="Calibri" w:hAnsi="Calibri" w:cs="Calibri"/>
          <w:sz w:val="22"/>
          <w:szCs w:val="22"/>
        </w:rPr>
        <w:t> </w:t>
      </w:r>
    </w:p>
    <w:p w14:paraId="0730A1C5" w14:textId="77777777" w:rsidR="006F1490" w:rsidRDefault="006F1490" w:rsidP="00FF3E16">
      <w:pPr>
        <w:spacing w:line="360" w:lineRule="auto"/>
      </w:pPr>
    </w:p>
    <w:sectPr w:rsidR="006F14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490"/>
    <w:rsid w:val="00295B59"/>
    <w:rsid w:val="002C2AA8"/>
    <w:rsid w:val="00387F3F"/>
    <w:rsid w:val="005E48C6"/>
    <w:rsid w:val="00667BA0"/>
    <w:rsid w:val="006F1490"/>
    <w:rsid w:val="009B492F"/>
    <w:rsid w:val="009E31F4"/>
    <w:rsid w:val="00A62E47"/>
    <w:rsid w:val="00B4303D"/>
    <w:rsid w:val="00BB1B4B"/>
    <w:rsid w:val="00CD1773"/>
    <w:rsid w:val="00CF3C3D"/>
    <w:rsid w:val="00FF3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85145"/>
  <w15:chartTrackingRefBased/>
  <w15:docId w15:val="{CF12C717-4CBA-4BED-AD33-CFB4BC29E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F14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6F1490"/>
  </w:style>
  <w:style w:type="character" w:customStyle="1" w:styleId="normaltextrun">
    <w:name w:val="normaltextrun"/>
    <w:basedOn w:val="DefaultParagraphFont"/>
    <w:rsid w:val="006F1490"/>
  </w:style>
  <w:style w:type="character" w:customStyle="1" w:styleId="scxw266571167">
    <w:name w:val="scxw266571167"/>
    <w:basedOn w:val="DefaultParagraphFont"/>
    <w:rsid w:val="006F1490"/>
  </w:style>
  <w:style w:type="paragraph" w:styleId="NormalWeb">
    <w:name w:val="Normal (Web)"/>
    <w:basedOn w:val="Normal"/>
    <w:uiPriority w:val="99"/>
    <w:semiHidden/>
    <w:unhideWhenUsed/>
    <w:rsid w:val="00B4303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276280">
      <w:bodyDiv w:val="1"/>
      <w:marLeft w:val="0"/>
      <w:marRight w:val="0"/>
      <w:marTop w:val="0"/>
      <w:marBottom w:val="0"/>
      <w:divBdr>
        <w:top w:val="none" w:sz="0" w:space="0" w:color="auto"/>
        <w:left w:val="none" w:sz="0" w:space="0" w:color="auto"/>
        <w:bottom w:val="none" w:sz="0" w:space="0" w:color="auto"/>
        <w:right w:val="none" w:sz="0" w:space="0" w:color="auto"/>
      </w:divBdr>
      <w:divsChild>
        <w:div w:id="1875774769">
          <w:marLeft w:val="0"/>
          <w:marRight w:val="0"/>
          <w:marTop w:val="0"/>
          <w:marBottom w:val="0"/>
          <w:divBdr>
            <w:top w:val="none" w:sz="0" w:space="0" w:color="auto"/>
            <w:left w:val="none" w:sz="0" w:space="0" w:color="auto"/>
            <w:bottom w:val="none" w:sz="0" w:space="0" w:color="auto"/>
            <w:right w:val="none" w:sz="0" w:space="0" w:color="auto"/>
          </w:divBdr>
        </w:div>
        <w:div w:id="195386550">
          <w:marLeft w:val="0"/>
          <w:marRight w:val="0"/>
          <w:marTop w:val="0"/>
          <w:marBottom w:val="0"/>
          <w:divBdr>
            <w:top w:val="none" w:sz="0" w:space="0" w:color="auto"/>
            <w:left w:val="none" w:sz="0" w:space="0" w:color="auto"/>
            <w:bottom w:val="none" w:sz="0" w:space="0" w:color="auto"/>
            <w:right w:val="none" w:sz="0" w:space="0" w:color="auto"/>
          </w:divBdr>
        </w:div>
        <w:div w:id="1328090834">
          <w:marLeft w:val="0"/>
          <w:marRight w:val="0"/>
          <w:marTop w:val="0"/>
          <w:marBottom w:val="0"/>
          <w:divBdr>
            <w:top w:val="none" w:sz="0" w:space="0" w:color="auto"/>
            <w:left w:val="none" w:sz="0" w:space="0" w:color="auto"/>
            <w:bottom w:val="none" w:sz="0" w:space="0" w:color="auto"/>
            <w:right w:val="none" w:sz="0" w:space="0" w:color="auto"/>
          </w:divBdr>
        </w:div>
        <w:div w:id="597755735">
          <w:marLeft w:val="0"/>
          <w:marRight w:val="0"/>
          <w:marTop w:val="0"/>
          <w:marBottom w:val="0"/>
          <w:divBdr>
            <w:top w:val="none" w:sz="0" w:space="0" w:color="auto"/>
            <w:left w:val="none" w:sz="0" w:space="0" w:color="auto"/>
            <w:bottom w:val="none" w:sz="0" w:space="0" w:color="auto"/>
            <w:right w:val="none" w:sz="0" w:space="0" w:color="auto"/>
          </w:divBdr>
        </w:div>
        <w:div w:id="530649861">
          <w:marLeft w:val="0"/>
          <w:marRight w:val="0"/>
          <w:marTop w:val="0"/>
          <w:marBottom w:val="0"/>
          <w:divBdr>
            <w:top w:val="none" w:sz="0" w:space="0" w:color="auto"/>
            <w:left w:val="none" w:sz="0" w:space="0" w:color="auto"/>
            <w:bottom w:val="none" w:sz="0" w:space="0" w:color="auto"/>
            <w:right w:val="none" w:sz="0" w:space="0" w:color="auto"/>
          </w:divBdr>
        </w:div>
        <w:div w:id="912156331">
          <w:marLeft w:val="0"/>
          <w:marRight w:val="0"/>
          <w:marTop w:val="0"/>
          <w:marBottom w:val="0"/>
          <w:divBdr>
            <w:top w:val="none" w:sz="0" w:space="0" w:color="auto"/>
            <w:left w:val="none" w:sz="0" w:space="0" w:color="auto"/>
            <w:bottom w:val="none" w:sz="0" w:space="0" w:color="auto"/>
            <w:right w:val="none" w:sz="0" w:space="0" w:color="auto"/>
          </w:divBdr>
        </w:div>
        <w:div w:id="1155024527">
          <w:marLeft w:val="0"/>
          <w:marRight w:val="0"/>
          <w:marTop w:val="0"/>
          <w:marBottom w:val="0"/>
          <w:divBdr>
            <w:top w:val="none" w:sz="0" w:space="0" w:color="auto"/>
            <w:left w:val="none" w:sz="0" w:space="0" w:color="auto"/>
            <w:bottom w:val="none" w:sz="0" w:space="0" w:color="auto"/>
            <w:right w:val="none" w:sz="0" w:space="0" w:color="auto"/>
          </w:divBdr>
        </w:div>
        <w:div w:id="1764254771">
          <w:marLeft w:val="0"/>
          <w:marRight w:val="0"/>
          <w:marTop w:val="0"/>
          <w:marBottom w:val="0"/>
          <w:divBdr>
            <w:top w:val="none" w:sz="0" w:space="0" w:color="auto"/>
            <w:left w:val="none" w:sz="0" w:space="0" w:color="auto"/>
            <w:bottom w:val="none" w:sz="0" w:space="0" w:color="auto"/>
            <w:right w:val="none" w:sz="0" w:space="0" w:color="auto"/>
          </w:divBdr>
        </w:div>
      </w:divsChild>
    </w:div>
    <w:div w:id="929698249">
      <w:bodyDiv w:val="1"/>
      <w:marLeft w:val="0"/>
      <w:marRight w:val="0"/>
      <w:marTop w:val="0"/>
      <w:marBottom w:val="0"/>
      <w:divBdr>
        <w:top w:val="none" w:sz="0" w:space="0" w:color="auto"/>
        <w:left w:val="none" w:sz="0" w:space="0" w:color="auto"/>
        <w:bottom w:val="none" w:sz="0" w:space="0" w:color="auto"/>
        <w:right w:val="none" w:sz="0" w:space="0" w:color="auto"/>
      </w:divBdr>
      <w:divsChild>
        <w:div w:id="341014382">
          <w:marLeft w:val="0"/>
          <w:marRight w:val="0"/>
          <w:marTop w:val="0"/>
          <w:marBottom w:val="0"/>
          <w:divBdr>
            <w:top w:val="none" w:sz="0" w:space="0" w:color="auto"/>
            <w:left w:val="none" w:sz="0" w:space="0" w:color="auto"/>
            <w:bottom w:val="none" w:sz="0" w:space="0" w:color="auto"/>
            <w:right w:val="none" w:sz="0" w:space="0" w:color="auto"/>
          </w:divBdr>
        </w:div>
        <w:div w:id="1528521247">
          <w:marLeft w:val="0"/>
          <w:marRight w:val="0"/>
          <w:marTop w:val="0"/>
          <w:marBottom w:val="0"/>
          <w:divBdr>
            <w:top w:val="none" w:sz="0" w:space="0" w:color="auto"/>
            <w:left w:val="none" w:sz="0" w:space="0" w:color="auto"/>
            <w:bottom w:val="none" w:sz="0" w:space="0" w:color="auto"/>
            <w:right w:val="none" w:sz="0" w:space="0" w:color="auto"/>
          </w:divBdr>
        </w:div>
        <w:div w:id="1759255652">
          <w:marLeft w:val="0"/>
          <w:marRight w:val="0"/>
          <w:marTop w:val="0"/>
          <w:marBottom w:val="0"/>
          <w:divBdr>
            <w:top w:val="none" w:sz="0" w:space="0" w:color="auto"/>
            <w:left w:val="none" w:sz="0" w:space="0" w:color="auto"/>
            <w:bottom w:val="none" w:sz="0" w:space="0" w:color="auto"/>
            <w:right w:val="none" w:sz="0" w:space="0" w:color="auto"/>
          </w:divBdr>
        </w:div>
      </w:divsChild>
    </w:div>
    <w:div w:id="1036662244">
      <w:bodyDiv w:val="1"/>
      <w:marLeft w:val="0"/>
      <w:marRight w:val="0"/>
      <w:marTop w:val="0"/>
      <w:marBottom w:val="0"/>
      <w:divBdr>
        <w:top w:val="none" w:sz="0" w:space="0" w:color="auto"/>
        <w:left w:val="none" w:sz="0" w:space="0" w:color="auto"/>
        <w:bottom w:val="none" w:sz="0" w:space="0" w:color="auto"/>
        <w:right w:val="none" w:sz="0" w:space="0" w:color="auto"/>
      </w:divBdr>
      <w:divsChild>
        <w:div w:id="1629319587">
          <w:marLeft w:val="0"/>
          <w:marRight w:val="0"/>
          <w:marTop w:val="0"/>
          <w:marBottom w:val="0"/>
          <w:divBdr>
            <w:top w:val="none" w:sz="0" w:space="0" w:color="auto"/>
            <w:left w:val="none" w:sz="0" w:space="0" w:color="auto"/>
            <w:bottom w:val="none" w:sz="0" w:space="0" w:color="auto"/>
            <w:right w:val="none" w:sz="0" w:space="0" w:color="auto"/>
          </w:divBdr>
        </w:div>
        <w:div w:id="541015777">
          <w:marLeft w:val="0"/>
          <w:marRight w:val="0"/>
          <w:marTop w:val="0"/>
          <w:marBottom w:val="0"/>
          <w:divBdr>
            <w:top w:val="none" w:sz="0" w:space="0" w:color="auto"/>
            <w:left w:val="none" w:sz="0" w:space="0" w:color="auto"/>
            <w:bottom w:val="none" w:sz="0" w:space="0" w:color="auto"/>
            <w:right w:val="none" w:sz="0" w:space="0" w:color="auto"/>
          </w:divBdr>
        </w:div>
        <w:div w:id="1803692985">
          <w:marLeft w:val="0"/>
          <w:marRight w:val="0"/>
          <w:marTop w:val="0"/>
          <w:marBottom w:val="0"/>
          <w:divBdr>
            <w:top w:val="none" w:sz="0" w:space="0" w:color="auto"/>
            <w:left w:val="none" w:sz="0" w:space="0" w:color="auto"/>
            <w:bottom w:val="none" w:sz="0" w:space="0" w:color="auto"/>
            <w:right w:val="none" w:sz="0" w:space="0" w:color="auto"/>
          </w:divBdr>
        </w:div>
        <w:div w:id="1816994888">
          <w:marLeft w:val="0"/>
          <w:marRight w:val="0"/>
          <w:marTop w:val="0"/>
          <w:marBottom w:val="0"/>
          <w:divBdr>
            <w:top w:val="none" w:sz="0" w:space="0" w:color="auto"/>
            <w:left w:val="none" w:sz="0" w:space="0" w:color="auto"/>
            <w:bottom w:val="none" w:sz="0" w:space="0" w:color="auto"/>
            <w:right w:val="none" w:sz="0" w:space="0" w:color="auto"/>
          </w:divBdr>
        </w:div>
        <w:div w:id="1926959989">
          <w:marLeft w:val="0"/>
          <w:marRight w:val="0"/>
          <w:marTop w:val="0"/>
          <w:marBottom w:val="0"/>
          <w:divBdr>
            <w:top w:val="none" w:sz="0" w:space="0" w:color="auto"/>
            <w:left w:val="none" w:sz="0" w:space="0" w:color="auto"/>
            <w:bottom w:val="none" w:sz="0" w:space="0" w:color="auto"/>
            <w:right w:val="none" w:sz="0" w:space="0" w:color="auto"/>
          </w:divBdr>
        </w:div>
        <w:div w:id="1902134805">
          <w:marLeft w:val="0"/>
          <w:marRight w:val="0"/>
          <w:marTop w:val="0"/>
          <w:marBottom w:val="0"/>
          <w:divBdr>
            <w:top w:val="none" w:sz="0" w:space="0" w:color="auto"/>
            <w:left w:val="none" w:sz="0" w:space="0" w:color="auto"/>
            <w:bottom w:val="none" w:sz="0" w:space="0" w:color="auto"/>
            <w:right w:val="none" w:sz="0" w:space="0" w:color="auto"/>
          </w:divBdr>
        </w:div>
        <w:div w:id="922879218">
          <w:marLeft w:val="0"/>
          <w:marRight w:val="0"/>
          <w:marTop w:val="0"/>
          <w:marBottom w:val="0"/>
          <w:divBdr>
            <w:top w:val="none" w:sz="0" w:space="0" w:color="auto"/>
            <w:left w:val="none" w:sz="0" w:space="0" w:color="auto"/>
            <w:bottom w:val="none" w:sz="0" w:space="0" w:color="auto"/>
            <w:right w:val="none" w:sz="0" w:space="0" w:color="auto"/>
          </w:divBdr>
        </w:div>
        <w:div w:id="911549872">
          <w:marLeft w:val="0"/>
          <w:marRight w:val="0"/>
          <w:marTop w:val="0"/>
          <w:marBottom w:val="0"/>
          <w:divBdr>
            <w:top w:val="none" w:sz="0" w:space="0" w:color="auto"/>
            <w:left w:val="none" w:sz="0" w:space="0" w:color="auto"/>
            <w:bottom w:val="none" w:sz="0" w:space="0" w:color="auto"/>
            <w:right w:val="none" w:sz="0" w:space="0" w:color="auto"/>
          </w:divBdr>
        </w:div>
        <w:div w:id="1657148943">
          <w:marLeft w:val="0"/>
          <w:marRight w:val="0"/>
          <w:marTop w:val="0"/>
          <w:marBottom w:val="0"/>
          <w:divBdr>
            <w:top w:val="none" w:sz="0" w:space="0" w:color="auto"/>
            <w:left w:val="none" w:sz="0" w:space="0" w:color="auto"/>
            <w:bottom w:val="none" w:sz="0" w:space="0" w:color="auto"/>
            <w:right w:val="none" w:sz="0" w:space="0" w:color="auto"/>
          </w:divBdr>
        </w:div>
        <w:div w:id="1065030808">
          <w:marLeft w:val="0"/>
          <w:marRight w:val="0"/>
          <w:marTop w:val="0"/>
          <w:marBottom w:val="0"/>
          <w:divBdr>
            <w:top w:val="none" w:sz="0" w:space="0" w:color="auto"/>
            <w:left w:val="none" w:sz="0" w:space="0" w:color="auto"/>
            <w:bottom w:val="none" w:sz="0" w:space="0" w:color="auto"/>
            <w:right w:val="none" w:sz="0" w:space="0" w:color="auto"/>
          </w:divBdr>
        </w:div>
        <w:div w:id="686761521">
          <w:marLeft w:val="0"/>
          <w:marRight w:val="0"/>
          <w:marTop w:val="0"/>
          <w:marBottom w:val="0"/>
          <w:divBdr>
            <w:top w:val="none" w:sz="0" w:space="0" w:color="auto"/>
            <w:left w:val="none" w:sz="0" w:space="0" w:color="auto"/>
            <w:bottom w:val="none" w:sz="0" w:space="0" w:color="auto"/>
            <w:right w:val="none" w:sz="0" w:space="0" w:color="auto"/>
          </w:divBdr>
        </w:div>
        <w:div w:id="1229731327">
          <w:marLeft w:val="0"/>
          <w:marRight w:val="0"/>
          <w:marTop w:val="0"/>
          <w:marBottom w:val="0"/>
          <w:divBdr>
            <w:top w:val="none" w:sz="0" w:space="0" w:color="auto"/>
            <w:left w:val="none" w:sz="0" w:space="0" w:color="auto"/>
            <w:bottom w:val="none" w:sz="0" w:space="0" w:color="auto"/>
            <w:right w:val="none" w:sz="0" w:space="0" w:color="auto"/>
          </w:divBdr>
        </w:div>
        <w:div w:id="2136829526">
          <w:marLeft w:val="0"/>
          <w:marRight w:val="0"/>
          <w:marTop w:val="0"/>
          <w:marBottom w:val="0"/>
          <w:divBdr>
            <w:top w:val="none" w:sz="0" w:space="0" w:color="auto"/>
            <w:left w:val="none" w:sz="0" w:space="0" w:color="auto"/>
            <w:bottom w:val="none" w:sz="0" w:space="0" w:color="auto"/>
            <w:right w:val="none" w:sz="0" w:space="0" w:color="auto"/>
          </w:divBdr>
        </w:div>
        <w:div w:id="260339640">
          <w:marLeft w:val="0"/>
          <w:marRight w:val="0"/>
          <w:marTop w:val="0"/>
          <w:marBottom w:val="0"/>
          <w:divBdr>
            <w:top w:val="none" w:sz="0" w:space="0" w:color="auto"/>
            <w:left w:val="none" w:sz="0" w:space="0" w:color="auto"/>
            <w:bottom w:val="none" w:sz="0" w:space="0" w:color="auto"/>
            <w:right w:val="none" w:sz="0" w:space="0" w:color="auto"/>
          </w:divBdr>
        </w:div>
        <w:div w:id="20909426">
          <w:marLeft w:val="0"/>
          <w:marRight w:val="0"/>
          <w:marTop w:val="0"/>
          <w:marBottom w:val="0"/>
          <w:divBdr>
            <w:top w:val="none" w:sz="0" w:space="0" w:color="auto"/>
            <w:left w:val="none" w:sz="0" w:space="0" w:color="auto"/>
            <w:bottom w:val="none" w:sz="0" w:space="0" w:color="auto"/>
            <w:right w:val="none" w:sz="0" w:space="0" w:color="auto"/>
          </w:divBdr>
        </w:div>
        <w:div w:id="1281062824">
          <w:marLeft w:val="0"/>
          <w:marRight w:val="0"/>
          <w:marTop w:val="0"/>
          <w:marBottom w:val="0"/>
          <w:divBdr>
            <w:top w:val="none" w:sz="0" w:space="0" w:color="auto"/>
            <w:left w:val="none" w:sz="0" w:space="0" w:color="auto"/>
            <w:bottom w:val="none" w:sz="0" w:space="0" w:color="auto"/>
            <w:right w:val="none" w:sz="0" w:space="0" w:color="auto"/>
          </w:divBdr>
        </w:div>
        <w:div w:id="97138236">
          <w:marLeft w:val="0"/>
          <w:marRight w:val="0"/>
          <w:marTop w:val="0"/>
          <w:marBottom w:val="0"/>
          <w:divBdr>
            <w:top w:val="none" w:sz="0" w:space="0" w:color="auto"/>
            <w:left w:val="none" w:sz="0" w:space="0" w:color="auto"/>
            <w:bottom w:val="none" w:sz="0" w:space="0" w:color="auto"/>
            <w:right w:val="none" w:sz="0" w:space="0" w:color="auto"/>
          </w:divBdr>
        </w:div>
        <w:div w:id="1021279234">
          <w:marLeft w:val="0"/>
          <w:marRight w:val="0"/>
          <w:marTop w:val="0"/>
          <w:marBottom w:val="0"/>
          <w:divBdr>
            <w:top w:val="none" w:sz="0" w:space="0" w:color="auto"/>
            <w:left w:val="none" w:sz="0" w:space="0" w:color="auto"/>
            <w:bottom w:val="none" w:sz="0" w:space="0" w:color="auto"/>
            <w:right w:val="none" w:sz="0" w:space="0" w:color="auto"/>
          </w:divBdr>
        </w:div>
        <w:div w:id="352154711">
          <w:marLeft w:val="0"/>
          <w:marRight w:val="0"/>
          <w:marTop w:val="0"/>
          <w:marBottom w:val="0"/>
          <w:divBdr>
            <w:top w:val="none" w:sz="0" w:space="0" w:color="auto"/>
            <w:left w:val="none" w:sz="0" w:space="0" w:color="auto"/>
            <w:bottom w:val="none" w:sz="0" w:space="0" w:color="auto"/>
            <w:right w:val="none" w:sz="0" w:space="0" w:color="auto"/>
          </w:divBdr>
        </w:div>
        <w:div w:id="1620524242">
          <w:marLeft w:val="0"/>
          <w:marRight w:val="0"/>
          <w:marTop w:val="0"/>
          <w:marBottom w:val="0"/>
          <w:divBdr>
            <w:top w:val="none" w:sz="0" w:space="0" w:color="auto"/>
            <w:left w:val="none" w:sz="0" w:space="0" w:color="auto"/>
            <w:bottom w:val="none" w:sz="0" w:space="0" w:color="auto"/>
            <w:right w:val="none" w:sz="0" w:space="0" w:color="auto"/>
          </w:divBdr>
        </w:div>
        <w:div w:id="1653753167">
          <w:marLeft w:val="0"/>
          <w:marRight w:val="0"/>
          <w:marTop w:val="0"/>
          <w:marBottom w:val="0"/>
          <w:divBdr>
            <w:top w:val="none" w:sz="0" w:space="0" w:color="auto"/>
            <w:left w:val="none" w:sz="0" w:space="0" w:color="auto"/>
            <w:bottom w:val="none" w:sz="0" w:space="0" w:color="auto"/>
            <w:right w:val="none" w:sz="0" w:space="0" w:color="auto"/>
          </w:divBdr>
        </w:div>
        <w:div w:id="2010399309">
          <w:marLeft w:val="0"/>
          <w:marRight w:val="0"/>
          <w:marTop w:val="0"/>
          <w:marBottom w:val="0"/>
          <w:divBdr>
            <w:top w:val="none" w:sz="0" w:space="0" w:color="auto"/>
            <w:left w:val="none" w:sz="0" w:space="0" w:color="auto"/>
            <w:bottom w:val="none" w:sz="0" w:space="0" w:color="auto"/>
            <w:right w:val="none" w:sz="0" w:space="0" w:color="auto"/>
          </w:divBdr>
        </w:div>
        <w:div w:id="588393538">
          <w:marLeft w:val="0"/>
          <w:marRight w:val="0"/>
          <w:marTop w:val="0"/>
          <w:marBottom w:val="0"/>
          <w:divBdr>
            <w:top w:val="none" w:sz="0" w:space="0" w:color="auto"/>
            <w:left w:val="none" w:sz="0" w:space="0" w:color="auto"/>
            <w:bottom w:val="none" w:sz="0" w:space="0" w:color="auto"/>
            <w:right w:val="none" w:sz="0" w:space="0" w:color="auto"/>
          </w:divBdr>
        </w:div>
        <w:div w:id="1869024898">
          <w:marLeft w:val="0"/>
          <w:marRight w:val="0"/>
          <w:marTop w:val="0"/>
          <w:marBottom w:val="0"/>
          <w:divBdr>
            <w:top w:val="none" w:sz="0" w:space="0" w:color="auto"/>
            <w:left w:val="none" w:sz="0" w:space="0" w:color="auto"/>
            <w:bottom w:val="none" w:sz="0" w:space="0" w:color="auto"/>
            <w:right w:val="none" w:sz="0" w:space="0" w:color="auto"/>
          </w:divBdr>
        </w:div>
        <w:div w:id="561789361">
          <w:marLeft w:val="0"/>
          <w:marRight w:val="0"/>
          <w:marTop w:val="0"/>
          <w:marBottom w:val="0"/>
          <w:divBdr>
            <w:top w:val="none" w:sz="0" w:space="0" w:color="auto"/>
            <w:left w:val="none" w:sz="0" w:space="0" w:color="auto"/>
            <w:bottom w:val="none" w:sz="0" w:space="0" w:color="auto"/>
            <w:right w:val="none" w:sz="0" w:space="0" w:color="auto"/>
          </w:divBdr>
        </w:div>
        <w:div w:id="1108504457">
          <w:marLeft w:val="0"/>
          <w:marRight w:val="0"/>
          <w:marTop w:val="0"/>
          <w:marBottom w:val="0"/>
          <w:divBdr>
            <w:top w:val="none" w:sz="0" w:space="0" w:color="auto"/>
            <w:left w:val="none" w:sz="0" w:space="0" w:color="auto"/>
            <w:bottom w:val="none" w:sz="0" w:space="0" w:color="auto"/>
            <w:right w:val="none" w:sz="0" w:space="0" w:color="auto"/>
          </w:divBdr>
        </w:div>
        <w:div w:id="108090217">
          <w:marLeft w:val="0"/>
          <w:marRight w:val="0"/>
          <w:marTop w:val="0"/>
          <w:marBottom w:val="0"/>
          <w:divBdr>
            <w:top w:val="none" w:sz="0" w:space="0" w:color="auto"/>
            <w:left w:val="none" w:sz="0" w:space="0" w:color="auto"/>
            <w:bottom w:val="none" w:sz="0" w:space="0" w:color="auto"/>
            <w:right w:val="none" w:sz="0" w:space="0" w:color="auto"/>
          </w:divBdr>
        </w:div>
        <w:div w:id="146359337">
          <w:marLeft w:val="0"/>
          <w:marRight w:val="0"/>
          <w:marTop w:val="0"/>
          <w:marBottom w:val="0"/>
          <w:divBdr>
            <w:top w:val="none" w:sz="0" w:space="0" w:color="auto"/>
            <w:left w:val="none" w:sz="0" w:space="0" w:color="auto"/>
            <w:bottom w:val="none" w:sz="0" w:space="0" w:color="auto"/>
            <w:right w:val="none" w:sz="0" w:space="0" w:color="auto"/>
          </w:divBdr>
        </w:div>
        <w:div w:id="1832525251">
          <w:marLeft w:val="0"/>
          <w:marRight w:val="0"/>
          <w:marTop w:val="0"/>
          <w:marBottom w:val="0"/>
          <w:divBdr>
            <w:top w:val="none" w:sz="0" w:space="0" w:color="auto"/>
            <w:left w:val="none" w:sz="0" w:space="0" w:color="auto"/>
            <w:bottom w:val="none" w:sz="0" w:space="0" w:color="auto"/>
            <w:right w:val="none" w:sz="0" w:space="0" w:color="auto"/>
          </w:divBdr>
        </w:div>
        <w:div w:id="1334144401">
          <w:marLeft w:val="0"/>
          <w:marRight w:val="0"/>
          <w:marTop w:val="0"/>
          <w:marBottom w:val="0"/>
          <w:divBdr>
            <w:top w:val="none" w:sz="0" w:space="0" w:color="auto"/>
            <w:left w:val="none" w:sz="0" w:space="0" w:color="auto"/>
            <w:bottom w:val="none" w:sz="0" w:space="0" w:color="auto"/>
            <w:right w:val="none" w:sz="0" w:space="0" w:color="auto"/>
          </w:divBdr>
        </w:div>
        <w:div w:id="1845591739">
          <w:marLeft w:val="0"/>
          <w:marRight w:val="0"/>
          <w:marTop w:val="0"/>
          <w:marBottom w:val="0"/>
          <w:divBdr>
            <w:top w:val="none" w:sz="0" w:space="0" w:color="auto"/>
            <w:left w:val="none" w:sz="0" w:space="0" w:color="auto"/>
            <w:bottom w:val="none" w:sz="0" w:space="0" w:color="auto"/>
            <w:right w:val="none" w:sz="0" w:space="0" w:color="auto"/>
          </w:divBdr>
        </w:div>
        <w:div w:id="200477732">
          <w:marLeft w:val="0"/>
          <w:marRight w:val="0"/>
          <w:marTop w:val="0"/>
          <w:marBottom w:val="0"/>
          <w:divBdr>
            <w:top w:val="none" w:sz="0" w:space="0" w:color="auto"/>
            <w:left w:val="none" w:sz="0" w:space="0" w:color="auto"/>
            <w:bottom w:val="none" w:sz="0" w:space="0" w:color="auto"/>
            <w:right w:val="none" w:sz="0" w:space="0" w:color="auto"/>
          </w:divBdr>
        </w:div>
        <w:div w:id="1171069270">
          <w:marLeft w:val="0"/>
          <w:marRight w:val="0"/>
          <w:marTop w:val="0"/>
          <w:marBottom w:val="0"/>
          <w:divBdr>
            <w:top w:val="none" w:sz="0" w:space="0" w:color="auto"/>
            <w:left w:val="none" w:sz="0" w:space="0" w:color="auto"/>
            <w:bottom w:val="none" w:sz="0" w:space="0" w:color="auto"/>
            <w:right w:val="none" w:sz="0" w:space="0" w:color="auto"/>
          </w:divBdr>
        </w:div>
        <w:div w:id="2085643505">
          <w:marLeft w:val="0"/>
          <w:marRight w:val="0"/>
          <w:marTop w:val="0"/>
          <w:marBottom w:val="0"/>
          <w:divBdr>
            <w:top w:val="none" w:sz="0" w:space="0" w:color="auto"/>
            <w:left w:val="none" w:sz="0" w:space="0" w:color="auto"/>
            <w:bottom w:val="none" w:sz="0" w:space="0" w:color="auto"/>
            <w:right w:val="none" w:sz="0" w:space="0" w:color="auto"/>
          </w:divBdr>
        </w:div>
        <w:div w:id="115951337">
          <w:marLeft w:val="0"/>
          <w:marRight w:val="0"/>
          <w:marTop w:val="0"/>
          <w:marBottom w:val="0"/>
          <w:divBdr>
            <w:top w:val="none" w:sz="0" w:space="0" w:color="auto"/>
            <w:left w:val="none" w:sz="0" w:space="0" w:color="auto"/>
            <w:bottom w:val="none" w:sz="0" w:space="0" w:color="auto"/>
            <w:right w:val="none" w:sz="0" w:space="0" w:color="auto"/>
          </w:divBdr>
        </w:div>
        <w:div w:id="2117017528">
          <w:marLeft w:val="0"/>
          <w:marRight w:val="0"/>
          <w:marTop w:val="0"/>
          <w:marBottom w:val="0"/>
          <w:divBdr>
            <w:top w:val="none" w:sz="0" w:space="0" w:color="auto"/>
            <w:left w:val="none" w:sz="0" w:space="0" w:color="auto"/>
            <w:bottom w:val="none" w:sz="0" w:space="0" w:color="auto"/>
            <w:right w:val="none" w:sz="0" w:space="0" w:color="auto"/>
          </w:divBdr>
        </w:div>
        <w:div w:id="1568497495">
          <w:marLeft w:val="0"/>
          <w:marRight w:val="0"/>
          <w:marTop w:val="0"/>
          <w:marBottom w:val="0"/>
          <w:divBdr>
            <w:top w:val="none" w:sz="0" w:space="0" w:color="auto"/>
            <w:left w:val="none" w:sz="0" w:space="0" w:color="auto"/>
            <w:bottom w:val="none" w:sz="0" w:space="0" w:color="auto"/>
            <w:right w:val="none" w:sz="0" w:space="0" w:color="auto"/>
          </w:divBdr>
        </w:div>
        <w:div w:id="976496140">
          <w:marLeft w:val="0"/>
          <w:marRight w:val="0"/>
          <w:marTop w:val="0"/>
          <w:marBottom w:val="0"/>
          <w:divBdr>
            <w:top w:val="none" w:sz="0" w:space="0" w:color="auto"/>
            <w:left w:val="none" w:sz="0" w:space="0" w:color="auto"/>
            <w:bottom w:val="none" w:sz="0" w:space="0" w:color="auto"/>
            <w:right w:val="none" w:sz="0" w:space="0" w:color="auto"/>
          </w:divBdr>
        </w:div>
        <w:div w:id="1065177325">
          <w:marLeft w:val="0"/>
          <w:marRight w:val="0"/>
          <w:marTop w:val="0"/>
          <w:marBottom w:val="0"/>
          <w:divBdr>
            <w:top w:val="none" w:sz="0" w:space="0" w:color="auto"/>
            <w:left w:val="none" w:sz="0" w:space="0" w:color="auto"/>
            <w:bottom w:val="none" w:sz="0" w:space="0" w:color="auto"/>
            <w:right w:val="none" w:sz="0" w:space="0" w:color="auto"/>
          </w:divBdr>
        </w:div>
        <w:div w:id="784078925">
          <w:marLeft w:val="0"/>
          <w:marRight w:val="0"/>
          <w:marTop w:val="0"/>
          <w:marBottom w:val="0"/>
          <w:divBdr>
            <w:top w:val="none" w:sz="0" w:space="0" w:color="auto"/>
            <w:left w:val="none" w:sz="0" w:space="0" w:color="auto"/>
            <w:bottom w:val="none" w:sz="0" w:space="0" w:color="auto"/>
            <w:right w:val="none" w:sz="0" w:space="0" w:color="auto"/>
          </w:divBdr>
        </w:div>
        <w:div w:id="1306929745">
          <w:marLeft w:val="0"/>
          <w:marRight w:val="0"/>
          <w:marTop w:val="0"/>
          <w:marBottom w:val="0"/>
          <w:divBdr>
            <w:top w:val="none" w:sz="0" w:space="0" w:color="auto"/>
            <w:left w:val="none" w:sz="0" w:space="0" w:color="auto"/>
            <w:bottom w:val="none" w:sz="0" w:space="0" w:color="auto"/>
            <w:right w:val="none" w:sz="0" w:space="0" w:color="auto"/>
          </w:divBdr>
        </w:div>
        <w:div w:id="191386899">
          <w:marLeft w:val="0"/>
          <w:marRight w:val="0"/>
          <w:marTop w:val="0"/>
          <w:marBottom w:val="0"/>
          <w:divBdr>
            <w:top w:val="none" w:sz="0" w:space="0" w:color="auto"/>
            <w:left w:val="none" w:sz="0" w:space="0" w:color="auto"/>
            <w:bottom w:val="none" w:sz="0" w:space="0" w:color="auto"/>
            <w:right w:val="none" w:sz="0" w:space="0" w:color="auto"/>
          </w:divBdr>
        </w:div>
        <w:div w:id="1651985676">
          <w:marLeft w:val="0"/>
          <w:marRight w:val="0"/>
          <w:marTop w:val="0"/>
          <w:marBottom w:val="0"/>
          <w:divBdr>
            <w:top w:val="none" w:sz="0" w:space="0" w:color="auto"/>
            <w:left w:val="none" w:sz="0" w:space="0" w:color="auto"/>
            <w:bottom w:val="none" w:sz="0" w:space="0" w:color="auto"/>
            <w:right w:val="none" w:sz="0" w:space="0" w:color="auto"/>
          </w:divBdr>
        </w:div>
        <w:div w:id="1547449192">
          <w:marLeft w:val="0"/>
          <w:marRight w:val="0"/>
          <w:marTop w:val="0"/>
          <w:marBottom w:val="0"/>
          <w:divBdr>
            <w:top w:val="none" w:sz="0" w:space="0" w:color="auto"/>
            <w:left w:val="none" w:sz="0" w:space="0" w:color="auto"/>
            <w:bottom w:val="none" w:sz="0" w:space="0" w:color="auto"/>
            <w:right w:val="none" w:sz="0" w:space="0" w:color="auto"/>
          </w:divBdr>
        </w:div>
        <w:div w:id="844781726">
          <w:marLeft w:val="0"/>
          <w:marRight w:val="0"/>
          <w:marTop w:val="0"/>
          <w:marBottom w:val="0"/>
          <w:divBdr>
            <w:top w:val="none" w:sz="0" w:space="0" w:color="auto"/>
            <w:left w:val="none" w:sz="0" w:space="0" w:color="auto"/>
            <w:bottom w:val="none" w:sz="0" w:space="0" w:color="auto"/>
            <w:right w:val="none" w:sz="0" w:space="0" w:color="auto"/>
          </w:divBdr>
        </w:div>
        <w:div w:id="1181165846">
          <w:marLeft w:val="0"/>
          <w:marRight w:val="0"/>
          <w:marTop w:val="0"/>
          <w:marBottom w:val="0"/>
          <w:divBdr>
            <w:top w:val="none" w:sz="0" w:space="0" w:color="auto"/>
            <w:left w:val="none" w:sz="0" w:space="0" w:color="auto"/>
            <w:bottom w:val="none" w:sz="0" w:space="0" w:color="auto"/>
            <w:right w:val="none" w:sz="0" w:space="0" w:color="auto"/>
          </w:divBdr>
        </w:div>
        <w:div w:id="1120488868">
          <w:marLeft w:val="0"/>
          <w:marRight w:val="0"/>
          <w:marTop w:val="0"/>
          <w:marBottom w:val="0"/>
          <w:divBdr>
            <w:top w:val="none" w:sz="0" w:space="0" w:color="auto"/>
            <w:left w:val="none" w:sz="0" w:space="0" w:color="auto"/>
            <w:bottom w:val="none" w:sz="0" w:space="0" w:color="auto"/>
            <w:right w:val="none" w:sz="0" w:space="0" w:color="auto"/>
          </w:divBdr>
        </w:div>
        <w:div w:id="1032464225">
          <w:marLeft w:val="0"/>
          <w:marRight w:val="0"/>
          <w:marTop w:val="0"/>
          <w:marBottom w:val="0"/>
          <w:divBdr>
            <w:top w:val="none" w:sz="0" w:space="0" w:color="auto"/>
            <w:left w:val="none" w:sz="0" w:space="0" w:color="auto"/>
            <w:bottom w:val="none" w:sz="0" w:space="0" w:color="auto"/>
            <w:right w:val="none" w:sz="0" w:space="0" w:color="auto"/>
          </w:divBdr>
        </w:div>
        <w:div w:id="919561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64B2A-834E-464D-A2ED-CB3468B84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3720</Words>
  <Characters>21208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Lupu (1906519)</dc:creator>
  <cp:keywords/>
  <dc:description/>
  <cp:lastModifiedBy>Andreea Lupu (1906519)</cp:lastModifiedBy>
  <cp:revision>2</cp:revision>
  <dcterms:created xsi:type="dcterms:W3CDTF">2021-05-04T16:00:00Z</dcterms:created>
  <dcterms:modified xsi:type="dcterms:W3CDTF">2021-05-04T16:00:00Z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61cbe537-a7d5-3614-a052-e547d803d9f1</vt:lpwstr>
  </property>
  <property fmtid="{D5CDD505-2E9C-101B-9397-08002B2CF9AE}" pid="24" name="Mendeley Citation Style_1">
    <vt:lpwstr>http://www.zotero.org/styles/harvard1</vt:lpwstr>
  </property>
</Properties>
</file>