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2A48D" w14:textId="41AB35B3" w:rsidR="00D17701" w:rsidRDefault="00D17701" w:rsidP="00223310">
      <w:pPr>
        <w:spacing w:line="360" w:lineRule="auto"/>
        <w:rPr>
          <w:sz w:val="24"/>
          <w:szCs w:val="24"/>
        </w:rPr>
      </w:pPr>
      <w:r>
        <w:rPr>
          <w:sz w:val="24"/>
          <w:szCs w:val="24"/>
        </w:rPr>
        <w:t>B</w:t>
      </w:r>
      <w:r w:rsidRPr="00D17701">
        <w:rPr>
          <w:sz w:val="24"/>
          <w:szCs w:val="24"/>
        </w:rPr>
        <w:t>ydd y traethawd hwn yn gwerthuso'n feirniadol sut y gellir defnyddio asesu ar gyfer dysgu mewn cyfres o gyfleoedd dysgu i gynorthwyo dilyniant ar draws meysydd dysgu a phrofiad a ddewiswyd. Rwy'n sicrhau bod dilyniant disgyblion yn hanfodol bwysig am resymau gwasanaethol: mae sicrhau swydd dda i'r dyfodol yn arwain at enillion uwch a gyda hynny daw gwell iechyd, llai o straen ar y GIG, yn ein harwain at deimlad o fod yn werth ei hun yn ogystal â chynnydd. mewn twf economaidd</w:t>
      </w:r>
      <w:r>
        <w:rPr>
          <w:sz w:val="24"/>
          <w:szCs w:val="24"/>
        </w:rPr>
        <w:t>.</w:t>
      </w:r>
    </w:p>
    <w:p w14:paraId="545962B4" w14:textId="31C14862" w:rsidR="00C73850" w:rsidRDefault="005268D0" w:rsidP="00223310">
      <w:pPr>
        <w:spacing w:line="360" w:lineRule="auto"/>
        <w:rPr>
          <w:sz w:val="24"/>
          <w:szCs w:val="24"/>
        </w:rPr>
      </w:pPr>
      <w:r w:rsidRPr="00223310">
        <w:rPr>
          <w:sz w:val="24"/>
          <w:szCs w:val="24"/>
        </w:rPr>
        <w:t xml:space="preserve">Mae asesu ar gyfer dysgu yn </w:t>
      </w:r>
      <w:r w:rsidR="00223310">
        <w:rPr>
          <w:sz w:val="24"/>
          <w:szCs w:val="24"/>
        </w:rPr>
        <w:t xml:space="preserve">(AagD) </w:t>
      </w:r>
      <w:r w:rsidRPr="00223310">
        <w:rPr>
          <w:sz w:val="24"/>
          <w:szCs w:val="24"/>
        </w:rPr>
        <w:t xml:space="preserve">set o ddulliau a wneir gan athrawon yn ystod y broses ddysgu sy’n gwerthuso unrhyw weithgaredd asesu sy’n arwain y dysgu yn yr ystafell. Mae’r meini prawf llwyddiant yn cynnwys 4 elfel: cwestiynau, adborth amserol; hunanasesu ac asesu cyfoedion ac yn rhoi cyfle I’r athro wneud penderfyniadau ar sail addysgeg- a ydych chi’n symud myfyriwr I’r cam nesaf neu’n llenwi bylchau y neu gwybodaeth neu sgiliau? </w:t>
      </w:r>
      <w:r w:rsidR="00223310" w:rsidRPr="00223310">
        <w:rPr>
          <w:sz w:val="24"/>
          <w:szCs w:val="24"/>
        </w:rPr>
        <w:t xml:space="preserve">Disodlodd y dulliau mwy traddodiadol o addysgu a oedd yn canolbwyntio ar fesur perfformiad myfyrwyr unigolion mewn maes penodol </w:t>
      </w:r>
      <w:r w:rsidR="00223310" w:rsidRPr="00223310">
        <w:rPr>
          <w:sz w:val="24"/>
          <w:szCs w:val="24"/>
        </w:rPr>
        <w:t>(Florez &amp; Sammons, 2013)</w:t>
      </w:r>
      <w:r w:rsidR="00223310" w:rsidRPr="00223310">
        <w:rPr>
          <w:sz w:val="24"/>
          <w:szCs w:val="24"/>
        </w:rPr>
        <w:t xml:space="preserve">. </w:t>
      </w:r>
    </w:p>
    <w:p w14:paraId="7EB19778" w14:textId="0B8C0F59" w:rsidR="00223310" w:rsidRDefault="00223310" w:rsidP="00223310">
      <w:pPr>
        <w:spacing w:line="360" w:lineRule="auto"/>
        <w:rPr>
          <w:sz w:val="24"/>
          <w:szCs w:val="24"/>
        </w:rPr>
      </w:pPr>
      <w:r>
        <w:rPr>
          <w:sz w:val="24"/>
          <w:szCs w:val="24"/>
        </w:rPr>
        <w:t xml:space="preserve">Ar ben hynny, mae llenyddiaeth wedi porfi bod myfyrwyr sy’n dysgu trwy defnyddio Aagd yn cyflawni canlyniadau gwell na’r myfyrwyr </w:t>
      </w:r>
      <w:r w:rsidR="001C3DA0">
        <w:rPr>
          <w:sz w:val="24"/>
          <w:szCs w:val="24"/>
        </w:rPr>
        <w:t>sydd ddim</w:t>
      </w:r>
      <w:r>
        <w:rPr>
          <w:sz w:val="24"/>
          <w:szCs w:val="24"/>
        </w:rPr>
        <w:t xml:space="preserve"> </w:t>
      </w:r>
      <w:r w:rsidRPr="00223310">
        <w:rPr>
          <w:sz w:val="24"/>
          <w:szCs w:val="24"/>
        </w:rPr>
        <w:t>(Torracne &amp; Pryor, 1998)</w:t>
      </w:r>
      <w:r>
        <w:rPr>
          <w:sz w:val="24"/>
          <w:szCs w:val="24"/>
        </w:rPr>
        <w:t>. Mae Zineb (2018) yn cefnogi’r datganiad hwn ac yn ychwanegu, trwy ddefnyddio AagD</w:t>
      </w:r>
      <w:r w:rsidR="001C3DA0">
        <w:rPr>
          <w:sz w:val="24"/>
          <w:szCs w:val="24"/>
        </w:rPr>
        <w:t xml:space="preserve"> gall bennu graddfa’r wybodaeth a’r sgiliau a ddatblygwyd gan ddysgwyr. Mae hefyd wedi’I achredu am ddal amser a sylw myfyrwyr ac wrth hynny mae’n creu’r amgylchedd dysgu priodol i gynorthwyo datblygiad trwy ddarparu adborth amserol y mae myfyrwyr yn talu sylw iddo (Gibb &amp; Simpson, 2005). Fodd bynnag, mae Wiliam a Black yn disgrifio AagD fel y broses o gynorthwyo dilyniant yn hytrach na’r camau a gymerywd I leihau’r bylchau dysgu I fyfyrwyr. </w:t>
      </w:r>
      <w:r w:rsidR="008565FF">
        <w:rPr>
          <w:sz w:val="24"/>
          <w:szCs w:val="24"/>
        </w:rPr>
        <w:t xml:space="preserve">Mae astudiaethau I awgrymu bod rhai gwahaniaethau barn wrth defnyddio AagD fel offeryn asesu ar gyfer dilynant trwy gydol y flwyddyn academaidd (Didau, 2014). Mae hyn oherwydd bod angen setiau sgiliau gwahanol ar gyfer dysgu gwahanol themau ac mae gan bob myfyrwyr gryfder a gwendid gwahanol. </w:t>
      </w:r>
    </w:p>
    <w:p w14:paraId="5019416F" w14:textId="49E76DD4" w:rsidR="008565FF" w:rsidRDefault="008565FF" w:rsidP="00223310">
      <w:pPr>
        <w:spacing w:line="360" w:lineRule="auto"/>
        <w:rPr>
          <w:sz w:val="24"/>
          <w:szCs w:val="24"/>
        </w:rPr>
      </w:pPr>
      <w:r>
        <w:rPr>
          <w:sz w:val="24"/>
          <w:szCs w:val="24"/>
        </w:rPr>
        <w:t xml:space="preserve">Mae llenyddiaeth yn awgrymu bod AagD yn cynorthwyo dilynant gan ddefnyddio 3 phrif dechneg: dal, adfyfyrio adnabod, </w:t>
      </w:r>
      <w:r w:rsidR="009738D3">
        <w:rPr>
          <w:sz w:val="24"/>
          <w:szCs w:val="24"/>
        </w:rPr>
        <w:t xml:space="preserve">a nodi dealltwriaeth a gwybodaeth y dysgwyr dros gyfnod o amser. Mae dilyniant disgyblion yn ffacotor sy’n gyrru’r profiad dysgu oherwydd gall athrawon gael gwybodaeth werthfarw am gynnydd eu myfyrwyr (Shepard, 2018). Cyflawni’r hyn trwy asesu myfyrywr trwy gydol y thema; dechrau, canol a diwedd I werthuso’r hyn y mae’r myfyrwyr wedi’I dysgu ac I nodi unrhyw fylchau y neu dysgu. Yna defnyddir I </w:t>
      </w:r>
      <w:r w:rsidR="009738D3">
        <w:rPr>
          <w:sz w:val="24"/>
          <w:szCs w:val="24"/>
        </w:rPr>
        <w:lastRenderedPageBreak/>
        <w:t xml:space="preserve">gynllunio’r camau nesaf wrth I’r myfyrwyr ddysgu diwallau eu hanghenion unigol a chynorthwyo gwella yn y dyfodol. </w:t>
      </w:r>
      <w:r>
        <w:rPr>
          <w:sz w:val="24"/>
          <w:szCs w:val="24"/>
        </w:rPr>
        <w:t xml:space="preserve"> </w:t>
      </w:r>
    </w:p>
    <w:p w14:paraId="4E6D3096" w14:textId="11A40B0A" w:rsidR="009738D3" w:rsidRDefault="009738D3" w:rsidP="00223310">
      <w:pPr>
        <w:spacing w:line="360" w:lineRule="auto"/>
        <w:rPr>
          <w:sz w:val="24"/>
          <w:szCs w:val="24"/>
        </w:rPr>
      </w:pPr>
      <w:r>
        <w:rPr>
          <w:sz w:val="24"/>
          <w:szCs w:val="24"/>
        </w:rPr>
        <w:t xml:space="preserve">Y 4 elfen AagD a drafodwyd yn flaenorol yn cael ei gwerthuo’n </w:t>
      </w:r>
      <w:r w:rsidR="00412301">
        <w:rPr>
          <w:sz w:val="24"/>
          <w:szCs w:val="24"/>
        </w:rPr>
        <w:t>fanylach trwy drafod 3 chy</w:t>
      </w:r>
      <w:r w:rsidR="00661745">
        <w:rPr>
          <w:sz w:val="24"/>
          <w:szCs w:val="24"/>
        </w:rPr>
        <w:t xml:space="preserve">nllun gwers sy’n cynnwys tri allan o’r chew maes dysgu a phrafiuad ar gyfer dosbarth o blant blwyddyn 6. </w:t>
      </w:r>
      <w:r w:rsidR="00661745" w:rsidRPr="00661745">
        <w:rPr>
          <w:sz w:val="24"/>
          <w:szCs w:val="24"/>
        </w:rPr>
        <w:t>Mae'r 3 gwers yn ffitio o fewn y cynllun gwaith cyffredinol, "Genedigaeth Iesu" ac ar ddiwedd y thema bydd pob disgybl yn deall nodweddion erthygl papur newydd ac yn gallu ysgrifennu un yn hyderus.</w:t>
      </w:r>
      <w:r w:rsidR="00661745" w:rsidRPr="00661745">
        <w:t xml:space="preserve"> </w:t>
      </w:r>
      <w:r w:rsidR="00661745" w:rsidRPr="00661745">
        <w:rPr>
          <w:sz w:val="24"/>
          <w:szCs w:val="24"/>
        </w:rPr>
        <w:t>Cynlluniwyd y gwersi ar 3 cham gwahanol o'r thema; dechrau, canol a diwedd, heb unrhyw wybodaeth flaenorol o'r sgiliau, i asesu'r disgyblion a'u dilyniant trwy gydol y thema.</w:t>
      </w:r>
      <w:r w:rsidR="00661745">
        <w:rPr>
          <w:sz w:val="24"/>
          <w:szCs w:val="24"/>
        </w:rPr>
        <w:t xml:space="preserve"> </w:t>
      </w:r>
      <w:r w:rsidR="00661745" w:rsidRPr="00661745">
        <w:rPr>
          <w:sz w:val="24"/>
          <w:szCs w:val="24"/>
        </w:rPr>
        <w:t xml:space="preserve">Yn unol â'r </w:t>
      </w:r>
      <w:r w:rsidR="00661745">
        <w:rPr>
          <w:sz w:val="24"/>
          <w:szCs w:val="24"/>
        </w:rPr>
        <w:t>AagD</w:t>
      </w:r>
      <w:r w:rsidR="00661745" w:rsidRPr="00661745">
        <w:rPr>
          <w:sz w:val="24"/>
          <w:szCs w:val="24"/>
        </w:rPr>
        <w:t xml:space="preserve">, roedd yn hanfodol asesu ble mae'r myfyrwyr, gan wybod lle mae angen i'r myfyriwr gyrraedd, a dangos i'r myfyrwyr sut i gyflawni hyn. Defnyddiwyd </w:t>
      </w:r>
      <w:r w:rsidR="00661745">
        <w:rPr>
          <w:sz w:val="24"/>
          <w:szCs w:val="24"/>
        </w:rPr>
        <w:t>AagD</w:t>
      </w:r>
      <w:r w:rsidR="00661745" w:rsidRPr="00661745">
        <w:rPr>
          <w:sz w:val="24"/>
          <w:szCs w:val="24"/>
        </w:rPr>
        <w:t xml:space="preserve"> i grwpio'r disgyblion yn ôl eu gallu i sicrhau bod gan bob disgybl y gefnogaeth sydd ei hangen arnynt.</w:t>
      </w:r>
    </w:p>
    <w:p w14:paraId="5D4828E4" w14:textId="653D84A2" w:rsidR="00661745" w:rsidRDefault="00661745" w:rsidP="00223310">
      <w:pPr>
        <w:spacing w:line="360" w:lineRule="auto"/>
        <w:rPr>
          <w:sz w:val="24"/>
          <w:szCs w:val="24"/>
        </w:rPr>
      </w:pPr>
      <w:r w:rsidRPr="00661745">
        <w:rPr>
          <w:sz w:val="24"/>
          <w:szCs w:val="24"/>
        </w:rPr>
        <w:t>Mae'r cynllun gwers cyntaf yn canolbwyntio ar faes dysgu a phrofiad Gwyddoniaeth a Thechnoleg (</w:t>
      </w:r>
      <w:r>
        <w:rPr>
          <w:sz w:val="24"/>
          <w:szCs w:val="24"/>
        </w:rPr>
        <w:t>MDaP)</w:t>
      </w:r>
      <w:r w:rsidRPr="00661745">
        <w:rPr>
          <w:sz w:val="24"/>
          <w:szCs w:val="24"/>
        </w:rPr>
        <w:t>. Cyfeiriwch at atodiad 1, lle roedd y myfyrwyr yn canolbwyntio ar ymchwilio i ba nodweddion y mae angen eu cynnwys mewn erthygl papur newydd gan ddefnyddio TGCh, llyfrau Chrome a padiau I.</w:t>
      </w:r>
      <w:r w:rsidR="00845A42">
        <w:rPr>
          <w:sz w:val="24"/>
          <w:szCs w:val="24"/>
        </w:rPr>
        <w:t xml:space="preserve"> </w:t>
      </w:r>
      <w:r w:rsidR="00845A42" w:rsidRPr="00845A42">
        <w:rPr>
          <w:sz w:val="24"/>
          <w:szCs w:val="24"/>
        </w:rPr>
        <w:t>Rhoddodd hyn gyfle i'r myfyrwyr arddangos eu sgiliau TGCh a'u creadigrwydd. Yna cyflwynwyd y wybodaeth a gasglwyd ar ffurf map meddwl. Arweiniodd hyn atynt i ddod i gasgliadau addas am y nodweddion sy'n rhan o erthygl papur newydd, fel teitl, is-benawdau ac arddull ysgrifennu.</w:t>
      </w:r>
    </w:p>
    <w:p w14:paraId="0416252E" w14:textId="51BF4D01" w:rsidR="00845A42" w:rsidRDefault="00845A42" w:rsidP="00223310">
      <w:pPr>
        <w:spacing w:line="360" w:lineRule="auto"/>
        <w:rPr>
          <w:sz w:val="24"/>
          <w:szCs w:val="24"/>
        </w:rPr>
      </w:pPr>
      <w:r w:rsidRPr="00845A42">
        <w:rPr>
          <w:sz w:val="24"/>
          <w:szCs w:val="24"/>
        </w:rPr>
        <w:t>Yr i</w:t>
      </w:r>
      <w:r>
        <w:rPr>
          <w:sz w:val="24"/>
          <w:szCs w:val="24"/>
        </w:rPr>
        <w:t>eithoedd</w:t>
      </w:r>
      <w:r w:rsidRPr="00845A42">
        <w:rPr>
          <w:sz w:val="24"/>
          <w:szCs w:val="24"/>
        </w:rPr>
        <w:t xml:space="preserve">, llythrennedd a chyfathrebu </w:t>
      </w:r>
      <w:r>
        <w:rPr>
          <w:sz w:val="24"/>
          <w:szCs w:val="24"/>
        </w:rPr>
        <w:t>MDaP</w:t>
      </w:r>
      <w:r w:rsidRPr="00845A42">
        <w:rPr>
          <w:sz w:val="24"/>
          <w:szCs w:val="24"/>
        </w:rPr>
        <w:t xml:space="preserve"> oedd canolbwynt yr ail gynllun gwers, atodiad 2. Rhoddodd hyn gyfle i'r dysgwr ddefnyddio ei iaith Gymraeg i fynegi ei safbwynt, archwilio syniadau a dangos ei ddealltwriaeth o'r thema i gynhyrchu erthygl papur newydd effeithiol.</w:t>
      </w:r>
    </w:p>
    <w:p w14:paraId="32FA0B09" w14:textId="37DD2466" w:rsidR="00845A42" w:rsidRDefault="00845A42" w:rsidP="00223310">
      <w:pPr>
        <w:spacing w:line="360" w:lineRule="auto"/>
        <w:rPr>
          <w:sz w:val="24"/>
          <w:szCs w:val="24"/>
        </w:rPr>
      </w:pPr>
      <w:r w:rsidRPr="00845A42">
        <w:rPr>
          <w:sz w:val="24"/>
          <w:szCs w:val="24"/>
        </w:rPr>
        <w:t xml:space="preserve">Roedd y cynllun gwers olaf yn canolbwyntio ar </w:t>
      </w:r>
      <w:r w:rsidR="00E176C2">
        <w:rPr>
          <w:sz w:val="24"/>
          <w:szCs w:val="24"/>
        </w:rPr>
        <w:t xml:space="preserve">y celfyddydau mynegiannol MDaP, </w:t>
      </w:r>
      <w:r w:rsidRPr="00845A42">
        <w:rPr>
          <w:sz w:val="24"/>
          <w:szCs w:val="24"/>
        </w:rPr>
        <w:t>atodiad 3 yn unol â'r datganiad Beth sy'n bwysig trwy archwilio'r maes hwn trwy ddeall a chydnabod yr ymchwil maen nhw wedi'i ddarganfod trwy greu gwaith artistiaid sy'n arddangos yr achlysur.</w:t>
      </w:r>
    </w:p>
    <w:p w14:paraId="59E16E43" w14:textId="33B42A13" w:rsidR="00814F12" w:rsidRDefault="00814F12" w:rsidP="00223310">
      <w:pPr>
        <w:spacing w:line="360" w:lineRule="auto"/>
        <w:rPr>
          <w:sz w:val="24"/>
          <w:szCs w:val="24"/>
        </w:rPr>
      </w:pPr>
      <w:r>
        <w:rPr>
          <w:sz w:val="24"/>
          <w:szCs w:val="24"/>
        </w:rPr>
        <w:t>A</w:t>
      </w:r>
      <w:r w:rsidR="00986DAE">
        <w:rPr>
          <w:sz w:val="24"/>
          <w:szCs w:val="24"/>
        </w:rPr>
        <w:t>dolygiad llenyddiaeth</w:t>
      </w:r>
    </w:p>
    <w:p w14:paraId="31CC1C38" w14:textId="12D2D3C5" w:rsidR="00986DAE" w:rsidRDefault="004A6167" w:rsidP="00223310">
      <w:pPr>
        <w:spacing w:line="360" w:lineRule="auto"/>
        <w:rPr>
          <w:sz w:val="24"/>
          <w:szCs w:val="24"/>
        </w:rPr>
      </w:pPr>
      <w:r w:rsidRPr="004A6167">
        <w:rPr>
          <w:sz w:val="24"/>
          <w:szCs w:val="24"/>
        </w:rPr>
        <w:lastRenderedPageBreak/>
        <w:t xml:space="preserve">Mae asesu wedi cael ei yrru gan ganlyniadau ac fe'i cynhaliwyd ers canrifoedd mewn ysgolion. Mae </w:t>
      </w:r>
      <w:r>
        <w:rPr>
          <w:sz w:val="24"/>
          <w:szCs w:val="24"/>
        </w:rPr>
        <w:t>AagD</w:t>
      </w:r>
      <w:r w:rsidRPr="004A6167">
        <w:rPr>
          <w:sz w:val="24"/>
          <w:szCs w:val="24"/>
        </w:rPr>
        <w:t xml:space="preserve"> yn arfer addysgol a gyflwynwyd yn ddiweddar ac a ddeilliodd o ymchwil yr athrawon Paul Black a Dylan William (1998). Mae'n ddull sy'n canolbwyntio ar ddatblygiad parhaus myfyriwr i nodi'r bwlch yn ei ddysgu a faint y mae'n rhaid iddo ei wella (Zineb, 2018).</w:t>
      </w:r>
      <w:r w:rsidR="00D179F6">
        <w:rPr>
          <w:sz w:val="24"/>
          <w:szCs w:val="24"/>
        </w:rPr>
        <w:t xml:space="preserve"> </w:t>
      </w:r>
      <w:r w:rsidR="00D179F6" w:rsidRPr="00D179F6">
        <w:rPr>
          <w:sz w:val="24"/>
          <w:szCs w:val="24"/>
        </w:rPr>
        <w:t>Er mwyn i hyn ddigwydd, mae Stobart yn awgrymu bod y broses asesu ar gyfer dysgu yn broses gymdeithasol weithredol, lle mae'r unigolyn yn deall sut i wella trwy adeiladu ar yr hyn sy'n hysbys eisoes.</w:t>
      </w:r>
      <w:r w:rsidR="00EC6123">
        <w:rPr>
          <w:sz w:val="24"/>
          <w:szCs w:val="24"/>
        </w:rPr>
        <w:t xml:space="preserve"> </w:t>
      </w:r>
      <w:r w:rsidR="001845F4">
        <w:rPr>
          <w:sz w:val="24"/>
          <w:szCs w:val="24"/>
        </w:rPr>
        <w:t>Ychwanegwyd</w:t>
      </w:r>
      <w:r w:rsidR="00EC6123" w:rsidRPr="00EC6123">
        <w:rPr>
          <w:sz w:val="24"/>
          <w:szCs w:val="24"/>
        </w:rPr>
        <w:t xml:space="preserve"> Sadler (1989) bod yn rhaid i athrawon alluogi myfyrwyr i ddeall y nodau neu'r safonau y mae angen iddynt eu cyflawni i wella eu perfformiad cyfredol ac yna eu tywys i gau'r bwlch yn eu dysgu. Mae un astudiaeth (Kirton et al, 2007) yn nodi bod 78% o athrawon yn cytuno bod A</w:t>
      </w:r>
      <w:r w:rsidR="00276C89">
        <w:rPr>
          <w:sz w:val="24"/>
          <w:szCs w:val="24"/>
        </w:rPr>
        <w:t xml:space="preserve">agD </w:t>
      </w:r>
      <w:r w:rsidR="00EC6123" w:rsidRPr="00EC6123">
        <w:rPr>
          <w:sz w:val="24"/>
          <w:szCs w:val="24"/>
        </w:rPr>
        <w:t>yn creu awyrgylch sy'n cynorthwyo dilyniant gan ei fod yn dangos y bylchau yn nysgu'r myfyrwyr.</w:t>
      </w:r>
    </w:p>
    <w:p w14:paraId="5EBD1977" w14:textId="02722BDC" w:rsidR="00EC1B0D" w:rsidRDefault="00EC1B0D" w:rsidP="00223310">
      <w:pPr>
        <w:spacing w:line="360" w:lineRule="auto"/>
        <w:rPr>
          <w:sz w:val="24"/>
          <w:szCs w:val="24"/>
        </w:rPr>
      </w:pPr>
      <w:r w:rsidRPr="00EC1B0D">
        <w:rPr>
          <w:sz w:val="24"/>
          <w:szCs w:val="24"/>
        </w:rPr>
        <w:t xml:space="preserve">Yn ôl cwricwlwm newydd Cymru mae </w:t>
      </w:r>
      <w:r w:rsidR="000C23DB">
        <w:rPr>
          <w:sz w:val="24"/>
          <w:szCs w:val="24"/>
        </w:rPr>
        <w:t>AagD</w:t>
      </w:r>
      <w:r w:rsidRPr="00EC1B0D">
        <w:rPr>
          <w:sz w:val="24"/>
          <w:szCs w:val="24"/>
        </w:rPr>
        <w:t xml:space="preserve"> yn hanfodol ar gyfer datblygiad y myfyrwyr. Mae'r cwricwlwm newydd yn nodi bod syniadau allweddol newydd ar gyfer </w:t>
      </w:r>
      <w:r w:rsidR="00584B99">
        <w:rPr>
          <w:sz w:val="24"/>
          <w:szCs w:val="24"/>
        </w:rPr>
        <w:t>AagD</w:t>
      </w:r>
      <w:r w:rsidRPr="00EC1B0D">
        <w:rPr>
          <w:sz w:val="24"/>
          <w:szCs w:val="24"/>
        </w:rPr>
        <w:t xml:space="preserve">, 4 dull </w:t>
      </w:r>
      <w:r w:rsidR="00477B29">
        <w:rPr>
          <w:sz w:val="24"/>
          <w:szCs w:val="24"/>
        </w:rPr>
        <w:t xml:space="preserve">yw’r rhan pwysicaf sef </w:t>
      </w:r>
      <w:r w:rsidRPr="00EC1B0D">
        <w:rPr>
          <w:sz w:val="24"/>
          <w:szCs w:val="24"/>
        </w:rPr>
        <w:t xml:space="preserve">gwestiynu, adborth, hunan </w:t>
      </w:r>
      <w:r w:rsidR="00650C2B">
        <w:rPr>
          <w:sz w:val="24"/>
          <w:szCs w:val="24"/>
        </w:rPr>
        <w:t xml:space="preserve">a </w:t>
      </w:r>
      <w:r w:rsidRPr="00EC1B0D">
        <w:rPr>
          <w:sz w:val="24"/>
          <w:szCs w:val="24"/>
        </w:rPr>
        <w:t>cy</w:t>
      </w:r>
      <w:r w:rsidR="00650C2B">
        <w:rPr>
          <w:sz w:val="24"/>
          <w:szCs w:val="24"/>
        </w:rPr>
        <w:t>foedion asesu</w:t>
      </w:r>
      <w:r w:rsidRPr="00EC1B0D">
        <w:rPr>
          <w:sz w:val="24"/>
          <w:szCs w:val="24"/>
        </w:rPr>
        <w:t xml:space="preserve"> a meini prawf llwyddiant (Florez &amp; Sammons, 2013). Mae'r holl strategaethau hyn yn cael eu hystyried yn bwysig nid yn unig i fyfyrwyr ond hefyd ar gyfer gwella ymarfer athrawon yn yr ystafell ddosbarth, gan awgrymu bod dull </w:t>
      </w:r>
      <w:r w:rsidR="00650C2B">
        <w:rPr>
          <w:sz w:val="24"/>
          <w:szCs w:val="24"/>
        </w:rPr>
        <w:t>AagD</w:t>
      </w:r>
      <w:r w:rsidRPr="00EC1B0D">
        <w:rPr>
          <w:sz w:val="24"/>
          <w:szCs w:val="24"/>
        </w:rPr>
        <w:t xml:space="preserve"> yn helpu athrawon ac ysgolion i fabwysiadu dull sy'n canolbwyntio mwy ar ddysgu sy'n tynhau'r berthynas rhwng myfyrwyr ac athrawon (Azua &amp; Bick, 2009).</w:t>
      </w:r>
    </w:p>
    <w:p w14:paraId="4B3001E7" w14:textId="3670EF0F" w:rsidR="00BD1EB2" w:rsidRDefault="00BD1EB2" w:rsidP="00223310">
      <w:pPr>
        <w:spacing w:line="360" w:lineRule="auto"/>
        <w:rPr>
          <w:sz w:val="24"/>
          <w:szCs w:val="24"/>
        </w:rPr>
      </w:pPr>
      <w:r w:rsidRPr="00BD1EB2">
        <w:rPr>
          <w:sz w:val="24"/>
          <w:szCs w:val="24"/>
        </w:rPr>
        <w:t>Mae cytundeb yn y rhan fwyaf o'r llenyddiaeth am fuddion A</w:t>
      </w:r>
      <w:r w:rsidR="0006144F">
        <w:rPr>
          <w:sz w:val="24"/>
          <w:szCs w:val="24"/>
        </w:rPr>
        <w:t>agD</w:t>
      </w:r>
      <w:r w:rsidRPr="00BD1EB2">
        <w:rPr>
          <w:sz w:val="24"/>
          <w:szCs w:val="24"/>
        </w:rPr>
        <w:t xml:space="preserve"> i broffesiynoldeb athrawon ac arferion addysgu (Webb &amp; Jones). Fodd bynnag, mae'n bwysig nodi'r anawsterau ymarferol i'w hystyried wrth gyflwyno A</w:t>
      </w:r>
      <w:r w:rsidR="0006144F">
        <w:rPr>
          <w:sz w:val="24"/>
          <w:szCs w:val="24"/>
        </w:rPr>
        <w:t>agD</w:t>
      </w:r>
      <w:r w:rsidRPr="00BD1EB2">
        <w:rPr>
          <w:sz w:val="24"/>
          <w:szCs w:val="24"/>
        </w:rPr>
        <w:t xml:space="preserve">. Mae astudiaethau gan Black and Atkinn (1996) yn tynnu sylw at yr elfen amser i gyflwyno'r strategaethau a'r syniadau </w:t>
      </w:r>
      <w:r w:rsidR="000C434D">
        <w:rPr>
          <w:sz w:val="24"/>
          <w:szCs w:val="24"/>
        </w:rPr>
        <w:t xml:space="preserve">yn eu </w:t>
      </w:r>
      <w:r w:rsidRPr="00BD1EB2">
        <w:rPr>
          <w:sz w:val="24"/>
          <w:szCs w:val="24"/>
        </w:rPr>
        <w:t xml:space="preserve">cynlluniau gwersi ar gyfer athrawon sydd eisoes yn ei chael hi'n anodd </w:t>
      </w:r>
      <w:r w:rsidR="00925423">
        <w:rPr>
          <w:sz w:val="24"/>
          <w:szCs w:val="24"/>
        </w:rPr>
        <w:t>gyda llwyth gwaith mawr.</w:t>
      </w:r>
      <w:r w:rsidR="00DC6364">
        <w:rPr>
          <w:sz w:val="24"/>
          <w:szCs w:val="24"/>
        </w:rPr>
        <w:t xml:space="preserve"> </w:t>
      </w:r>
      <w:r w:rsidR="000B05B9" w:rsidRPr="000B05B9">
        <w:rPr>
          <w:sz w:val="24"/>
          <w:szCs w:val="24"/>
        </w:rPr>
        <w:t xml:space="preserve">Fodd bynnag, codwyd rhai pryderon gan astudiaeth ddiweddar (McDonald &amp; Boud, 2007) nad oes digon o amser i hyfforddi’r athrawon i ddeall y cymhlethdod sy’n gysylltiedig ag </w:t>
      </w:r>
      <w:r w:rsidR="00D00E9A">
        <w:rPr>
          <w:sz w:val="24"/>
          <w:szCs w:val="24"/>
        </w:rPr>
        <w:t>AagD</w:t>
      </w:r>
      <w:r w:rsidR="000B05B9" w:rsidRPr="000B05B9">
        <w:rPr>
          <w:sz w:val="24"/>
          <w:szCs w:val="24"/>
        </w:rPr>
        <w:t xml:space="preserve"> ac felly’n cael effaith negyddol ar ddatblygiad a phrofiad dysgu’r myfyriwr.</w:t>
      </w:r>
      <w:r w:rsidR="000B05B9">
        <w:rPr>
          <w:sz w:val="24"/>
          <w:szCs w:val="24"/>
        </w:rPr>
        <w:t xml:space="preserve"> </w:t>
      </w:r>
      <w:r w:rsidR="000B05B9" w:rsidRPr="000B05B9">
        <w:rPr>
          <w:sz w:val="24"/>
          <w:szCs w:val="24"/>
        </w:rPr>
        <w:t>Os na ddysgir prosesau A</w:t>
      </w:r>
      <w:r w:rsidR="00664458">
        <w:rPr>
          <w:sz w:val="24"/>
          <w:szCs w:val="24"/>
        </w:rPr>
        <w:t>agD</w:t>
      </w:r>
      <w:r w:rsidR="000B05B9" w:rsidRPr="000B05B9">
        <w:rPr>
          <w:sz w:val="24"/>
          <w:szCs w:val="24"/>
        </w:rPr>
        <w:t xml:space="preserve"> i athrawon ac nad oes ganddynt y wybodaeth na'r ffydd i'w ddatblygu yn eu hystafell ddosbarth, gallai hyn fod yn rhwystr mawr i'w lwyddiant.</w:t>
      </w:r>
    </w:p>
    <w:p w14:paraId="659BF1D3" w14:textId="6E791382" w:rsidR="00147B09" w:rsidRDefault="00147B09" w:rsidP="00223310">
      <w:pPr>
        <w:spacing w:line="360" w:lineRule="auto"/>
        <w:rPr>
          <w:sz w:val="24"/>
          <w:szCs w:val="24"/>
        </w:rPr>
      </w:pPr>
      <w:r w:rsidRPr="00147B09">
        <w:rPr>
          <w:sz w:val="24"/>
          <w:szCs w:val="24"/>
        </w:rPr>
        <w:t>Ymchwiliwyd i ddull cwestiynu A</w:t>
      </w:r>
      <w:r w:rsidR="00BE45A6">
        <w:rPr>
          <w:sz w:val="24"/>
          <w:szCs w:val="24"/>
        </w:rPr>
        <w:t>agD gan</w:t>
      </w:r>
      <w:r w:rsidRPr="00147B09">
        <w:rPr>
          <w:sz w:val="24"/>
          <w:szCs w:val="24"/>
        </w:rPr>
        <w:t xml:space="preserve"> Harlen (2009) a sylwodd fod y cwestiynau a ofynnir gan athrawon yn aml yn methu herio eu myfyrwyr, ac na roddwyd digon o amser i ganiatáu i </w:t>
      </w:r>
      <w:r w:rsidRPr="00147B09">
        <w:rPr>
          <w:sz w:val="24"/>
          <w:szCs w:val="24"/>
        </w:rPr>
        <w:lastRenderedPageBreak/>
        <w:t xml:space="preserve">fyfyrwyr ymhelaethu ar ateb (Ko, Sammons &amp; Bakkum, 2013). </w:t>
      </w:r>
      <w:r w:rsidR="00D9246A">
        <w:rPr>
          <w:sz w:val="24"/>
          <w:szCs w:val="24"/>
        </w:rPr>
        <w:t xml:space="preserve">Pwysigrwydd o </w:t>
      </w:r>
      <w:r w:rsidR="00C01883">
        <w:rPr>
          <w:sz w:val="24"/>
          <w:szCs w:val="24"/>
        </w:rPr>
        <w:t>g</w:t>
      </w:r>
      <w:r w:rsidR="00D9246A">
        <w:rPr>
          <w:sz w:val="24"/>
          <w:szCs w:val="24"/>
        </w:rPr>
        <w:t xml:space="preserve">westiynu </w:t>
      </w:r>
      <w:r w:rsidRPr="00147B09">
        <w:rPr>
          <w:sz w:val="24"/>
          <w:szCs w:val="24"/>
        </w:rPr>
        <w:t xml:space="preserve">yn y cwricwlwm newydd </w:t>
      </w:r>
      <w:r w:rsidR="00723EEE">
        <w:rPr>
          <w:sz w:val="24"/>
          <w:szCs w:val="24"/>
        </w:rPr>
        <w:t xml:space="preserve">wedi ei aethpwyd </w:t>
      </w:r>
      <w:r w:rsidRPr="00147B09">
        <w:rPr>
          <w:sz w:val="24"/>
          <w:szCs w:val="24"/>
        </w:rPr>
        <w:t>trwy gynyddu'r amser aros am ymatebion a gwella ansawdd cwestiynau (Gipps et al 2005). Mae'r amser aros yn arwain at ddatblygu sgil meddwl uwch i ateb cwestiynau ac yn ei dro yn cynorthwyo dilyniant myfyrwyr (Torrance a Pryor, 2001).</w:t>
      </w:r>
    </w:p>
    <w:p w14:paraId="4E9EB01D" w14:textId="658DFE62" w:rsidR="006E10B3" w:rsidRDefault="00E22F4B" w:rsidP="00223310">
      <w:pPr>
        <w:spacing w:line="360" w:lineRule="auto"/>
        <w:rPr>
          <w:sz w:val="24"/>
          <w:szCs w:val="24"/>
        </w:rPr>
      </w:pPr>
      <w:r w:rsidRPr="00E22F4B">
        <w:rPr>
          <w:sz w:val="24"/>
          <w:szCs w:val="24"/>
        </w:rPr>
        <w:t xml:space="preserve">Mae pwysigrwydd adborth o ansawdd da yn cael ei ystyried yn agwedd sylfaenol ar </w:t>
      </w:r>
      <w:r>
        <w:rPr>
          <w:sz w:val="24"/>
          <w:szCs w:val="24"/>
        </w:rPr>
        <w:t>AagD</w:t>
      </w:r>
      <w:r w:rsidRPr="00E22F4B">
        <w:rPr>
          <w:sz w:val="24"/>
          <w:szCs w:val="24"/>
        </w:rPr>
        <w:t xml:space="preserve"> (MacPhail &amp; Halbert, 2010). Fodd bynnag, canfu astudiaeth gan Butler (1987) y gall adborth ddod yn gymhariaeth a chystadleuaeth rhwng myfyrwyr ac y gallai niweidio eu hunan-barch os </w:t>
      </w:r>
      <w:r w:rsidR="007A43D7">
        <w:rPr>
          <w:sz w:val="24"/>
          <w:szCs w:val="24"/>
        </w:rPr>
        <w:t xml:space="preserve">gall </w:t>
      </w:r>
      <w:r w:rsidRPr="00E22F4B">
        <w:rPr>
          <w:sz w:val="24"/>
          <w:szCs w:val="24"/>
        </w:rPr>
        <w:t xml:space="preserve">farciau is na'u cyfoedion. Yn ogystal, </w:t>
      </w:r>
      <w:r w:rsidR="00D80B90">
        <w:rPr>
          <w:sz w:val="24"/>
          <w:szCs w:val="24"/>
        </w:rPr>
        <w:t>awgrymwyd</w:t>
      </w:r>
      <w:r w:rsidRPr="00E22F4B">
        <w:rPr>
          <w:sz w:val="24"/>
          <w:szCs w:val="24"/>
        </w:rPr>
        <w:t xml:space="preserve"> llenyddiaeth bod adborth yn cymryd llawer o amser i'r athro a'r myfyriwr. Mae angen amser ar athrawon ar gyfer eu datblygiad proffesiynol eu hunain i allu darparu adborth sy'n amserol ac wedi'i eirio'n gywir.</w:t>
      </w:r>
      <w:r w:rsidR="008C08DD">
        <w:rPr>
          <w:sz w:val="24"/>
          <w:szCs w:val="24"/>
        </w:rPr>
        <w:t xml:space="preserve"> </w:t>
      </w:r>
      <w:r w:rsidR="008C08DD" w:rsidRPr="008C08DD">
        <w:rPr>
          <w:sz w:val="24"/>
          <w:szCs w:val="24"/>
        </w:rPr>
        <w:t>Mae perygl na fydd myfyrwyr naill ai</w:t>
      </w:r>
      <w:r w:rsidR="00416543">
        <w:rPr>
          <w:sz w:val="24"/>
          <w:szCs w:val="24"/>
        </w:rPr>
        <w:t xml:space="preserve"> ddim</w:t>
      </w:r>
      <w:r w:rsidR="008C08DD" w:rsidRPr="008C08DD">
        <w:rPr>
          <w:sz w:val="24"/>
          <w:szCs w:val="24"/>
        </w:rPr>
        <w:t xml:space="preserve"> wedi darllen yr adborth, neu efallai ei fod wedi'i ysgrifennu mewn iaith lefel uwch nad ydyn nhw'n ei deall, gan ei gwneud yn ddiystyr. </w:t>
      </w:r>
      <w:r w:rsidR="006B70C6">
        <w:rPr>
          <w:sz w:val="24"/>
          <w:szCs w:val="24"/>
        </w:rPr>
        <w:t xml:space="preserve">Dros </w:t>
      </w:r>
      <w:r w:rsidR="008C08DD" w:rsidRPr="008C08DD">
        <w:rPr>
          <w:sz w:val="24"/>
          <w:szCs w:val="24"/>
        </w:rPr>
        <w:t>amser, byddai hyn yn cael effaith niweidiol ar eu dilyniant (Black et al, 2010). Fodd bynnag, mae Carless (2005) yn cytuno ma</w:t>
      </w:r>
      <w:r w:rsidR="00EB1C18">
        <w:rPr>
          <w:sz w:val="24"/>
          <w:szCs w:val="24"/>
        </w:rPr>
        <w:t>e</w:t>
      </w:r>
      <w:r w:rsidR="008C08DD" w:rsidRPr="008C08DD">
        <w:rPr>
          <w:sz w:val="24"/>
          <w:szCs w:val="24"/>
        </w:rPr>
        <w:t xml:space="preserve"> adborth yw'r ffordd orau i gynorthwyo dilyniant gan y profwyd ei fod yn cynyddu dysgu a chodi cyflawniad. Ar y llaw arall, daeth adolygiad o 39 astudiaeth (Black et al, 2010) i’r casgliad bod gan y broses o ysgrifennu sylwadau yn llyfrau’r myfyrwyr fudd mawr gan wella dysgu proffesiynol yr athrawon eu hunain. Mae'r broses hon yn rhoi tystiolaeth weledol i'r athrawon ac yn rhoi cyfle iddynt werthuso ansawdd eu tasgau dysgu a sut y cawsant eu cynllunio.</w:t>
      </w:r>
    </w:p>
    <w:p w14:paraId="20D97259" w14:textId="0C8ABDBB" w:rsidR="00C31602" w:rsidRDefault="00C31602" w:rsidP="00223310">
      <w:pPr>
        <w:spacing w:line="360" w:lineRule="auto"/>
        <w:rPr>
          <w:sz w:val="24"/>
          <w:szCs w:val="24"/>
        </w:rPr>
      </w:pPr>
      <w:r w:rsidRPr="00C31602">
        <w:rPr>
          <w:sz w:val="24"/>
          <w:szCs w:val="24"/>
        </w:rPr>
        <w:t xml:space="preserve">Nodir cyfoedion a hunanasesu am fod yn strategaeth dda i fyfyrwyr ddatblygu eu dysgu mewn perthynas â'u gwaith eu hunain (Ofsted, 2008). Herir hyn gan astudiaeth (Black et al, 2010) sydd wedi dangos bod llawer o fyfyrwyr, yn enwedig y rhai o allu is, yn ei chael yn anodd hunanasesu gan nad yw'r rhan fwyaf o fyfyrwyr yn gyfarwydd â meddwl am eu gwaith mewn perthynas â nodau dysgu a dadlau ei bod yn cymryd amser a hyfforddiant i ddeall eu proses ddysgu eu hunain a gweithredu arni. Mae hyn yn gofyn am </w:t>
      </w:r>
      <w:r w:rsidR="00211F4D">
        <w:rPr>
          <w:sz w:val="24"/>
          <w:szCs w:val="24"/>
        </w:rPr>
        <w:t>feini</w:t>
      </w:r>
      <w:r w:rsidRPr="00C31602">
        <w:rPr>
          <w:sz w:val="24"/>
          <w:szCs w:val="24"/>
        </w:rPr>
        <w:t xml:space="preserve"> prawf llwyddiant er mwyn i fyfyrwyr allu deall yr hyn y mae'n rhaid iddynt ei gyflawni i symud ymlaen. Fodd bynnag, gellir dadlau bod myfyrwyr yn arddangos lefel uwch o waith wrth gael eu marcio neu eu harsylwi gan eu cyfoedion, yn hytrach na'u hathro gan fod yr iaith y mae eu cyfoedion yn ei defnyddio yn fwy dealladwy a hygyrch (Kirton et al, 2007).</w:t>
      </w:r>
    </w:p>
    <w:p w14:paraId="1C9BA9B6" w14:textId="5054D9D4" w:rsidR="00E06B90" w:rsidRDefault="00E06B90" w:rsidP="00223310">
      <w:pPr>
        <w:spacing w:line="360" w:lineRule="auto"/>
        <w:rPr>
          <w:sz w:val="24"/>
          <w:szCs w:val="24"/>
        </w:rPr>
      </w:pPr>
      <w:r w:rsidRPr="00E06B90">
        <w:rPr>
          <w:sz w:val="24"/>
          <w:szCs w:val="24"/>
        </w:rPr>
        <w:lastRenderedPageBreak/>
        <w:t xml:space="preserve">Mae defnyddio meini prawf llwyddiant yn bwysig fel offeryn </w:t>
      </w:r>
      <w:r w:rsidR="00E355FC">
        <w:rPr>
          <w:sz w:val="24"/>
          <w:szCs w:val="24"/>
        </w:rPr>
        <w:t>AagD</w:t>
      </w:r>
      <w:r w:rsidRPr="00E06B90">
        <w:rPr>
          <w:sz w:val="24"/>
          <w:szCs w:val="24"/>
        </w:rPr>
        <w:t xml:space="preserve"> gan ei fod yn caniatáu i fyfyrwyr fod yn gyfrifol am eu gwaith, gan eu bod yn deall sut i gyflawni'r nodau a osodwyd iddynt (Rice, 2015). Mae gan bob plentyn wahanol gryfderau a gwendidau a thrwy ddarparu meini prawf llwyddiant unigol mae'n caniatáu i fyfyrwyr fod yn llwyddiannus yn eu tasg tra hefyd yn ei dro yn caniatáu i fyfyrwyr ymestyn eu dysgu pan fo hynny'n briodol. Fodd bynnag, mae adolygiad llenyddiaeth yn awgrymu y gall meini prawf llwyddiant arwain at hunan-barch isel (Hargreaves, Gibbs &amp; Pickering, 2005) os nad yw'r myfyrwyr yn gallu cyrraedd y meini prawf llwyddiant gofynnol </w:t>
      </w:r>
      <w:r w:rsidR="003E2C3D">
        <w:rPr>
          <w:sz w:val="24"/>
          <w:szCs w:val="24"/>
        </w:rPr>
        <w:t xml:space="preserve">yn gallu </w:t>
      </w:r>
      <w:r w:rsidRPr="00E06B90">
        <w:rPr>
          <w:sz w:val="24"/>
          <w:szCs w:val="24"/>
        </w:rPr>
        <w:t>gael effaith groes i ymddieithrio'r dysgwr ac arwain at diffyg hyder. Gallai hefyd arwain at ddatblygu cystadleurwydd afiach â'u cyfoedion. Os yw myfyriwr yn methu â deall sut i gyflawni'r meini prawf llwyddiant, yna mae'n annhebygol iawn o lwyddo (Black a Wiliam 1998).</w:t>
      </w:r>
    </w:p>
    <w:p w14:paraId="6EE7DFCC" w14:textId="3A33A110" w:rsidR="00EB53D8" w:rsidRDefault="00EB53D8" w:rsidP="00223310">
      <w:pPr>
        <w:spacing w:line="360" w:lineRule="auto"/>
        <w:rPr>
          <w:sz w:val="24"/>
          <w:szCs w:val="24"/>
        </w:rPr>
      </w:pPr>
      <w:r w:rsidRPr="00EB53D8">
        <w:rPr>
          <w:sz w:val="24"/>
          <w:szCs w:val="24"/>
        </w:rPr>
        <w:t>Mae llywodraeth Cymru yn diffinio egwyddor allweddol A</w:t>
      </w:r>
      <w:r w:rsidR="000570CE">
        <w:rPr>
          <w:sz w:val="24"/>
          <w:szCs w:val="24"/>
        </w:rPr>
        <w:t>agD</w:t>
      </w:r>
      <w:r w:rsidRPr="00EB53D8">
        <w:rPr>
          <w:sz w:val="24"/>
          <w:szCs w:val="24"/>
        </w:rPr>
        <w:t xml:space="preserve"> fel un sy'n cefnogi dilyniant pob dysgwr unigol mewn perthynas â'r continwwm 3 - 16. Cyflawnir hyn trwy drafod meini prawf llwyddiant gyda'r myfyrwyr, gan eu helpu i ddeall sut a beth sydd ei angen arnynt i gyflawni a gwella. Mae'r dechneg hon yn helpu i gynyddu cymhelliant, ymgysylltiad a ffocws (Brookhart, 2001). Felly, mae'r prosesau A</w:t>
      </w:r>
      <w:r w:rsidR="000570CE">
        <w:rPr>
          <w:sz w:val="24"/>
          <w:szCs w:val="24"/>
        </w:rPr>
        <w:t>agD</w:t>
      </w:r>
      <w:r w:rsidRPr="00EB53D8">
        <w:rPr>
          <w:sz w:val="24"/>
          <w:szCs w:val="24"/>
        </w:rPr>
        <w:t xml:space="preserve"> yn annog y myfyrwyr i fod yn rhan o hunanarfarnu ac asesu eu cyfoedion ac yn hyrwyddo trafodaeth rhwng y dysgwr a'r athro, gan helpu i adeiladu bond rhwng y ddau a gwell dealltwriaeth o'u hanghenion.</w:t>
      </w:r>
      <w:r w:rsidR="00EC22DF">
        <w:rPr>
          <w:sz w:val="24"/>
          <w:szCs w:val="24"/>
        </w:rPr>
        <w:t xml:space="preserve"> </w:t>
      </w:r>
      <w:r w:rsidR="00EC22DF" w:rsidRPr="00EC22DF">
        <w:rPr>
          <w:sz w:val="24"/>
          <w:szCs w:val="24"/>
        </w:rPr>
        <w:t xml:space="preserve">Mae'r strategaethau hyn yn helpu i wella myfyrwyr i ddysgu sut i feddwl yn feirniadol ac yn ei dro wella lefel eu gwybodaeth a'u sgil. Fodd bynnag, mae Earl (2003) yn anghytuno â gwerthuso perfformiad myfyrwyr trwy ddarparu adborth </w:t>
      </w:r>
      <w:r w:rsidR="003D1A9A">
        <w:rPr>
          <w:sz w:val="24"/>
          <w:szCs w:val="24"/>
        </w:rPr>
        <w:t>yn y ffordd yma</w:t>
      </w:r>
      <w:r w:rsidR="00EC22DF" w:rsidRPr="00EC22DF">
        <w:rPr>
          <w:sz w:val="24"/>
          <w:szCs w:val="24"/>
        </w:rPr>
        <w:t xml:space="preserve"> ac mae Torrance (2007) yn cefnogi hyn ac yn credu ei fod yn rhoi straen ychwanegol ar y myfyrwyr a dim ond yn lleihau hyder, nid yn ei godi, os ydyn nhw'n dal i gael yr un sylwadau ar sut i wella.</w:t>
      </w:r>
    </w:p>
    <w:p w14:paraId="4BD38640" w14:textId="20EAE2B9" w:rsidR="00A91A6B" w:rsidRDefault="00A91A6B" w:rsidP="00223310">
      <w:pPr>
        <w:spacing w:line="360" w:lineRule="auto"/>
        <w:rPr>
          <w:sz w:val="24"/>
          <w:szCs w:val="24"/>
        </w:rPr>
      </w:pPr>
      <w:r w:rsidRPr="00A91A6B">
        <w:rPr>
          <w:sz w:val="24"/>
          <w:szCs w:val="24"/>
        </w:rPr>
        <w:t>Mae'n bwysig nodi y bu sawl cwestiwn am y gwahanol ddulliau a sut allwn ni adeiladu arnyn nhw? Gofynnwyd cwestiynau megis a yw blaenoriaethau a chynlluniau presennol yr ysgol hon yn gwerthfawrogi dysgu myfyrwyr fel prif flaenoriaeth? Ac ym mha agwedd mae'r athrawon wedi'u hyfforddi i allu defnyddio A</w:t>
      </w:r>
      <w:r w:rsidR="00B335ED">
        <w:rPr>
          <w:sz w:val="24"/>
          <w:szCs w:val="24"/>
        </w:rPr>
        <w:t>agD</w:t>
      </w:r>
      <w:r w:rsidRPr="00A91A6B">
        <w:rPr>
          <w:sz w:val="24"/>
          <w:szCs w:val="24"/>
        </w:rPr>
        <w:t xml:space="preserve"> a'i dechnegau yn hyderus i annog dysgu a chynorthwyo dilyniant? Gellid dadlau nad yw cyflwyno </w:t>
      </w:r>
      <w:r w:rsidR="008D5AD1">
        <w:rPr>
          <w:sz w:val="24"/>
          <w:szCs w:val="24"/>
        </w:rPr>
        <w:t>AagD</w:t>
      </w:r>
      <w:r w:rsidRPr="00A91A6B">
        <w:rPr>
          <w:sz w:val="24"/>
          <w:szCs w:val="24"/>
        </w:rPr>
        <w:t xml:space="preserve"> yn syml ac yn wir yn cael ei herio gan </w:t>
      </w:r>
      <w:r w:rsidR="008D5AD1">
        <w:rPr>
          <w:sz w:val="24"/>
          <w:szCs w:val="24"/>
        </w:rPr>
        <w:t>B</w:t>
      </w:r>
      <w:r w:rsidRPr="00A91A6B">
        <w:rPr>
          <w:sz w:val="24"/>
          <w:szCs w:val="24"/>
        </w:rPr>
        <w:t>lack et al (2010) sy'n credu bod angen i fyfyrwyr hyfforddi ar sut i asesu eu cyfoedion. Hefyd a oes gan athrawon y sgiliau a'r wybodaeth angenrheidiol i nodi eu harferion A</w:t>
      </w:r>
      <w:r w:rsidR="008D5AD1">
        <w:rPr>
          <w:sz w:val="24"/>
          <w:szCs w:val="24"/>
        </w:rPr>
        <w:t>agD</w:t>
      </w:r>
      <w:r w:rsidRPr="00A91A6B">
        <w:rPr>
          <w:sz w:val="24"/>
          <w:szCs w:val="24"/>
        </w:rPr>
        <w:t xml:space="preserve"> cyfredol a'u haddasu i weddu i'w hanghenion ystafell ddosbarth?</w:t>
      </w:r>
    </w:p>
    <w:p w14:paraId="725F8E0B" w14:textId="3B3C9BFF" w:rsidR="00CF72BA" w:rsidRDefault="00CF72BA" w:rsidP="00223310">
      <w:pPr>
        <w:spacing w:line="360" w:lineRule="auto"/>
        <w:rPr>
          <w:sz w:val="24"/>
          <w:szCs w:val="24"/>
        </w:rPr>
      </w:pPr>
      <w:r>
        <w:rPr>
          <w:sz w:val="24"/>
          <w:szCs w:val="24"/>
        </w:rPr>
        <w:lastRenderedPageBreak/>
        <w:t>Ff</w:t>
      </w:r>
      <w:r w:rsidRPr="00CF72BA">
        <w:rPr>
          <w:sz w:val="24"/>
          <w:szCs w:val="24"/>
        </w:rPr>
        <w:t xml:space="preserve">ordd i annog cyflwyno </w:t>
      </w:r>
      <w:r>
        <w:rPr>
          <w:sz w:val="24"/>
          <w:szCs w:val="24"/>
        </w:rPr>
        <w:t>AagD</w:t>
      </w:r>
      <w:r w:rsidRPr="00CF72BA">
        <w:rPr>
          <w:sz w:val="24"/>
          <w:szCs w:val="24"/>
        </w:rPr>
        <w:t xml:space="preserve"> yw rhoi amser i athrawon gynllunio'n dda trwy eu hannog i farcio llai ond i farcio'n well (Black et al, 2010). Argymhellir hefyd bod ysgolion yn cymryd rhan mewn gwerthuso parhaus o newidiadau mewn arferion yn unol â dulliau A</w:t>
      </w:r>
      <w:r w:rsidR="001333DE">
        <w:rPr>
          <w:sz w:val="24"/>
          <w:szCs w:val="24"/>
        </w:rPr>
        <w:t>agD</w:t>
      </w:r>
      <w:r w:rsidRPr="00CF72BA">
        <w:rPr>
          <w:sz w:val="24"/>
          <w:szCs w:val="24"/>
        </w:rPr>
        <w:t>. At hynny, argymhellir targedau mewn arferion dysgu ac addysgu sy'n cynnwys arsylwi yn yr ystafell ddosbarth ac astudio gwaith myfyrwyr.</w:t>
      </w:r>
    </w:p>
    <w:p w14:paraId="7EDB7A7D" w14:textId="77777777" w:rsidR="00AF5217" w:rsidRPr="00AF5217" w:rsidRDefault="00AF5217" w:rsidP="00AF5217">
      <w:pPr>
        <w:spacing w:line="360" w:lineRule="auto"/>
        <w:rPr>
          <w:sz w:val="24"/>
          <w:szCs w:val="24"/>
          <w:u w:val="single"/>
        </w:rPr>
      </w:pPr>
      <w:r w:rsidRPr="00AF5217">
        <w:rPr>
          <w:sz w:val="24"/>
          <w:szCs w:val="24"/>
          <w:u w:val="single"/>
        </w:rPr>
        <w:t>Cynlluniau gwersi</w:t>
      </w:r>
    </w:p>
    <w:p w14:paraId="0F55E0B9" w14:textId="54DBE30B" w:rsidR="00AF5217" w:rsidRDefault="00AF5217" w:rsidP="00AF5217">
      <w:pPr>
        <w:spacing w:line="360" w:lineRule="auto"/>
        <w:rPr>
          <w:sz w:val="24"/>
          <w:szCs w:val="24"/>
        </w:rPr>
      </w:pPr>
      <w:r w:rsidRPr="00AF5217">
        <w:rPr>
          <w:sz w:val="24"/>
          <w:szCs w:val="24"/>
        </w:rPr>
        <w:t>Yn yr adran hon o'r traethawd, byddaf yn dadansoddi dulliau A</w:t>
      </w:r>
      <w:r w:rsidR="00501C8B">
        <w:rPr>
          <w:sz w:val="24"/>
          <w:szCs w:val="24"/>
        </w:rPr>
        <w:t>agD</w:t>
      </w:r>
      <w:r w:rsidRPr="00AF5217">
        <w:rPr>
          <w:sz w:val="24"/>
          <w:szCs w:val="24"/>
        </w:rPr>
        <w:t xml:space="preserve"> trwy drafod fy 3 chynllun gwers. Mae'r 3 chynllun gwers hyn yn cynnwys </w:t>
      </w:r>
      <w:r w:rsidR="00501C8B">
        <w:rPr>
          <w:sz w:val="24"/>
          <w:szCs w:val="24"/>
        </w:rPr>
        <w:t>MDaP</w:t>
      </w:r>
      <w:r w:rsidRPr="00AF5217">
        <w:rPr>
          <w:sz w:val="24"/>
          <w:szCs w:val="24"/>
        </w:rPr>
        <w:t xml:space="preserve"> gwyddoniaeth a thechnoleg lle mae angen i'r myfyrwyr ymchwilio i'r nodweddion y mae angen eu cynnwys mewn erthygl papur newydd. Yr ail gynllun gwers yw iaith, llenyddiaeth a chyfathrebu </w:t>
      </w:r>
      <w:r w:rsidR="00BD66F1">
        <w:rPr>
          <w:sz w:val="24"/>
          <w:szCs w:val="24"/>
        </w:rPr>
        <w:t>MDaP</w:t>
      </w:r>
      <w:r w:rsidRPr="00AF5217">
        <w:rPr>
          <w:sz w:val="24"/>
          <w:szCs w:val="24"/>
        </w:rPr>
        <w:t xml:space="preserve"> sy'n rhoi cyfle i'r myfyrwyr ysgrifennu erthygl papur newydd yn eu llyfrau gwaith. Y trydydd cynllun gwers yw celfyddydau mynegiadol </w:t>
      </w:r>
      <w:r w:rsidR="00BD66F1">
        <w:rPr>
          <w:sz w:val="24"/>
          <w:szCs w:val="24"/>
        </w:rPr>
        <w:t>MDap</w:t>
      </w:r>
      <w:r w:rsidRPr="00AF5217">
        <w:rPr>
          <w:sz w:val="24"/>
          <w:szCs w:val="24"/>
        </w:rPr>
        <w:t xml:space="preserve"> lle mae angen i'r myfyrwyr dynnu llun</w:t>
      </w:r>
      <w:r w:rsidR="00CE75C5">
        <w:rPr>
          <w:sz w:val="24"/>
          <w:szCs w:val="24"/>
        </w:rPr>
        <w:t xml:space="preserve">iau er mwyn adlweyrchu digwyddiadau. </w:t>
      </w:r>
    </w:p>
    <w:p w14:paraId="124926DB" w14:textId="77777777" w:rsidR="003B1DE2" w:rsidRPr="003B1DE2" w:rsidRDefault="003B1DE2" w:rsidP="003B1DE2">
      <w:pPr>
        <w:spacing w:line="360" w:lineRule="auto"/>
        <w:rPr>
          <w:sz w:val="24"/>
          <w:szCs w:val="24"/>
          <w:u w:val="single"/>
        </w:rPr>
      </w:pPr>
      <w:r w:rsidRPr="003B1DE2">
        <w:rPr>
          <w:sz w:val="24"/>
          <w:szCs w:val="24"/>
          <w:u w:val="single"/>
        </w:rPr>
        <w:t>Gwers 1</w:t>
      </w:r>
    </w:p>
    <w:p w14:paraId="5E858DC0" w14:textId="25A0B52D" w:rsidR="003B1DE2" w:rsidRDefault="003B1DE2" w:rsidP="003B1DE2">
      <w:pPr>
        <w:spacing w:line="360" w:lineRule="auto"/>
        <w:rPr>
          <w:sz w:val="24"/>
          <w:szCs w:val="24"/>
        </w:rPr>
      </w:pPr>
      <w:r w:rsidRPr="003B1DE2">
        <w:rPr>
          <w:sz w:val="24"/>
          <w:szCs w:val="24"/>
        </w:rPr>
        <w:t xml:space="preserve">I gyflwyno'r modiwl newydd, penderfynais ddefnyddio gwyddoniaeth a thechnoleg </w:t>
      </w:r>
      <w:r w:rsidR="001D53B4">
        <w:rPr>
          <w:sz w:val="24"/>
          <w:szCs w:val="24"/>
        </w:rPr>
        <w:t>MDaP</w:t>
      </w:r>
      <w:r w:rsidRPr="003B1DE2">
        <w:rPr>
          <w:sz w:val="24"/>
          <w:szCs w:val="24"/>
        </w:rPr>
        <w:t xml:space="preserve"> i'r disgyblion ymchwilio i'r nodwedd</w:t>
      </w:r>
      <w:r w:rsidR="001D53B4">
        <w:rPr>
          <w:sz w:val="24"/>
          <w:szCs w:val="24"/>
        </w:rPr>
        <w:t>ion</w:t>
      </w:r>
      <w:r w:rsidRPr="003B1DE2">
        <w:rPr>
          <w:sz w:val="24"/>
          <w:szCs w:val="24"/>
        </w:rPr>
        <w:t xml:space="preserve"> </w:t>
      </w:r>
      <w:r w:rsidR="00250612">
        <w:rPr>
          <w:sz w:val="24"/>
          <w:szCs w:val="24"/>
        </w:rPr>
        <w:t>sy’n cael ei cynwys mewn e</w:t>
      </w:r>
      <w:r w:rsidRPr="003B1DE2">
        <w:rPr>
          <w:sz w:val="24"/>
          <w:szCs w:val="24"/>
        </w:rPr>
        <w:t>rthygl papur newydd. Yn ôl yr hyn sy'n bwysig mae datganiadau o'r cwricwlwm newydd yn chwilfrydig ac yn chwilio am atebion yn hanfodol i ddeall a rhagfynegi ffenomenau (Llywodraeth Cymru, 2021). O hyn roeddwn i eisiau i'r myfyrwyr ddangos dilyniant wrth werthuso dulliau i awgrymu gwelliant. Egwyddorion dilyniant y wers hon yw cynyddu ehangder a dyfnder gwybodaeth trwy archwilio a phrofi syniadau cynyddol gymhleth sy'n rhan o'r datganiad beth sy'n bwysig (Llywodraeth Cymru, 2021).</w:t>
      </w:r>
    </w:p>
    <w:p w14:paraId="347FD5B8" w14:textId="353ECBBD" w:rsidR="000246EB" w:rsidRDefault="000246EB" w:rsidP="003B1DE2">
      <w:pPr>
        <w:spacing w:line="360" w:lineRule="auto"/>
        <w:rPr>
          <w:sz w:val="24"/>
          <w:szCs w:val="24"/>
        </w:rPr>
      </w:pPr>
      <w:r w:rsidRPr="000246EB">
        <w:rPr>
          <w:sz w:val="24"/>
          <w:szCs w:val="24"/>
        </w:rPr>
        <w:t xml:space="preserve">Mae'r cyflwyniad yn dechrau </w:t>
      </w:r>
      <w:r>
        <w:rPr>
          <w:sz w:val="24"/>
          <w:szCs w:val="24"/>
        </w:rPr>
        <w:t xml:space="preserve">wrth </w:t>
      </w:r>
      <w:r w:rsidRPr="000246EB">
        <w:rPr>
          <w:sz w:val="24"/>
          <w:szCs w:val="24"/>
        </w:rPr>
        <w:t xml:space="preserve">defnyddio techneg o'r enw Dwyn I Gof. Gofynnir cwestiynau i asesu gwybodaeth a dealltwriaeth o’r gwersi blaenorol. Er enghraifft, “Atgoffwch fi o'r hyn wnaethon ni ei ddysgu yn y wers ddoe?”. Mae hyn yn helpu i nodi bylchau yn eu gwybodaeth ac wrth i bob gwers ddilyn ymlaen o'r </w:t>
      </w:r>
      <w:r w:rsidR="005C5789">
        <w:rPr>
          <w:sz w:val="24"/>
          <w:szCs w:val="24"/>
        </w:rPr>
        <w:t>lall</w:t>
      </w:r>
      <w:r w:rsidRPr="000246EB">
        <w:rPr>
          <w:sz w:val="24"/>
          <w:szCs w:val="24"/>
        </w:rPr>
        <w:t>, os nad oedd y myfyrwyr yn deall y wers flaenorol, yna maent yn annhebygol o lwyddo yn y wers hon. Mae ymchwil yn awgrymu bod y strategaeth hon yn bwysig ar gyfer datblygiad myfyriwr gan ei bod yn atgyfnerthu'r myfyrwyr i feddwl am eu gwybodaeth flaenorol ac yn ei dro yn gwneud i'r myfyrwyr gofio mwy, mae hyn yn helpu i ddatblygu dysgu annibynnol Rhad (2021)</w:t>
      </w:r>
      <w:r w:rsidR="001508CA">
        <w:rPr>
          <w:sz w:val="24"/>
          <w:szCs w:val="24"/>
        </w:rPr>
        <w:t xml:space="preserve">. </w:t>
      </w:r>
      <w:r w:rsidRPr="000246EB">
        <w:rPr>
          <w:sz w:val="24"/>
          <w:szCs w:val="24"/>
        </w:rPr>
        <w:t xml:space="preserve">Fodd </w:t>
      </w:r>
      <w:r w:rsidRPr="000246EB">
        <w:rPr>
          <w:sz w:val="24"/>
          <w:szCs w:val="24"/>
        </w:rPr>
        <w:lastRenderedPageBreak/>
        <w:t>bynnag,</w:t>
      </w:r>
      <w:r w:rsidR="001508CA">
        <w:rPr>
          <w:sz w:val="24"/>
          <w:szCs w:val="24"/>
        </w:rPr>
        <w:t xml:space="preserve"> anghytunwyd cherney</w:t>
      </w:r>
      <w:r w:rsidRPr="000246EB">
        <w:rPr>
          <w:sz w:val="24"/>
          <w:szCs w:val="24"/>
        </w:rPr>
        <w:t xml:space="preserve"> (2008</w:t>
      </w:r>
      <w:r w:rsidR="001508CA">
        <w:rPr>
          <w:sz w:val="24"/>
          <w:szCs w:val="24"/>
        </w:rPr>
        <w:t>)</w:t>
      </w:r>
      <w:r w:rsidR="00F32C3B">
        <w:rPr>
          <w:sz w:val="24"/>
          <w:szCs w:val="24"/>
        </w:rPr>
        <w:t xml:space="preserve"> </w:t>
      </w:r>
      <w:r w:rsidRPr="000246EB">
        <w:rPr>
          <w:sz w:val="24"/>
          <w:szCs w:val="24"/>
        </w:rPr>
        <w:t xml:space="preserve">gan y gall effeithio ar hyder y myfyriwr os yw'n methu â chofio, yn enwedig myfyrwyr </w:t>
      </w:r>
      <w:r w:rsidR="00F32C3B">
        <w:rPr>
          <w:sz w:val="24"/>
          <w:szCs w:val="24"/>
        </w:rPr>
        <w:t xml:space="preserve">sydd a </w:t>
      </w:r>
      <w:r w:rsidRPr="000246EB">
        <w:rPr>
          <w:sz w:val="24"/>
          <w:szCs w:val="24"/>
        </w:rPr>
        <w:t>gallu is.</w:t>
      </w:r>
      <w:r w:rsidR="00F32C3B">
        <w:rPr>
          <w:sz w:val="24"/>
          <w:szCs w:val="24"/>
        </w:rPr>
        <w:t xml:space="preserve"> </w:t>
      </w:r>
      <w:r w:rsidR="00182D6C">
        <w:rPr>
          <w:sz w:val="24"/>
          <w:szCs w:val="24"/>
        </w:rPr>
        <w:t>A</w:t>
      </w:r>
      <w:r w:rsidR="00F32C3B">
        <w:rPr>
          <w:sz w:val="24"/>
          <w:szCs w:val="24"/>
        </w:rPr>
        <w:t>nghy</w:t>
      </w:r>
      <w:r w:rsidR="00182D6C">
        <w:rPr>
          <w:sz w:val="24"/>
          <w:szCs w:val="24"/>
        </w:rPr>
        <w:t>tunwyd</w:t>
      </w:r>
      <w:r w:rsidRPr="000246EB">
        <w:rPr>
          <w:sz w:val="24"/>
          <w:szCs w:val="24"/>
        </w:rPr>
        <w:t xml:space="preserve"> Fries-Gathier (20</w:t>
      </w:r>
      <w:r w:rsidR="00182D6C">
        <w:rPr>
          <w:sz w:val="24"/>
          <w:szCs w:val="24"/>
        </w:rPr>
        <w:t xml:space="preserve">08) </w:t>
      </w:r>
      <w:r w:rsidRPr="000246EB">
        <w:rPr>
          <w:sz w:val="24"/>
          <w:szCs w:val="24"/>
        </w:rPr>
        <w:t xml:space="preserve">trwy gredu bod </w:t>
      </w:r>
      <w:r w:rsidR="00682216">
        <w:rPr>
          <w:sz w:val="24"/>
          <w:szCs w:val="24"/>
        </w:rPr>
        <w:t>y strategaeth</w:t>
      </w:r>
      <w:r w:rsidRPr="000246EB">
        <w:rPr>
          <w:sz w:val="24"/>
          <w:szCs w:val="24"/>
        </w:rPr>
        <w:t xml:space="preserve"> yn cynnwys myfyrwyr yn y wers yn weithredol, gan gynyddu eu diddordeb cymhelliant a’u hymgysylltiad.</w:t>
      </w:r>
    </w:p>
    <w:p w14:paraId="42201E95" w14:textId="3CED4AD5" w:rsidR="007C2BDC" w:rsidRDefault="007C2BDC" w:rsidP="003B1DE2">
      <w:pPr>
        <w:spacing w:line="360" w:lineRule="auto"/>
        <w:rPr>
          <w:sz w:val="24"/>
          <w:szCs w:val="24"/>
        </w:rPr>
      </w:pPr>
      <w:r w:rsidRPr="007C2BDC">
        <w:rPr>
          <w:sz w:val="24"/>
          <w:szCs w:val="24"/>
        </w:rPr>
        <w:t>Yn ystod y cyflwyniad, defnyddiwyd y meddwl-pâ</w:t>
      </w:r>
      <w:r w:rsidR="00DC478D">
        <w:rPr>
          <w:sz w:val="24"/>
          <w:szCs w:val="24"/>
        </w:rPr>
        <w:t>- rhannu</w:t>
      </w:r>
      <w:r w:rsidRPr="007C2BDC">
        <w:rPr>
          <w:sz w:val="24"/>
          <w:szCs w:val="24"/>
        </w:rPr>
        <w:t xml:space="preserve"> techneg. Dyma strategaeth A</w:t>
      </w:r>
      <w:r w:rsidR="007B46CA">
        <w:rPr>
          <w:sz w:val="24"/>
          <w:szCs w:val="24"/>
        </w:rPr>
        <w:t xml:space="preserve">agD </w:t>
      </w:r>
      <w:r w:rsidRPr="007C2BDC">
        <w:rPr>
          <w:sz w:val="24"/>
          <w:szCs w:val="24"/>
        </w:rPr>
        <w:t xml:space="preserve">arall sy'n caniatáu meddwl yn unigol ac yn annog asesu </w:t>
      </w:r>
      <w:r w:rsidR="000503B8">
        <w:rPr>
          <w:sz w:val="24"/>
          <w:szCs w:val="24"/>
        </w:rPr>
        <w:t xml:space="preserve">cyfoedion </w:t>
      </w:r>
      <w:r w:rsidRPr="007C2BDC">
        <w:rPr>
          <w:sz w:val="24"/>
          <w:szCs w:val="24"/>
        </w:rPr>
        <w:t xml:space="preserve">a chyflwyno </w:t>
      </w:r>
      <w:r w:rsidR="000503B8">
        <w:rPr>
          <w:sz w:val="24"/>
          <w:szCs w:val="24"/>
        </w:rPr>
        <w:t>sydd</w:t>
      </w:r>
      <w:r w:rsidRPr="007C2BDC">
        <w:rPr>
          <w:sz w:val="24"/>
          <w:szCs w:val="24"/>
        </w:rPr>
        <w:t xml:space="preserve"> ymhen amser, yn cynyddu hyder myfyrwyr. </w:t>
      </w:r>
      <w:r w:rsidR="0043486D">
        <w:rPr>
          <w:sz w:val="24"/>
          <w:szCs w:val="24"/>
        </w:rPr>
        <w:t xml:space="preserve">Gweithiwyd </w:t>
      </w:r>
      <w:r w:rsidRPr="007C2BDC">
        <w:rPr>
          <w:sz w:val="24"/>
          <w:szCs w:val="24"/>
        </w:rPr>
        <w:t>meddwl-pâr</w:t>
      </w:r>
      <w:r w:rsidR="0043486D">
        <w:rPr>
          <w:sz w:val="24"/>
          <w:szCs w:val="24"/>
        </w:rPr>
        <w:t xml:space="preserve">- </w:t>
      </w:r>
      <w:r w:rsidRPr="007C2BDC">
        <w:rPr>
          <w:sz w:val="24"/>
          <w:szCs w:val="24"/>
        </w:rPr>
        <w:t>rhannu trwy ofyn y cwestiwn yn gyntaf a gofyn i'r myfyrwyr dreulio ychydig funudau yn meddwl amdano yn unigol ac yna nodi rhai nodiadau ar fwrdd gwyn. Nesaf, bydd y myfyrwyr yn paru gyda myfyriwr arall ac yn rhannu eu hymatebion yn eu tro am ychydig funudau pellach, gan nodi tebygrwydd a gwahaniaethau. Os ydyn nhw'n anghytuno neu'n cytuno, anogir y myfyrwyr i grynhoi safbwyntiau ei gilydd fel y gallant esbonio pam a sut (Barkley a Major, 2018).</w:t>
      </w:r>
      <w:r w:rsidR="006072AC">
        <w:rPr>
          <w:sz w:val="24"/>
          <w:szCs w:val="24"/>
        </w:rPr>
        <w:t xml:space="preserve"> </w:t>
      </w:r>
      <w:r w:rsidR="00723B5E" w:rsidRPr="00723B5E">
        <w:rPr>
          <w:sz w:val="24"/>
          <w:szCs w:val="24"/>
        </w:rPr>
        <w:t>Yn olaf, byddai'r parau yn rhannu eu hymatebion gyda'r dosbarth cyfan. Un o brif fanteision rhannu meddwl yw'r amser aros. Mae caniatáu i'r myfyrwyr gael amser meddwl distaw yn gyfle hanfodol iddynt adfer eu gwybodaeth flaenorol a threfnu eu meddyliau. Trwy ganiatáu amser i'r myfyrwyr fyfyrio ar eu barn gyda'r cyfoedion, byddai ansawdd y drafodaeth yn cynyddu (Sampsel, 2013). Fodd bynnag, mae cyfyngiadau i'r strategaeth hon fel mae disgyblion yn aml yn eistedd gyda ffrindiau ac efallai y bydd angen rheswm arnynt i fondio â chyfoedion y tu allan i'w rhwydwaith cymdeithasol, gan roi'r cyfle i ddod i adnabod eraill y tu allan i'w rhwydwaith cymdeithasol (Todman, 2018).</w:t>
      </w:r>
      <w:r w:rsidR="000422DA">
        <w:rPr>
          <w:sz w:val="24"/>
          <w:szCs w:val="24"/>
        </w:rPr>
        <w:t xml:space="preserve"> </w:t>
      </w:r>
      <w:r w:rsidR="00A0336D">
        <w:rPr>
          <w:sz w:val="24"/>
          <w:szCs w:val="24"/>
        </w:rPr>
        <w:t>O d</w:t>
      </w:r>
      <w:r w:rsidR="000422DA" w:rsidRPr="000422DA">
        <w:rPr>
          <w:sz w:val="24"/>
          <w:szCs w:val="24"/>
        </w:rPr>
        <w:t>dweud hyn, mae'n fygythiad, os nad yw myfyrwyr yn gyfarwydd â'u cyfoedion, yna mae'n debyg na fyddant yn rhannu eu syniadau, gan deimlo'n anghyfforddus ac yn ansicr. Wedi'i phrofi gan Lange, Costley a Han (2016) mae'r strategaeth rhannu meddwl yn gwella ansawdd ymatebion disgyblion ac yn sicrhau bod dysgwyr yn ymuno'n fwy cyfartal o'u cymharu â thechneg amgen. Awgrymodd eu hymchwil fod hyn oherwydd strwythur ac amser aros y strategaeth.</w:t>
      </w:r>
    </w:p>
    <w:p w14:paraId="40513924" w14:textId="4EF941AF" w:rsidR="00BE1EA6" w:rsidRDefault="00BE1EA6" w:rsidP="003B1DE2">
      <w:pPr>
        <w:spacing w:line="360" w:lineRule="auto"/>
        <w:rPr>
          <w:sz w:val="24"/>
          <w:szCs w:val="24"/>
        </w:rPr>
      </w:pPr>
      <w:r w:rsidRPr="00BE1EA6">
        <w:rPr>
          <w:sz w:val="24"/>
          <w:szCs w:val="24"/>
        </w:rPr>
        <w:t>Y dasg gyntaf oedd nodi ar fap meddwl nodweddiado</w:t>
      </w:r>
      <w:r w:rsidR="0068049D">
        <w:rPr>
          <w:sz w:val="24"/>
          <w:szCs w:val="24"/>
        </w:rPr>
        <w:t>n</w:t>
      </w:r>
      <w:r w:rsidRPr="00BE1EA6">
        <w:rPr>
          <w:sz w:val="24"/>
          <w:szCs w:val="24"/>
        </w:rPr>
        <w:t xml:space="preserve"> y dylid ei gynnwys mewn erthygl papur newydd. Ar ôl ei gwblhau gofynnwyd i'r myfyrwyr ymchwilio i nodweddion erthygl papur newydd, gan ddefnyddio llyfr crôm. Yna roedd yn ofynnol iddynt gynhyrchu map meddwl arall i gymharu'r gwahaniaeth mewn gwybodaeth cyn ac ar ôl </w:t>
      </w:r>
      <w:r w:rsidR="00D40727">
        <w:rPr>
          <w:sz w:val="24"/>
          <w:szCs w:val="24"/>
        </w:rPr>
        <w:t>ymchwilio</w:t>
      </w:r>
      <w:r w:rsidRPr="00BE1EA6">
        <w:rPr>
          <w:sz w:val="24"/>
          <w:szCs w:val="24"/>
        </w:rPr>
        <w:t xml:space="preserve">, er mwyn helpu i asesu'r hyn roeddent wedi'i ddysgu. Trwy gwblhau'r map meddwl ar ddechrau'r dasg mae'n dangos yn glir y meddyliau a'r syniadau a drefnwyd o amgylch y pwnc. Yn ôl Pewsey </w:t>
      </w:r>
      <w:r w:rsidRPr="00BE1EA6">
        <w:rPr>
          <w:sz w:val="24"/>
          <w:szCs w:val="24"/>
        </w:rPr>
        <w:lastRenderedPageBreak/>
        <w:t xml:space="preserve">(2020) mae mapio meddwl yn rhoi rhyddid i fyfyrwyr ddehongli pynciau yn eu ffordd eu hunain a gwneud eu cysylltiadau </w:t>
      </w:r>
      <w:r w:rsidR="00303A11">
        <w:rPr>
          <w:sz w:val="24"/>
          <w:szCs w:val="24"/>
        </w:rPr>
        <w:t>annibynnol</w:t>
      </w:r>
      <w:r w:rsidRPr="00BE1EA6">
        <w:rPr>
          <w:sz w:val="24"/>
          <w:szCs w:val="24"/>
        </w:rPr>
        <w:t xml:space="preserve"> rhwng syniadau. Mae defnyddio delweddau, lliwiau ac allweddeiriau hefyd yn sicrhau bod myfyrwyr yn ymrwymo'r wybodaeth y maen nhw'n meddwl amdani i'w cof, gan ei gwneud yn offeryn asesu delfrydol. Fodd bynnag, mae McClean (2019) yn anghytuno ac yn credu y gall defnyddio mapio meddwl ar gyfer asesu fod yn hawdd </w:t>
      </w:r>
      <w:r w:rsidR="0054099C">
        <w:rPr>
          <w:sz w:val="24"/>
          <w:szCs w:val="24"/>
        </w:rPr>
        <w:t xml:space="preserve">i </w:t>
      </w:r>
      <w:r w:rsidRPr="00BE1EA6">
        <w:rPr>
          <w:sz w:val="24"/>
          <w:szCs w:val="24"/>
        </w:rPr>
        <w:t>or-gymhlethu a gall fod yn flêr ar bapur, yn enwedig wrth ddefnyddio beiro a phapur i ysgrifennu, gan ei gwneud hi'n anodd asesu'r hyn maen nhw wedi'i ddysgu.</w:t>
      </w:r>
    </w:p>
    <w:p w14:paraId="04485734" w14:textId="77777777" w:rsidR="00CB6F15" w:rsidRPr="00CB6F15" w:rsidRDefault="00CB6F15" w:rsidP="00CB6F15">
      <w:pPr>
        <w:spacing w:line="360" w:lineRule="auto"/>
        <w:rPr>
          <w:sz w:val="24"/>
          <w:szCs w:val="24"/>
          <w:u w:val="single"/>
        </w:rPr>
      </w:pPr>
      <w:r w:rsidRPr="00CB6F15">
        <w:rPr>
          <w:sz w:val="24"/>
          <w:szCs w:val="24"/>
          <w:u w:val="single"/>
        </w:rPr>
        <w:t>Ail gynllun gwers</w:t>
      </w:r>
    </w:p>
    <w:p w14:paraId="4499F5BE" w14:textId="65616506" w:rsidR="00CB6F15" w:rsidRDefault="00CB6F15" w:rsidP="00CB6F15">
      <w:pPr>
        <w:spacing w:line="360" w:lineRule="auto"/>
        <w:rPr>
          <w:sz w:val="24"/>
          <w:szCs w:val="24"/>
        </w:rPr>
      </w:pPr>
      <w:r w:rsidRPr="00CB6F15">
        <w:rPr>
          <w:sz w:val="24"/>
          <w:szCs w:val="24"/>
        </w:rPr>
        <w:t xml:space="preserve">Dewiswyd yr ieithoedd, llythrennedd a chyfathrebu </w:t>
      </w:r>
      <w:r w:rsidR="00144FF0">
        <w:rPr>
          <w:sz w:val="24"/>
          <w:szCs w:val="24"/>
        </w:rPr>
        <w:t xml:space="preserve">MDaP </w:t>
      </w:r>
      <w:r w:rsidRPr="00CB6F15">
        <w:rPr>
          <w:sz w:val="24"/>
          <w:szCs w:val="24"/>
        </w:rPr>
        <w:t>i alluogi'r myfyrwyr i ysgrifennu eu herthygl papur newydd gan ddefnyddio'r wybodaeth a ymchwiliwyd ganddynt yn y wers flaenorol. Yn ôl datganiadau beth sy'n bwysig yn y cwricwlwm newydd, mae'r adran hon yn seiliedig ar y gallu gan y myfyrwyr i ddefnyddio'r Gymraeg mewn cyd-destun (Llywordaeth Cymru, 2021). Gall hyn arwain at falchder yn eu synnwyr o hunaniaeth a pherthyn i Gymru. Roeddwn i eisiau i'r myfyrwyr ddangos cynnydd yn eu dealltwriaeth a gallu dwyn i gof yn fwy manwl ystyr gyffredinol yr hyn a ddysgon nhw. Cyflawnir egwyddorion dilyniant y wers hon trwy ofyn cwestiynau cynyddol soffistigedig a fydd yn helpu i ddatblygu'r sgiliau iaith sy'n angenrheidiol i drafod a gwerthuso erthygl y papur newydd.</w:t>
      </w:r>
    </w:p>
    <w:p w14:paraId="71C22CE2" w14:textId="6E21A194" w:rsidR="00612D0E" w:rsidRDefault="00612D0E" w:rsidP="00CB6F15">
      <w:pPr>
        <w:spacing w:line="360" w:lineRule="auto"/>
        <w:rPr>
          <w:sz w:val="24"/>
          <w:szCs w:val="24"/>
        </w:rPr>
      </w:pPr>
      <w:r w:rsidRPr="00612D0E">
        <w:rPr>
          <w:sz w:val="24"/>
          <w:szCs w:val="24"/>
        </w:rPr>
        <w:t>Ar ddechrau'r cyflwy</w:t>
      </w:r>
      <w:r w:rsidR="0005575B">
        <w:rPr>
          <w:sz w:val="24"/>
          <w:szCs w:val="24"/>
        </w:rPr>
        <w:t>niad</w:t>
      </w:r>
      <w:r w:rsidRPr="00612D0E">
        <w:rPr>
          <w:sz w:val="24"/>
          <w:szCs w:val="24"/>
        </w:rPr>
        <w:t xml:space="preserve"> defnyddiwyd</w:t>
      </w:r>
      <w:r w:rsidR="0005575B">
        <w:rPr>
          <w:sz w:val="24"/>
          <w:szCs w:val="24"/>
        </w:rPr>
        <w:t xml:space="preserve"> gem cwis</w:t>
      </w:r>
      <w:r w:rsidRPr="00612D0E">
        <w:rPr>
          <w:sz w:val="24"/>
          <w:szCs w:val="24"/>
        </w:rPr>
        <w:t xml:space="preserve"> Kahoot i asesu gwybodaeth </w:t>
      </w:r>
      <w:r w:rsidR="007D1B06">
        <w:rPr>
          <w:sz w:val="24"/>
          <w:szCs w:val="24"/>
        </w:rPr>
        <w:t>gwybodaeth wrth gefn</w:t>
      </w:r>
      <w:r w:rsidR="003B3B2F">
        <w:rPr>
          <w:sz w:val="24"/>
          <w:szCs w:val="24"/>
        </w:rPr>
        <w:t xml:space="preserve"> </w:t>
      </w:r>
      <w:r w:rsidRPr="00612D0E">
        <w:rPr>
          <w:sz w:val="24"/>
          <w:szCs w:val="24"/>
        </w:rPr>
        <w:t>y myfyrwyr o'r wers flaenorol. Rhoddwyd set o gwestiynau amlddewis i'r disgyblion ac roedd yn ofynnol iddynt eu hateb ar eu dyfeisiau eu hunain. Arddangoswyd y cwestiwn ar sgrin a rennir i uno'r wers.</w:t>
      </w:r>
      <w:r w:rsidR="00F66E80">
        <w:rPr>
          <w:sz w:val="24"/>
          <w:szCs w:val="24"/>
        </w:rPr>
        <w:t xml:space="preserve"> Wrth defnyddio cwis</w:t>
      </w:r>
      <w:r w:rsidRPr="00612D0E">
        <w:rPr>
          <w:sz w:val="24"/>
          <w:szCs w:val="24"/>
        </w:rPr>
        <w:t xml:space="preserve"> Kahoot</w:t>
      </w:r>
      <w:r w:rsidR="00F66E80">
        <w:rPr>
          <w:sz w:val="24"/>
          <w:szCs w:val="24"/>
        </w:rPr>
        <w:t xml:space="preserve"> mae na</w:t>
      </w:r>
      <w:r w:rsidRPr="00612D0E">
        <w:rPr>
          <w:sz w:val="24"/>
          <w:szCs w:val="24"/>
        </w:rPr>
        <w:t xml:space="preserve"> sawl enillion dysgu: mae'n helpu gydag ymgysylltu â disgyblion wrth iddo sefydlu cystadleuaeth yn erbyn ei gilydd ac mae hefyd yn apelio at bob disgybl, yn enwedig y rhai nad ydyn nhw'n hoffi codi eu llaw i ateb cwestiynau rhag ofn iddyn nhw ei gael anghywir. Yn yr achos hwn, diwallwyd anghenion pob disgybl ac felly byddant yn dysgu mwy.</w:t>
      </w:r>
      <w:r w:rsidR="00625A52">
        <w:rPr>
          <w:sz w:val="24"/>
          <w:szCs w:val="24"/>
        </w:rPr>
        <w:t xml:space="preserve"> </w:t>
      </w:r>
      <w:r w:rsidR="00625A52" w:rsidRPr="00625A52">
        <w:rPr>
          <w:sz w:val="24"/>
          <w:szCs w:val="24"/>
        </w:rPr>
        <w:t xml:space="preserve">Yn ogystal, gall athrawon asesu'n gyflym pa feysydd y mae'r myfyrwyr yn llwyddiannus ynddynt a meysydd lle maent wedi dangos bylchau dysgu. Gall myfyrwyr hefyd hunanasesu i weld ble maen nhw'n mynd o'i le sy'n helpu i'w datblygu'n ddysgwyr annibynnol ac sydd yn ei dro yn magu eu hyder. Yna gall yr athro a'r myfyriwr weithio gyda'i gilydd i ddewis strategaeth ddysgu briodol i gynyddu perfformiad yn y meysydd a nodwyd ar gyfer datblygu. Gan fod </w:t>
      </w:r>
      <w:r w:rsidR="00242728">
        <w:rPr>
          <w:sz w:val="24"/>
          <w:szCs w:val="24"/>
        </w:rPr>
        <w:t>M</w:t>
      </w:r>
      <w:r w:rsidR="001829A1">
        <w:rPr>
          <w:sz w:val="24"/>
          <w:szCs w:val="24"/>
        </w:rPr>
        <w:t>DaP</w:t>
      </w:r>
      <w:r w:rsidR="00625A52" w:rsidRPr="00625A52">
        <w:rPr>
          <w:sz w:val="24"/>
          <w:szCs w:val="24"/>
        </w:rPr>
        <w:t xml:space="preserve"> yn broses barhaus, mae'r dechneg o gynllunio cwis yn golygu y gall myfyrwyr ac athrawon weld dilyniant y </w:t>
      </w:r>
      <w:r w:rsidR="00625A52" w:rsidRPr="00625A52">
        <w:rPr>
          <w:sz w:val="24"/>
          <w:szCs w:val="24"/>
        </w:rPr>
        <w:lastRenderedPageBreak/>
        <w:t xml:space="preserve">myfyrwyr, gan eu bod yn gallu gweld eu sgorau ar-lein, mae Tuttle (2011) yn cytuno ac yn ychwanegu y gall athrawon sylwi ar batrymau fel “Mae </w:t>
      </w:r>
      <w:r w:rsidR="001829A1">
        <w:rPr>
          <w:sz w:val="24"/>
          <w:szCs w:val="24"/>
        </w:rPr>
        <w:t>Ffion</w:t>
      </w:r>
      <w:r w:rsidR="00625A52" w:rsidRPr="00625A52">
        <w:rPr>
          <w:sz w:val="24"/>
          <w:szCs w:val="24"/>
        </w:rPr>
        <w:t xml:space="preserve"> yn gwneud yn dda ar cwisiau g</w:t>
      </w:r>
      <w:r w:rsidR="001829A1">
        <w:rPr>
          <w:sz w:val="24"/>
          <w:szCs w:val="24"/>
        </w:rPr>
        <w:t>ramadeg</w:t>
      </w:r>
      <w:r w:rsidR="00625A52" w:rsidRPr="00625A52">
        <w:rPr>
          <w:sz w:val="24"/>
          <w:szCs w:val="24"/>
        </w:rPr>
        <w:t xml:space="preserve"> ond yn cael trafferth gyda chwisiau g</w:t>
      </w:r>
      <w:r w:rsidR="001829A1">
        <w:rPr>
          <w:sz w:val="24"/>
          <w:szCs w:val="24"/>
        </w:rPr>
        <w:t>eirfa</w:t>
      </w:r>
      <w:r w:rsidR="00625A52" w:rsidRPr="00625A52">
        <w:rPr>
          <w:sz w:val="24"/>
          <w:szCs w:val="24"/>
        </w:rPr>
        <w:t>. ”</w:t>
      </w:r>
      <w:r w:rsidR="000A6CB8">
        <w:rPr>
          <w:sz w:val="24"/>
          <w:szCs w:val="24"/>
        </w:rPr>
        <w:t xml:space="preserve"> </w:t>
      </w:r>
    </w:p>
    <w:p w14:paraId="49446E56" w14:textId="240F16A2" w:rsidR="009554DF" w:rsidRDefault="009554DF" w:rsidP="00CB6F15">
      <w:pPr>
        <w:spacing w:line="360" w:lineRule="auto"/>
        <w:rPr>
          <w:sz w:val="24"/>
          <w:szCs w:val="24"/>
        </w:rPr>
      </w:pPr>
      <w:r w:rsidRPr="009554DF">
        <w:rPr>
          <w:sz w:val="24"/>
          <w:szCs w:val="24"/>
        </w:rPr>
        <w:t xml:space="preserve">Ar ôl cwblhau’r erthygl papur newydd, gofynnwyd i’r plant ddefnyddio eu meini prawf llwyddiant a roddwyd ar ddechrau’r wers i asesu gwaith ei gilydd. Mae hyn yn fuddiol ar ddiwedd y wers gan ei fod yn cynnwys myfyrwyr yn eu proses ddysgu ac yn datblygu eu gallu i feddwl yn feirniadol. Cefnogir hyn gan ymchwil Rice (2015) sy'n cytuno bod y broses meini prawf llwyddiant yn helpu i sicrhau bod myfyrwyr yn dysgu. Fodd bynnag, gall rhai myfyrwyr fod yn amharod i gael eu cyfoedion i nodi eu gwaith. Gallai hyn ychwanegu straen gormodol gyda'r ofn o ddangos eu gwaith i eraill, a fyddant yn cael eu gwawdio? </w:t>
      </w:r>
      <w:r w:rsidR="00A346CF">
        <w:rPr>
          <w:sz w:val="24"/>
          <w:szCs w:val="24"/>
        </w:rPr>
        <w:t>T</w:t>
      </w:r>
      <w:r w:rsidRPr="009554DF">
        <w:rPr>
          <w:sz w:val="24"/>
          <w:szCs w:val="24"/>
        </w:rPr>
        <w:t>ra hefyd yn ychwanegu'r pwysau ychwanegol o gyflawni o flaen eu cyfoedion. Fodd bynnag, mae Crichton a McDaid (2016) yn anghytuno â meini prawf llwyddiant gan eu bod yn credu ei fod yn rhoi gormod o bwysau ar y myfyrwyr i gyflawni.</w:t>
      </w:r>
    </w:p>
    <w:p w14:paraId="15B49C56" w14:textId="77777777" w:rsidR="00820AB8" w:rsidRPr="00820AB8" w:rsidRDefault="00820AB8" w:rsidP="00820AB8">
      <w:pPr>
        <w:spacing w:line="360" w:lineRule="auto"/>
        <w:rPr>
          <w:sz w:val="24"/>
          <w:szCs w:val="24"/>
          <w:u w:val="single"/>
        </w:rPr>
      </w:pPr>
      <w:r w:rsidRPr="00820AB8">
        <w:rPr>
          <w:sz w:val="24"/>
          <w:szCs w:val="24"/>
          <w:u w:val="single"/>
        </w:rPr>
        <w:t>Gwers 3</w:t>
      </w:r>
    </w:p>
    <w:p w14:paraId="7B323A72" w14:textId="041E8F92" w:rsidR="00820AB8" w:rsidRDefault="00820AB8" w:rsidP="00820AB8">
      <w:pPr>
        <w:spacing w:line="360" w:lineRule="auto"/>
        <w:rPr>
          <w:sz w:val="24"/>
          <w:szCs w:val="24"/>
        </w:rPr>
      </w:pPr>
      <w:r w:rsidRPr="00820AB8">
        <w:rPr>
          <w:sz w:val="24"/>
          <w:szCs w:val="24"/>
        </w:rPr>
        <w:t xml:space="preserve">Dewisais gelf fynegiadol </w:t>
      </w:r>
      <w:r>
        <w:rPr>
          <w:sz w:val="24"/>
          <w:szCs w:val="24"/>
        </w:rPr>
        <w:t>MDaP</w:t>
      </w:r>
      <w:r w:rsidRPr="00820AB8">
        <w:rPr>
          <w:sz w:val="24"/>
          <w:szCs w:val="24"/>
        </w:rPr>
        <w:t xml:space="preserve"> i'r myfyrwyr greu lluniau sy'n amlinellu pwrpas yr erthygl papur newydd. Yn ôl datganiadau beth sy'n bwysig yn y cwricwlwm newydd, mae'r adran hon yn seiliedig ar archwilio'r gelf fynegiadol i ddatblygu sgiliau a gwybodaeth artistig i alluogi dysgwyr i ddod yn unigolion chwilfrydig a chreadigol (Llywodraeth Cymru, 2021). Canolbwyntiwyd ar fyfyrwyr i ddangos cynnydd wrth roi adborth adeiladol am eu gwaith eu hunain. Egwyddorion dilyniant y wers hon yw dangos eu datblygiad o wybodaeth a sgiliau a ddysgwyd trwy gydol y 3 gwers (Llywodraeth Cymru, 2021).</w:t>
      </w:r>
    </w:p>
    <w:p w14:paraId="211E2901" w14:textId="4FEB9471" w:rsidR="00591652" w:rsidRDefault="00591652" w:rsidP="00820AB8">
      <w:pPr>
        <w:spacing w:line="360" w:lineRule="auto"/>
        <w:rPr>
          <w:sz w:val="24"/>
          <w:szCs w:val="24"/>
        </w:rPr>
      </w:pPr>
      <w:r>
        <w:rPr>
          <w:sz w:val="24"/>
          <w:szCs w:val="24"/>
        </w:rPr>
        <w:t>D</w:t>
      </w:r>
      <w:r w:rsidRPr="00591652">
        <w:rPr>
          <w:sz w:val="24"/>
          <w:szCs w:val="24"/>
        </w:rPr>
        <w:t xml:space="preserve">ewisais y strategaeth </w:t>
      </w:r>
      <w:r>
        <w:rPr>
          <w:sz w:val="24"/>
          <w:szCs w:val="24"/>
        </w:rPr>
        <w:t>AagD</w:t>
      </w:r>
      <w:r w:rsidRPr="00591652">
        <w:rPr>
          <w:sz w:val="24"/>
          <w:szCs w:val="24"/>
        </w:rPr>
        <w:t xml:space="preserve"> o ddefnyddio ffyn Lollipop ar ddechrau fy nghyflwyniad am nifer o resymau. Mae hon yn ffordd dda o asesu'r hyn y mae'r myfyrwyr wedi'i ddysgu o'r wers gyntaf ac mae'n helpu ymgysylltiad y dysgwr, oherwydd gellir eu galw i ateb cwestiwn ac mae'n gosod disgwyliad bod pob myfyriwr yn werth ei glywed. Mae hefyd yn helpu'r disgyblion swil i fagu hyder. Mae'r strategaeth</w:t>
      </w:r>
      <w:r w:rsidR="00C8609A">
        <w:rPr>
          <w:sz w:val="24"/>
          <w:szCs w:val="24"/>
        </w:rPr>
        <w:t xml:space="preserve"> cynnwys</w:t>
      </w:r>
      <w:r w:rsidRPr="00591652">
        <w:rPr>
          <w:sz w:val="24"/>
          <w:szCs w:val="24"/>
        </w:rPr>
        <w:t xml:space="preserve"> enw pob myfyriwr gael ei ysgrifennu ar ffon lolipop ac yna ei roi mewn pot. Rhoddwyd y cwestiwn ac yna dewisais ffon lolipop ar hap ac </w:t>
      </w:r>
      <w:r w:rsidR="00AF2E2E">
        <w:rPr>
          <w:sz w:val="24"/>
          <w:szCs w:val="24"/>
        </w:rPr>
        <w:t xml:space="preserve">pwy bynnag enw dewisias yn </w:t>
      </w:r>
      <w:r w:rsidRPr="00591652">
        <w:rPr>
          <w:sz w:val="24"/>
          <w:szCs w:val="24"/>
        </w:rPr>
        <w:t xml:space="preserve">ateb y cwestiwn. Mae Goodrich (2012) yn cytuno bod defnyddio ffyn lolipop yn offeryn asesu da gan fod eu hymchwil yn awgrymu ei fod yn nodi bylchau yn nysgu a deall myfyrwyr. Gall y strategaeth asesu hon roi amser i athrawon asesu </w:t>
      </w:r>
      <w:r w:rsidRPr="00591652">
        <w:rPr>
          <w:sz w:val="24"/>
          <w:szCs w:val="24"/>
        </w:rPr>
        <w:lastRenderedPageBreak/>
        <w:t>gwybodaeth sydd ei hangen arnynt i addasu cyfarwyddyd yn well a diwallu anghenion myfyrwyr.</w:t>
      </w:r>
      <w:r w:rsidR="00FE15B0">
        <w:rPr>
          <w:sz w:val="24"/>
          <w:szCs w:val="24"/>
        </w:rPr>
        <w:t xml:space="preserve"> </w:t>
      </w:r>
      <w:r w:rsidR="00FE15B0" w:rsidRPr="00FE15B0">
        <w:rPr>
          <w:sz w:val="24"/>
          <w:szCs w:val="24"/>
        </w:rPr>
        <w:t>Fodd bynnag, mae Dabell (2018) yn anghytuno ac yn credu nad yw ffyn lolipop yn offeryn effeithiol i'w ddefnyddio ar gyfer A</w:t>
      </w:r>
      <w:r w:rsidR="00664A88">
        <w:rPr>
          <w:sz w:val="24"/>
          <w:szCs w:val="24"/>
        </w:rPr>
        <w:t>agD</w:t>
      </w:r>
      <w:r w:rsidR="00FE15B0" w:rsidRPr="00FE15B0">
        <w:rPr>
          <w:sz w:val="24"/>
          <w:szCs w:val="24"/>
        </w:rPr>
        <w:t xml:space="preserve"> gan ei fod yn cymryd llawer o amser ac yn rhoi pwysau ar y disgyblion i ateb yn gywir. Dros amser bydd y strategaeth hon yn arwain at ostwng hunanhyder y dysgwr ac yn gwneud iddynt deimlo'n anghyfforddus i ateb o flaen eu cyfoedion a'u hathro. Syniad i wella'r stra</w:t>
      </w:r>
      <w:r w:rsidR="00664A88">
        <w:rPr>
          <w:sz w:val="24"/>
          <w:szCs w:val="24"/>
        </w:rPr>
        <w:t>tegaeth</w:t>
      </w:r>
      <w:r w:rsidR="00FE15B0" w:rsidRPr="00FE15B0">
        <w:rPr>
          <w:sz w:val="24"/>
          <w:szCs w:val="24"/>
        </w:rPr>
        <w:t xml:space="preserve"> hwn fyddai cyflwyno'r gallu i ofyn i ffrind, i geisio gwneud i'r myfyrwyr deimlo'n fwy cyfforddus.</w:t>
      </w:r>
    </w:p>
    <w:p w14:paraId="0F287BCB" w14:textId="046AA958" w:rsidR="005E384E" w:rsidRDefault="006302F1" w:rsidP="00820AB8">
      <w:pPr>
        <w:spacing w:line="360" w:lineRule="auto"/>
        <w:rPr>
          <w:sz w:val="24"/>
          <w:szCs w:val="24"/>
        </w:rPr>
      </w:pPr>
      <w:r>
        <w:rPr>
          <w:sz w:val="24"/>
          <w:szCs w:val="24"/>
        </w:rPr>
        <w:t>A</w:t>
      </w:r>
      <w:r w:rsidR="005E384E" w:rsidRPr="005E384E">
        <w:rPr>
          <w:sz w:val="24"/>
          <w:szCs w:val="24"/>
        </w:rPr>
        <w:t xml:space="preserve">r ddiwedd y thema, fe wnes i asesu eu gwaith trwy ddyfarnu dau </w:t>
      </w:r>
      <w:r w:rsidR="00420C47">
        <w:rPr>
          <w:sz w:val="24"/>
          <w:szCs w:val="24"/>
        </w:rPr>
        <w:t>seren</w:t>
      </w:r>
      <w:r w:rsidR="005E384E" w:rsidRPr="005E384E">
        <w:rPr>
          <w:sz w:val="24"/>
          <w:szCs w:val="24"/>
        </w:rPr>
        <w:t xml:space="preserve"> a dymuniad, strategaeth y mae Black a William (1998) yn cytuno ei bod yn </w:t>
      </w:r>
      <w:r w:rsidR="00420C47">
        <w:rPr>
          <w:sz w:val="24"/>
          <w:szCs w:val="24"/>
        </w:rPr>
        <w:t>bwysig</w:t>
      </w:r>
      <w:r w:rsidR="005E384E" w:rsidRPr="005E384E">
        <w:rPr>
          <w:sz w:val="24"/>
          <w:szCs w:val="24"/>
        </w:rPr>
        <w:t xml:space="preserve"> i'r broses A</w:t>
      </w:r>
      <w:r w:rsidR="00420C47">
        <w:rPr>
          <w:sz w:val="24"/>
          <w:szCs w:val="24"/>
        </w:rPr>
        <w:t>agD</w:t>
      </w:r>
      <w:r w:rsidR="005E384E" w:rsidRPr="005E384E">
        <w:rPr>
          <w:sz w:val="24"/>
          <w:szCs w:val="24"/>
        </w:rPr>
        <w:t>. Mae'r disgyblion yn derbyn dwy seren i ddangos lle roedd y myfyriwr yn rhagori ac un dymuniad lle gallai fod rhywfaint o welliant. Cynlluniwyd hyn ar gyfer diwedd y thema i sicrhau bod y myfyrwyr yn deall yr hyn yr oeddent wedi'i wneud yn dda a lle mae angen iddynt wella, er mwyn datblygu eu gwaith ymhellach. Ar ben hynny, mae ymchwil gan Black a Wiliam (1998) yn profi bod strategaethau adborth yn helpu i godi safonau perfformiad myfyrwyr ac mae Dyer (2012) yn cytuno ei fod yn magu hyder gan wybod eu bod wedi gwneud yn dda. Ymhellach, mae ymchwil yn dangos (Wiliam, 2011) bod rhoi adborth ar ffurf ‘dymuniad’ yn hytrach na chroes neu fformat ‘rhaid i chi’ wneud i’r myfyrwyr deimlo’n dda am yr adborth a thalu sylw mwy. Fodd bynnag, gan fod y math hwn o adborth yn cael ei roi ar ffurf ysgrifenedig, efallai na fydd rhai myfyrwyr yn darllen y sylwadau neu efallai nad ydyn nhw'n deall yr iaith a ddefnyddir ac felly ni fydd unrhyw newidiadau na gwelliannau yn cael eu gwneud.</w:t>
      </w:r>
    </w:p>
    <w:p w14:paraId="37CD2560" w14:textId="2F6B8049" w:rsidR="00A54806" w:rsidRPr="00223310" w:rsidRDefault="00A54806" w:rsidP="00820AB8">
      <w:pPr>
        <w:spacing w:line="360" w:lineRule="auto"/>
        <w:rPr>
          <w:sz w:val="24"/>
          <w:szCs w:val="24"/>
        </w:rPr>
      </w:pPr>
      <w:r w:rsidRPr="00A54806">
        <w:rPr>
          <w:sz w:val="24"/>
          <w:szCs w:val="24"/>
        </w:rPr>
        <w:t xml:space="preserve">Ar ddiwedd y thema anogwyd y myfyrwyr i fachu </w:t>
      </w:r>
      <w:r w:rsidR="002C66E7">
        <w:rPr>
          <w:sz w:val="24"/>
          <w:szCs w:val="24"/>
        </w:rPr>
        <w:t>nodyn post it</w:t>
      </w:r>
      <w:r w:rsidRPr="00A54806">
        <w:rPr>
          <w:sz w:val="24"/>
          <w:szCs w:val="24"/>
        </w:rPr>
        <w:t xml:space="preserve"> ac ysgrifennu'r hyn roeddent wedi'i ddysgu, yr hyn yr oeddent yn ei gael yn anodd a'r hyn a oedd yn hawdd iddynt. Ar ôl i'r myfyrwyr gwblhau hyn, byddent yn glynu eu postyn unigol ar y bwrdd gwyn. Yna darllenais y post allan a thrafod gyda'r dosbarth i gyd. Gwnaethpwyd hyn ar ddiwedd y thema i'r myfyrwyr werthuso'r hyn roeddent wedi'i ddysgu i gwblhau hunanasesiad mewn maenor hwyliog. Mae'r strategaeth hon yn galluogi myfyrwyr i weld yn glir yr hyn yr oedd angen iddynt wella arno er mwyn llwyddo yn y thema nesaf. Mae llenyddiaeth Quigley (2012) yn cytuno gan ei fod yn annog ymgysylltiad mwy annibynnol â'u gwaith eu hunain. Mae'r asesiad hwn yn gyflym felly gallwch weld bylchau yn nysgu'r myfyrwyr ar unwaith. Fodd bynnag, gallai disgyblion deimlo'n anghyfforddus a chopïo'r hyn y mae cyfoedion eraill </w:t>
      </w:r>
      <w:r w:rsidRPr="00A54806">
        <w:rPr>
          <w:sz w:val="24"/>
          <w:szCs w:val="24"/>
        </w:rPr>
        <w:lastRenderedPageBreak/>
        <w:t>wedi'i ysgrifennu, mae hyn yn cael effaith yr asesiad ar gyfer dysgu gan na all yr athro nodi'r bylchau dysgu, efallai pe bai'r strategaeth hon yn fwy cyfrinachol - dim ond rhwng yr athro a'r myfyrwyr, byddent yn fwy gonest.</w:t>
      </w:r>
    </w:p>
    <w:sectPr w:rsidR="00A54806" w:rsidRPr="002233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8D0"/>
    <w:rsid w:val="000246EB"/>
    <w:rsid w:val="000422DA"/>
    <w:rsid w:val="000503B8"/>
    <w:rsid w:val="0005575B"/>
    <w:rsid w:val="000570CE"/>
    <w:rsid w:val="0006144F"/>
    <w:rsid w:val="000A6CB8"/>
    <w:rsid w:val="000B05B9"/>
    <w:rsid w:val="000C23DB"/>
    <w:rsid w:val="000C434D"/>
    <w:rsid w:val="000F44F8"/>
    <w:rsid w:val="001333DE"/>
    <w:rsid w:val="00144FF0"/>
    <w:rsid w:val="00147B09"/>
    <w:rsid w:val="001508CA"/>
    <w:rsid w:val="001706DA"/>
    <w:rsid w:val="001829A1"/>
    <w:rsid w:val="00182D6C"/>
    <w:rsid w:val="001845F4"/>
    <w:rsid w:val="001C3DA0"/>
    <w:rsid w:val="001D53B4"/>
    <w:rsid w:val="00211F4D"/>
    <w:rsid w:val="00223310"/>
    <w:rsid w:val="00242728"/>
    <w:rsid w:val="00250612"/>
    <w:rsid w:val="00276C89"/>
    <w:rsid w:val="002B13E3"/>
    <w:rsid w:val="002C66E7"/>
    <w:rsid w:val="00303A11"/>
    <w:rsid w:val="003B1DE2"/>
    <w:rsid w:val="003B3B2F"/>
    <w:rsid w:val="003D1A9A"/>
    <w:rsid w:val="003E2C3D"/>
    <w:rsid w:val="003F570B"/>
    <w:rsid w:val="004052AD"/>
    <w:rsid w:val="00412301"/>
    <w:rsid w:val="00416543"/>
    <w:rsid w:val="00420C47"/>
    <w:rsid w:val="0043486D"/>
    <w:rsid w:val="00477B29"/>
    <w:rsid w:val="004A6167"/>
    <w:rsid w:val="00501C8B"/>
    <w:rsid w:val="005268D0"/>
    <w:rsid w:val="0054099C"/>
    <w:rsid w:val="00584B99"/>
    <w:rsid w:val="00591652"/>
    <w:rsid w:val="00596A5D"/>
    <w:rsid w:val="005C5789"/>
    <w:rsid w:val="005E384E"/>
    <w:rsid w:val="006072AC"/>
    <w:rsid w:val="00612D0E"/>
    <w:rsid w:val="00625A52"/>
    <w:rsid w:val="006302F1"/>
    <w:rsid w:val="00650C2B"/>
    <w:rsid w:val="00661745"/>
    <w:rsid w:val="00664458"/>
    <w:rsid w:val="00664A88"/>
    <w:rsid w:val="0068049D"/>
    <w:rsid w:val="00682216"/>
    <w:rsid w:val="006B70C6"/>
    <w:rsid w:val="006E10B3"/>
    <w:rsid w:val="00723B5E"/>
    <w:rsid w:val="00723EEE"/>
    <w:rsid w:val="00765385"/>
    <w:rsid w:val="007A43D7"/>
    <w:rsid w:val="007B46CA"/>
    <w:rsid w:val="007C2BDC"/>
    <w:rsid w:val="007D1B06"/>
    <w:rsid w:val="00814F12"/>
    <w:rsid w:val="00820AB8"/>
    <w:rsid w:val="00845A42"/>
    <w:rsid w:val="008565FF"/>
    <w:rsid w:val="008C08DD"/>
    <w:rsid w:val="008D5AD1"/>
    <w:rsid w:val="00925423"/>
    <w:rsid w:val="009554DF"/>
    <w:rsid w:val="009738D3"/>
    <w:rsid w:val="00986DAE"/>
    <w:rsid w:val="009D0625"/>
    <w:rsid w:val="00A0336D"/>
    <w:rsid w:val="00A346CF"/>
    <w:rsid w:val="00A54806"/>
    <w:rsid w:val="00A91A6B"/>
    <w:rsid w:val="00AA599F"/>
    <w:rsid w:val="00AB4A7E"/>
    <w:rsid w:val="00AF2E2E"/>
    <w:rsid w:val="00AF5217"/>
    <w:rsid w:val="00B335ED"/>
    <w:rsid w:val="00BD1EB2"/>
    <w:rsid w:val="00BD66F1"/>
    <w:rsid w:val="00BE1EA6"/>
    <w:rsid w:val="00BE45A6"/>
    <w:rsid w:val="00C01883"/>
    <w:rsid w:val="00C31602"/>
    <w:rsid w:val="00C73850"/>
    <w:rsid w:val="00C8609A"/>
    <w:rsid w:val="00CB6F15"/>
    <w:rsid w:val="00CE75C5"/>
    <w:rsid w:val="00CF72BA"/>
    <w:rsid w:val="00D00E9A"/>
    <w:rsid w:val="00D17701"/>
    <w:rsid w:val="00D179F6"/>
    <w:rsid w:val="00D40727"/>
    <w:rsid w:val="00D80B90"/>
    <w:rsid w:val="00D9246A"/>
    <w:rsid w:val="00DC478D"/>
    <w:rsid w:val="00DC6364"/>
    <w:rsid w:val="00E06B90"/>
    <w:rsid w:val="00E176C2"/>
    <w:rsid w:val="00E22F4B"/>
    <w:rsid w:val="00E355FC"/>
    <w:rsid w:val="00EB1C18"/>
    <w:rsid w:val="00EB53D8"/>
    <w:rsid w:val="00EC1B0D"/>
    <w:rsid w:val="00EC22DF"/>
    <w:rsid w:val="00EC6123"/>
    <w:rsid w:val="00F32C3B"/>
    <w:rsid w:val="00F66E80"/>
    <w:rsid w:val="00FE1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9CAF5"/>
  <w15:chartTrackingRefBased/>
  <w15:docId w15:val="{3DEE551B-DCF5-4772-901D-D7CF2A6C8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649725">
      <w:bodyDiv w:val="1"/>
      <w:marLeft w:val="0"/>
      <w:marRight w:val="0"/>
      <w:marTop w:val="0"/>
      <w:marBottom w:val="0"/>
      <w:divBdr>
        <w:top w:val="none" w:sz="0" w:space="0" w:color="auto"/>
        <w:left w:val="none" w:sz="0" w:space="0" w:color="auto"/>
        <w:bottom w:val="none" w:sz="0" w:space="0" w:color="auto"/>
        <w:right w:val="none" w:sz="0" w:space="0" w:color="auto"/>
      </w:divBdr>
      <w:divsChild>
        <w:div w:id="1151170975">
          <w:marLeft w:val="0"/>
          <w:marRight w:val="0"/>
          <w:marTop w:val="0"/>
          <w:marBottom w:val="0"/>
          <w:divBdr>
            <w:top w:val="none" w:sz="0" w:space="0" w:color="auto"/>
            <w:left w:val="none" w:sz="0" w:space="0" w:color="auto"/>
            <w:bottom w:val="none" w:sz="0" w:space="0" w:color="auto"/>
            <w:right w:val="none" w:sz="0" w:space="0" w:color="auto"/>
          </w:divBdr>
          <w:divsChild>
            <w:div w:id="2091653230">
              <w:marLeft w:val="0"/>
              <w:marRight w:val="0"/>
              <w:marTop w:val="0"/>
              <w:marBottom w:val="0"/>
              <w:divBdr>
                <w:top w:val="none" w:sz="0" w:space="0" w:color="auto"/>
                <w:left w:val="none" w:sz="0" w:space="0" w:color="auto"/>
                <w:bottom w:val="none" w:sz="0" w:space="0" w:color="auto"/>
                <w:right w:val="none" w:sz="0" w:space="0" w:color="auto"/>
              </w:divBdr>
              <w:divsChild>
                <w:div w:id="1047338880">
                  <w:marLeft w:val="0"/>
                  <w:marRight w:val="0"/>
                  <w:marTop w:val="0"/>
                  <w:marBottom w:val="0"/>
                  <w:divBdr>
                    <w:top w:val="none" w:sz="0" w:space="0" w:color="auto"/>
                    <w:left w:val="none" w:sz="0" w:space="0" w:color="auto"/>
                    <w:bottom w:val="none" w:sz="0" w:space="0" w:color="auto"/>
                    <w:right w:val="none" w:sz="0" w:space="0" w:color="auto"/>
                  </w:divBdr>
                  <w:divsChild>
                    <w:div w:id="601569327">
                      <w:marLeft w:val="0"/>
                      <w:marRight w:val="0"/>
                      <w:marTop w:val="0"/>
                      <w:marBottom w:val="0"/>
                      <w:divBdr>
                        <w:top w:val="none" w:sz="0" w:space="0" w:color="auto"/>
                        <w:left w:val="none" w:sz="0" w:space="0" w:color="auto"/>
                        <w:bottom w:val="none" w:sz="0" w:space="0" w:color="auto"/>
                        <w:right w:val="none" w:sz="0" w:space="0" w:color="auto"/>
                      </w:divBdr>
                      <w:divsChild>
                        <w:div w:id="420182359">
                          <w:marLeft w:val="0"/>
                          <w:marRight w:val="0"/>
                          <w:marTop w:val="0"/>
                          <w:marBottom w:val="0"/>
                          <w:divBdr>
                            <w:top w:val="none" w:sz="0" w:space="0" w:color="auto"/>
                            <w:left w:val="none" w:sz="0" w:space="0" w:color="auto"/>
                            <w:bottom w:val="none" w:sz="0" w:space="0" w:color="auto"/>
                            <w:right w:val="none" w:sz="0" w:space="0" w:color="auto"/>
                          </w:divBdr>
                          <w:divsChild>
                            <w:div w:id="1513951624">
                              <w:marLeft w:val="0"/>
                              <w:marRight w:val="0"/>
                              <w:marTop w:val="0"/>
                              <w:marBottom w:val="0"/>
                              <w:divBdr>
                                <w:top w:val="none" w:sz="0" w:space="0" w:color="auto"/>
                                <w:left w:val="none" w:sz="0" w:space="0" w:color="auto"/>
                                <w:bottom w:val="none" w:sz="0" w:space="0" w:color="auto"/>
                                <w:right w:val="none" w:sz="0" w:space="0" w:color="auto"/>
                              </w:divBdr>
                            </w:div>
                            <w:div w:id="982464870">
                              <w:marLeft w:val="0"/>
                              <w:marRight w:val="0"/>
                              <w:marTop w:val="0"/>
                              <w:marBottom w:val="0"/>
                              <w:divBdr>
                                <w:top w:val="none" w:sz="0" w:space="0" w:color="auto"/>
                                <w:left w:val="none" w:sz="0" w:space="0" w:color="auto"/>
                                <w:bottom w:val="none" w:sz="0" w:space="0" w:color="auto"/>
                                <w:right w:val="none" w:sz="0" w:space="0" w:color="auto"/>
                              </w:divBdr>
                              <w:divsChild>
                                <w:div w:id="1582256694">
                                  <w:marLeft w:val="0"/>
                                  <w:marRight w:val="0"/>
                                  <w:marTop w:val="0"/>
                                  <w:marBottom w:val="0"/>
                                  <w:divBdr>
                                    <w:top w:val="none" w:sz="0" w:space="0" w:color="auto"/>
                                    <w:left w:val="none" w:sz="0" w:space="0" w:color="auto"/>
                                    <w:bottom w:val="none" w:sz="0" w:space="0" w:color="auto"/>
                                    <w:right w:val="none" w:sz="0" w:space="0" w:color="auto"/>
                                  </w:divBdr>
                                  <w:divsChild>
                                    <w:div w:id="1904944710">
                                      <w:marLeft w:val="0"/>
                                      <w:marRight w:val="0"/>
                                      <w:marTop w:val="0"/>
                                      <w:marBottom w:val="0"/>
                                      <w:divBdr>
                                        <w:top w:val="none" w:sz="0" w:space="0" w:color="auto"/>
                                        <w:left w:val="none" w:sz="0" w:space="0" w:color="auto"/>
                                        <w:bottom w:val="none" w:sz="0" w:space="0" w:color="auto"/>
                                        <w:right w:val="none" w:sz="0" w:space="0" w:color="auto"/>
                                      </w:divBdr>
                                      <w:divsChild>
                                        <w:div w:id="372119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171860">
                                  <w:marLeft w:val="0"/>
                                  <w:marRight w:val="0"/>
                                  <w:marTop w:val="0"/>
                                  <w:marBottom w:val="0"/>
                                  <w:divBdr>
                                    <w:top w:val="none" w:sz="0" w:space="0" w:color="auto"/>
                                    <w:left w:val="none" w:sz="0" w:space="0" w:color="auto"/>
                                    <w:bottom w:val="none" w:sz="0" w:space="0" w:color="auto"/>
                                    <w:right w:val="none" w:sz="0" w:space="0" w:color="auto"/>
                                  </w:divBdr>
                                  <w:divsChild>
                                    <w:div w:id="114495336">
                                      <w:marLeft w:val="0"/>
                                      <w:marRight w:val="0"/>
                                      <w:marTop w:val="0"/>
                                      <w:marBottom w:val="0"/>
                                      <w:divBdr>
                                        <w:top w:val="none" w:sz="0" w:space="0" w:color="auto"/>
                                        <w:left w:val="none" w:sz="0" w:space="0" w:color="auto"/>
                                        <w:bottom w:val="none" w:sz="0" w:space="0" w:color="auto"/>
                                        <w:right w:val="none" w:sz="0" w:space="0" w:color="auto"/>
                                      </w:divBdr>
                                    </w:div>
                                  </w:divsChild>
                                </w:div>
                                <w:div w:id="1591281052">
                                  <w:marLeft w:val="0"/>
                                  <w:marRight w:val="0"/>
                                  <w:marTop w:val="0"/>
                                  <w:marBottom w:val="0"/>
                                  <w:divBdr>
                                    <w:top w:val="none" w:sz="0" w:space="0" w:color="auto"/>
                                    <w:left w:val="none" w:sz="0" w:space="0" w:color="auto"/>
                                    <w:bottom w:val="none" w:sz="0" w:space="0" w:color="auto"/>
                                    <w:right w:val="none" w:sz="0" w:space="0" w:color="auto"/>
                                  </w:divBdr>
                                  <w:divsChild>
                                    <w:div w:id="89489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6575673">
                      <w:marLeft w:val="0"/>
                      <w:marRight w:val="0"/>
                      <w:marTop w:val="0"/>
                      <w:marBottom w:val="0"/>
                      <w:divBdr>
                        <w:top w:val="none" w:sz="0" w:space="0" w:color="auto"/>
                        <w:left w:val="none" w:sz="0" w:space="0" w:color="auto"/>
                        <w:bottom w:val="none" w:sz="0" w:space="0" w:color="auto"/>
                        <w:right w:val="none" w:sz="0" w:space="0" w:color="auto"/>
                      </w:divBdr>
                      <w:divsChild>
                        <w:div w:id="1556969438">
                          <w:marLeft w:val="0"/>
                          <w:marRight w:val="0"/>
                          <w:marTop w:val="0"/>
                          <w:marBottom w:val="0"/>
                          <w:divBdr>
                            <w:top w:val="none" w:sz="0" w:space="0" w:color="auto"/>
                            <w:left w:val="none" w:sz="0" w:space="0" w:color="auto"/>
                            <w:bottom w:val="none" w:sz="0" w:space="0" w:color="auto"/>
                            <w:right w:val="none" w:sz="0" w:space="0" w:color="auto"/>
                          </w:divBdr>
                          <w:divsChild>
                            <w:div w:id="590160440">
                              <w:marLeft w:val="0"/>
                              <w:marRight w:val="0"/>
                              <w:marTop w:val="0"/>
                              <w:marBottom w:val="0"/>
                              <w:divBdr>
                                <w:top w:val="none" w:sz="0" w:space="0" w:color="auto"/>
                                <w:left w:val="none" w:sz="0" w:space="0" w:color="auto"/>
                                <w:bottom w:val="none" w:sz="0" w:space="0" w:color="auto"/>
                                <w:right w:val="none" w:sz="0" w:space="0" w:color="auto"/>
                              </w:divBdr>
                              <w:divsChild>
                                <w:div w:id="1786804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2738377">
      <w:bodyDiv w:val="1"/>
      <w:marLeft w:val="0"/>
      <w:marRight w:val="0"/>
      <w:marTop w:val="0"/>
      <w:marBottom w:val="0"/>
      <w:divBdr>
        <w:top w:val="none" w:sz="0" w:space="0" w:color="auto"/>
        <w:left w:val="none" w:sz="0" w:space="0" w:color="auto"/>
        <w:bottom w:val="none" w:sz="0" w:space="0" w:color="auto"/>
        <w:right w:val="none" w:sz="0" w:space="0" w:color="auto"/>
      </w:divBdr>
      <w:divsChild>
        <w:div w:id="634794988">
          <w:marLeft w:val="0"/>
          <w:marRight w:val="0"/>
          <w:marTop w:val="0"/>
          <w:marBottom w:val="0"/>
          <w:divBdr>
            <w:top w:val="none" w:sz="0" w:space="0" w:color="auto"/>
            <w:left w:val="none" w:sz="0" w:space="0" w:color="auto"/>
            <w:bottom w:val="none" w:sz="0" w:space="0" w:color="auto"/>
            <w:right w:val="none" w:sz="0" w:space="0" w:color="auto"/>
          </w:divBdr>
          <w:divsChild>
            <w:div w:id="701975128">
              <w:marLeft w:val="0"/>
              <w:marRight w:val="0"/>
              <w:marTop w:val="0"/>
              <w:marBottom w:val="0"/>
              <w:divBdr>
                <w:top w:val="none" w:sz="0" w:space="0" w:color="auto"/>
                <w:left w:val="none" w:sz="0" w:space="0" w:color="auto"/>
                <w:bottom w:val="none" w:sz="0" w:space="0" w:color="auto"/>
                <w:right w:val="none" w:sz="0" w:space="0" w:color="auto"/>
              </w:divBdr>
              <w:divsChild>
                <w:div w:id="1791898735">
                  <w:marLeft w:val="0"/>
                  <w:marRight w:val="0"/>
                  <w:marTop w:val="0"/>
                  <w:marBottom w:val="0"/>
                  <w:divBdr>
                    <w:top w:val="none" w:sz="0" w:space="0" w:color="auto"/>
                    <w:left w:val="none" w:sz="0" w:space="0" w:color="auto"/>
                    <w:bottom w:val="none" w:sz="0" w:space="0" w:color="auto"/>
                    <w:right w:val="none" w:sz="0" w:space="0" w:color="auto"/>
                  </w:divBdr>
                  <w:divsChild>
                    <w:div w:id="959451966">
                      <w:marLeft w:val="0"/>
                      <w:marRight w:val="0"/>
                      <w:marTop w:val="0"/>
                      <w:marBottom w:val="0"/>
                      <w:divBdr>
                        <w:top w:val="none" w:sz="0" w:space="0" w:color="auto"/>
                        <w:left w:val="none" w:sz="0" w:space="0" w:color="auto"/>
                        <w:bottom w:val="none" w:sz="0" w:space="0" w:color="auto"/>
                        <w:right w:val="none" w:sz="0" w:space="0" w:color="auto"/>
                      </w:divBdr>
                      <w:divsChild>
                        <w:div w:id="1297643209">
                          <w:marLeft w:val="0"/>
                          <w:marRight w:val="0"/>
                          <w:marTop w:val="0"/>
                          <w:marBottom w:val="0"/>
                          <w:divBdr>
                            <w:top w:val="none" w:sz="0" w:space="0" w:color="auto"/>
                            <w:left w:val="none" w:sz="0" w:space="0" w:color="auto"/>
                            <w:bottom w:val="none" w:sz="0" w:space="0" w:color="auto"/>
                            <w:right w:val="none" w:sz="0" w:space="0" w:color="auto"/>
                          </w:divBdr>
                          <w:divsChild>
                            <w:div w:id="27151091">
                              <w:marLeft w:val="0"/>
                              <w:marRight w:val="0"/>
                              <w:marTop w:val="0"/>
                              <w:marBottom w:val="0"/>
                              <w:divBdr>
                                <w:top w:val="none" w:sz="0" w:space="0" w:color="auto"/>
                                <w:left w:val="none" w:sz="0" w:space="0" w:color="auto"/>
                                <w:bottom w:val="none" w:sz="0" w:space="0" w:color="auto"/>
                                <w:right w:val="none" w:sz="0" w:space="0" w:color="auto"/>
                              </w:divBdr>
                            </w:div>
                            <w:div w:id="551310164">
                              <w:marLeft w:val="0"/>
                              <w:marRight w:val="0"/>
                              <w:marTop w:val="0"/>
                              <w:marBottom w:val="0"/>
                              <w:divBdr>
                                <w:top w:val="none" w:sz="0" w:space="0" w:color="auto"/>
                                <w:left w:val="none" w:sz="0" w:space="0" w:color="auto"/>
                                <w:bottom w:val="none" w:sz="0" w:space="0" w:color="auto"/>
                                <w:right w:val="none" w:sz="0" w:space="0" w:color="auto"/>
                              </w:divBdr>
                              <w:divsChild>
                                <w:div w:id="2098281554">
                                  <w:marLeft w:val="0"/>
                                  <w:marRight w:val="0"/>
                                  <w:marTop w:val="0"/>
                                  <w:marBottom w:val="0"/>
                                  <w:divBdr>
                                    <w:top w:val="none" w:sz="0" w:space="0" w:color="auto"/>
                                    <w:left w:val="none" w:sz="0" w:space="0" w:color="auto"/>
                                    <w:bottom w:val="none" w:sz="0" w:space="0" w:color="auto"/>
                                    <w:right w:val="none" w:sz="0" w:space="0" w:color="auto"/>
                                  </w:divBdr>
                                  <w:divsChild>
                                    <w:div w:id="1620599615">
                                      <w:marLeft w:val="0"/>
                                      <w:marRight w:val="0"/>
                                      <w:marTop w:val="0"/>
                                      <w:marBottom w:val="0"/>
                                      <w:divBdr>
                                        <w:top w:val="none" w:sz="0" w:space="0" w:color="auto"/>
                                        <w:left w:val="none" w:sz="0" w:space="0" w:color="auto"/>
                                        <w:bottom w:val="none" w:sz="0" w:space="0" w:color="auto"/>
                                        <w:right w:val="none" w:sz="0" w:space="0" w:color="auto"/>
                                      </w:divBdr>
                                      <w:divsChild>
                                        <w:div w:id="1765346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2426920">
                                  <w:marLeft w:val="0"/>
                                  <w:marRight w:val="0"/>
                                  <w:marTop w:val="0"/>
                                  <w:marBottom w:val="0"/>
                                  <w:divBdr>
                                    <w:top w:val="none" w:sz="0" w:space="0" w:color="auto"/>
                                    <w:left w:val="none" w:sz="0" w:space="0" w:color="auto"/>
                                    <w:bottom w:val="none" w:sz="0" w:space="0" w:color="auto"/>
                                    <w:right w:val="none" w:sz="0" w:space="0" w:color="auto"/>
                                  </w:divBdr>
                                  <w:divsChild>
                                    <w:div w:id="851535253">
                                      <w:marLeft w:val="0"/>
                                      <w:marRight w:val="0"/>
                                      <w:marTop w:val="0"/>
                                      <w:marBottom w:val="0"/>
                                      <w:divBdr>
                                        <w:top w:val="none" w:sz="0" w:space="0" w:color="auto"/>
                                        <w:left w:val="none" w:sz="0" w:space="0" w:color="auto"/>
                                        <w:bottom w:val="none" w:sz="0" w:space="0" w:color="auto"/>
                                        <w:right w:val="none" w:sz="0" w:space="0" w:color="auto"/>
                                      </w:divBdr>
                                    </w:div>
                                  </w:divsChild>
                                </w:div>
                                <w:div w:id="714088321">
                                  <w:marLeft w:val="0"/>
                                  <w:marRight w:val="0"/>
                                  <w:marTop w:val="0"/>
                                  <w:marBottom w:val="0"/>
                                  <w:divBdr>
                                    <w:top w:val="none" w:sz="0" w:space="0" w:color="auto"/>
                                    <w:left w:val="none" w:sz="0" w:space="0" w:color="auto"/>
                                    <w:bottom w:val="none" w:sz="0" w:space="0" w:color="auto"/>
                                    <w:right w:val="none" w:sz="0" w:space="0" w:color="auto"/>
                                  </w:divBdr>
                                  <w:divsChild>
                                    <w:div w:id="27560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352665">
                      <w:marLeft w:val="0"/>
                      <w:marRight w:val="0"/>
                      <w:marTop w:val="0"/>
                      <w:marBottom w:val="0"/>
                      <w:divBdr>
                        <w:top w:val="none" w:sz="0" w:space="0" w:color="auto"/>
                        <w:left w:val="none" w:sz="0" w:space="0" w:color="auto"/>
                        <w:bottom w:val="none" w:sz="0" w:space="0" w:color="auto"/>
                        <w:right w:val="none" w:sz="0" w:space="0" w:color="auto"/>
                      </w:divBdr>
                      <w:divsChild>
                        <w:div w:id="576942990">
                          <w:marLeft w:val="0"/>
                          <w:marRight w:val="0"/>
                          <w:marTop w:val="0"/>
                          <w:marBottom w:val="0"/>
                          <w:divBdr>
                            <w:top w:val="none" w:sz="0" w:space="0" w:color="auto"/>
                            <w:left w:val="none" w:sz="0" w:space="0" w:color="auto"/>
                            <w:bottom w:val="none" w:sz="0" w:space="0" w:color="auto"/>
                            <w:right w:val="none" w:sz="0" w:space="0" w:color="auto"/>
                          </w:divBdr>
                          <w:divsChild>
                            <w:div w:id="92017169">
                              <w:marLeft w:val="0"/>
                              <w:marRight w:val="0"/>
                              <w:marTop w:val="0"/>
                              <w:marBottom w:val="0"/>
                              <w:divBdr>
                                <w:top w:val="none" w:sz="0" w:space="0" w:color="auto"/>
                                <w:left w:val="none" w:sz="0" w:space="0" w:color="auto"/>
                                <w:bottom w:val="none" w:sz="0" w:space="0" w:color="auto"/>
                                <w:right w:val="none" w:sz="0" w:space="0" w:color="auto"/>
                              </w:divBdr>
                              <w:divsChild>
                                <w:div w:id="85099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TotalTime>
  <Pages>11</Pages>
  <Words>3769</Words>
  <Characters>21488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gravesj704@gmail.com</dc:creator>
  <cp:keywords/>
  <dc:description/>
  <cp:lastModifiedBy>gravesj704@gmail.com</cp:lastModifiedBy>
  <cp:revision>111</cp:revision>
  <dcterms:created xsi:type="dcterms:W3CDTF">2022-01-09T13:56:00Z</dcterms:created>
  <dcterms:modified xsi:type="dcterms:W3CDTF">2022-01-09T18:12:00Z</dcterms:modified>
</cp:coreProperties>
</file>