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E613B75" w14:textId="77777777" w:rsidR="001C590F" w:rsidRDefault="001C590F">
      <w:pPr>
        <w:pStyle w:val="Normal1"/>
        <w:jc w:val="center"/>
        <w:rPr>
          <w:b/>
          <w:color w:val="222222"/>
          <w:sz w:val="48"/>
          <w:szCs w:val="48"/>
        </w:rPr>
      </w:pPr>
    </w:p>
    <w:p w14:paraId="7332EC2A" w14:textId="4E2B943D" w:rsidR="001C590F" w:rsidRDefault="00132389" w:rsidP="00D574DC">
      <w:pPr>
        <w:pStyle w:val="Normal1"/>
        <w:rPr>
          <w:b/>
          <w:color w:val="222222"/>
          <w:sz w:val="48"/>
          <w:szCs w:val="48"/>
        </w:rPr>
      </w:pPr>
      <w:r>
        <w:rPr>
          <w:b/>
          <w:color w:val="222222"/>
          <w:sz w:val="48"/>
          <w:szCs w:val="48"/>
        </w:rPr>
        <w:t>PROGRAME :CERTIFICATE OF HIGHER EDUCATION IN HEALTH AND SOCIAL CARE</w:t>
      </w:r>
      <w:r w:rsidR="00A41055">
        <w:rPr>
          <w:b/>
          <w:color w:val="222222"/>
          <w:sz w:val="48"/>
          <w:szCs w:val="48"/>
        </w:rPr>
        <w:t xml:space="preserve">. </w:t>
      </w:r>
    </w:p>
    <w:p w14:paraId="2DFA0E85" w14:textId="77777777" w:rsidR="00A41055" w:rsidRDefault="00A41055" w:rsidP="00D574DC">
      <w:pPr>
        <w:pStyle w:val="Normal1"/>
        <w:rPr>
          <w:b/>
          <w:color w:val="222222"/>
          <w:sz w:val="48"/>
          <w:szCs w:val="48"/>
        </w:rPr>
      </w:pPr>
    </w:p>
    <w:p w14:paraId="779C2123" w14:textId="2EEB2162" w:rsidR="00A41055" w:rsidRDefault="00A41055" w:rsidP="00D574DC">
      <w:pPr>
        <w:pStyle w:val="Normal1"/>
        <w:rPr>
          <w:b/>
          <w:color w:val="222222"/>
          <w:sz w:val="48"/>
          <w:szCs w:val="48"/>
        </w:rPr>
      </w:pPr>
      <w:r>
        <w:rPr>
          <w:b/>
          <w:color w:val="222222"/>
          <w:sz w:val="48"/>
          <w:szCs w:val="48"/>
        </w:rPr>
        <w:t xml:space="preserve">MODULE:DIGITAL SKILLS AND </w:t>
      </w:r>
      <w:r w:rsidR="002C08AC">
        <w:rPr>
          <w:b/>
          <w:color w:val="222222"/>
          <w:sz w:val="48"/>
          <w:szCs w:val="48"/>
        </w:rPr>
        <w:t xml:space="preserve">RESEARCH METHODS </w:t>
      </w:r>
    </w:p>
    <w:p w14:paraId="17491068" w14:textId="77777777" w:rsidR="002C08AC" w:rsidRDefault="002C08AC" w:rsidP="00D574DC">
      <w:pPr>
        <w:pStyle w:val="Normal1"/>
        <w:rPr>
          <w:b/>
          <w:color w:val="222222"/>
          <w:sz w:val="48"/>
          <w:szCs w:val="48"/>
        </w:rPr>
      </w:pPr>
    </w:p>
    <w:p w14:paraId="5297112C" w14:textId="26ACA748" w:rsidR="002C08AC" w:rsidRDefault="002C08AC" w:rsidP="00D574DC">
      <w:pPr>
        <w:pStyle w:val="Normal1"/>
        <w:rPr>
          <w:b/>
          <w:color w:val="222222"/>
          <w:sz w:val="48"/>
          <w:szCs w:val="48"/>
        </w:rPr>
      </w:pPr>
      <w:r>
        <w:rPr>
          <w:b/>
          <w:color w:val="222222"/>
          <w:sz w:val="48"/>
          <w:szCs w:val="48"/>
        </w:rPr>
        <w:t>MODULE CODE:LCHD4002</w:t>
      </w:r>
    </w:p>
    <w:p w14:paraId="5D467E53" w14:textId="77777777" w:rsidR="002C08AC" w:rsidRDefault="002C08AC" w:rsidP="00D574DC">
      <w:pPr>
        <w:pStyle w:val="Normal1"/>
        <w:rPr>
          <w:b/>
          <w:color w:val="222222"/>
          <w:sz w:val="48"/>
          <w:szCs w:val="48"/>
        </w:rPr>
      </w:pPr>
    </w:p>
    <w:p w14:paraId="7E85EA35" w14:textId="76D51D54" w:rsidR="002C08AC" w:rsidRDefault="002C08AC" w:rsidP="00D574DC">
      <w:pPr>
        <w:pStyle w:val="Normal1"/>
        <w:rPr>
          <w:b/>
          <w:color w:val="222222"/>
          <w:sz w:val="48"/>
          <w:szCs w:val="48"/>
        </w:rPr>
      </w:pPr>
      <w:r>
        <w:rPr>
          <w:b/>
          <w:color w:val="222222"/>
          <w:sz w:val="48"/>
          <w:szCs w:val="48"/>
        </w:rPr>
        <w:t>ASSESSMENT 2</w:t>
      </w:r>
    </w:p>
    <w:p w14:paraId="059191BC" w14:textId="77777777" w:rsidR="002C08AC" w:rsidRDefault="002C08AC" w:rsidP="00D574DC">
      <w:pPr>
        <w:pStyle w:val="Normal1"/>
        <w:rPr>
          <w:b/>
          <w:color w:val="222222"/>
          <w:sz w:val="48"/>
          <w:szCs w:val="48"/>
        </w:rPr>
      </w:pPr>
    </w:p>
    <w:p w14:paraId="132FDA2E" w14:textId="2B76B212" w:rsidR="002C08AC" w:rsidRDefault="00EB679F" w:rsidP="00D574DC">
      <w:pPr>
        <w:pStyle w:val="Normal1"/>
        <w:rPr>
          <w:b/>
          <w:color w:val="222222"/>
          <w:sz w:val="48"/>
          <w:szCs w:val="48"/>
        </w:rPr>
      </w:pPr>
      <w:r>
        <w:rPr>
          <w:b/>
          <w:color w:val="222222"/>
          <w:sz w:val="48"/>
          <w:szCs w:val="48"/>
        </w:rPr>
        <w:t>REPORT</w:t>
      </w:r>
      <w:r w:rsidR="005F367D">
        <w:rPr>
          <w:b/>
          <w:color w:val="222222"/>
          <w:sz w:val="48"/>
          <w:szCs w:val="48"/>
        </w:rPr>
        <w:t xml:space="preserve">:DIGITAL LITERACY IN CARE </w:t>
      </w:r>
      <w:r w:rsidR="00357185">
        <w:rPr>
          <w:b/>
          <w:color w:val="222222"/>
          <w:sz w:val="48"/>
          <w:szCs w:val="48"/>
        </w:rPr>
        <w:t xml:space="preserve">HOME </w:t>
      </w:r>
    </w:p>
    <w:p w14:paraId="039B006C" w14:textId="77777777" w:rsidR="001C590F" w:rsidRDefault="001C590F">
      <w:pPr>
        <w:pStyle w:val="Normal1"/>
        <w:jc w:val="center"/>
        <w:rPr>
          <w:b/>
          <w:color w:val="222222"/>
          <w:sz w:val="48"/>
          <w:szCs w:val="48"/>
        </w:rPr>
      </w:pPr>
    </w:p>
    <w:p w14:paraId="6C6BD7C5" w14:textId="77777777" w:rsidR="001C590F" w:rsidRDefault="001C590F">
      <w:pPr>
        <w:pStyle w:val="Normal1"/>
        <w:jc w:val="center"/>
        <w:rPr>
          <w:b/>
          <w:color w:val="222222"/>
          <w:sz w:val="48"/>
          <w:szCs w:val="48"/>
        </w:rPr>
      </w:pPr>
    </w:p>
    <w:p w14:paraId="004184AD" w14:textId="77777777" w:rsidR="001C590F" w:rsidRDefault="001C590F">
      <w:pPr>
        <w:pStyle w:val="Normal1"/>
        <w:jc w:val="center"/>
        <w:rPr>
          <w:b/>
          <w:color w:val="222222"/>
          <w:sz w:val="48"/>
          <w:szCs w:val="48"/>
        </w:rPr>
      </w:pPr>
    </w:p>
    <w:p w14:paraId="6C8B87BC" w14:textId="77777777" w:rsidR="001C590F" w:rsidRDefault="001C590F">
      <w:pPr>
        <w:pStyle w:val="Normal1"/>
        <w:jc w:val="center"/>
        <w:rPr>
          <w:b/>
          <w:color w:val="222222"/>
          <w:sz w:val="48"/>
          <w:szCs w:val="48"/>
        </w:rPr>
      </w:pPr>
    </w:p>
    <w:p w14:paraId="3FE31B8D" w14:textId="77777777" w:rsidR="001C590F" w:rsidRDefault="001C590F">
      <w:pPr>
        <w:pStyle w:val="Normal1"/>
        <w:jc w:val="center"/>
        <w:rPr>
          <w:b/>
          <w:color w:val="222222"/>
          <w:sz w:val="48"/>
          <w:szCs w:val="48"/>
        </w:rPr>
      </w:pPr>
    </w:p>
    <w:p w14:paraId="06A4D9CD" w14:textId="68DA1976" w:rsidR="001C590F" w:rsidRDefault="001C590F">
      <w:pPr>
        <w:pStyle w:val="Normal1"/>
        <w:jc w:val="center"/>
        <w:rPr>
          <w:b/>
          <w:color w:val="222222"/>
          <w:sz w:val="48"/>
          <w:szCs w:val="48"/>
        </w:rPr>
      </w:pPr>
    </w:p>
    <w:p w14:paraId="7D443E53" w14:textId="77777777" w:rsidR="001C590F" w:rsidRDefault="001C590F">
      <w:pPr>
        <w:pStyle w:val="Normal1"/>
        <w:jc w:val="center"/>
        <w:rPr>
          <w:b/>
          <w:color w:val="222222"/>
          <w:sz w:val="48"/>
          <w:szCs w:val="48"/>
        </w:rPr>
      </w:pPr>
    </w:p>
    <w:p w14:paraId="3E17E07A" w14:textId="77777777" w:rsidR="001C590F" w:rsidRDefault="001C590F">
      <w:pPr>
        <w:pStyle w:val="Normal1"/>
        <w:jc w:val="center"/>
        <w:rPr>
          <w:b/>
          <w:color w:val="222222"/>
          <w:sz w:val="48"/>
          <w:szCs w:val="48"/>
        </w:rPr>
      </w:pPr>
    </w:p>
    <w:p w14:paraId="350B7892" w14:textId="77777777" w:rsidR="001C590F" w:rsidRDefault="001C590F">
      <w:pPr>
        <w:pStyle w:val="Normal1"/>
        <w:jc w:val="center"/>
        <w:rPr>
          <w:b/>
          <w:color w:val="222222"/>
          <w:sz w:val="48"/>
          <w:szCs w:val="48"/>
        </w:rPr>
      </w:pPr>
    </w:p>
    <w:p w14:paraId="141D4120" w14:textId="77777777" w:rsidR="001C590F" w:rsidRDefault="001C590F">
      <w:pPr>
        <w:pStyle w:val="Normal1"/>
        <w:jc w:val="center"/>
        <w:rPr>
          <w:b/>
          <w:color w:val="222222"/>
          <w:sz w:val="48"/>
          <w:szCs w:val="48"/>
        </w:rPr>
      </w:pPr>
    </w:p>
    <w:p w14:paraId="41581210" w14:textId="77777777" w:rsidR="001C590F" w:rsidRDefault="001C590F">
      <w:pPr>
        <w:pStyle w:val="Normal1"/>
        <w:jc w:val="center"/>
        <w:rPr>
          <w:b/>
          <w:color w:val="222222"/>
          <w:sz w:val="48"/>
          <w:szCs w:val="48"/>
        </w:rPr>
      </w:pPr>
    </w:p>
    <w:p w14:paraId="6AB9B472" w14:textId="77777777" w:rsidR="001C590F" w:rsidRDefault="001C590F">
      <w:pPr>
        <w:pStyle w:val="Normal1"/>
        <w:jc w:val="center"/>
        <w:rPr>
          <w:b/>
          <w:color w:val="222222"/>
          <w:sz w:val="48"/>
          <w:szCs w:val="48"/>
        </w:rPr>
      </w:pPr>
    </w:p>
    <w:p w14:paraId="714C61F0" w14:textId="08E9857E" w:rsidR="001C590F" w:rsidRDefault="00F37142">
      <w:pPr>
        <w:pStyle w:val="Normal1"/>
        <w:jc w:val="center"/>
        <w:rPr>
          <w:b/>
          <w:color w:val="222222"/>
          <w:sz w:val="28"/>
          <w:szCs w:val="28"/>
        </w:rPr>
      </w:pPr>
      <w:r>
        <w:rPr>
          <w:b/>
          <w:color w:val="222222"/>
          <w:sz w:val="28"/>
          <w:szCs w:val="28"/>
        </w:rPr>
        <w:t>Student name:</w:t>
      </w:r>
      <w:r w:rsidR="002F1302">
        <w:rPr>
          <w:b/>
          <w:color w:val="222222"/>
          <w:sz w:val="28"/>
          <w:szCs w:val="28"/>
        </w:rPr>
        <w:t xml:space="preserve">Ardite Mjeku </w:t>
      </w:r>
    </w:p>
    <w:p w14:paraId="1A561CF1" w14:textId="2BD7DF8D" w:rsidR="001C590F" w:rsidRDefault="00F37142">
      <w:pPr>
        <w:pStyle w:val="Normal1"/>
        <w:jc w:val="center"/>
        <w:rPr>
          <w:b/>
          <w:color w:val="222222"/>
          <w:sz w:val="28"/>
          <w:szCs w:val="28"/>
        </w:rPr>
      </w:pPr>
      <w:r>
        <w:rPr>
          <w:b/>
          <w:color w:val="222222"/>
          <w:sz w:val="28"/>
          <w:szCs w:val="28"/>
        </w:rPr>
        <w:t>Student ID:</w:t>
      </w:r>
      <w:r w:rsidR="002F1302">
        <w:rPr>
          <w:b/>
          <w:color w:val="222222"/>
          <w:sz w:val="28"/>
          <w:szCs w:val="28"/>
        </w:rPr>
        <w:t>2234772</w:t>
      </w:r>
    </w:p>
    <w:p w14:paraId="74A0FA7A" w14:textId="77777777" w:rsidR="001C590F" w:rsidRDefault="001C590F">
      <w:pPr>
        <w:pStyle w:val="Normal1"/>
      </w:pPr>
    </w:p>
    <w:p w14:paraId="5EB60B9C" w14:textId="77777777" w:rsidR="001C590F" w:rsidRDefault="001C590F">
      <w:pPr>
        <w:pStyle w:val="Normal1"/>
      </w:pPr>
    </w:p>
    <w:p w14:paraId="08E85217" w14:textId="77777777" w:rsidR="001C590F" w:rsidRDefault="001C590F">
      <w:pPr>
        <w:pStyle w:val="Normal1"/>
      </w:pPr>
    </w:p>
    <w:p w14:paraId="53A1FDD8" w14:textId="77777777" w:rsidR="001C590F" w:rsidRDefault="00F37142">
      <w:pPr>
        <w:pStyle w:val="Heading1"/>
        <w:rPr>
          <w:b/>
          <w:sz w:val="28"/>
          <w:szCs w:val="28"/>
        </w:rPr>
      </w:pPr>
      <w:bookmarkStart w:id="0" w:name="_wddtkasmoh0u" w:colFirst="0" w:colLast="0"/>
      <w:bookmarkEnd w:id="0"/>
      <w:r>
        <w:br w:type="page"/>
      </w:r>
    </w:p>
    <w:p w14:paraId="089417DF" w14:textId="77777777" w:rsidR="001C590F" w:rsidRDefault="00F37142">
      <w:pPr>
        <w:pStyle w:val="Normal1"/>
        <w:jc w:val="center"/>
        <w:rPr>
          <w:b/>
          <w:sz w:val="28"/>
          <w:szCs w:val="28"/>
        </w:rPr>
      </w:pPr>
      <w:r>
        <w:rPr>
          <w:b/>
          <w:sz w:val="28"/>
          <w:szCs w:val="28"/>
        </w:rPr>
        <w:t>Table of contents</w:t>
      </w:r>
    </w:p>
    <w:p w14:paraId="346475AB" w14:textId="77777777" w:rsidR="001C590F" w:rsidRDefault="001C590F">
      <w:pPr>
        <w:pStyle w:val="Normal1"/>
        <w:jc w:val="center"/>
      </w:pPr>
    </w:p>
    <w:sdt>
      <w:sdtPr>
        <w:id w:val="470874311"/>
        <w:docPartObj>
          <w:docPartGallery w:val="Table of Contents"/>
          <w:docPartUnique/>
        </w:docPartObj>
      </w:sdtPr>
      <w:sdtEndPr/>
      <w:sdtContent>
        <w:p w14:paraId="0D02E8AE" w14:textId="77777777" w:rsidR="001C590F" w:rsidRDefault="00F37142" w:rsidP="007B348D">
          <w:pPr>
            <w:pStyle w:val="Normal1"/>
            <w:widowControl w:val="0"/>
            <w:numPr>
              <w:ilvl w:val="0"/>
              <w:numId w:val="1"/>
            </w:numPr>
            <w:tabs>
              <w:tab w:val="right" w:pos="9025"/>
            </w:tabs>
            <w:spacing w:before="60" w:line="360" w:lineRule="auto"/>
            <w:rPr>
              <w:color w:val="000000"/>
            </w:rPr>
          </w:pPr>
          <w:r>
            <w:fldChar w:fldCharType="begin"/>
          </w:r>
          <w:r>
            <w:instrText xml:space="preserve"> TOC \h \u \z \t "Heading 1,1,Heading 2,2,Heading 3,3,Heading 4,4,Heading 5,5,Heading 6,6,"</w:instrText>
          </w:r>
          <w:r>
            <w:fldChar w:fldCharType="separate"/>
          </w:r>
          <w:hyperlink w:anchor="_pslz84ua80y5">
            <w:r>
              <w:rPr>
                <w:color w:val="000000"/>
              </w:rPr>
              <w:t>Introduction</w:t>
            </w:r>
            <w:r>
              <w:rPr>
                <w:color w:val="000000"/>
              </w:rPr>
              <w:tab/>
            </w:r>
          </w:hyperlink>
          <w:r>
            <w:fldChar w:fldCharType="begin"/>
          </w:r>
          <w:r>
            <w:instrText xml:space="preserve"> PAGEREF _pslz84ua80y5 \h </w:instrText>
          </w:r>
          <w:r>
            <w:fldChar w:fldCharType="separate"/>
          </w:r>
          <w:r>
            <w:t>3</w:t>
          </w:r>
          <w:r>
            <w:fldChar w:fldCharType="end"/>
          </w:r>
        </w:p>
        <w:p w14:paraId="43A52098" w14:textId="77777777" w:rsidR="001C590F" w:rsidRDefault="00EC3DCD" w:rsidP="007B348D">
          <w:pPr>
            <w:pStyle w:val="Normal1"/>
            <w:widowControl w:val="0"/>
            <w:numPr>
              <w:ilvl w:val="0"/>
              <w:numId w:val="1"/>
            </w:numPr>
            <w:tabs>
              <w:tab w:val="right" w:pos="9025"/>
            </w:tabs>
            <w:spacing w:before="60" w:line="360" w:lineRule="auto"/>
            <w:rPr>
              <w:color w:val="000000"/>
            </w:rPr>
          </w:pPr>
          <w:hyperlink w:anchor="_vrhdfs5dae5x">
            <w:r w:rsidR="00F37142">
              <w:rPr>
                <w:color w:val="000000"/>
              </w:rPr>
              <w:t>Different technologies used for digital literacy in the modern-day care homes</w:t>
            </w:r>
            <w:r w:rsidR="00F37142">
              <w:rPr>
                <w:color w:val="000000"/>
              </w:rPr>
              <w:tab/>
            </w:r>
          </w:hyperlink>
          <w:r w:rsidR="00F37142">
            <w:fldChar w:fldCharType="begin"/>
          </w:r>
          <w:r w:rsidR="00F37142">
            <w:instrText xml:space="preserve"> PAGEREF _vrhdfs5dae5x \h </w:instrText>
          </w:r>
          <w:r w:rsidR="00F37142">
            <w:fldChar w:fldCharType="separate"/>
          </w:r>
          <w:r w:rsidR="00F37142">
            <w:t>3</w:t>
          </w:r>
          <w:r w:rsidR="00F37142">
            <w:fldChar w:fldCharType="end"/>
          </w:r>
        </w:p>
        <w:p w14:paraId="30E048B4" w14:textId="77777777" w:rsidR="001C590F" w:rsidRDefault="00EC3DCD" w:rsidP="007B348D">
          <w:pPr>
            <w:pStyle w:val="Normal1"/>
            <w:widowControl w:val="0"/>
            <w:numPr>
              <w:ilvl w:val="0"/>
              <w:numId w:val="1"/>
            </w:numPr>
            <w:tabs>
              <w:tab w:val="right" w:pos="9025"/>
            </w:tabs>
            <w:spacing w:before="60" w:line="360" w:lineRule="auto"/>
            <w:rPr>
              <w:color w:val="000000"/>
            </w:rPr>
          </w:pPr>
          <w:hyperlink w:anchor="_gdja38xgmhjq">
            <w:r w:rsidR="00F37142">
              <w:rPr>
                <w:color w:val="000000"/>
              </w:rPr>
              <w:t>Electronic health records utilisation</w:t>
            </w:r>
            <w:r w:rsidR="00F37142">
              <w:rPr>
                <w:color w:val="000000"/>
              </w:rPr>
              <w:tab/>
            </w:r>
          </w:hyperlink>
          <w:r w:rsidR="00F37142">
            <w:fldChar w:fldCharType="begin"/>
          </w:r>
          <w:r w:rsidR="00F37142">
            <w:instrText xml:space="preserve"> PAGEREF _gdja38xgmhjq \h </w:instrText>
          </w:r>
          <w:r w:rsidR="00F37142">
            <w:fldChar w:fldCharType="separate"/>
          </w:r>
          <w:r w:rsidR="00F37142">
            <w:t>3</w:t>
          </w:r>
          <w:r w:rsidR="00F37142">
            <w:fldChar w:fldCharType="end"/>
          </w:r>
        </w:p>
        <w:p w14:paraId="2751E0EF" w14:textId="77777777" w:rsidR="001C590F" w:rsidRDefault="00EC3DCD" w:rsidP="007B348D">
          <w:pPr>
            <w:pStyle w:val="Normal1"/>
            <w:widowControl w:val="0"/>
            <w:numPr>
              <w:ilvl w:val="0"/>
              <w:numId w:val="1"/>
            </w:numPr>
            <w:tabs>
              <w:tab w:val="right" w:pos="9025"/>
            </w:tabs>
            <w:spacing w:before="60" w:line="360" w:lineRule="auto"/>
            <w:rPr>
              <w:color w:val="000000"/>
            </w:rPr>
          </w:pPr>
          <w:hyperlink w:anchor="_99ccrplvgnp6">
            <w:r w:rsidR="00F37142">
              <w:rPr>
                <w:color w:val="000000"/>
              </w:rPr>
              <w:t>Telehealth technology</w:t>
            </w:r>
            <w:r w:rsidR="00F37142">
              <w:rPr>
                <w:color w:val="000000"/>
              </w:rPr>
              <w:tab/>
            </w:r>
          </w:hyperlink>
          <w:r w:rsidR="00F37142">
            <w:fldChar w:fldCharType="begin"/>
          </w:r>
          <w:r w:rsidR="00F37142">
            <w:instrText xml:space="preserve"> PAGEREF _99ccrplvgnp6 \h </w:instrText>
          </w:r>
          <w:r w:rsidR="00F37142">
            <w:fldChar w:fldCharType="separate"/>
          </w:r>
          <w:r w:rsidR="00F37142">
            <w:t>4</w:t>
          </w:r>
          <w:r w:rsidR="00F37142">
            <w:fldChar w:fldCharType="end"/>
          </w:r>
        </w:p>
        <w:p w14:paraId="0B2EE581" w14:textId="77777777" w:rsidR="001C590F" w:rsidRDefault="00EC3DCD" w:rsidP="007B348D">
          <w:pPr>
            <w:pStyle w:val="Normal1"/>
            <w:widowControl w:val="0"/>
            <w:numPr>
              <w:ilvl w:val="0"/>
              <w:numId w:val="1"/>
            </w:numPr>
            <w:tabs>
              <w:tab w:val="right" w:pos="9025"/>
            </w:tabs>
            <w:spacing w:before="60" w:line="360" w:lineRule="auto"/>
            <w:rPr>
              <w:color w:val="000000"/>
            </w:rPr>
          </w:pPr>
          <w:hyperlink w:anchor="_3oz77dj0fr8i">
            <w:r w:rsidR="00F37142">
              <w:rPr>
                <w:color w:val="000000"/>
              </w:rPr>
              <w:t>Virtual Reality (VR) related to health literacy</w:t>
            </w:r>
            <w:r w:rsidR="00F37142">
              <w:rPr>
                <w:color w:val="000000"/>
              </w:rPr>
              <w:tab/>
            </w:r>
          </w:hyperlink>
          <w:r w:rsidR="00F37142">
            <w:fldChar w:fldCharType="begin"/>
          </w:r>
          <w:r w:rsidR="00F37142">
            <w:instrText xml:space="preserve"> PAGEREF _3oz77dj0fr8i \h </w:instrText>
          </w:r>
          <w:r w:rsidR="00F37142">
            <w:fldChar w:fldCharType="separate"/>
          </w:r>
          <w:r w:rsidR="00F37142">
            <w:t>6</w:t>
          </w:r>
          <w:r w:rsidR="00F37142">
            <w:fldChar w:fldCharType="end"/>
          </w:r>
        </w:p>
        <w:p w14:paraId="21272D94" w14:textId="77777777" w:rsidR="001C590F" w:rsidRDefault="00EC3DCD" w:rsidP="007B348D">
          <w:pPr>
            <w:pStyle w:val="Normal1"/>
            <w:widowControl w:val="0"/>
            <w:numPr>
              <w:ilvl w:val="0"/>
              <w:numId w:val="1"/>
            </w:numPr>
            <w:tabs>
              <w:tab w:val="right" w:pos="9025"/>
            </w:tabs>
            <w:spacing w:before="60" w:line="360" w:lineRule="auto"/>
            <w:rPr>
              <w:color w:val="000000"/>
            </w:rPr>
          </w:pPr>
          <w:hyperlink w:anchor="_ux3k1941m0g9">
            <w:r w:rsidR="00F37142">
              <w:rPr>
                <w:color w:val="000000"/>
              </w:rPr>
              <w:t>Relevant issues associated with the health and social care sector</w:t>
            </w:r>
            <w:r w:rsidR="00F37142">
              <w:rPr>
                <w:color w:val="000000"/>
              </w:rPr>
              <w:tab/>
            </w:r>
          </w:hyperlink>
          <w:r w:rsidR="00F37142">
            <w:fldChar w:fldCharType="begin"/>
          </w:r>
          <w:r w:rsidR="00F37142">
            <w:instrText xml:space="preserve"> PAGEREF _ux3k1941m0g9 \h </w:instrText>
          </w:r>
          <w:r w:rsidR="00F37142">
            <w:fldChar w:fldCharType="separate"/>
          </w:r>
          <w:r w:rsidR="00F37142">
            <w:t>6</w:t>
          </w:r>
          <w:r w:rsidR="00F37142">
            <w:fldChar w:fldCharType="end"/>
          </w:r>
        </w:p>
        <w:p w14:paraId="770C4494" w14:textId="77777777" w:rsidR="001C590F" w:rsidRDefault="00EC3DCD" w:rsidP="007B348D">
          <w:pPr>
            <w:pStyle w:val="Normal1"/>
            <w:widowControl w:val="0"/>
            <w:numPr>
              <w:ilvl w:val="0"/>
              <w:numId w:val="1"/>
            </w:numPr>
            <w:tabs>
              <w:tab w:val="right" w:pos="9025"/>
            </w:tabs>
            <w:spacing w:before="60" w:line="360" w:lineRule="auto"/>
            <w:rPr>
              <w:color w:val="000000"/>
            </w:rPr>
          </w:pPr>
          <w:hyperlink w:anchor="_q91yqm1lzkh8">
            <w:r w:rsidR="00F37142">
              <w:rPr>
                <w:color w:val="000000"/>
              </w:rPr>
              <w:t>Problem statement</w:t>
            </w:r>
            <w:r w:rsidR="00F37142">
              <w:rPr>
                <w:color w:val="000000"/>
              </w:rPr>
              <w:tab/>
            </w:r>
          </w:hyperlink>
          <w:r w:rsidR="00F37142">
            <w:fldChar w:fldCharType="begin"/>
          </w:r>
          <w:r w:rsidR="00F37142">
            <w:instrText xml:space="preserve"> PAGEREF _q91yqm1lzkh8 \h </w:instrText>
          </w:r>
          <w:r w:rsidR="00F37142">
            <w:fldChar w:fldCharType="separate"/>
          </w:r>
          <w:r w:rsidR="00F37142">
            <w:t>6</w:t>
          </w:r>
          <w:r w:rsidR="00F37142">
            <w:fldChar w:fldCharType="end"/>
          </w:r>
        </w:p>
        <w:p w14:paraId="2CAFDC5A" w14:textId="77777777" w:rsidR="001C590F" w:rsidRDefault="00EC3DCD" w:rsidP="007B348D">
          <w:pPr>
            <w:pStyle w:val="Normal1"/>
            <w:widowControl w:val="0"/>
            <w:numPr>
              <w:ilvl w:val="0"/>
              <w:numId w:val="1"/>
            </w:numPr>
            <w:tabs>
              <w:tab w:val="right" w:pos="9025"/>
            </w:tabs>
            <w:spacing w:before="60" w:line="360" w:lineRule="auto"/>
            <w:rPr>
              <w:color w:val="000000"/>
            </w:rPr>
          </w:pPr>
          <w:hyperlink w:anchor="_14pv4upc89ds">
            <w:r w:rsidR="00F37142">
              <w:rPr>
                <w:color w:val="000000"/>
              </w:rPr>
              <w:t>Justification</w:t>
            </w:r>
            <w:r w:rsidR="00F37142">
              <w:rPr>
                <w:color w:val="000000"/>
              </w:rPr>
              <w:tab/>
            </w:r>
          </w:hyperlink>
          <w:r w:rsidR="00F37142">
            <w:fldChar w:fldCharType="begin"/>
          </w:r>
          <w:r w:rsidR="00F37142">
            <w:instrText xml:space="preserve"> PAGEREF _14pv4upc89ds \h </w:instrText>
          </w:r>
          <w:r w:rsidR="00F37142">
            <w:fldChar w:fldCharType="separate"/>
          </w:r>
          <w:r w:rsidR="00F37142">
            <w:t>7</w:t>
          </w:r>
          <w:r w:rsidR="00F37142">
            <w:fldChar w:fldCharType="end"/>
          </w:r>
        </w:p>
        <w:p w14:paraId="71A52276" w14:textId="77777777" w:rsidR="001C590F" w:rsidRDefault="00EC3DCD" w:rsidP="007B348D">
          <w:pPr>
            <w:pStyle w:val="Normal1"/>
            <w:widowControl w:val="0"/>
            <w:numPr>
              <w:ilvl w:val="0"/>
              <w:numId w:val="1"/>
            </w:numPr>
            <w:tabs>
              <w:tab w:val="right" w:pos="9025"/>
            </w:tabs>
            <w:spacing w:before="60" w:line="360" w:lineRule="auto"/>
            <w:rPr>
              <w:color w:val="000000"/>
            </w:rPr>
          </w:pPr>
          <w:hyperlink w:anchor="_56bym3xegm99">
            <w:r w:rsidR="00F37142">
              <w:rPr>
                <w:color w:val="000000"/>
              </w:rPr>
              <w:t>Theoretical justification</w:t>
            </w:r>
            <w:r w:rsidR="00F37142">
              <w:rPr>
                <w:color w:val="000000"/>
              </w:rPr>
              <w:tab/>
            </w:r>
          </w:hyperlink>
          <w:r w:rsidR="00F37142">
            <w:fldChar w:fldCharType="begin"/>
          </w:r>
          <w:r w:rsidR="00F37142">
            <w:instrText xml:space="preserve"> PAGEREF _56bym3xegm99 \h </w:instrText>
          </w:r>
          <w:r w:rsidR="00F37142">
            <w:fldChar w:fldCharType="separate"/>
          </w:r>
          <w:r w:rsidR="00F37142">
            <w:t>7</w:t>
          </w:r>
          <w:r w:rsidR="00F37142">
            <w:fldChar w:fldCharType="end"/>
          </w:r>
        </w:p>
        <w:p w14:paraId="67280ACA" w14:textId="77777777" w:rsidR="001C590F" w:rsidRDefault="00EC3DCD" w:rsidP="007B348D">
          <w:pPr>
            <w:pStyle w:val="Normal1"/>
            <w:widowControl w:val="0"/>
            <w:numPr>
              <w:ilvl w:val="0"/>
              <w:numId w:val="1"/>
            </w:numPr>
            <w:tabs>
              <w:tab w:val="right" w:pos="9025"/>
            </w:tabs>
            <w:spacing w:before="60" w:line="360" w:lineRule="auto"/>
            <w:rPr>
              <w:color w:val="000000"/>
            </w:rPr>
          </w:pPr>
          <w:hyperlink w:anchor="_xzfin0adih1l">
            <w:r w:rsidR="00F37142">
              <w:rPr>
                <w:color w:val="000000"/>
              </w:rPr>
              <w:t>Practical justification</w:t>
            </w:r>
            <w:r w:rsidR="00F37142">
              <w:rPr>
                <w:color w:val="000000"/>
              </w:rPr>
              <w:tab/>
            </w:r>
          </w:hyperlink>
          <w:r w:rsidR="00F37142">
            <w:fldChar w:fldCharType="begin"/>
          </w:r>
          <w:r w:rsidR="00F37142">
            <w:instrText xml:space="preserve"> PAGEREF _xzfin0adih1l \h </w:instrText>
          </w:r>
          <w:r w:rsidR="00F37142">
            <w:fldChar w:fldCharType="separate"/>
          </w:r>
          <w:r w:rsidR="00F37142">
            <w:t>7</w:t>
          </w:r>
          <w:r w:rsidR="00F37142">
            <w:fldChar w:fldCharType="end"/>
          </w:r>
        </w:p>
        <w:p w14:paraId="0632E63E" w14:textId="77777777" w:rsidR="001C590F" w:rsidRDefault="00EC3DCD" w:rsidP="007B348D">
          <w:pPr>
            <w:pStyle w:val="Normal1"/>
            <w:widowControl w:val="0"/>
            <w:numPr>
              <w:ilvl w:val="0"/>
              <w:numId w:val="1"/>
            </w:numPr>
            <w:tabs>
              <w:tab w:val="right" w:pos="9025"/>
            </w:tabs>
            <w:spacing w:before="60" w:line="360" w:lineRule="auto"/>
            <w:rPr>
              <w:color w:val="000000"/>
            </w:rPr>
          </w:pPr>
          <w:hyperlink w:anchor="_1wbu8j1gpsm4">
            <w:r w:rsidR="00F37142">
              <w:rPr>
                <w:color w:val="000000"/>
              </w:rPr>
              <w:t>Idea of research</w:t>
            </w:r>
            <w:r w:rsidR="00F37142">
              <w:rPr>
                <w:color w:val="000000"/>
              </w:rPr>
              <w:tab/>
            </w:r>
          </w:hyperlink>
          <w:r w:rsidR="00F37142">
            <w:fldChar w:fldCharType="begin"/>
          </w:r>
          <w:r w:rsidR="00F37142">
            <w:instrText xml:space="preserve"> PAGEREF _1wbu8j1gpsm4 \h </w:instrText>
          </w:r>
          <w:r w:rsidR="00F37142">
            <w:fldChar w:fldCharType="separate"/>
          </w:r>
          <w:r w:rsidR="00F37142">
            <w:t>8</w:t>
          </w:r>
          <w:r w:rsidR="00F37142">
            <w:fldChar w:fldCharType="end"/>
          </w:r>
        </w:p>
        <w:p w14:paraId="69B7797D" w14:textId="77777777" w:rsidR="001C590F" w:rsidRDefault="00EC3DCD" w:rsidP="007B348D">
          <w:pPr>
            <w:pStyle w:val="Normal1"/>
            <w:widowControl w:val="0"/>
            <w:numPr>
              <w:ilvl w:val="0"/>
              <w:numId w:val="1"/>
            </w:numPr>
            <w:tabs>
              <w:tab w:val="right" w:pos="9025"/>
            </w:tabs>
            <w:spacing w:before="60" w:line="360" w:lineRule="auto"/>
            <w:rPr>
              <w:color w:val="000000"/>
            </w:rPr>
          </w:pPr>
          <w:hyperlink w:anchor="_81i25apwyu30">
            <w:r w:rsidR="00F37142">
              <w:rPr>
                <w:color w:val="000000"/>
              </w:rPr>
              <w:t>Methodology</w:t>
            </w:r>
            <w:r w:rsidR="00F37142">
              <w:rPr>
                <w:color w:val="000000"/>
              </w:rPr>
              <w:tab/>
            </w:r>
          </w:hyperlink>
          <w:r w:rsidR="00F37142">
            <w:fldChar w:fldCharType="begin"/>
          </w:r>
          <w:r w:rsidR="00F37142">
            <w:instrText xml:space="preserve"> PAGEREF _81i25apwyu30 \h </w:instrText>
          </w:r>
          <w:r w:rsidR="00F37142">
            <w:fldChar w:fldCharType="separate"/>
          </w:r>
          <w:r w:rsidR="00F37142">
            <w:t>8</w:t>
          </w:r>
          <w:r w:rsidR="00F37142">
            <w:fldChar w:fldCharType="end"/>
          </w:r>
        </w:p>
        <w:p w14:paraId="3EBCAD9E" w14:textId="77777777" w:rsidR="001C590F" w:rsidRDefault="00EC3DCD" w:rsidP="007B348D">
          <w:pPr>
            <w:pStyle w:val="Normal1"/>
            <w:widowControl w:val="0"/>
            <w:numPr>
              <w:ilvl w:val="0"/>
              <w:numId w:val="1"/>
            </w:numPr>
            <w:tabs>
              <w:tab w:val="right" w:pos="9025"/>
            </w:tabs>
            <w:spacing w:before="60" w:line="360" w:lineRule="auto"/>
            <w:rPr>
              <w:color w:val="000000"/>
            </w:rPr>
          </w:pPr>
          <w:hyperlink w:anchor="_mflpaa9t2sk0">
            <w:r w:rsidR="00F37142">
              <w:rPr>
                <w:color w:val="000000"/>
              </w:rPr>
              <w:t>Sources</w:t>
            </w:r>
            <w:r w:rsidR="00F37142">
              <w:rPr>
                <w:color w:val="000000"/>
              </w:rPr>
              <w:tab/>
            </w:r>
          </w:hyperlink>
          <w:r w:rsidR="00F37142">
            <w:fldChar w:fldCharType="begin"/>
          </w:r>
          <w:r w:rsidR="00F37142">
            <w:instrText xml:space="preserve"> PAGEREF _mflpaa9t2sk0 \h </w:instrText>
          </w:r>
          <w:r w:rsidR="00F37142">
            <w:fldChar w:fldCharType="separate"/>
          </w:r>
          <w:r w:rsidR="00F37142">
            <w:t>8</w:t>
          </w:r>
          <w:r w:rsidR="00F37142">
            <w:fldChar w:fldCharType="end"/>
          </w:r>
        </w:p>
        <w:p w14:paraId="675D4DE1" w14:textId="77777777" w:rsidR="001C590F" w:rsidRDefault="00EC3DCD" w:rsidP="007B348D">
          <w:pPr>
            <w:pStyle w:val="Normal1"/>
            <w:widowControl w:val="0"/>
            <w:numPr>
              <w:ilvl w:val="0"/>
              <w:numId w:val="1"/>
            </w:numPr>
            <w:tabs>
              <w:tab w:val="right" w:pos="9025"/>
            </w:tabs>
            <w:spacing w:before="60" w:line="360" w:lineRule="auto"/>
            <w:rPr>
              <w:color w:val="000000"/>
            </w:rPr>
          </w:pPr>
          <w:hyperlink w:anchor="_v0pxppd745jy">
            <w:r w:rsidR="00F37142">
              <w:rPr>
                <w:color w:val="000000"/>
              </w:rPr>
              <w:t>Conclusion</w:t>
            </w:r>
            <w:r w:rsidR="00F37142">
              <w:rPr>
                <w:color w:val="000000"/>
              </w:rPr>
              <w:tab/>
            </w:r>
          </w:hyperlink>
          <w:r w:rsidR="00F37142">
            <w:fldChar w:fldCharType="begin"/>
          </w:r>
          <w:r w:rsidR="00F37142">
            <w:instrText xml:space="preserve"> PAGEREF _v0pxppd745jy \h </w:instrText>
          </w:r>
          <w:r w:rsidR="00F37142">
            <w:fldChar w:fldCharType="separate"/>
          </w:r>
          <w:r w:rsidR="00F37142">
            <w:t>9</w:t>
          </w:r>
          <w:r w:rsidR="00F37142">
            <w:fldChar w:fldCharType="end"/>
          </w:r>
        </w:p>
        <w:p w14:paraId="01819585" w14:textId="77777777" w:rsidR="001C590F" w:rsidRDefault="00EC3DCD" w:rsidP="007B348D">
          <w:pPr>
            <w:pStyle w:val="Normal1"/>
            <w:widowControl w:val="0"/>
            <w:numPr>
              <w:ilvl w:val="0"/>
              <w:numId w:val="1"/>
            </w:numPr>
            <w:tabs>
              <w:tab w:val="right" w:pos="9025"/>
            </w:tabs>
            <w:spacing w:before="60" w:line="360" w:lineRule="auto"/>
            <w:rPr>
              <w:color w:val="000000"/>
            </w:rPr>
          </w:pPr>
          <w:hyperlink w:anchor="_3wkcz4mgei6h">
            <w:r w:rsidR="00F37142">
              <w:rPr>
                <w:color w:val="000000"/>
              </w:rPr>
              <w:t>References</w:t>
            </w:r>
            <w:r w:rsidR="00F37142">
              <w:rPr>
                <w:color w:val="000000"/>
              </w:rPr>
              <w:tab/>
            </w:r>
          </w:hyperlink>
          <w:r w:rsidR="00F37142">
            <w:fldChar w:fldCharType="begin"/>
          </w:r>
          <w:r w:rsidR="00F37142">
            <w:instrText xml:space="preserve"> PAGEREF _3wkcz4mgei6h \h </w:instrText>
          </w:r>
          <w:r w:rsidR="00F37142">
            <w:fldChar w:fldCharType="separate"/>
          </w:r>
          <w:r w:rsidR="00F37142">
            <w:t>10</w:t>
          </w:r>
          <w:r w:rsidR="00F37142">
            <w:fldChar w:fldCharType="end"/>
          </w:r>
          <w:r w:rsidR="00F37142">
            <w:fldChar w:fldCharType="end"/>
          </w:r>
        </w:p>
      </w:sdtContent>
    </w:sdt>
    <w:p w14:paraId="6351CE8E" w14:textId="77777777" w:rsidR="001C590F" w:rsidRDefault="00F37142">
      <w:pPr>
        <w:pStyle w:val="Normal1"/>
        <w:jc w:val="center"/>
      </w:pPr>
      <w:r>
        <w:br w:type="page"/>
      </w:r>
    </w:p>
    <w:p w14:paraId="546E031D" w14:textId="77777777" w:rsidR="001C590F" w:rsidRDefault="00F37142">
      <w:pPr>
        <w:pStyle w:val="Heading1"/>
        <w:rPr>
          <w:b/>
          <w:sz w:val="28"/>
          <w:szCs w:val="28"/>
        </w:rPr>
      </w:pPr>
      <w:bookmarkStart w:id="1" w:name="_pslz84ua80y5" w:colFirst="0" w:colLast="0"/>
      <w:bookmarkEnd w:id="1"/>
      <w:r>
        <w:rPr>
          <w:b/>
          <w:sz w:val="28"/>
          <w:szCs w:val="28"/>
        </w:rPr>
        <w:t>Introduction</w:t>
      </w:r>
    </w:p>
    <w:p w14:paraId="1B7A5990" w14:textId="77777777" w:rsidR="001C590F" w:rsidRDefault="001C590F">
      <w:pPr>
        <w:pStyle w:val="Normal1"/>
      </w:pPr>
    </w:p>
    <w:p w14:paraId="3FCA9D9D" w14:textId="77777777" w:rsidR="001C590F" w:rsidRDefault="00F37142">
      <w:pPr>
        <w:pStyle w:val="Normal1"/>
        <w:spacing w:line="360" w:lineRule="auto"/>
        <w:jc w:val="both"/>
      </w:pPr>
      <w:r>
        <w:t xml:space="preserve">The different sections presented within this report will particularly focus on the area of digital health literacy in the care homes sector that exists as a part of the entire healthcare industry in the United Kingdom. The utilisation of several technological advancements within the healthcare industry and the different organisations operating within the industry can be taken into account as one of the primary paths for the development of efficiency in treating the individuals who require the necessary facilities as per the opinions presented by </w:t>
      </w:r>
      <w:r>
        <w:rPr>
          <w:color w:val="222222"/>
          <w:highlight w:val="white"/>
        </w:rPr>
        <w:t xml:space="preserve">Sheikh </w:t>
      </w:r>
      <w:r>
        <w:rPr>
          <w:i/>
          <w:color w:val="222222"/>
          <w:highlight w:val="white"/>
        </w:rPr>
        <w:t xml:space="preserve">et al. </w:t>
      </w:r>
      <w:r>
        <w:rPr>
          <w:color w:val="222222"/>
          <w:highlight w:val="white"/>
        </w:rPr>
        <w:t>(2021)</w:t>
      </w:r>
      <w:r>
        <w:t xml:space="preserve">. The area of digital literacy will be particularly adopted within this report because, according to </w:t>
      </w:r>
      <w:r>
        <w:rPr>
          <w:color w:val="222222"/>
          <w:highlight w:val="white"/>
        </w:rPr>
        <w:t xml:space="preserve">Sheikh </w:t>
      </w:r>
      <w:r>
        <w:rPr>
          <w:i/>
          <w:color w:val="222222"/>
          <w:highlight w:val="white"/>
        </w:rPr>
        <w:t xml:space="preserve">et al. </w:t>
      </w:r>
      <w:r>
        <w:rPr>
          <w:color w:val="222222"/>
          <w:highlight w:val="white"/>
        </w:rPr>
        <w:t>(2021)</w:t>
      </w:r>
      <w:r>
        <w:t>, a direct relationship remains particularly between the extraction of the necessary resources for the development of desired health outcomes and the correspondingly increasing digital literacy area.</w:t>
      </w:r>
    </w:p>
    <w:p w14:paraId="5B0D61A1" w14:textId="77777777" w:rsidR="001C590F" w:rsidRDefault="00F37142">
      <w:pPr>
        <w:pStyle w:val="Heading1"/>
      </w:pPr>
      <w:bookmarkStart w:id="2" w:name="_vrhdfs5dae5x" w:colFirst="0" w:colLast="0"/>
      <w:bookmarkEnd w:id="2"/>
      <w:r>
        <w:rPr>
          <w:b/>
          <w:sz w:val="28"/>
          <w:szCs w:val="28"/>
        </w:rPr>
        <w:t xml:space="preserve">Different technologies used for digital literacy in the modern-day care homes </w:t>
      </w:r>
    </w:p>
    <w:p w14:paraId="2B675646" w14:textId="77777777" w:rsidR="001C590F" w:rsidRDefault="00F37142">
      <w:pPr>
        <w:pStyle w:val="Heading2"/>
        <w:rPr>
          <w:b/>
          <w:sz w:val="24"/>
          <w:szCs w:val="24"/>
        </w:rPr>
      </w:pPr>
      <w:bookmarkStart w:id="3" w:name="_gdja38xgmhjq" w:colFirst="0" w:colLast="0"/>
      <w:bookmarkEnd w:id="3"/>
      <w:r>
        <w:rPr>
          <w:b/>
          <w:sz w:val="24"/>
          <w:szCs w:val="24"/>
        </w:rPr>
        <w:t>Electronic health records utilisation</w:t>
      </w:r>
    </w:p>
    <w:p w14:paraId="36658DC7" w14:textId="77777777" w:rsidR="001C590F" w:rsidRDefault="001C590F">
      <w:pPr>
        <w:pStyle w:val="Normal1"/>
      </w:pPr>
    </w:p>
    <w:p w14:paraId="70FCD6AB" w14:textId="77777777" w:rsidR="001C590F" w:rsidRDefault="00F37142">
      <w:pPr>
        <w:pStyle w:val="Normal1"/>
        <w:spacing w:line="360" w:lineRule="auto"/>
        <w:jc w:val="both"/>
      </w:pPr>
      <w:r>
        <w:t xml:space="preserve">Within the overall area of care homes, the utilisation of the current technology of electronic health records can be directly connected to the management and accumulation of information related to sensitive health difficulties faced by individuals who require the necessary facilities. According to the opinions presented by Schultze et al. (2021), the utilisation of electronic health records has been particularly effective during the COVID-19 pandemic period. The recent data provided by Schultze et al. (2021) includes the insight that more than 26000 death occurrences have been visible within the care homes situated primarily within the United Kingdom. However, the usage of Electronic Health Records has been specifically useful in filling the exact gap that has been witnessed by healthcare professionals in terms of the maintenance of the exact data sets related to the conditions or the progressive mental and physical deterioration of those patients. A significant contribution towards digital health literacy has been particularly observed due to the usage of Electronic Health Records because the detailed data regarding medical history and the facilities related to the comparisons between the types of difficulties faced by individuals belonging to different age groups have been considerably made available due to the Electronic Health Records. Similar information has been provided by </w:t>
      </w:r>
      <w:r>
        <w:rPr>
          <w:color w:val="222222"/>
          <w:highlight w:val="white"/>
        </w:rPr>
        <w:t xml:space="preserve">Sheikh </w:t>
      </w:r>
      <w:r>
        <w:rPr>
          <w:i/>
          <w:color w:val="222222"/>
          <w:highlight w:val="white"/>
        </w:rPr>
        <w:t xml:space="preserve">et al. </w:t>
      </w:r>
      <w:r>
        <w:rPr>
          <w:color w:val="222222"/>
          <w:highlight w:val="white"/>
        </w:rPr>
        <w:t>(2021).</w:t>
      </w:r>
    </w:p>
    <w:p w14:paraId="2EC453FC" w14:textId="77777777" w:rsidR="001C590F" w:rsidRDefault="00F37142">
      <w:pPr>
        <w:pStyle w:val="Normal1"/>
        <w:spacing w:line="360" w:lineRule="auto"/>
        <w:jc w:val="both"/>
      </w:pPr>
      <w:r>
        <w:t xml:space="preserve">. </w:t>
      </w:r>
    </w:p>
    <w:p w14:paraId="3CD6B9BF" w14:textId="77777777" w:rsidR="001C590F" w:rsidRDefault="00F37142">
      <w:pPr>
        <w:pStyle w:val="Normal1"/>
        <w:spacing w:line="360" w:lineRule="auto"/>
        <w:jc w:val="both"/>
      </w:pPr>
      <w:r>
        <w:t xml:space="preserve">According to the opinions presented by </w:t>
      </w:r>
      <w:r>
        <w:rPr>
          <w:color w:val="222222"/>
          <w:highlight w:val="white"/>
        </w:rPr>
        <w:t xml:space="preserve">Martzoukou </w:t>
      </w:r>
      <w:r>
        <w:t xml:space="preserve">(2021), the digital skill utilisation by the different patients who are currently availing the necessary facilities available in the care home services spread out within the different regions of the United Kingdom can be identified as an important aspect of the overall digital literacy realm inside the care homes. According to the survey presented by </w:t>
      </w:r>
      <w:r>
        <w:rPr>
          <w:color w:val="222222"/>
          <w:highlight w:val="white"/>
        </w:rPr>
        <w:t xml:space="preserve">Martzoukou (2021), more than 21% of the entire care home population, consisting of different care professionals, do not possess basic digital learning skills and capabilities. The requirement for electronic health records can be easily witnessed within these care home settings that currently exist in the United Kingdom. The utilisation of the EHRs can result in the creation of certain statistical information relating to the changes within the patient behaviours and the different medical strategies, which can be accordingly taken to neutralise potential health-related issues which can take place in connection to medication usage or further referrals (Sheikh </w:t>
      </w:r>
      <w:r>
        <w:rPr>
          <w:i/>
          <w:color w:val="222222"/>
          <w:highlight w:val="white"/>
        </w:rPr>
        <w:t xml:space="preserve">et al. </w:t>
      </w:r>
      <w:r>
        <w:rPr>
          <w:color w:val="222222"/>
          <w:highlight w:val="white"/>
        </w:rPr>
        <w:t>2021).</w:t>
      </w:r>
    </w:p>
    <w:p w14:paraId="14A0AE01" w14:textId="77777777" w:rsidR="001C590F" w:rsidRDefault="00F37142">
      <w:pPr>
        <w:pStyle w:val="Heading2"/>
        <w:rPr>
          <w:b/>
          <w:sz w:val="24"/>
          <w:szCs w:val="24"/>
        </w:rPr>
      </w:pPr>
      <w:bookmarkStart w:id="4" w:name="_99ccrplvgnp6" w:colFirst="0" w:colLast="0"/>
      <w:bookmarkEnd w:id="4"/>
      <w:r>
        <w:rPr>
          <w:b/>
          <w:sz w:val="24"/>
          <w:szCs w:val="24"/>
        </w:rPr>
        <w:t>Telehealth technology</w:t>
      </w:r>
    </w:p>
    <w:p w14:paraId="73401921" w14:textId="77777777" w:rsidR="001C590F" w:rsidRDefault="001C590F">
      <w:pPr>
        <w:pStyle w:val="Normal1"/>
      </w:pPr>
    </w:p>
    <w:p w14:paraId="7D10ECBD" w14:textId="77777777" w:rsidR="001C590F" w:rsidRDefault="00F37142">
      <w:pPr>
        <w:pStyle w:val="Normal1"/>
        <w:spacing w:line="360" w:lineRule="auto"/>
        <w:jc w:val="both"/>
      </w:pPr>
      <w:r>
        <w:t xml:space="preserve">The utilisation of telehealth Technology, according to the opinions of Russell </w:t>
      </w:r>
      <w:r>
        <w:rPr>
          <w:i/>
        </w:rPr>
        <w:t xml:space="preserve">et al. </w:t>
      </w:r>
      <w:r>
        <w:t xml:space="preserve">(2023), can also be identified in coordination with the development of EHR in terms of the development of the communication that takes place essentially between the patients and the health professionals within the care homes in the United Kingdom. The amount of flexibility which is ensured by the development of telehealth technology within health care institutions, including care homes, can be related to the overall removal of the barrier related to the expression of feelings and the linguistic differences which may take place, according to Russell </w:t>
      </w:r>
      <w:r>
        <w:rPr>
          <w:i/>
        </w:rPr>
        <w:t xml:space="preserve">et al. </w:t>
      </w:r>
      <w:r>
        <w:t xml:space="preserve">(2023). </w:t>
      </w:r>
    </w:p>
    <w:p w14:paraId="0D570221" w14:textId="77777777" w:rsidR="001C590F" w:rsidRDefault="001C590F">
      <w:pPr>
        <w:pStyle w:val="Normal1"/>
        <w:spacing w:line="360" w:lineRule="auto"/>
        <w:jc w:val="both"/>
      </w:pPr>
    </w:p>
    <w:p w14:paraId="5DF95C04" w14:textId="77777777" w:rsidR="001C590F" w:rsidRDefault="00F37142">
      <w:pPr>
        <w:pStyle w:val="Normal1"/>
        <w:spacing w:line="360" w:lineRule="auto"/>
        <w:jc w:val="both"/>
      </w:pPr>
      <w:r>
        <w:t xml:space="preserve">For the different care homes that currently exist within the United Kingdom, the issue of digital literacy can be considerably connected to the utilisation of digital tools for the quicker adoption of different facilities and techniques related to the treatment and the development of the desired health outcomes for the patients. According to the opinions of </w:t>
      </w:r>
      <w:r>
        <w:rPr>
          <w:color w:val="222222"/>
          <w:highlight w:val="white"/>
        </w:rPr>
        <w:t xml:space="preserve">Harvey, Hastings and Chowdhury </w:t>
      </w:r>
      <w:r>
        <w:t>(2023), the concept of telehealth introduction within care facilities can allow the achievement of the overall data related to the types of health expectations, which can be developed through the management of the necessary treatment options and medications. The direct impact of increased digital literacy within care homes can be generally evident in the form of greater compassion of the current workforce and the potential candidates within the healthcare processes towards patients with different physical and mental care needs. The other benefits can also include the reduction of the overall administrative burden that can create confusion related to data handling and resource requirement necessities. The overall confidence of the patients can also rise as they are able to gain greater control over their own health and wellbeing areas for the achievement of the desired lifestyles (</w:t>
      </w:r>
      <w:r>
        <w:rPr>
          <w:color w:val="222222"/>
          <w:highlight w:val="white"/>
        </w:rPr>
        <w:t xml:space="preserve">Harvey, Hastings and Chowdhury, </w:t>
      </w:r>
      <w:r>
        <w:t>2023).</w:t>
      </w:r>
    </w:p>
    <w:p w14:paraId="424BEFDA" w14:textId="77777777" w:rsidR="001C590F" w:rsidRDefault="00F37142">
      <w:pPr>
        <w:pStyle w:val="Normal1"/>
      </w:pPr>
      <w:r>
        <w:rPr>
          <w:noProof/>
          <w:lang w:val="en-IN" w:eastAsia="en-IN"/>
        </w:rPr>
        <w:drawing>
          <wp:inline distT="114300" distB="114300" distL="114300" distR="114300" wp14:anchorId="45F5D863" wp14:editId="037B2D21">
            <wp:extent cx="5243513" cy="3057264"/>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7"/>
                    <a:stretch>
                      <a:fillRect/>
                    </a:stretch>
                  </pic:blipFill>
                  <pic:spPr>
                    <a:xfrm>
                      <a:off x="0" y="0"/>
                      <a:ext cx="5243513" cy="3057264"/>
                    </a:xfrm>
                    <a:prstGeom prst="rect">
                      <a:avLst/>
                    </a:prstGeom>
                  </pic:spPr>
                </pic:pic>
              </a:graphicData>
            </a:graphic>
          </wp:inline>
        </w:drawing>
      </w:r>
    </w:p>
    <w:p w14:paraId="763D5555" w14:textId="77777777" w:rsidR="001C590F" w:rsidRDefault="00F37142">
      <w:pPr>
        <w:pStyle w:val="Normal1"/>
        <w:jc w:val="center"/>
      </w:pPr>
      <w:r>
        <w:t>Figure 1: The general contribution of telehealth technology utilisation towards the health maintenance processes in the UK</w:t>
      </w:r>
    </w:p>
    <w:p w14:paraId="29FFA799" w14:textId="77777777" w:rsidR="001C590F" w:rsidRDefault="00F37142">
      <w:pPr>
        <w:pStyle w:val="Normal1"/>
        <w:jc w:val="center"/>
      </w:pPr>
      <w:r>
        <w:t xml:space="preserve">Source: Calcaterra </w:t>
      </w:r>
      <w:r>
        <w:rPr>
          <w:i/>
        </w:rPr>
        <w:t xml:space="preserve">et al. </w:t>
      </w:r>
      <w:r>
        <w:t>(2021)</w:t>
      </w:r>
    </w:p>
    <w:p w14:paraId="4FCD6CE0" w14:textId="77777777" w:rsidR="001C590F" w:rsidRDefault="001C590F">
      <w:pPr>
        <w:pStyle w:val="Normal1"/>
      </w:pPr>
    </w:p>
    <w:p w14:paraId="16D6B47B" w14:textId="77777777" w:rsidR="001C590F" w:rsidRDefault="00F37142">
      <w:pPr>
        <w:pStyle w:val="Normal1"/>
        <w:spacing w:line="360" w:lineRule="auto"/>
        <w:jc w:val="both"/>
      </w:pPr>
      <w:r>
        <w:t xml:space="preserve">According to the opinions presented by Calcaterra </w:t>
      </w:r>
      <w:r>
        <w:rPr>
          <w:i/>
        </w:rPr>
        <w:t xml:space="preserve">et al. </w:t>
      </w:r>
      <w:r>
        <w:t xml:space="preserve">(2021) within the current pandemic period, the different benefits which have been achieved by different individuals in general due to telehealth technology utilisation have included obesity reduction benefits and the related assistance, especially for children who have been particularly vulnerable to such issues due to reduction of outer physical activity. The different functions which have been generated as a part of the health maintenance processes in general, particularly during the pandemic period, through telehealth technology usage have included lifestyle parameter measurements such as the social isolation areas, unbalanced diet and the associated food insecurity issues, fitness programs involvement and the measurement of the exposure to nutritional advice as has been demonstrated through figure 1 given above. Similar benefits hence can also be achieved within the care home settings due to telehealth usage in the United Kingdom. According to the opinions of </w:t>
      </w:r>
      <w:r>
        <w:rPr>
          <w:color w:val="222222"/>
          <w:highlight w:val="white"/>
        </w:rPr>
        <w:t>Bhamra, Gallagher and Patel (2023)</w:t>
      </w:r>
      <w:r>
        <w:t>, through the overall monitoring benefits and the associated digital literacy that has been obtained by the health professionals in the care home settings across the UK, the primary results which have been achieved have included the real-time communication benefits and the consecutive teleconsultations, leading to the rise of advanced care planning processes.</w:t>
      </w:r>
    </w:p>
    <w:p w14:paraId="45D683C3" w14:textId="77777777" w:rsidR="001C590F" w:rsidRDefault="00F37142">
      <w:pPr>
        <w:pStyle w:val="Heading2"/>
        <w:rPr>
          <w:b/>
          <w:sz w:val="24"/>
          <w:szCs w:val="24"/>
        </w:rPr>
      </w:pPr>
      <w:bookmarkStart w:id="5" w:name="_3oz77dj0fr8i" w:colFirst="0" w:colLast="0"/>
      <w:bookmarkEnd w:id="5"/>
      <w:r>
        <w:rPr>
          <w:b/>
          <w:sz w:val="24"/>
          <w:szCs w:val="24"/>
        </w:rPr>
        <w:t>Virtual Reality (VR) related to health literacy.</w:t>
      </w:r>
    </w:p>
    <w:p w14:paraId="5189A8B4" w14:textId="77777777" w:rsidR="001C590F" w:rsidRDefault="001C590F">
      <w:pPr>
        <w:pStyle w:val="Normal1"/>
      </w:pPr>
    </w:p>
    <w:p w14:paraId="2919EB91" w14:textId="77777777" w:rsidR="001C590F" w:rsidRDefault="00F37142">
      <w:pPr>
        <w:pStyle w:val="Normal1"/>
        <w:spacing w:line="360" w:lineRule="auto"/>
        <w:jc w:val="both"/>
      </w:pPr>
      <w:r>
        <w:t xml:space="preserve">According to the opinions presented by </w:t>
      </w:r>
      <w:r>
        <w:rPr>
          <w:color w:val="222222"/>
          <w:highlight w:val="white"/>
        </w:rPr>
        <w:t xml:space="preserve">Nittayathammakul, Chatwattana and Piriyasurawong </w:t>
      </w:r>
      <w:r>
        <w:t xml:space="preserve">(2021), the area of digital health literacy can be identified as an evolutionary step that has been derived from the traditional health literacy area which did not initially include the requirement of knowledge related to digital tools and techniques for the health assessment and treatment processes. However, within the current care home settings that exist in the United Kingdom, the requirement of the promotion of digital health literacy has been essential because of the corresponding requirement for health professionals to develop their corresponding efficiencies in terms of quicker detection of certain symptoms which can indicate the future occurrence of major health issues. The utilisation of different campaigns and interventions has been evident currently within the care home settings across the different regions of the United Kingdom for the promotion of digital health literacy, as has been mentioned by </w:t>
      </w:r>
      <w:r>
        <w:rPr>
          <w:color w:val="222222"/>
          <w:highlight w:val="white"/>
        </w:rPr>
        <w:t xml:space="preserve">Nittayathammakul, Chatwattana and Piriyasurawong </w:t>
      </w:r>
      <w:r>
        <w:t xml:space="preserve">(2021). The introduction of virtual reality, according to </w:t>
      </w:r>
      <w:r>
        <w:rPr>
          <w:color w:val="222222"/>
          <w:highlight w:val="white"/>
        </w:rPr>
        <w:t xml:space="preserve">Nittayathammakul, Chatwattana and Piriyasurawong </w:t>
      </w:r>
      <w:r>
        <w:t>(2021), has therefore been a significant step used in combination with different other areas such as the Internet of Things and augmented reality for the promotion of digital health literacy recently, even during the pandemic period in the UK. The development of learning retention at an enhanced rate has been possible due to virtual reality along with the other benefit of an immersive learning environment for skill application and practice (</w:t>
      </w:r>
      <w:r>
        <w:rPr>
          <w:color w:val="222222"/>
          <w:highlight w:val="white"/>
        </w:rPr>
        <w:t>Yang, Hu and Qi, 2022)</w:t>
      </w:r>
      <w:r>
        <w:t>.</w:t>
      </w:r>
    </w:p>
    <w:p w14:paraId="626EDBE9" w14:textId="77777777" w:rsidR="001C590F" w:rsidRDefault="00F37142">
      <w:pPr>
        <w:pStyle w:val="Heading1"/>
      </w:pPr>
      <w:bookmarkStart w:id="6" w:name="_ux3k1941m0g9" w:colFirst="0" w:colLast="0"/>
      <w:bookmarkEnd w:id="6"/>
      <w:r>
        <w:rPr>
          <w:b/>
          <w:sz w:val="28"/>
          <w:szCs w:val="28"/>
        </w:rPr>
        <w:t xml:space="preserve">Relevant issues associated with the health and social care sector </w:t>
      </w:r>
    </w:p>
    <w:p w14:paraId="51F7695D" w14:textId="77777777" w:rsidR="001C590F" w:rsidRDefault="00F37142">
      <w:pPr>
        <w:pStyle w:val="Heading2"/>
        <w:rPr>
          <w:b/>
          <w:sz w:val="24"/>
          <w:szCs w:val="24"/>
        </w:rPr>
      </w:pPr>
      <w:bookmarkStart w:id="7" w:name="_q91yqm1lzkh8" w:colFirst="0" w:colLast="0"/>
      <w:bookmarkEnd w:id="7"/>
      <w:r>
        <w:rPr>
          <w:b/>
          <w:sz w:val="24"/>
          <w:szCs w:val="24"/>
        </w:rPr>
        <w:t>Problem statement</w:t>
      </w:r>
    </w:p>
    <w:p w14:paraId="1B91E7F5" w14:textId="77777777" w:rsidR="001C590F" w:rsidRDefault="001C590F">
      <w:pPr>
        <w:pStyle w:val="Normal1"/>
        <w:rPr>
          <w:i/>
        </w:rPr>
      </w:pPr>
    </w:p>
    <w:p w14:paraId="477C6D4F" w14:textId="77777777" w:rsidR="001C590F" w:rsidRDefault="00F37142">
      <w:pPr>
        <w:pStyle w:val="Normal1"/>
        <w:spacing w:line="360" w:lineRule="auto"/>
        <w:jc w:val="both"/>
      </w:pPr>
      <w:r>
        <w:t xml:space="preserve">The area of digital health literacy within the care home services provided in the United Kingdom can be taken into account as a primary aspect of the increased control of individuals towards their own health outcomes and lifestyle achievements, according to the opinions presented by </w:t>
      </w:r>
      <w:r>
        <w:rPr>
          <w:color w:val="222222"/>
          <w:highlight w:val="white"/>
        </w:rPr>
        <w:t xml:space="preserve">Harvey, Hastings and Chowdhury </w:t>
      </w:r>
      <w:r>
        <w:t xml:space="preserve">(2023). Further exploration of the study presented by </w:t>
      </w:r>
      <w:r>
        <w:rPr>
          <w:color w:val="222222"/>
          <w:highlight w:val="white"/>
        </w:rPr>
        <w:t xml:space="preserve">Harvey, Hastings and Chowdhury </w:t>
      </w:r>
      <w:r>
        <w:t>(2023) has allowed the identification of certain other negative aspects, such as the decrease in the factor of digital inclusion and the rise of the corresponding digital exclusion due to the lower awareness of both the professionals and the patients within the home care services in terms of digital technology implementation. The utilisation of the exact keywords has therefore taken place along with the combined usage of search engines such as the Google Scholar website for the exploration of the issue related to digital exclusion in UK care homes.</w:t>
      </w:r>
    </w:p>
    <w:p w14:paraId="0B7A383C" w14:textId="77777777" w:rsidR="001C590F" w:rsidRDefault="00F37142">
      <w:pPr>
        <w:pStyle w:val="Heading2"/>
      </w:pPr>
      <w:bookmarkStart w:id="8" w:name="_14pv4upc89ds" w:colFirst="0" w:colLast="0"/>
      <w:bookmarkEnd w:id="8"/>
      <w:r>
        <w:rPr>
          <w:b/>
          <w:sz w:val="24"/>
          <w:szCs w:val="24"/>
        </w:rPr>
        <w:t>Justification</w:t>
      </w:r>
    </w:p>
    <w:p w14:paraId="6ACC02AD" w14:textId="77777777" w:rsidR="001C590F" w:rsidRDefault="00F37142">
      <w:pPr>
        <w:pStyle w:val="Heading3"/>
        <w:rPr>
          <w:b/>
          <w:i/>
          <w:sz w:val="24"/>
          <w:szCs w:val="24"/>
        </w:rPr>
      </w:pPr>
      <w:bookmarkStart w:id="9" w:name="_56bym3xegm99" w:colFirst="0" w:colLast="0"/>
      <w:bookmarkEnd w:id="9"/>
      <w:r>
        <w:rPr>
          <w:b/>
          <w:i/>
          <w:sz w:val="24"/>
          <w:szCs w:val="24"/>
        </w:rPr>
        <w:t>Theoretical justification</w:t>
      </w:r>
    </w:p>
    <w:p w14:paraId="2F8F9F7C" w14:textId="77777777" w:rsidR="001C590F" w:rsidRDefault="001C590F">
      <w:pPr>
        <w:pStyle w:val="Normal1"/>
      </w:pPr>
    </w:p>
    <w:p w14:paraId="33E61C75" w14:textId="77777777" w:rsidR="001C590F" w:rsidRDefault="00F37142">
      <w:pPr>
        <w:pStyle w:val="Normal1"/>
        <w:spacing w:line="360" w:lineRule="auto"/>
        <w:jc w:val="both"/>
      </w:pPr>
      <w:r>
        <w:t xml:space="preserve">The issue of digital exclusion within care homes in the United Kingdom has been specifically chosen because of the current need for further research on the topic and the direct connection of this issue with the ultimate area of digital literacy in UK care homes. The requirement for further focus, particularly within the region of the United Kingdom in the case of digital literacy issues, can be observed through the research of </w:t>
      </w:r>
      <w:r>
        <w:rPr>
          <w:color w:val="222222"/>
          <w:highlight w:val="white"/>
        </w:rPr>
        <w:t xml:space="preserve">Hasannejadasl </w:t>
      </w:r>
      <w:r>
        <w:rPr>
          <w:i/>
          <w:color w:val="222222"/>
          <w:highlight w:val="white"/>
        </w:rPr>
        <w:t xml:space="preserve">et al. </w:t>
      </w:r>
      <w:r>
        <w:rPr>
          <w:color w:val="222222"/>
          <w:highlight w:val="white"/>
        </w:rPr>
        <w:t>(2022), which can be taken as an example. Although the digital literacy issues and the consequences related to lower health benefits have been discussed in the article delivered by Hasannejadasl et al. (2022), a considerable lack of focus has been witnessed in the case of the situation that currently prevails in the United Kingdom. The removal of such literature gaps can be considered as the primary motivation for the choice of this research area.</w:t>
      </w:r>
    </w:p>
    <w:p w14:paraId="1DDE8820" w14:textId="77777777" w:rsidR="001C590F" w:rsidRDefault="00F37142">
      <w:pPr>
        <w:pStyle w:val="Heading3"/>
        <w:rPr>
          <w:b/>
          <w:i/>
          <w:sz w:val="24"/>
          <w:szCs w:val="24"/>
        </w:rPr>
      </w:pPr>
      <w:bookmarkStart w:id="10" w:name="_xzfin0adih1l" w:colFirst="0" w:colLast="0"/>
      <w:bookmarkEnd w:id="10"/>
      <w:r>
        <w:rPr>
          <w:b/>
          <w:i/>
          <w:sz w:val="24"/>
          <w:szCs w:val="24"/>
        </w:rPr>
        <w:t xml:space="preserve">Practical justification </w:t>
      </w:r>
    </w:p>
    <w:p w14:paraId="7D19025F" w14:textId="77777777" w:rsidR="001C590F" w:rsidRDefault="001C590F">
      <w:pPr>
        <w:pStyle w:val="Normal1"/>
      </w:pPr>
    </w:p>
    <w:p w14:paraId="437CF30B" w14:textId="77777777" w:rsidR="001C590F" w:rsidRDefault="00F37142">
      <w:pPr>
        <w:pStyle w:val="Normal1"/>
        <w:spacing w:line="360" w:lineRule="auto"/>
        <w:jc w:val="both"/>
        <w:rPr>
          <w:i/>
        </w:rPr>
      </w:pPr>
      <w:r>
        <w:t xml:space="preserve">NHS England has recently been able to provide certain insights regarding the factors that cause digital exclusion in certain areas. The requirement of access to all the necessary resources, starting from proper internet connectivity requirements to essential hardware installation needs, has been highlighted by NHS England as the primary reason for the development of digital exclusion issues (NHS England, 2023). Similar opinions have been provided by </w:t>
      </w:r>
      <w:r>
        <w:rPr>
          <w:color w:val="222222"/>
          <w:highlight w:val="white"/>
        </w:rPr>
        <w:t xml:space="preserve">Nittayathammakul, Chatwattana and Piriyasurawong </w:t>
      </w:r>
      <w:r>
        <w:t>(2021). A broader exploration of such reasons and the consequences can also be included as the primary motivation for the choice of the research topic.</w:t>
      </w:r>
    </w:p>
    <w:p w14:paraId="2B84C27E" w14:textId="77777777" w:rsidR="001C590F" w:rsidRDefault="00F37142">
      <w:pPr>
        <w:pStyle w:val="Heading2"/>
        <w:rPr>
          <w:b/>
          <w:sz w:val="24"/>
          <w:szCs w:val="24"/>
        </w:rPr>
      </w:pPr>
      <w:bookmarkStart w:id="11" w:name="_1wbu8j1gpsm4" w:colFirst="0" w:colLast="0"/>
      <w:bookmarkEnd w:id="11"/>
      <w:r>
        <w:rPr>
          <w:b/>
          <w:sz w:val="24"/>
          <w:szCs w:val="24"/>
        </w:rPr>
        <w:t>Idea of research</w:t>
      </w:r>
    </w:p>
    <w:p w14:paraId="1F2618EB" w14:textId="77777777" w:rsidR="001C590F" w:rsidRDefault="001C590F">
      <w:pPr>
        <w:pStyle w:val="Normal1"/>
        <w:rPr>
          <w:i/>
        </w:rPr>
      </w:pPr>
    </w:p>
    <w:p w14:paraId="1396AB3E" w14:textId="77777777" w:rsidR="001C590F" w:rsidRDefault="00F37142">
      <w:pPr>
        <w:pStyle w:val="Normal1"/>
        <w:spacing w:line="360" w:lineRule="auto"/>
        <w:jc w:val="both"/>
        <w:rPr>
          <w:i/>
        </w:rPr>
      </w:pPr>
      <w:r>
        <w:t xml:space="preserve">The chosen research idea is directly related to the occurrence of digital exclusion issues within the area of digital literacy in care homes in the United Kingdom. According to the opinions presented by Farre </w:t>
      </w:r>
      <w:r>
        <w:rPr>
          <w:i/>
        </w:rPr>
        <w:t xml:space="preserve">et al. </w:t>
      </w:r>
      <w:r>
        <w:t xml:space="preserve">(2023), the area of digital inequality that exists within the care home settings in the United Kingdom can be connected to the decreased incorporation of digital technology into the lives of individuals who require the necessary health facilities. The gradual decrease in the access to digital technology for the development of the confidence of the patients regarding the health progress within the care homes creates vulnerability towards the risks of lower transparency and communication between the patients and the health professionals (Farre </w:t>
      </w:r>
      <w:r>
        <w:rPr>
          <w:i/>
        </w:rPr>
        <w:t xml:space="preserve">et al. </w:t>
      </w:r>
      <w:r>
        <w:t>2023). Worsened health outcomes can also be visible, leading to a potential decrease in the future trust of the patients in the care services. The extent of the consequences taking place due to the digital exclusion or inequality issue within the digital literacy area, therefore, requires further exploration along with the development of certain ideas regarding the steps which have been taken by the authorities in the UK for the reduction of such undesirable outcomes.</w:t>
      </w:r>
    </w:p>
    <w:p w14:paraId="16342206" w14:textId="77777777" w:rsidR="001C590F" w:rsidRDefault="00F37142">
      <w:pPr>
        <w:pStyle w:val="Heading2"/>
        <w:rPr>
          <w:b/>
          <w:sz w:val="24"/>
          <w:szCs w:val="24"/>
        </w:rPr>
      </w:pPr>
      <w:bookmarkStart w:id="12" w:name="_81i25apwyu30" w:colFirst="0" w:colLast="0"/>
      <w:bookmarkEnd w:id="12"/>
      <w:r>
        <w:rPr>
          <w:b/>
          <w:sz w:val="24"/>
          <w:szCs w:val="24"/>
        </w:rPr>
        <w:t>Methodology</w:t>
      </w:r>
    </w:p>
    <w:p w14:paraId="6909F201" w14:textId="77777777" w:rsidR="001C590F" w:rsidRDefault="001C590F">
      <w:pPr>
        <w:pStyle w:val="Normal1"/>
        <w:rPr>
          <w:i/>
        </w:rPr>
      </w:pPr>
    </w:p>
    <w:p w14:paraId="3D96088C" w14:textId="77777777" w:rsidR="001C590F" w:rsidRDefault="00F37142">
      <w:pPr>
        <w:pStyle w:val="Normal1"/>
        <w:spacing w:line="360" w:lineRule="auto"/>
        <w:jc w:val="both"/>
      </w:pPr>
      <w:r>
        <w:t xml:space="preserve">The overall methodology that will be utilised considerably for the achievement of the necessary research outcomes will be the quantitative research methodology. According to the opinions of Bauer </w:t>
      </w:r>
      <w:r>
        <w:rPr>
          <w:i/>
        </w:rPr>
        <w:t xml:space="preserve">et al. </w:t>
      </w:r>
      <w:r>
        <w:t xml:space="preserve">(2021), the management of the sources of information using the quantitative research methodology allows the utilisation of a large-scale sample, which can be, in turn, utilised for the development of statistical information related to the considered research phenomenon. The development of statistical data for the current research process will therefore be possible through the utilisation of the quantitative methodology as this methodology will facilitate the usage of different tools such as digital forms and questionnaires, which can then be used to obtain the opinions of a large number of patients involved within the care home settings in the United Kingdom. </w:t>
      </w:r>
    </w:p>
    <w:p w14:paraId="3FD2CA30" w14:textId="77777777" w:rsidR="001C590F" w:rsidRDefault="001C590F">
      <w:pPr>
        <w:pStyle w:val="Normal1"/>
        <w:rPr>
          <w:i/>
        </w:rPr>
      </w:pPr>
    </w:p>
    <w:p w14:paraId="14A3596C" w14:textId="77777777" w:rsidR="001C590F" w:rsidRDefault="00F37142">
      <w:pPr>
        <w:pStyle w:val="Heading2"/>
        <w:rPr>
          <w:b/>
          <w:sz w:val="24"/>
          <w:szCs w:val="24"/>
        </w:rPr>
      </w:pPr>
      <w:bookmarkStart w:id="13" w:name="_mflpaa9t2sk0" w:colFirst="0" w:colLast="0"/>
      <w:bookmarkEnd w:id="13"/>
      <w:r>
        <w:rPr>
          <w:b/>
          <w:sz w:val="24"/>
          <w:szCs w:val="24"/>
        </w:rPr>
        <w:t>Sources</w:t>
      </w:r>
    </w:p>
    <w:p w14:paraId="59AA50BC" w14:textId="77777777" w:rsidR="001C590F" w:rsidRDefault="001C590F">
      <w:pPr>
        <w:pStyle w:val="Normal1"/>
        <w:rPr>
          <w:i/>
        </w:rPr>
      </w:pPr>
    </w:p>
    <w:p w14:paraId="75E82797" w14:textId="77777777" w:rsidR="001C590F" w:rsidRDefault="00F37142">
      <w:pPr>
        <w:pStyle w:val="Normal1"/>
        <w:spacing w:line="360" w:lineRule="auto"/>
        <w:jc w:val="both"/>
      </w:pPr>
      <w:r>
        <w:t>The utilisation of the Google Scholar search engine has primarily taken place for the identification of the exact sources of information related to digital exclusion in the area of digital literacy within care home settings in the United Kingdom.</w:t>
      </w:r>
    </w:p>
    <w:p w14:paraId="6643D040" w14:textId="77777777" w:rsidR="001C590F" w:rsidRDefault="001C590F">
      <w:pPr>
        <w:pStyle w:val="Normal1"/>
      </w:pPr>
    </w:p>
    <w:p w14:paraId="529925F4" w14:textId="77777777" w:rsidR="001C590F" w:rsidRDefault="001C590F">
      <w:pPr>
        <w:pStyle w:val="Normal1"/>
      </w:pPr>
    </w:p>
    <w:tbl>
      <w:tblPr>
        <w:tblStyle w:val="Table1"/>
        <w:tblW w:w="10275" w:type="dxa"/>
        <w:tblInd w:w="-4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10"/>
        <w:gridCol w:w="1635"/>
        <w:gridCol w:w="2775"/>
        <w:gridCol w:w="3855"/>
      </w:tblGrid>
      <w:tr w:rsidR="001C590F" w14:paraId="6AF97144" w14:textId="77777777">
        <w:tc>
          <w:tcPr>
            <w:tcW w:w="2010" w:type="dxa"/>
            <w:shd w:val="clear" w:color="auto" w:fill="auto"/>
            <w:tcMar>
              <w:top w:w="100" w:type="dxa"/>
              <w:left w:w="100" w:type="dxa"/>
              <w:bottom w:w="100" w:type="dxa"/>
              <w:right w:w="100" w:type="dxa"/>
            </w:tcMar>
          </w:tcPr>
          <w:p w14:paraId="5851E166" w14:textId="77777777" w:rsidR="001C590F" w:rsidRDefault="00F37142">
            <w:pPr>
              <w:pStyle w:val="Normal1"/>
              <w:widowControl w:val="0"/>
              <w:pBdr>
                <w:top w:val="nil"/>
                <w:left w:val="nil"/>
                <w:bottom w:val="nil"/>
                <w:right w:val="nil"/>
                <w:between w:val="nil"/>
              </w:pBdr>
              <w:spacing w:line="240" w:lineRule="auto"/>
              <w:jc w:val="center"/>
              <w:rPr>
                <w:b/>
              </w:rPr>
            </w:pPr>
            <w:r>
              <w:rPr>
                <w:b/>
              </w:rPr>
              <w:t>Sources</w:t>
            </w:r>
          </w:p>
        </w:tc>
        <w:tc>
          <w:tcPr>
            <w:tcW w:w="1635" w:type="dxa"/>
            <w:shd w:val="clear" w:color="auto" w:fill="auto"/>
            <w:tcMar>
              <w:top w:w="100" w:type="dxa"/>
              <w:left w:w="100" w:type="dxa"/>
              <w:bottom w:w="100" w:type="dxa"/>
              <w:right w:w="100" w:type="dxa"/>
            </w:tcMar>
          </w:tcPr>
          <w:p w14:paraId="5840E523" w14:textId="77777777" w:rsidR="001C590F" w:rsidRDefault="00F37142">
            <w:pPr>
              <w:pStyle w:val="Normal1"/>
              <w:widowControl w:val="0"/>
              <w:pBdr>
                <w:top w:val="nil"/>
                <w:left w:val="nil"/>
                <w:bottom w:val="nil"/>
                <w:right w:val="nil"/>
                <w:between w:val="nil"/>
              </w:pBdr>
              <w:spacing w:line="240" w:lineRule="auto"/>
              <w:jc w:val="center"/>
              <w:rPr>
                <w:b/>
              </w:rPr>
            </w:pPr>
            <w:r>
              <w:rPr>
                <w:b/>
              </w:rPr>
              <w:t>Search Engine used</w:t>
            </w:r>
          </w:p>
        </w:tc>
        <w:tc>
          <w:tcPr>
            <w:tcW w:w="2775" w:type="dxa"/>
            <w:shd w:val="clear" w:color="auto" w:fill="auto"/>
            <w:tcMar>
              <w:top w:w="100" w:type="dxa"/>
              <w:left w:w="100" w:type="dxa"/>
              <w:bottom w:w="100" w:type="dxa"/>
              <w:right w:w="100" w:type="dxa"/>
            </w:tcMar>
          </w:tcPr>
          <w:p w14:paraId="4CA35CCF" w14:textId="77777777" w:rsidR="001C590F" w:rsidRDefault="00F37142">
            <w:pPr>
              <w:pStyle w:val="Normal1"/>
              <w:widowControl w:val="0"/>
              <w:pBdr>
                <w:top w:val="nil"/>
                <w:left w:val="nil"/>
                <w:bottom w:val="nil"/>
                <w:right w:val="nil"/>
                <w:between w:val="nil"/>
              </w:pBdr>
              <w:spacing w:line="240" w:lineRule="auto"/>
              <w:jc w:val="center"/>
              <w:rPr>
                <w:b/>
              </w:rPr>
            </w:pPr>
            <w:r>
              <w:rPr>
                <w:b/>
              </w:rPr>
              <w:t>The way the source was found</w:t>
            </w:r>
          </w:p>
        </w:tc>
        <w:tc>
          <w:tcPr>
            <w:tcW w:w="3855" w:type="dxa"/>
            <w:shd w:val="clear" w:color="auto" w:fill="auto"/>
            <w:tcMar>
              <w:top w:w="100" w:type="dxa"/>
              <w:left w:w="100" w:type="dxa"/>
              <w:bottom w:w="100" w:type="dxa"/>
              <w:right w:w="100" w:type="dxa"/>
            </w:tcMar>
          </w:tcPr>
          <w:p w14:paraId="322C5D06" w14:textId="77777777" w:rsidR="001C590F" w:rsidRDefault="00F37142">
            <w:pPr>
              <w:pStyle w:val="Normal1"/>
              <w:widowControl w:val="0"/>
              <w:pBdr>
                <w:top w:val="nil"/>
                <w:left w:val="nil"/>
                <w:bottom w:val="nil"/>
                <w:right w:val="nil"/>
                <w:between w:val="nil"/>
              </w:pBdr>
              <w:spacing w:line="240" w:lineRule="auto"/>
              <w:jc w:val="center"/>
              <w:rPr>
                <w:b/>
              </w:rPr>
            </w:pPr>
            <w:r>
              <w:rPr>
                <w:b/>
              </w:rPr>
              <w:t>Screenshots</w:t>
            </w:r>
          </w:p>
        </w:tc>
      </w:tr>
      <w:tr w:rsidR="001C590F" w14:paraId="4DCEEF78" w14:textId="77777777">
        <w:tc>
          <w:tcPr>
            <w:tcW w:w="2010" w:type="dxa"/>
            <w:shd w:val="clear" w:color="auto" w:fill="auto"/>
            <w:tcMar>
              <w:top w:w="100" w:type="dxa"/>
              <w:left w:w="100" w:type="dxa"/>
              <w:bottom w:w="100" w:type="dxa"/>
              <w:right w:w="100" w:type="dxa"/>
            </w:tcMar>
          </w:tcPr>
          <w:p w14:paraId="7E7B1F7B" w14:textId="77777777" w:rsidR="001C590F" w:rsidRDefault="00F37142">
            <w:pPr>
              <w:pStyle w:val="Normal1"/>
              <w:spacing w:line="360" w:lineRule="auto"/>
            </w:pPr>
            <w:r>
              <w:rPr>
                <w:color w:val="222222"/>
                <w:highlight w:val="white"/>
              </w:rPr>
              <w:t>Davies, Honeyman and Gann (2021)</w:t>
            </w:r>
          </w:p>
        </w:tc>
        <w:tc>
          <w:tcPr>
            <w:tcW w:w="1635" w:type="dxa"/>
            <w:shd w:val="clear" w:color="auto" w:fill="auto"/>
            <w:tcMar>
              <w:top w:w="100" w:type="dxa"/>
              <w:left w:w="100" w:type="dxa"/>
              <w:bottom w:w="100" w:type="dxa"/>
              <w:right w:w="100" w:type="dxa"/>
            </w:tcMar>
          </w:tcPr>
          <w:p w14:paraId="5473B389" w14:textId="77777777" w:rsidR="001C590F" w:rsidRDefault="00F37142">
            <w:pPr>
              <w:pStyle w:val="Normal1"/>
              <w:widowControl w:val="0"/>
              <w:pBdr>
                <w:top w:val="nil"/>
                <w:left w:val="nil"/>
                <w:bottom w:val="nil"/>
                <w:right w:val="nil"/>
                <w:between w:val="nil"/>
              </w:pBdr>
              <w:spacing w:line="360" w:lineRule="auto"/>
            </w:pPr>
            <w:r>
              <w:t>Google Scholar</w:t>
            </w:r>
          </w:p>
        </w:tc>
        <w:tc>
          <w:tcPr>
            <w:tcW w:w="2775" w:type="dxa"/>
            <w:shd w:val="clear" w:color="auto" w:fill="auto"/>
            <w:tcMar>
              <w:top w:w="100" w:type="dxa"/>
              <w:left w:w="100" w:type="dxa"/>
              <w:bottom w:w="100" w:type="dxa"/>
              <w:right w:w="100" w:type="dxa"/>
            </w:tcMar>
          </w:tcPr>
          <w:p w14:paraId="75BB605D" w14:textId="77777777" w:rsidR="001C590F" w:rsidRDefault="00F37142">
            <w:pPr>
              <w:pStyle w:val="Normal1"/>
              <w:widowControl w:val="0"/>
              <w:pBdr>
                <w:top w:val="nil"/>
                <w:left w:val="nil"/>
                <w:bottom w:val="nil"/>
                <w:right w:val="nil"/>
                <w:between w:val="nil"/>
              </w:pBdr>
              <w:spacing w:line="360" w:lineRule="auto"/>
            </w:pPr>
            <w:r>
              <w:t>The source was found using the keywords 'issues of digital health literacy in the care homes in the UK'.</w:t>
            </w:r>
          </w:p>
        </w:tc>
        <w:tc>
          <w:tcPr>
            <w:tcW w:w="3855" w:type="dxa"/>
            <w:shd w:val="clear" w:color="auto" w:fill="auto"/>
            <w:tcMar>
              <w:top w:w="100" w:type="dxa"/>
              <w:left w:w="100" w:type="dxa"/>
              <w:bottom w:w="100" w:type="dxa"/>
              <w:right w:w="100" w:type="dxa"/>
            </w:tcMar>
          </w:tcPr>
          <w:p w14:paraId="306CC892" w14:textId="77777777" w:rsidR="001C590F" w:rsidRDefault="00F37142">
            <w:pPr>
              <w:pStyle w:val="Normal1"/>
              <w:widowControl w:val="0"/>
              <w:pBdr>
                <w:top w:val="nil"/>
                <w:left w:val="nil"/>
                <w:bottom w:val="nil"/>
                <w:right w:val="nil"/>
                <w:between w:val="nil"/>
              </w:pBdr>
              <w:spacing w:line="240" w:lineRule="auto"/>
            </w:pPr>
            <w:r>
              <w:rPr>
                <w:noProof/>
                <w:lang w:val="en-IN" w:eastAsia="en-IN"/>
              </w:rPr>
              <w:drawing>
                <wp:inline distT="114300" distB="114300" distL="114300" distR="114300" wp14:anchorId="277EF254" wp14:editId="4C2341DA">
                  <wp:extent cx="2190750" cy="1114425"/>
                  <wp:effectExtent l="0" t="0" r="0" b="952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2192002" cy="1115062"/>
                          </a:xfrm>
                          <a:prstGeom prst="rect">
                            <a:avLst/>
                          </a:prstGeom>
                        </pic:spPr>
                      </pic:pic>
                    </a:graphicData>
                  </a:graphic>
                </wp:inline>
              </w:drawing>
            </w:r>
          </w:p>
          <w:p w14:paraId="58575B62" w14:textId="77777777" w:rsidR="001C590F" w:rsidRDefault="001C590F">
            <w:pPr>
              <w:pStyle w:val="Normal1"/>
              <w:widowControl w:val="0"/>
              <w:pBdr>
                <w:top w:val="nil"/>
                <w:left w:val="nil"/>
                <w:bottom w:val="nil"/>
                <w:right w:val="nil"/>
                <w:between w:val="nil"/>
              </w:pBdr>
              <w:spacing w:line="240" w:lineRule="auto"/>
            </w:pPr>
          </w:p>
          <w:p w14:paraId="2A59B058" w14:textId="77777777" w:rsidR="001C590F" w:rsidRDefault="001C590F">
            <w:pPr>
              <w:pStyle w:val="Normal1"/>
              <w:widowControl w:val="0"/>
              <w:pBdr>
                <w:top w:val="nil"/>
                <w:left w:val="nil"/>
                <w:bottom w:val="nil"/>
                <w:right w:val="nil"/>
                <w:between w:val="nil"/>
              </w:pBdr>
              <w:spacing w:line="240" w:lineRule="auto"/>
            </w:pPr>
          </w:p>
        </w:tc>
      </w:tr>
      <w:tr w:rsidR="001C590F" w14:paraId="37FF2C8E" w14:textId="77777777">
        <w:tc>
          <w:tcPr>
            <w:tcW w:w="2010" w:type="dxa"/>
            <w:shd w:val="clear" w:color="auto" w:fill="auto"/>
            <w:tcMar>
              <w:top w:w="100" w:type="dxa"/>
              <w:left w:w="100" w:type="dxa"/>
              <w:bottom w:w="100" w:type="dxa"/>
              <w:right w:w="100" w:type="dxa"/>
            </w:tcMar>
          </w:tcPr>
          <w:p w14:paraId="16C59DB9" w14:textId="77777777" w:rsidR="001C590F" w:rsidRDefault="00F37142">
            <w:pPr>
              <w:pStyle w:val="Normal1"/>
              <w:widowControl w:val="0"/>
              <w:pBdr>
                <w:top w:val="nil"/>
                <w:left w:val="nil"/>
                <w:bottom w:val="nil"/>
                <w:right w:val="nil"/>
                <w:between w:val="nil"/>
              </w:pBdr>
              <w:spacing w:line="360" w:lineRule="auto"/>
            </w:pPr>
            <w:r>
              <w:t xml:space="preserve">Farre </w:t>
            </w:r>
            <w:r>
              <w:rPr>
                <w:i/>
              </w:rPr>
              <w:t xml:space="preserve">et al. </w:t>
            </w:r>
            <w:r>
              <w:t>(2023)</w:t>
            </w:r>
          </w:p>
        </w:tc>
        <w:tc>
          <w:tcPr>
            <w:tcW w:w="1635" w:type="dxa"/>
            <w:shd w:val="clear" w:color="auto" w:fill="auto"/>
            <w:tcMar>
              <w:top w:w="100" w:type="dxa"/>
              <w:left w:w="100" w:type="dxa"/>
              <w:bottom w:w="100" w:type="dxa"/>
              <w:right w:w="100" w:type="dxa"/>
            </w:tcMar>
          </w:tcPr>
          <w:p w14:paraId="36406E7E" w14:textId="77777777" w:rsidR="001C590F" w:rsidRDefault="00F37142">
            <w:pPr>
              <w:pStyle w:val="Normal1"/>
              <w:widowControl w:val="0"/>
              <w:pBdr>
                <w:top w:val="nil"/>
                <w:left w:val="nil"/>
                <w:bottom w:val="nil"/>
                <w:right w:val="nil"/>
                <w:between w:val="nil"/>
              </w:pBdr>
              <w:spacing w:line="360" w:lineRule="auto"/>
            </w:pPr>
            <w:r>
              <w:t>Google Scholar</w:t>
            </w:r>
          </w:p>
        </w:tc>
        <w:tc>
          <w:tcPr>
            <w:tcW w:w="2775" w:type="dxa"/>
            <w:shd w:val="clear" w:color="auto" w:fill="auto"/>
            <w:tcMar>
              <w:top w:w="100" w:type="dxa"/>
              <w:left w:w="100" w:type="dxa"/>
              <w:bottom w:w="100" w:type="dxa"/>
              <w:right w:w="100" w:type="dxa"/>
            </w:tcMar>
          </w:tcPr>
          <w:p w14:paraId="60DB98A9" w14:textId="77777777" w:rsidR="001C590F" w:rsidRDefault="00F37142">
            <w:pPr>
              <w:pStyle w:val="Normal1"/>
              <w:widowControl w:val="0"/>
              <w:spacing w:line="360" w:lineRule="auto"/>
            </w:pPr>
            <w:r>
              <w:t>The source was found using the keywords 'issues of digital health literacy in the care homes in the UK'.</w:t>
            </w:r>
          </w:p>
        </w:tc>
        <w:tc>
          <w:tcPr>
            <w:tcW w:w="3855" w:type="dxa"/>
            <w:shd w:val="clear" w:color="auto" w:fill="auto"/>
            <w:tcMar>
              <w:top w:w="100" w:type="dxa"/>
              <w:left w:w="100" w:type="dxa"/>
              <w:bottom w:w="100" w:type="dxa"/>
              <w:right w:w="100" w:type="dxa"/>
            </w:tcMar>
          </w:tcPr>
          <w:p w14:paraId="637C70C5" w14:textId="77777777" w:rsidR="001C590F" w:rsidRDefault="00F37142">
            <w:pPr>
              <w:pStyle w:val="Normal1"/>
              <w:widowControl w:val="0"/>
              <w:pBdr>
                <w:top w:val="nil"/>
                <w:left w:val="nil"/>
                <w:bottom w:val="nil"/>
                <w:right w:val="nil"/>
                <w:between w:val="nil"/>
              </w:pBdr>
              <w:spacing w:line="240" w:lineRule="auto"/>
            </w:pPr>
            <w:r>
              <w:rPr>
                <w:noProof/>
                <w:lang w:val="en-IN" w:eastAsia="en-IN"/>
              </w:rPr>
              <w:drawing>
                <wp:inline distT="114300" distB="114300" distL="114300" distR="114300" wp14:anchorId="7FA23104" wp14:editId="0C3F6B14">
                  <wp:extent cx="2190750" cy="14732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9"/>
                          <a:stretch>
                            <a:fillRect/>
                          </a:stretch>
                        </pic:blipFill>
                        <pic:spPr>
                          <a:xfrm>
                            <a:off x="0" y="0"/>
                            <a:ext cx="2190750" cy="1473200"/>
                          </a:xfrm>
                          <a:prstGeom prst="rect">
                            <a:avLst/>
                          </a:prstGeom>
                        </pic:spPr>
                      </pic:pic>
                    </a:graphicData>
                  </a:graphic>
                </wp:inline>
              </w:drawing>
            </w:r>
          </w:p>
        </w:tc>
      </w:tr>
      <w:tr w:rsidR="001C590F" w14:paraId="67E142E4" w14:textId="77777777">
        <w:tc>
          <w:tcPr>
            <w:tcW w:w="2010" w:type="dxa"/>
            <w:shd w:val="clear" w:color="auto" w:fill="auto"/>
            <w:tcMar>
              <w:top w:w="100" w:type="dxa"/>
              <w:left w:w="100" w:type="dxa"/>
              <w:bottom w:w="100" w:type="dxa"/>
              <w:right w:w="100" w:type="dxa"/>
            </w:tcMar>
          </w:tcPr>
          <w:p w14:paraId="535D0825" w14:textId="77777777" w:rsidR="001C590F" w:rsidRDefault="00F37142">
            <w:pPr>
              <w:pStyle w:val="Normal1"/>
              <w:spacing w:line="360" w:lineRule="auto"/>
            </w:pPr>
            <w:r>
              <w:rPr>
                <w:color w:val="222222"/>
                <w:highlight w:val="white"/>
              </w:rPr>
              <w:t>McGregor and Crowther (2022)</w:t>
            </w:r>
          </w:p>
        </w:tc>
        <w:tc>
          <w:tcPr>
            <w:tcW w:w="1635" w:type="dxa"/>
            <w:shd w:val="clear" w:color="auto" w:fill="auto"/>
            <w:tcMar>
              <w:top w:w="100" w:type="dxa"/>
              <w:left w:w="100" w:type="dxa"/>
              <w:bottom w:w="100" w:type="dxa"/>
              <w:right w:w="100" w:type="dxa"/>
            </w:tcMar>
          </w:tcPr>
          <w:p w14:paraId="330E5500" w14:textId="77777777" w:rsidR="001C590F" w:rsidRDefault="00F37142">
            <w:pPr>
              <w:pStyle w:val="Normal1"/>
              <w:widowControl w:val="0"/>
              <w:pBdr>
                <w:top w:val="nil"/>
                <w:left w:val="nil"/>
                <w:bottom w:val="nil"/>
                <w:right w:val="nil"/>
                <w:between w:val="nil"/>
              </w:pBdr>
              <w:spacing w:line="360" w:lineRule="auto"/>
            </w:pPr>
            <w:r>
              <w:t>Google Scholar</w:t>
            </w:r>
          </w:p>
        </w:tc>
        <w:tc>
          <w:tcPr>
            <w:tcW w:w="2775" w:type="dxa"/>
            <w:shd w:val="clear" w:color="auto" w:fill="auto"/>
            <w:tcMar>
              <w:top w:w="100" w:type="dxa"/>
              <w:left w:w="100" w:type="dxa"/>
              <w:bottom w:w="100" w:type="dxa"/>
              <w:right w:w="100" w:type="dxa"/>
            </w:tcMar>
          </w:tcPr>
          <w:p w14:paraId="47DFA782" w14:textId="77777777" w:rsidR="001C590F" w:rsidRDefault="00F37142">
            <w:pPr>
              <w:pStyle w:val="Normal1"/>
              <w:widowControl w:val="0"/>
              <w:pBdr>
                <w:top w:val="nil"/>
                <w:left w:val="nil"/>
                <w:bottom w:val="nil"/>
                <w:right w:val="nil"/>
                <w:between w:val="nil"/>
              </w:pBdr>
              <w:spacing w:line="360" w:lineRule="auto"/>
            </w:pPr>
            <w:r>
              <w:t>The source was found using the keywords 'digital exclusion in the care homes in the UK '.</w:t>
            </w:r>
          </w:p>
        </w:tc>
        <w:tc>
          <w:tcPr>
            <w:tcW w:w="3855" w:type="dxa"/>
            <w:shd w:val="clear" w:color="auto" w:fill="auto"/>
            <w:tcMar>
              <w:top w:w="100" w:type="dxa"/>
              <w:left w:w="100" w:type="dxa"/>
              <w:bottom w:w="100" w:type="dxa"/>
              <w:right w:w="100" w:type="dxa"/>
            </w:tcMar>
          </w:tcPr>
          <w:p w14:paraId="6A29FD24" w14:textId="77777777" w:rsidR="001C590F" w:rsidRDefault="00F37142">
            <w:pPr>
              <w:pStyle w:val="Normal1"/>
              <w:widowControl w:val="0"/>
              <w:pBdr>
                <w:top w:val="nil"/>
                <w:left w:val="nil"/>
                <w:bottom w:val="nil"/>
                <w:right w:val="nil"/>
                <w:between w:val="nil"/>
              </w:pBdr>
              <w:spacing w:line="240" w:lineRule="auto"/>
            </w:pPr>
            <w:r>
              <w:rPr>
                <w:noProof/>
                <w:lang w:val="en-IN" w:eastAsia="en-IN"/>
              </w:rPr>
              <w:drawing>
                <wp:inline distT="114300" distB="114300" distL="114300" distR="114300" wp14:anchorId="77FBA512" wp14:editId="0BF89655">
                  <wp:extent cx="2143125" cy="1473200"/>
                  <wp:effectExtent l="0" t="0" r="9525"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2143125" cy="1473200"/>
                          </a:xfrm>
                          <a:prstGeom prst="rect">
                            <a:avLst/>
                          </a:prstGeom>
                        </pic:spPr>
                      </pic:pic>
                    </a:graphicData>
                  </a:graphic>
                </wp:inline>
              </w:drawing>
            </w:r>
          </w:p>
        </w:tc>
      </w:tr>
    </w:tbl>
    <w:p w14:paraId="47D0057C" w14:textId="77777777" w:rsidR="001C590F" w:rsidRDefault="001C590F">
      <w:pPr>
        <w:pStyle w:val="Normal1"/>
      </w:pPr>
    </w:p>
    <w:p w14:paraId="126F4C07" w14:textId="77777777" w:rsidR="001C590F" w:rsidRDefault="00F37142">
      <w:pPr>
        <w:pStyle w:val="Heading1"/>
        <w:rPr>
          <w:b/>
          <w:sz w:val="28"/>
          <w:szCs w:val="28"/>
        </w:rPr>
      </w:pPr>
      <w:bookmarkStart w:id="14" w:name="_v0pxppd745jy" w:colFirst="0" w:colLast="0"/>
      <w:bookmarkEnd w:id="14"/>
      <w:r>
        <w:rPr>
          <w:b/>
          <w:sz w:val="28"/>
          <w:szCs w:val="28"/>
        </w:rPr>
        <w:t xml:space="preserve">Conclusion </w:t>
      </w:r>
    </w:p>
    <w:p w14:paraId="52C4642F" w14:textId="77777777" w:rsidR="001C590F" w:rsidRDefault="001C590F">
      <w:pPr>
        <w:pStyle w:val="Normal1"/>
      </w:pPr>
    </w:p>
    <w:p w14:paraId="53444F64" w14:textId="77777777" w:rsidR="001C590F" w:rsidRDefault="00F37142" w:rsidP="00241414">
      <w:pPr>
        <w:pStyle w:val="Normal1"/>
        <w:spacing w:line="360" w:lineRule="auto"/>
        <w:jc w:val="both"/>
      </w:pPr>
      <w:r>
        <w:t>It can be concluded from the different sections provided above that the development of awareness regarding the importance of digital literacy, both through the perspective of the health professionals and the patients involved within the care homes, particularly within the United Kingdom, can be beneficial in terms of the different variations of consequences which can be evident in the form of digital exclusion and inequalities. The removal of the barriers related to health access and the utilisation of the necessary technology that has been explored within the previous sections can, therefore, be taken into account as a beneficial action that can generate a higher reputation for the car</w:t>
      </w:r>
      <w:r w:rsidR="00241414">
        <w:t>e home services in the long run.</w:t>
      </w:r>
    </w:p>
    <w:p w14:paraId="7EA693E1" w14:textId="77777777" w:rsidR="00241414" w:rsidRDefault="00241414" w:rsidP="00241414">
      <w:pPr>
        <w:pStyle w:val="Normal1"/>
        <w:spacing w:line="360" w:lineRule="auto"/>
        <w:jc w:val="both"/>
      </w:pPr>
    </w:p>
    <w:p w14:paraId="578415CC" w14:textId="77777777" w:rsidR="001C590F" w:rsidRDefault="00F37142">
      <w:pPr>
        <w:pStyle w:val="Heading1"/>
        <w:rPr>
          <w:b/>
          <w:sz w:val="28"/>
          <w:szCs w:val="28"/>
        </w:rPr>
      </w:pPr>
      <w:bookmarkStart w:id="15" w:name="_3wkcz4mgei6h" w:colFirst="0" w:colLast="0"/>
      <w:bookmarkEnd w:id="15"/>
      <w:r>
        <w:rPr>
          <w:b/>
          <w:sz w:val="28"/>
          <w:szCs w:val="28"/>
        </w:rPr>
        <w:t>References</w:t>
      </w:r>
    </w:p>
    <w:p w14:paraId="01452514" w14:textId="77777777" w:rsidR="001C590F" w:rsidRDefault="001C590F">
      <w:pPr>
        <w:pStyle w:val="Normal1"/>
      </w:pPr>
    </w:p>
    <w:p w14:paraId="54AC2E4E" w14:textId="77777777" w:rsidR="00241414" w:rsidRDefault="00241414">
      <w:pPr>
        <w:pStyle w:val="Normal1"/>
        <w:spacing w:line="360" w:lineRule="auto"/>
        <w:jc w:val="both"/>
        <w:rPr>
          <w:color w:val="222222"/>
          <w:highlight w:val="white"/>
        </w:rPr>
      </w:pPr>
      <w:r>
        <w:rPr>
          <w:color w:val="222222"/>
          <w:highlight w:val="white"/>
        </w:rPr>
        <w:t xml:space="preserve">Bauer, G.R., Churchill, S.M., Mahendran, M., Walwyn, C., Lizotte, D. and Villa-Rueda, A.A., 2021. Intersectionality in quantitative research: A systematic review of its emergence and applications of theory and methods. </w:t>
      </w:r>
      <w:r>
        <w:rPr>
          <w:i/>
          <w:color w:val="222222"/>
          <w:highlight w:val="white"/>
        </w:rPr>
        <w:t>SSM-population health</w:t>
      </w:r>
      <w:r>
        <w:rPr>
          <w:color w:val="222222"/>
          <w:highlight w:val="white"/>
        </w:rPr>
        <w:t xml:space="preserve">, </w:t>
      </w:r>
      <w:r>
        <w:rPr>
          <w:i/>
          <w:color w:val="222222"/>
          <w:highlight w:val="white"/>
        </w:rPr>
        <w:t>14</w:t>
      </w:r>
      <w:r>
        <w:rPr>
          <w:color w:val="222222"/>
          <w:highlight w:val="white"/>
        </w:rPr>
        <w:t xml:space="preserve">, p.100798. Available at: </w:t>
      </w:r>
      <w:hyperlink r:id="rId11">
        <w:r>
          <w:rPr>
            <w:color w:val="1155CC"/>
            <w:highlight w:val="white"/>
            <w:u w:val="single"/>
          </w:rPr>
          <w:t>https://doi.org/10.1016/j.ssmph.2021.100798</w:t>
        </w:r>
      </w:hyperlink>
      <w:r>
        <w:rPr>
          <w:color w:val="222222"/>
          <w:highlight w:val="white"/>
        </w:rPr>
        <w:t xml:space="preserve"> [Accessed 3 January 2024]</w:t>
      </w:r>
    </w:p>
    <w:p w14:paraId="6C794F76" w14:textId="77777777" w:rsidR="00241414" w:rsidRDefault="00241414">
      <w:pPr>
        <w:pStyle w:val="Normal1"/>
        <w:spacing w:line="360" w:lineRule="auto"/>
        <w:jc w:val="both"/>
        <w:rPr>
          <w:color w:val="222222"/>
          <w:highlight w:val="white"/>
        </w:rPr>
      </w:pPr>
      <w:r>
        <w:rPr>
          <w:color w:val="222222"/>
          <w:highlight w:val="white"/>
        </w:rPr>
        <w:t xml:space="preserve">Bhamra, I.B., Gallagher, J.E. and Patel, R., 2023. Telehealth technologies in care homes: a gap for dentistry?. </w:t>
      </w:r>
      <w:r>
        <w:rPr>
          <w:i/>
          <w:color w:val="222222"/>
          <w:highlight w:val="white"/>
        </w:rPr>
        <w:t>Journal of Public Health</w:t>
      </w:r>
      <w:r>
        <w:rPr>
          <w:color w:val="222222"/>
          <w:highlight w:val="white"/>
        </w:rPr>
        <w:t xml:space="preserve">, p.fdad258. Availanle at: </w:t>
      </w:r>
      <w:hyperlink r:id="rId12">
        <w:r>
          <w:rPr>
            <w:color w:val="1155CC"/>
            <w:highlight w:val="white"/>
            <w:u w:val="single"/>
          </w:rPr>
          <w:t>https://doi.org/10.1093/pubmed/fdad258</w:t>
        </w:r>
      </w:hyperlink>
      <w:r>
        <w:rPr>
          <w:color w:val="222222"/>
          <w:highlight w:val="white"/>
        </w:rPr>
        <w:t xml:space="preserve"> [Accessed 3 January 2024]</w:t>
      </w:r>
    </w:p>
    <w:p w14:paraId="04EA411B" w14:textId="77777777" w:rsidR="00241414" w:rsidRDefault="00241414">
      <w:pPr>
        <w:pStyle w:val="Normal1"/>
        <w:spacing w:line="360" w:lineRule="auto"/>
        <w:jc w:val="both"/>
        <w:rPr>
          <w:color w:val="222222"/>
          <w:highlight w:val="white"/>
        </w:rPr>
      </w:pPr>
      <w:r>
        <w:rPr>
          <w:color w:val="222222"/>
          <w:highlight w:val="white"/>
        </w:rPr>
        <w:t xml:space="preserve">Calcaterra, V., Verduci, E., Vandoni, M., Rossi, V., Di Profio, E., Carnevale Pellino, V., Tranfaglia, V., Pascuzzi, M.C., Borsani, B., Bosetti, A. and Zuccotti, G., 2021. Telehealth: A useful tool for the management of nutrition and exercise programs in pediatric obesity in the COVID-19 era. </w:t>
      </w:r>
      <w:r>
        <w:rPr>
          <w:i/>
          <w:color w:val="222222"/>
          <w:highlight w:val="white"/>
        </w:rPr>
        <w:t>Nutrients</w:t>
      </w:r>
      <w:r>
        <w:rPr>
          <w:color w:val="222222"/>
          <w:highlight w:val="white"/>
        </w:rPr>
        <w:t xml:space="preserve">, </w:t>
      </w:r>
      <w:r>
        <w:rPr>
          <w:i/>
          <w:color w:val="222222"/>
          <w:highlight w:val="white"/>
        </w:rPr>
        <w:t>13</w:t>
      </w:r>
      <w:r>
        <w:rPr>
          <w:color w:val="222222"/>
          <w:highlight w:val="white"/>
        </w:rPr>
        <w:t xml:space="preserve">(11), p.3689. Available at: </w:t>
      </w:r>
      <w:hyperlink r:id="rId13">
        <w:r>
          <w:rPr>
            <w:color w:val="1155CC"/>
            <w:highlight w:val="white"/>
            <w:u w:val="single"/>
          </w:rPr>
          <w:t>https://doi.org/10.3390/nu13113689</w:t>
        </w:r>
      </w:hyperlink>
      <w:r>
        <w:rPr>
          <w:color w:val="222222"/>
          <w:highlight w:val="white"/>
        </w:rPr>
        <w:t xml:space="preserve"> [Accessed 3 January 2024]</w:t>
      </w:r>
    </w:p>
    <w:p w14:paraId="29D05731" w14:textId="77777777" w:rsidR="00241414" w:rsidRDefault="00241414">
      <w:pPr>
        <w:pStyle w:val="Normal1"/>
        <w:spacing w:line="360" w:lineRule="auto"/>
        <w:jc w:val="both"/>
        <w:rPr>
          <w:color w:val="222222"/>
          <w:highlight w:val="white"/>
        </w:rPr>
      </w:pPr>
      <w:r>
        <w:rPr>
          <w:color w:val="222222"/>
          <w:highlight w:val="white"/>
        </w:rPr>
        <w:t xml:space="preserve">Davies, A.R., Honeyman, M. and Gann, B., 2021. Addressing the digital inverse care law in the time of COVID-19: potential for digital technology to exacerbate or mitigate health inequalities. </w:t>
      </w:r>
      <w:r>
        <w:rPr>
          <w:i/>
          <w:color w:val="222222"/>
          <w:highlight w:val="white"/>
        </w:rPr>
        <w:t>Journal of Medical Internet Research</w:t>
      </w:r>
      <w:r>
        <w:rPr>
          <w:color w:val="222222"/>
          <w:highlight w:val="white"/>
        </w:rPr>
        <w:t xml:space="preserve">, </w:t>
      </w:r>
      <w:r>
        <w:rPr>
          <w:i/>
          <w:color w:val="222222"/>
          <w:highlight w:val="white"/>
        </w:rPr>
        <w:t>23</w:t>
      </w:r>
      <w:r>
        <w:rPr>
          <w:color w:val="222222"/>
          <w:highlight w:val="white"/>
        </w:rPr>
        <w:t xml:space="preserve">(4), p.e21726. Available at: </w:t>
      </w:r>
      <w:hyperlink r:id="rId14">
        <w:r>
          <w:rPr>
            <w:color w:val="1155CC"/>
            <w:highlight w:val="white"/>
            <w:u w:val="single"/>
          </w:rPr>
          <w:t>https://doi.org/10.2196/21726</w:t>
        </w:r>
      </w:hyperlink>
      <w:r>
        <w:rPr>
          <w:color w:val="222222"/>
          <w:highlight w:val="white"/>
        </w:rPr>
        <w:t xml:space="preserve"> [Accessed 3 January 2024]</w:t>
      </w:r>
    </w:p>
    <w:p w14:paraId="38ADB6FC" w14:textId="77777777" w:rsidR="00241414" w:rsidRDefault="00241414">
      <w:pPr>
        <w:pStyle w:val="Normal1"/>
        <w:spacing w:line="360" w:lineRule="auto"/>
        <w:jc w:val="both"/>
        <w:rPr>
          <w:color w:val="222222"/>
          <w:shd w:val="clear" w:color="auto" w:fill="EEEEEE"/>
        </w:rPr>
      </w:pPr>
      <w:r>
        <w:rPr>
          <w:color w:val="222222"/>
          <w:highlight w:val="white"/>
        </w:rPr>
        <w:t xml:space="preserve">Farre, A., Fang, M., Hannah, B., Makita, M., McFadden, A., Menezes, D., Rodriguez, A., Sixsmith, J. and M Gray, N., 2023. Exploring the use of digital technology to deliver healthcare services with explicit consideration of health inequalities in UK settings: A scoping review. </w:t>
      </w:r>
      <w:r>
        <w:rPr>
          <w:i/>
          <w:color w:val="222222"/>
          <w:highlight w:val="white"/>
        </w:rPr>
        <w:t>Digital Health</w:t>
      </w:r>
      <w:r>
        <w:rPr>
          <w:color w:val="222222"/>
          <w:highlight w:val="white"/>
        </w:rPr>
        <w:t xml:space="preserve">, </w:t>
      </w:r>
      <w:r>
        <w:rPr>
          <w:i/>
          <w:color w:val="222222"/>
          <w:highlight w:val="white"/>
        </w:rPr>
        <w:t>9</w:t>
      </w:r>
      <w:r>
        <w:rPr>
          <w:color w:val="222222"/>
          <w:highlight w:val="white"/>
        </w:rPr>
        <w:t xml:space="preserve">, p.20552076231185442. Available at: </w:t>
      </w:r>
      <w:hyperlink r:id="rId15">
        <w:r>
          <w:rPr>
            <w:color w:val="1155CC"/>
            <w:highlight w:val="white"/>
            <w:u w:val="single"/>
          </w:rPr>
          <w:t>https://doi.org/10.1177/20552076231185442</w:t>
        </w:r>
      </w:hyperlink>
      <w:r>
        <w:rPr>
          <w:color w:val="222222"/>
          <w:highlight w:val="white"/>
        </w:rPr>
        <w:t xml:space="preserve"> [Accessed 3 January 2024]</w:t>
      </w:r>
    </w:p>
    <w:p w14:paraId="7B51C69F" w14:textId="77777777" w:rsidR="00241414" w:rsidRDefault="00241414">
      <w:pPr>
        <w:pStyle w:val="Normal1"/>
        <w:spacing w:line="360" w:lineRule="auto"/>
        <w:jc w:val="both"/>
        <w:rPr>
          <w:color w:val="222222"/>
          <w:highlight w:val="white"/>
        </w:rPr>
      </w:pPr>
      <w:r>
        <w:rPr>
          <w:color w:val="222222"/>
          <w:highlight w:val="white"/>
        </w:rPr>
        <w:t xml:space="preserve">Harvey, M., Hastings, D.P. and Chowdhury, G., 2023. Understanding the costs and challenges of the digital divide through UK council services. </w:t>
      </w:r>
      <w:r>
        <w:rPr>
          <w:i/>
          <w:color w:val="222222"/>
          <w:highlight w:val="white"/>
        </w:rPr>
        <w:t>Journal of Information Science</w:t>
      </w:r>
      <w:r>
        <w:rPr>
          <w:color w:val="222222"/>
          <w:highlight w:val="white"/>
        </w:rPr>
        <w:t xml:space="preserve">, </w:t>
      </w:r>
      <w:r>
        <w:rPr>
          <w:i/>
          <w:color w:val="222222"/>
          <w:highlight w:val="white"/>
        </w:rPr>
        <w:t>49</w:t>
      </w:r>
      <w:r>
        <w:rPr>
          <w:color w:val="222222"/>
          <w:highlight w:val="white"/>
        </w:rPr>
        <w:t xml:space="preserve">(5), pp.1153-1167. Available at: </w:t>
      </w:r>
      <w:hyperlink r:id="rId16">
        <w:r>
          <w:rPr>
            <w:color w:val="1155CC"/>
            <w:highlight w:val="white"/>
            <w:u w:val="single"/>
          </w:rPr>
          <w:t>https://doi.org/10.1177/01655515211040664</w:t>
        </w:r>
      </w:hyperlink>
      <w:r>
        <w:rPr>
          <w:color w:val="222222"/>
          <w:highlight w:val="white"/>
        </w:rPr>
        <w:t xml:space="preserve"> [Accessed 3 January 2024]</w:t>
      </w:r>
    </w:p>
    <w:p w14:paraId="0B3DC33E" w14:textId="77777777" w:rsidR="00241414" w:rsidRDefault="00241414">
      <w:pPr>
        <w:pStyle w:val="Normal1"/>
        <w:spacing w:line="360" w:lineRule="auto"/>
        <w:jc w:val="both"/>
        <w:rPr>
          <w:color w:val="222222"/>
          <w:shd w:val="clear" w:color="auto" w:fill="EEEEEE"/>
        </w:rPr>
      </w:pPr>
      <w:r>
        <w:rPr>
          <w:color w:val="222222"/>
          <w:highlight w:val="white"/>
        </w:rPr>
        <w:t xml:space="preserve">Hasannejadasl, H., Roumen, C., Smit, Y., Dekker, A. and Fijten, R., 2022. Health Literacy and eHealth: Challenges and Strategies. </w:t>
      </w:r>
      <w:r>
        <w:rPr>
          <w:i/>
          <w:color w:val="222222"/>
          <w:highlight w:val="white"/>
        </w:rPr>
        <w:t>JCO Clinical Cancer Informatics</w:t>
      </w:r>
      <w:r>
        <w:rPr>
          <w:color w:val="222222"/>
          <w:highlight w:val="white"/>
        </w:rPr>
        <w:t xml:space="preserve">, </w:t>
      </w:r>
      <w:r>
        <w:rPr>
          <w:i/>
          <w:color w:val="222222"/>
          <w:highlight w:val="white"/>
        </w:rPr>
        <w:t>6</w:t>
      </w:r>
      <w:r>
        <w:rPr>
          <w:color w:val="222222"/>
          <w:highlight w:val="white"/>
        </w:rPr>
        <w:t xml:space="preserve">, p.e2200005. Available at: </w:t>
      </w:r>
      <w:hyperlink r:id="rId17">
        <w:r>
          <w:rPr>
            <w:color w:val="1155CC"/>
            <w:highlight w:val="white"/>
            <w:u w:val="single"/>
          </w:rPr>
          <w:t>https://doi.org/</w:t>
        </w:r>
      </w:hyperlink>
      <w:hyperlink r:id="rId18">
        <w:r>
          <w:rPr>
            <w:color w:val="1155CC"/>
            <w:u w:val="single"/>
            <w:shd w:val="clear" w:color="auto" w:fill="EEEEEE"/>
          </w:rPr>
          <w:t>10.1200/CCI.22.00005</w:t>
        </w:r>
      </w:hyperlink>
      <w:r>
        <w:rPr>
          <w:color w:val="222222"/>
          <w:shd w:val="clear" w:color="auto" w:fill="EEEEEE"/>
        </w:rPr>
        <w:t xml:space="preserve"> </w:t>
      </w:r>
      <w:r>
        <w:rPr>
          <w:color w:val="222222"/>
          <w:highlight w:val="white"/>
        </w:rPr>
        <w:t>[Accessed 3 January 2024]</w:t>
      </w:r>
    </w:p>
    <w:p w14:paraId="5B77D034" w14:textId="77777777" w:rsidR="00241414" w:rsidRDefault="00241414">
      <w:pPr>
        <w:pStyle w:val="Normal1"/>
        <w:spacing w:line="360" w:lineRule="auto"/>
        <w:jc w:val="both"/>
        <w:rPr>
          <w:color w:val="222222"/>
          <w:highlight w:val="white"/>
        </w:rPr>
      </w:pPr>
      <w:r>
        <w:rPr>
          <w:color w:val="222222"/>
          <w:highlight w:val="white"/>
        </w:rPr>
        <w:t xml:space="preserve">Hoffman, L.C., 2022. Reconnecting the Patient: Why Telehealth Policy Solutions Must Consider the Deepening Digital Divide. </w:t>
      </w:r>
      <w:r>
        <w:rPr>
          <w:i/>
          <w:color w:val="222222"/>
          <w:highlight w:val="white"/>
        </w:rPr>
        <w:t>JL &amp; Health</w:t>
      </w:r>
      <w:r>
        <w:rPr>
          <w:color w:val="222222"/>
          <w:highlight w:val="white"/>
        </w:rPr>
        <w:t xml:space="preserve">, </w:t>
      </w:r>
      <w:r>
        <w:rPr>
          <w:i/>
          <w:color w:val="222222"/>
          <w:highlight w:val="white"/>
        </w:rPr>
        <w:t>36</w:t>
      </w:r>
      <w:r>
        <w:rPr>
          <w:color w:val="222222"/>
          <w:highlight w:val="white"/>
        </w:rPr>
        <w:t xml:space="preserve">, p.1. Available at: </w:t>
      </w:r>
      <w:hyperlink r:id="rId19">
        <w:r>
          <w:rPr>
            <w:color w:val="1155CC"/>
            <w:highlight w:val="white"/>
            <w:u w:val="single"/>
          </w:rPr>
          <w:t>https://engagedscholarship.csuohio.edu/cgi/viewcontent.cgi?article=1622&amp;context=jlh</w:t>
        </w:r>
      </w:hyperlink>
      <w:r>
        <w:rPr>
          <w:color w:val="222222"/>
          <w:highlight w:val="white"/>
        </w:rPr>
        <w:t xml:space="preserve"> [Accessed 3 January 2024]</w:t>
      </w:r>
    </w:p>
    <w:p w14:paraId="1E7B3AF3" w14:textId="77777777" w:rsidR="00241414" w:rsidRDefault="00241414">
      <w:pPr>
        <w:pStyle w:val="Normal1"/>
        <w:spacing w:line="360" w:lineRule="auto"/>
        <w:jc w:val="both"/>
        <w:rPr>
          <w:color w:val="222222"/>
          <w:highlight w:val="white"/>
        </w:rPr>
      </w:pPr>
      <w:r>
        <w:rPr>
          <w:color w:val="222222"/>
          <w:highlight w:val="white"/>
        </w:rPr>
        <w:t xml:space="preserve">Martzoukou, K., 2021. Academic libraries in COVID-19: a renewed mission for digital literacy. </w:t>
      </w:r>
      <w:r>
        <w:rPr>
          <w:i/>
          <w:color w:val="222222"/>
          <w:highlight w:val="white"/>
        </w:rPr>
        <w:t>Library management</w:t>
      </w:r>
      <w:r>
        <w:rPr>
          <w:color w:val="222222"/>
          <w:highlight w:val="white"/>
        </w:rPr>
        <w:t xml:space="preserve">, </w:t>
      </w:r>
      <w:r>
        <w:rPr>
          <w:i/>
          <w:color w:val="222222"/>
          <w:highlight w:val="white"/>
        </w:rPr>
        <w:t>42</w:t>
      </w:r>
      <w:r>
        <w:rPr>
          <w:color w:val="222222"/>
          <w:highlight w:val="white"/>
        </w:rPr>
        <w:t xml:space="preserve">(4/5), pp.266-276. </w:t>
      </w:r>
      <w:hyperlink r:id="rId20">
        <w:r>
          <w:rPr>
            <w:color w:val="1155CC"/>
            <w:highlight w:val="white"/>
            <w:u w:val="single"/>
          </w:rPr>
          <w:t>https://doi.org/10.1108/LM-09-2020-0131</w:t>
        </w:r>
      </w:hyperlink>
      <w:r>
        <w:rPr>
          <w:color w:val="222222"/>
          <w:highlight w:val="white"/>
        </w:rPr>
        <w:t xml:space="preserve"> [Accessed 3 January 2024]</w:t>
      </w:r>
    </w:p>
    <w:p w14:paraId="789150DE" w14:textId="77777777" w:rsidR="00241414" w:rsidRDefault="00241414">
      <w:pPr>
        <w:pStyle w:val="Normal1"/>
        <w:spacing w:line="360" w:lineRule="auto"/>
        <w:jc w:val="both"/>
        <w:rPr>
          <w:color w:val="222222"/>
          <w:highlight w:val="white"/>
        </w:rPr>
      </w:pPr>
      <w:r>
        <w:rPr>
          <w:color w:val="222222"/>
          <w:highlight w:val="white"/>
        </w:rPr>
        <w:t xml:space="preserve">McGregor, L. and Crowther, N., 2022. A Digital Cage is Still a Cage: How can new and emerging digital technologies advance, rather than put at risk, the human rights of older people who draw on social care?. Available at: </w:t>
      </w:r>
      <w:hyperlink r:id="rId21">
        <w:r>
          <w:rPr>
            <w:color w:val="1155CC"/>
            <w:highlight w:val="white"/>
            <w:u w:val="single"/>
          </w:rPr>
          <w:t>https://repository.essex.ac.uk/33020/2/A%20digital%20cage%20final.pdf</w:t>
        </w:r>
      </w:hyperlink>
      <w:r>
        <w:rPr>
          <w:color w:val="222222"/>
          <w:highlight w:val="white"/>
        </w:rPr>
        <w:t xml:space="preserve"> [Accessed 3 January 2024]</w:t>
      </w:r>
    </w:p>
    <w:p w14:paraId="79D8579F" w14:textId="77777777" w:rsidR="00241414" w:rsidRDefault="00241414">
      <w:pPr>
        <w:pStyle w:val="Normal1"/>
        <w:spacing w:line="360" w:lineRule="auto"/>
        <w:jc w:val="both"/>
        <w:rPr>
          <w:color w:val="222222"/>
        </w:rPr>
      </w:pPr>
      <w:r>
        <w:rPr>
          <w:color w:val="222222"/>
        </w:rPr>
        <w:t xml:space="preserve">NHS England (2023). </w:t>
      </w:r>
      <w:r>
        <w:rPr>
          <w:i/>
          <w:color w:val="222222"/>
        </w:rPr>
        <w:t>NHS England» Inclusive digital healthcare: a framework for NHS action on digital inclusion</w:t>
      </w:r>
      <w:r>
        <w:rPr>
          <w:color w:val="222222"/>
        </w:rPr>
        <w:t xml:space="preserve">. [online] www.england.nhs.uk. Available at: </w:t>
      </w:r>
      <w:hyperlink r:id="rId22">
        <w:r>
          <w:rPr>
            <w:color w:val="1155CC"/>
            <w:u w:val="single"/>
          </w:rPr>
          <w:t>https://www.england.nhs.uk/long-read/inclusive-digital-healthcare-a-framework-for-nhs-action-on-digital-inclusion/</w:t>
        </w:r>
      </w:hyperlink>
      <w:r>
        <w:rPr>
          <w:color w:val="222222"/>
        </w:rPr>
        <w:t xml:space="preserve">. </w:t>
      </w:r>
      <w:r>
        <w:rPr>
          <w:color w:val="222222"/>
          <w:highlight w:val="white"/>
        </w:rPr>
        <w:t>[Accessed 3 January 2024]</w:t>
      </w:r>
    </w:p>
    <w:p w14:paraId="7BA65C14" w14:textId="77777777" w:rsidR="00241414" w:rsidRDefault="00241414">
      <w:pPr>
        <w:pStyle w:val="Normal1"/>
        <w:spacing w:line="360" w:lineRule="auto"/>
        <w:jc w:val="both"/>
        <w:rPr>
          <w:color w:val="222222"/>
          <w:highlight w:val="white"/>
        </w:rPr>
      </w:pPr>
      <w:r>
        <w:rPr>
          <w:color w:val="222222"/>
          <w:highlight w:val="white"/>
        </w:rPr>
        <w:t xml:space="preserve">Nittayathammakul, V., Chatwattana, P. and Piriyasurawong, P., 2021, August. Conceptual Framework of Crowd Context-Based Learning via IoT Wearable Technology to Promote Digital Health Literacy. In </w:t>
      </w:r>
      <w:r>
        <w:rPr>
          <w:i/>
          <w:color w:val="222222"/>
          <w:highlight w:val="white"/>
        </w:rPr>
        <w:t>2021 5th International Conference on E-Society, E-Education and E-Technology</w:t>
      </w:r>
      <w:r>
        <w:rPr>
          <w:color w:val="222222"/>
          <w:highlight w:val="white"/>
        </w:rPr>
        <w:t xml:space="preserve"> (pp. 113-119). Available at: </w:t>
      </w:r>
      <w:hyperlink r:id="rId23">
        <w:r>
          <w:rPr>
            <w:color w:val="1155CC"/>
            <w:highlight w:val="white"/>
            <w:u w:val="single"/>
          </w:rPr>
          <w:t>https://doi.org/10.1145/3485768.3485810</w:t>
        </w:r>
      </w:hyperlink>
      <w:r>
        <w:rPr>
          <w:color w:val="222222"/>
          <w:highlight w:val="white"/>
        </w:rPr>
        <w:t xml:space="preserve"> [Accessed 3 January 2024]</w:t>
      </w:r>
    </w:p>
    <w:p w14:paraId="38276C11" w14:textId="77777777" w:rsidR="00241414" w:rsidRDefault="00241414">
      <w:pPr>
        <w:pStyle w:val="Normal1"/>
        <w:spacing w:line="360" w:lineRule="auto"/>
        <w:jc w:val="both"/>
        <w:rPr>
          <w:color w:val="222222"/>
          <w:highlight w:val="white"/>
        </w:rPr>
      </w:pPr>
      <w:r>
        <w:rPr>
          <w:color w:val="222222"/>
          <w:highlight w:val="white"/>
        </w:rPr>
        <w:t xml:space="preserve">Russell, S., Stocker, R., Cockshott, Z., Mason, S.M., Knight, J., Preston, N. and Hanratty, B., 2023. Use of a digital application to enhance communication and triage between care homes and National Health Service community services in the United Kingdom: a qualitative evaluation. </w:t>
      </w:r>
      <w:r>
        <w:rPr>
          <w:i/>
          <w:color w:val="222222"/>
          <w:highlight w:val="white"/>
        </w:rPr>
        <w:t>medRxiv</w:t>
      </w:r>
      <w:r>
        <w:rPr>
          <w:color w:val="222222"/>
          <w:highlight w:val="white"/>
        </w:rPr>
        <w:t xml:space="preserve">, pp.2023-03. Available at:  </w:t>
      </w:r>
      <w:hyperlink r:id="rId24">
        <w:r>
          <w:rPr>
            <w:color w:val="1155CC"/>
            <w:highlight w:val="white"/>
            <w:u w:val="single"/>
          </w:rPr>
          <w:t>https://doi.org/10.1101/2023.03.02.23286669</w:t>
        </w:r>
      </w:hyperlink>
      <w:r>
        <w:rPr>
          <w:color w:val="222222"/>
          <w:highlight w:val="white"/>
        </w:rPr>
        <w:t xml:space="preserve"> [Accessed 3 January 2024]</w:t>
      </w:r>
    </w:p>
    <w:p w14:paraId="5B69AB4E" w14:textId="77777777" w:rsidR="00241414" w:rsidRDefault="00241414">
      <w:pPr>
        <w:pStyle w:val="Normal1"/>
        <w:spacing w:line="360" w:lineRule="auto"/>
        <w:jc w:val="both"/>
        <w:rPr>
          <w:color w:val="222222"/>
          <w:highlight w:val="white"/>
        </w:rPr>
      </w:pPr>
      <w:r>
        <w:rPr>
          <w:color w:val="222222"/>
          <w:highlight w:val="white"/>
        </w:rPr>
        <w:t xml:space="preserve">Schultze, A., Bates, C., Cockburn, J., MacKenna, B., Nightingale, E., Curtis, H.J., Hulme, W.J., Morton, C.E., Croker, R., Bacon, S. and McDonald, H.I., 2021. Identifying care home residents in electronic health records-an OpenSAFELY short data report. </w:t>
      </w:r>
      <w:r>
        <w:rPr>
          <w:i/>
          <w:color w:val="222222"/>
          <w:highlight w:val="white"/>
        </w:rPr>
        <w:t>Wellcome open research</w:t>
      </w:r>
      <w:r>
        <w:rPr>
          <w:color w:val="222222"/>
          <w:highlight w:val="white"/>
        </w:rPr>
        <w:t xml:space="preserve">, </w:t>
      </w:r>
      <w:r>
        <w:rPr>
          <w:i/>
          <w:color w:val="222222"/>
          <w:highlight w:val="white"/>
        </w:rPr>
        <w:t>6</w:t>
      </w:r>
      <w:r>
        <w:rPr>
          <w:color w:val="222222"/>
          <w:highlight w:val="white"/>
        </w:rPr>
        <w:t xml:space="preserve">. Available at: </w:t>
      </w:r>
      <w:hyperlink r:id="rId25">
        <w:r>
          <w:rPr>
            <w:color w:val="1155CC"/>
            <w:highlight w:val="white"/>
            <w:u w:val="single"/>
          </w:rPr>
          <w:t>https://doi.org/10.12688%2Fwellcomeopenres.16737.1</w:t>
        </w:r>
      </w:hyperlink>
      <w:r>
        <w:rPr>
          <w:color w:val="222222"/>
          <w:highlight w:val="white"/>
        </w:rPr>
        <w:t xml:space="preserve"> [Accessed 3 January 2024]</w:t>
      </w:r>
    </w:p>
    <w:p w14:paraId="7FDDB516" w14:textId="77777777" w:rsidR="00241414" w:rsidRDefault="00241414">
      <w:pPr>
        <w:pStyle w:val="Normal1"/>
        <w:spacing w:line="360" w:lineRule="auto"/>
        <w:jc w:val="both"/>
        <w:rPr>
          <w:color w:val="222222"/>
          <w:highlight w:val="white"/>
        </w:rPr>
      </w:pPr>
      <w:r>
        <w:rPr>
          <w:color w:val="222222"/>
          <w:highlight w:val="white"/>
        </w:rPr>
        <w:t xml:space="preserve">Sheikh, A., Anderson, M., Albala, S., Casadei, B., Franklin, B.D., Richards, M., Taylor, D., Tibble, H. and Mossialos, E., 2021. Health information technology and digital innovation for national learning health and care systems. </w:t>
      </w:r>
      <w:r>
        <w:rPr>
          <w:i/>
          <w:color w:val="222222"/>
          <w:highlight w:val="white"/>
        </w:rPr>
        <w:t>The Lancet Digital Health</w:t>
      </w:r>
      <w:r>
        <w:rPr>
          <w:color w:val="222222"/>
          <w:highlight w:val="white"/>
        </w:rPr>
        <w:t xml:space="preserve">, </w:t>
      </w:r>
      <w:r>
        <w:rPr>
          <w:i/>
          <w:color w:val="222222"/>
          <w:highlight w:val="white"/>
        </w:rPr>
        <w:t>3</w:t>
      </w:r>
      <w:r>
        <w:rPr>
          <w:color w:val="222222"/>
          <w:highlight w:val="white"/>
        </w:rPr>
        <w:t xml:space="preserve">(6), pp.e383-e396. Available at: </w:t>
      </w:r>
      <w:hyperlink r:id="rId26">
        <w:r>
          <w:rPr>
            <w:color w:val="1155CC"/>
            <w:highlight w:val="white"/>
            <w:u w:val="single"/>
          </w:rPr>
          <w:t>https://doi.org/10.1016/S2589-7500(21)00005-4</w:t>
        </w:r>
      </w:hyperlink>
      <w:r>
        <w:rPr>
          <w:color w:val="222222"/>
          <w:highlight w:val="white"/>
        </w:rPr>
        <w:t xml:space="preserve"> [Accessed 3 January 2024]</w:t>
      </w:r>
    </w:p>
    <w:p w14:paraId="77790074" w14:textId="77777777" w:rsidR="00241414" w:rsidRDefault="00241414">
      <w:pPr>
        <w:pStyle w:val="Normal1"/>
        <w:spacing w:line="360" w:lineRule="auto"/>
        <w:jc w:val="both"/>
        <w:rPr>
          <w:color w:val="222222"/>
          <w:highlight w:val="white"/>
        </w:rPr>
      </w:pPr>
      <w:r>
        <w:rPr>
          <w:color w:val="222222"/>
          <w:highlight w:val="white"/>
        </w:rPr>
        <w:t xml:space="preserve">Yang, K., Hu, Y. and Qi, H., 2022. Digital health literacy: bibliometric analysis. </w:t>
      </w:r>
      <w:r>
        <w:rPr>
          <w:i/>
          <w:color w:val="222222"/>
          <w:highlight w:val="white"/>
        </w:rPr>
        <w:t>Journal of Medical Internet Research</w:t>
      </w:r>
      <w:r>
        <w:rPr>
          <w:color w:val="222222"/>
          <w:highlight w:val="white"/>
        </w:rPr>
        <w:t xml:space="preserve">, </w:t>
      </w:r>
      <w:r>
        <w:rPr>
          <w:i/>
          <w:color w:val="222222"/>
          <w:highlight w:val="white"/>
        </w:rPr>
        <w:t>24</w:t>
      </w:r>
      <w:r>
        <w:rPr>
          <w:color w:val="222222"/>
          <w:highlight w:val="white"/>
        </w:rPr>
        <w:t xml:space="preserve">(7), p.e35816. Available at: </w:t>
      </w:r>
      <w:hyperlink r:id="rId27">
        <w:r>
          <w:rPr>
            <w:color w:val="1155CC"/>
            <w:highlight w:val="white"/>
            <w:u w:val="single"/>
          </w:rPr>
          <w:t>https://doi.org/10.2196/35816</w:t>
        </w:r>
      </w:hyperlink>
      <w:r>
        <w:rPr>
          <w:color w:val="222222"/>
          <w:highlight w:val="white"/>
        </w:rPr>
        <w:t xml:space="preserve"> [Accessed 3 January 2024]</w:t>
      </w:r>
    </w:p>
    <w:p w14:paraId="78135EE5" w14:textId="77777777" w:rsidR="001C590F" w:rsidRDefault="001C590F">
      <w:pPr>
        <w:pStyle w:val="Normal1"/>
        <w:spacing w:line="360" w:lineRule="auto"/>
        <w:jc w:val="both"/>
        <w:rPr>
          <w:color w:val="222222"/>
          <w:highlight w:val="white"/>
        </w:rPr>
      </w:pPr>
    </w:p>
    <w:p w14:paraId="1A2C61AB" w14:textId="77777777" w:rsidR="001C590F" w:rsidRDefault="001C590F">
      <w:pPr>
        <w:pStyle w:val="Normal1"/>
        <w:spacing w:line="360" w:lineRule="auto"/>
        <w:rPr>
          <w:rFonts w:ascii="Arial" w:eastAsia="Arial" w:hAnsi="Arial" w:cs="Arial"/>
          <w:color w:val="222222"/>
          <w:sz w:val="20"/>
          <w:szCs w:val="20"/>
          <w:highlight w:val="white"/>
        </w:rPr>
      </w:pPr>
    </w:p>
    <w:p w14:paraId="33AB94F2" w14:textId="77777777" w:rsidR="001C590F" w:rsidRDefault="00F37142">
      <w:pPr>
        <w:pStyle w:val="Normal1"/>
        <w:spacing w:before="240" w:after="240"/>
        <w:rPr>
          <w:rFonts w:ascii="Calibri" w:eastAsia="Calibri" w:hAnsi="Calibri" w:cs="Calibri"/>
          <w:color w:val="222222"/>
          <w:sz w:val="21"/>
          <w:szCs w:val="21"/>
          <w:shd w:val="clear" w:color="auto" w:fill="EEEEEE"/>
        </w:rPr>
      </w:pPr>
      <w:r>
        <w:rPr>
          <w:rFonts w:ascii="Calibri" w:eastAsia="Calibri" w:hAnsi="Calibri" w:cs="Calibri"/>
          <w:color w:val="222222"/>
          <w:sz w:val="21"/>
          <w:szCs w:val="21"/>
          <w:shd w:val="clear" w:color="auto" w:fill="EEEEEE"/>
        </w:rPr>
        <w:t>‌</w:t>
      </w:r>
    </w:p>
    <w:p w14:paraId="587DC7C0" w14:textId="77777777" w:rsidR="001C590F" w:rsidRDefault="001C590F">
      <w:pPr>
        <w:pStyle w:val="Normal1"/>
        <w:rPr>
          <w:rFonts w:ascii="Arial" w:eastAsia="Arial" w:hAnsi="Arial" w:cs="Arial"/>
          <w:color w:val="222222"/>
          <w:sz w:val="21"/>
          <w:szCs w:val="21"/>
          <w:shd w:val="clear" w:color="auto" w:fill="EEEEEE"/>
        </w:rPr>
      </w:pPr>
    </w:p>
    <w:p w14:paraId="6C6507A9" w14:textId="77777777" w:rsidR="001C590F" w:rsidRDefault="001C590F">
      <w:pPr>
        <w:pStyle w:val="Normal1"/>
        <w:rPr>
          <w:rFonts w:ascii="Arial" w:eastAsia="Arial" w:hAnsi="Arial" w:cs="Arial"/>
          <w:color w:val="222222"/>
          <w:sz w:val="20"/>
          <w:szCs w:val="20"/>
          <w:highlight w:val="white"/>
        </w:rPr>
      </w:pPr>
    </w:p>
    <w:p w14:paraId="7AE3C258" w14:textId="77777777" w:rsidR="001C590F" w:rsidRDefault="001C590F">
      <w:pPr>
        <w:pStyle w:val="Normal1"/>
      </w:pPr>
    </w:p>
    <w:p w14:paraId="0EA3B603" w14:textId="77777777" w:rsidR="001C590F" w:rsidRDefault="001C590F">
      <w:pPr>
        <w:pStyle w:val="Normal1"/>
      </w:pPr>
    </w:p>
    <w:p w14:paraId="398A574C" w14:textId="77777777" w:rsidR="001C590F" w:rsidRDefault="001C590F">
      <w:pPr>
        <w:pStyle w:val="Normal1"/>
      </w:pPr>
    </w:p>
    <w:p w14:paraId="0B43E005" w14:textId="77777777" w:rsidR="001C590F" w:rsidRDefault="001C590F">
      <w:pPr>
        <w:pStyle w:val="Normal1"/>
      </w:pPr>
    </w:p>
    <w:sectPr w:rsidR="001C590F">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95889" w14:textId="77777777" w:rsidR="00D240B7" w:rsidRDefault="00D240B7">
      <w:pPr>
        <w:spacing w:line="240" w:lineRule="auto"/>
      </w:pPr>
      <w:r>
        <w:separator/>
      </w:r>
    </w:p>
  </w:endnote>
  <w:endnote w:type="continuationSeparator" w:id="0">
    <w:p w14:paraId="5A07CEE6" w14:textId="77777777" w:rsidR="00D240B7" w:rsidRDefault="00D240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266D6A" w14:textId="77777777" w:rsidR="00B7443B" w:rsidRDefault="00B744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F8342" w14:textId="77777777" w:rsidR="001C590F" w:rsidRDefault="00F37142">
    <w:pPr>
      <w:pStyle w:val="Normal1"/>
      <w:jc w:val="right"/>
    </w:pPr>
    <w:r>
      <w:fldChar w:fldCharType="begin"/>
    </w:r>
    <w:r>
      <w:instrText>PAGE</w:instrText>
    </w:r>
    <w:r>
      <w:fldChar w:fldCharType="separate"/>
    </w:r>
    <w:r w:rsidR="00241414">
      <w:rPr>
        <w:noProof/>
      </w:rPr>
      <w:t>12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F4665" w14:textId="77777777" w:rsidR="00B7443B" w:rsidRDefault="00B744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30444" w14:textId="77777777" w:rsidR="00D240B7" w:rsidRDefault="00D240B7">
      <w:pPr>
        <w:spacing w:line="240" w:lineRule="auto"/>
      </w:pPr>
      <w:r>
        <w:separator/>
      </w:r>
    </w:p>
  </w:footnote>
  <w:footnote w:type="continuationSeparator" w:id="0">
    <w:p w14:paraId="379425C2" w14:textId="77777777" w:rsidR="00D240B7" w:rsidRDefault="00D240B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1B93C" w14:textId="77777777" w:rsidR="00B7443B" w:rsidRDefault="00B744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0BD30F" w14:textId="77777777" w:rsidR="00B7443B" w:rsidRDefault="00B744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F3D52E" w14:textId="77777777" w:rsidR="00B7443B" w:rsidRDefault="00B744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8F5819"/>
    <w:multiLevelType w:val="hybridMultilevel"/>
    <w:tmpl w:val="73A298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663028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displayBackgroundShap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590F"/>
    <w:rsid w:val="00132389"/>
    <w:rsid w:val="001C590F"/>
    <w:rsid w:val="00241414"/>
    <w:rsid w:val="002C08AC"/>
    <w:rsid w:val="002F1302"/>
    <w:rsid w:val="00352A47"/>
    <w:rsid w:val="00357185"/>
    <w:rsid w:val="005F367D"/>
    <w:rsid w:val="00673165"/>
    <w:rsid w:val="007B348D"/>
    <w:rsid w:val="00A41055"/>
    <w:rsid w:val="00AB42FE"/>
    <w:rsid w:val="00B15DB8"/>
    <w:rsid w:val="00B7443B"/>
    <w:rsid w:val="00D240B7"/>
    <w:rsid w:val="00D574DC"/>
    <w:rsid w:val="00EB679F"/>
    <w:rsid w:val="00F37142"/>
    <w:rsid w:val="00FD04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762BC2"/>
  <w15:docId w15:val="{62611DE8-3586-481F-B8A3-F6841339E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7443B"/>
    <w:pPr>
      <w:tabs>
        <w:tab w:val="center" w:pos="4513"/>
        <w:tab w:val="right" w:pos="9026"/>
      </w:tabs>
      <w:spacing w:line="240" w:lineRule="auto"/>
    </w:pPr>
  </w:style>
  <w:style w:type="character" w:customStyle="1" w:styleId="HeaderChar">
    <w:name w:val="Header Char"/>
    <w:basedOn w:val="DefaultParagraphFont"/>
    <w:link w:val="Header"/>
    <w:uiPriority w:val="99"/>
    <w:rsid w:val="00B7443B"/>
  </w:style>
  <w:style w:type="paragraph" w:styleId="Footer">
    <w:name w:val="footer"/>
    <w:basedOn w:val="Normal"/>
    <w:link w:val="FooterChar"/>
    <w:uiPriority w:val="99"/>
    <w:unhideWhenUsed/>
    <w:rsid w:val="00B7443B"/>
    <w:pPr>
      <w:tabs>
        <w:tab w:val="center" w:pos="4513"/>
        <w:tab w:val="right" w:pos="9026"/>
      </w:tabs>
      <w:spacing w:line="240" w:lineRule="auto"/>
    </w:pPr>
  </w:style>
  <w:style w:type="character" w:customStyle="1" w:styleId="FooterChar">
    <w:name w:val="Footer Char"/>
    <w:basedOn w:val="DefaultParagraphFont"/>
    <w:link w:val="Footer"/>
    <w:uiPriority w:val="99"/>
    <w:rsid w:val="00B744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doi.org/10.3390/nu13113689" TargetMode="External" /><Relationship Id="rId18" Type="http://schemas.openxmlformats.org/officeDocument/2006/relationships/hyperlink" Target="https://doi.org/10.1200/CCI.22.00005" TargetMode="External" /><Relationship Id="rId26" Type="http://schemas.openxmlformats.org/officeDocument/2006/relationships/hyperlink" Target="https://doi.org/10.1016/S2589-7500(21)00005-4" TargetMode="External" /><Relationship Id="rId3" Type="http://schemas.openxmlformats.org/officeDocument/2006/relationships/settings" Target="settings.xml" /><Relationship Id="rId21" Type="http://schemas.openxmlformats.org/officeDocument/2006/relationships/hyperlink" Target="https://repository.essex.ac.uk/33020/2/A%20digital%20cage%20final.pdf" TargetMode="External" /><Relationship Id="rId34"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hyperlink" Target="https://doi.org/10.1093/pubmed/fdad258" TargetMode="External" /><Relationship Id="rId17" Type="http://schemas.openxmlformats.org/officeDocument/2006/relationships/hyperlink" Target="https://doi.org/10.1200/CCI.22.00005" TargetMode="External" /><Relationship Id="rId25" Type="http://schemas.openxmlformats.org/officeDocument/2006/relationships/hyperlink" Target="https://doi.org/10.12688%2Fwellcomeopenres.16737.1" TargetMode="External" /><Relationship Id="rId33" Type="http://schemas.openxmlformats.org/officeDocument/2006/relationships/footer" Target="footer3.xml" /><Relationship Id="rId2" Type="http://schemas.openxmlformats.org/officeDocument/2006/relationships/styles" Target="styles.xml" /><Relationship Id="rId16" Type="http://schemas.openxmlformats.org/officeDocument/2006/relationships/hyperlink" Target="https://doi.org/10.1177/01655515211040664" TargetMode="External" /><Relationship Id="rId20" Type="http://schemas.openxmlformats.org/officeDocument/2006/relationships/hyperlink" Target="https://doi.org/10.1108/LM-09-2020-0131" TargetMode="External" /><Relationship Id="rId29" Type="http://schemas.openxmlformats.org/officeDocument/2006/relationships/header" Target="header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016/j.ssmph.2021.100798" TargetMode="External" /><Relationship Id="rId24" Type="http://schemas.openxmlformats.org/officeDocument/2006/relationships/hyperlink" Target="https://doi.org/10.1101/2023.03.02.23286669" TargetMode="External" /><Relationship Id="rId32"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hyperlink" Target="https://doi.org/10.1177/20552076231185442" TargetMode="External" /><Relationship Id="rId23" Type="http://schemas.openxmlformats.org/officeDocument/2006/relationships/hyperlink" Target="https://doi.org/10.1145/3485768.3485810" TargetMode="External" /><Relationship Id="rId28" Type="http://schemas.openxmlformats.org/officeDocument/2006/relationships/header" Target="header1.xml" /><Relationship Id="rId10" Type="http://schemas.openxmlformats.org/officeDocument/2006/relationships/image" Target="media/image4.png" /><Relationship Id="rId19" Type="http://schemas.openxmlformats.org/officeDocument/2006/relationships/hyperlink" Target="https://engagedscholarship.csuohio.edu/cgi/viewcontent.cgi?article=1622&amp;context=jlh" TargetMode="External" /><Relationship Id="rId31"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doi.org/10.2196/21726" TargetMode="External" /><Relationship Id="rId22" Type="http://schemas.openxmlformats.org/officeDocument/2006/relationships/hyperlink" Target="https://www.england.nhs.uk/long-read/inclusive-digital-healthcare-a-framework-for-nhs-action-on-digital-inclusion/" TargetMode="External" /><Relationship Id="rId27" Type="http://schemas.openxmlformats.org/officeDocument/2006/relationships/hyperlink" Target="https://doi.org/10.2196/35816" TargetMode="External" /><Relationship Id="rId30" Type="http://schemas.openxmlformats.org/officeDocument/2006/relationships/footer" Target="footer1.xml" /><Relationship Id="rId3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3443</Words>
  <Characters>19627</Characters>
  <Application>Microsoft Office Word</Application>
  <DocSecurity>0</DocSecurity>
  <Lines>163</Lines>
  <Paragraphs>46</Paragraphs>
  <ScaleCrop>false</ScaleCrop>
  <Company/>
  <LinksUpToDate>false</LinksUpToDate>
  <CharactersWithSpaces>23024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Ardite Mjeku</cp:lastModifiedBy>
  <cp:revision>2</cp:revision>
  <dcterms:created xsi:type="dcterms:W3CDTF">2024-01-07T07:52:00Z</dcterms:created>
  <dcterms:modified xsi:type="dcterms:W3CDTF">2024-01-07T07:52:00Z</dcterms:modified>
</cp:coreProperties>
</file>