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71E58" w14:textId="77777777" w:rsidR="00BC3832" w:rsidRDefault="00BC3832" w:rsidP="00273E7D">
      <w:pPr>
        <w:spacing w:before="100" w:beforeAutospacing="1" w:after="100" w:afterAutospacing="1" w:line="240" w:lineRule="auto"/>
        <w:rPr>
          <w:rFonts w:ascii="Times New Roman" w:eastAsia="Times New Roman" w:hAnsi="Times New Roman" w:cs="Times New Roman"/>
          <w:szCs w:val="24"/>
        </w:rPr>
      </w:pPr>
      <w:r>
        <w:rPr>
          <w:rFonts w:ascii="Times New Roman" w:eastAsia="Times New Roman" w:hAnsi="Times New Roman" w:cs="Times New Roman"/>
          <w:szCs w:val="24"/>
        </w:rPr>
        <w:t xml:space="preserve">                                                                                                                                                  </w:t>
      </w:r>
    </w:p>
    <w:p w14:paraId="4746091D" w14:textId="77777777" w:rsidR="00BC3832" w:rsidRDefault="00BC3832" w:rsidP="00273E7D">
      <w:pPr>
        <w:spacing w:before="100" w:beforeAutospacing="1" w:after="100" w:afterAutospacing="1" w:line="240" w:lineRule="auto"/>
        <w:rPr>
          <w:rFonts w:ascii="Times New Roman" w:eastAsia="Times New Roman" w:hAnsi="Times New Roman" w:cs="Times New Roman"/>
          <w:szCs w:val="24"/>
        </w:rPr>
      </w:pPr>
    </w:p>
    <w:p w14:paraId="64728352" w14:textId="7949A051" w:rsidR="00AA3AB4" w:rsidRDefault="00BC3832" w:rsidP="00273E7D">
      <w:pPr>
        <w:spacing w:before="100" w:beforeAutospacing="1" w:after="100" w:afterAutospacing="1" w:line="240" w:lineRule="auto"/>
        <w:rPr>
          <w:rFonts w:ascii="Times New Roman" w:eastAsia="Times New Roman" w:hAnsi="Times New Roman" w:cs="Times New Roman"/>
          <w:szCs w:val="24"/>
        </w:rPr>
      </w:pPr>
      <w:r>
        <w:rPr>
          <w:rFonts w:ascii="Times New Roman" w:eastAsia="Times New Roman" w:hAnsi="Times New Roman" w:cs="Times New Roman"/>
          <w:szCs w:val="24"/>
        </w:rPr>
        <w:t xml:space="preserve">                Modul Stakeholders Engagement (LCBB4013)</w:t>
      </w:r>
    </w:p>
    <w:p w14:paraId="5625E651" w14:textId="7A4A8A89" w:rsidR="00BC3832" w:rsidRDefault="00BC3832" w:rsidP="00273E7D">
      <w:pPr>
        <w:spacing w:before="100" w:beforeAutospacing="1" w:after="100" w:afterAutospacing="1" w:line="240" w:lineRule="auto"/>
        <w:rPr>
          <w:rFonts w:ascii="Times New Roman" w:eastAsia="Times New Roman" w:hAnsi="Times New Roman" w:cs="Times New Roman"/>
          <w:szCs w:val="24"/>
        </w:rPr>
      </w:pPr>
      <w:r>
        <w:rPr>
          <w:rFonts w:ascii="Times New Roman" w:eastAsia="Times New Roman" w:hAnsi="Times New Roman" w:cs="Times New Roman"/>
          <w:szCs w:val="24"/>
        </w:rPr>
        <w:t xml:space="preserve">                 Student Name Maki Solomon </w:t>
      </w:r>
      <w:proofErr w:type="spellStart"/>
      <w:r>
        <w:rPr>
          <w:rFonts w:ascii="Times New Roman" w:eastAsia="Times New Roman" w:hAnsi="Times New Roman" w:cs="Times New Roman"/>
          <w:szCs w:val="24"/>
        </w:rPr>
        <w:t>Mandefro</w:t>
      </w:r>
      <w:proofErr w:type="spellEnd"/>
    </w:p>
    <w:p w14:paraId="6FEFC883" w14:textId="5371397F" w:rsidR="00BC3832" w:rsidRDefault="00BC3832" w:rsidP="00273E7D">
      <w:pPr>
        <w:spacing w:before="100" w:beforeAutospacing="1" w:after="100" w:afterAutospacing="1" w:line="240" w:lineRule="auto"/>
        <w:rPr>
          <w:rFonts w:ascii="Times New Roman" w:eastAsia="Times New Roman" w:hAnsi="Times New Roman" w:cs="Times New Roman"/>
          <w:szCs w:val="24"/>
        </w:rPr>
      </w:pPr>
      <w:r>
        <w:rPr>
          <w:rFonts w:ascii="Times New Roman" w:eastAsia="Times New Roman" w:hAnsi="Times New Roman" w:cs="Times New Roman"/>
          <w:szCs w:val="24"/>
        </w:rPr>
        <w:t xml:space="preserve">                 Student Number 2442578</w:t>
      </w:r>
    </w:p>
    <w:p w14:paraId="364CEAD9" w14:textId="319A7B87"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0E81B559" w14:textId="2116DFDD"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0596F489" w14:textId="0B2FD7AE"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4571F29F" w14:textId="3F759162"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1C572B5B" w14:textId="5726F1DD"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0C1980C8" w14:textId="496E35CC"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209E94E5" w14:textId="77777777" w:rsidR="00BC3832" w:rsidRDefault="00BC3832">
      <w:pPr>
        <w:pStyle w:val="TOCHeading"/>
        <w:rPr>
          <w:rFonts w:ascii="Arial" w:eastAsiaTheme="minorEastAsia" w:hAnsi="Arial" w:cstheme="minorBidi"/>
          <w:b w:val="0"/>
          <w:bCs w:val="0"/>
          <w:caps w:val="0"/>
          <w:spacing w:val="0"/>
          <w:sz w:val="24"/>
          <w:szCs w:val="22"/>
        </w:rPr>
      </w:pPr>
    </w:p>
    <w:p w14:paraId="14C69532" w14:textId="77777777" w:rsidR="00BC3832" w:rsidRDefault="00BC3832">
      <w:pPr>
        <w:pStyle w:val="TOCHeading"/>
        <w:rPr>
          <w:rFonts w:ascii="Arial" w:eastAsiaTheme="minorEastAsia" w:hAnsi="Arial" w:cstheme="minorBidi"/>
          <w:b w:val="0"/>
          <w:bCs w:val="0"/>
          <w:caps w:val="0"/>
          <w:spacing w:val="0"/>
          <w:sz w:val="24"/>
          <w:szCs w:val="22"/>
        </w:rPr>
      </w:pPr>
    </w:p>
    <w:p w14:paraId="0B114832" w14:textId="77777777" w:rsidR="00BC3832" w:rsidRDefault="00BC3832">
      <w:pPr>
        <w:pStyle w:val="TOCHeading"/>
        <w:rPr>
          <w:rFonts w:ascii="Arial" w:eastAsiaTheme="minorEastAsia" w:hAnsi="Arial" w:cstheme="minorBidi"/>
          <w:b w:val="0"/>
          <w:bCs w:val="0"/>
          <w:caps w:val="0"/>
          <w:spacing w:val="0"/>
          <w:sz w:val="24"/>
          <w:szCs w:val="22"/>
        </w:rPr>
      </w:pPr>
    </w:p>
    <w:p w14:paraId="1E9F960B" w14:textId="77777777" w:rsidR="00BC3832" w:rsidRDefault="00BC3832">
      <w:pPr>
        <w:pStyle w:val="TOCHeading"/>
        <w:rPr>
          <w:rFonts w:ascii="Arial" w:eastAsiaTheme="minorEastAsia" w:hAnsi="Arial" w:cstheme="minorBidi"/>
          <w:b w:val="0"/>
          <w:bCs w:val="0"/>
          <w:caps w:val="0"/>
          <w:spacing w:val="0"/>
          <w:sz w:val="24"/>
          <w:szCs w:val="22"/>
        </w:rPr>
      </w:pPr>
    </w:p>
    <w:p w14:paraId="5711D494" w14:textId="77777777" w:rsidR="00BC3832" w:rsidRDefault="00BC3832">
      <w:pPr>
        <w:pStyle w:val="TOCHeading"/>
        <w:rPr>
          <w:rFonts w:ascii="Arial" w:eastAsiaTheme="minorEastAsia" w:hAnsi="Arial" w:cstheme="minorBidi"/>
          <w:b w:val="0"/>
          <w:bCs w:val="0"/>
          <w:caps w:val="0"/>
          <w:spacing w:val="0"/>
          <w:sz w:val="24"/>
          <w:szCs w:val="22"/>
        </w:rPr>
      </w:pPr>
    </w:p>
    <w:p w14:paraId="5C038FA3" w14:textId="77777777" w:rsidR="00BC3832" w:rsidRDefault="00BC3832">
      <w:pPr>
        <w:pStyle w:val="TOCHeading"/>
        <w:rPr>
          <w:rFonts w:ascii="Arial" w:eastAsiaTheme="minorEastAsia" w:hAnsi="Arial" w:cstheme="minorBidi"/>
          <w:b w:val="0"/>
          <w:bCs w:val="0"/>
          <w:caps w:val="0"/>
          <w:spacing w:val="0"/>
          <w:sz w:val="24"/>
          <w:szCs w:val="22"/>
        </w:rPr>
      </w:pPr>
    </w:p>
    <w:p w14:paraId="0FAD4655" w14:textId="77777777" w:rsidR="00BC3832" w:rsidRDefault="00BC3832">
      <w:pPr>
        <w:pStyle w:val="TOCHeading"/>
        <w:rPr>
          <w:rFonts w:ascii="Arial" w:eastAsiaTheme="minorEastAsia" w:hAnsi="Arial" w:cstheme="minorBidi"/>
          <w:b w:val="0"/>
          <w:bCs w:val="0"/>
          <w:caps w:val="0"/>
          <w:spacing w:val="0"/>
          <w:sz w:val="24"/>
          <w:szCs w:val="22"/>
        </w:rPr>
      </w:pPr>
    </w:p>
    <w:p w14:paraId="2F561EDF" w14:textId="77777777" w:rsidR="00BC3832" w:rsidRDefault="00BC3832">
      <w:pPr>
        <w:pStyle w:val="TOCHeading"/>
        <w:rPr>
          <w:rFonts w:ascii="Arial" w:eastAsiaTheme="minorEastAsia" w:hAnsi="Arial" w:cstheme="minorBidi"/>
          <w:b w:val="0"/>
          <w:bCs w:val="0"/>
          <w:caps w:val="0"/>
          <w:spacing w:val="0"/>
          <w:sz w:val="24"/>
          <w:szCs w:val="22"/>
        </w:rPr>
      </w:pPr>
    </w:p>
    <w:p w14:paraId="3D494652" w14:textId="77777777" w:rsidR="00BC3832" w:rsidRDefault="00BC3832">
      <w:pPr>
        <w:pStyle w:val="TOCHeading"/>
        <w:rPr>
          <w:rFonts w:ascii="Arial" w:eastAsiaTheme="minorEastAsia" w:hAnsi="Arial" w:cstheme="minorBidi"/>
          <w:b w:val="0"/>
          <w:bCs w:val="0"/>
          <w:caps w:val="0"/>
          <w:spacing w:val="0"/>
          <w:sz w:val="24"/>
          <w:szCs w:val="22"/>
        </w:rPr>
      </w:pPr>
    </w:p>
    <w:sdt>
      <w:sdtPr>
        <w:rPr>
          <w:rFonts w:ascii="Arial" w:eastAsiaTheme="minorEastAsia" w:hAnsi="Arial" w:cstheme="minorBidi"/>
          <w:b w:val="0"/>
          <w:bCs w:val="0"/>
          <w:caps w:val="0"/>
          <w:spacing w:val="0"/>
          <w:sz w:val="24"/>
          <w:szCs w:val="22"/>
        </w:rPr>
        <w:id w:val="1247535738"/>
        <w:docPartObj>
          <w:docPartGallery w:val="Table of Contents"/>
          <w:docPartUnique/>
        </w:docPartObj>
      </w:sdtPr>
      <w:sdtEndPr>
        <w:rPr>
          <w:noProof/>
        </w:rPr>
      </w:sdtEndPr>
      <w:sdtContent>
        <w:p w14:paraId="3681311D" w14:textId="3FE4882F" w:rsidR="00811394" w:rsidRDefault="00811394">
          <w:pPr>
            <w:pStyle w:val="TOCHeading"/>
          </w:pPr>
          <w:r>
            <w:t>Table of Contents</w:t>
          </w:r>
        </w:p>
        <w:p w14:paraId="16223CB5" w14:textId="6D9BB7D0" w:rsidR="00241951" w:rsidRDefault="00811394">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224294121" w:history="1">
            <w:r w:rsidR="00241951" w:rsidRPr="00C875A6">
              <w:rPr>
                <w:rStyle w:val="Hyperlink"/>
                <w:rFonts w:eastAsia="Times New Roman"/>
                <w:noProof/>
              </w:rPr>
              <w:t>1. Introduction</w:t>
            </w:r>
            <w:r w:rsidR="00241951">
              <w:rPr>
                <w:noProof/>
                <w:webHidden/>
              </w:rPr>
              <w:tab/>
            </w:r>
            <w:r w:rsidR="00241951">
              <w:rPr>
                <w:noProof/>
                <w:webHidden/>
              </w:rPr>
              <w:fldChar w:fldCharType="begin"/>
            </w:r>
            <w:r w:rsidR="00241951">
              <w:rPr>
                <w:noProof/>
                <w:webHidden/>
              </w:rPr>
              <w:instrText xml:space="preserve"> PAGEREF _Toc224294121 \h </w:instrText>
            </w:r>
            <w:r w:rsidR="00241951">
              <w:rPr>
                <w:noProof/>
                <w:webHidden/>
              </w:rPr>
            </w:r>
            <w:r w:rsidR="00241951">
              <w:rPr>
                <w:noProof/>
                <w:webHidden/>
              </w:rPr>
              <w:fldChar w:fldCharType="separate"/>
            </w:r>
            <w:r w:rsidR="00241951">
              <w:rPr>
                <w:noProof/>
                <w:webHidden/>
              </w:rPr>
              <w:t>3</w:t>
            </w:r>
            <w:r w:rsidR="00241951">
              <w:rPr>
                <w:noProof/>
                <w:webHidden/>
              </w:rPr>
              <w:fldChar w:fldCharType="end"/>
            </w:r>
          </w:hyperlink>
        </w:p>
        <w:p w14:paraId="3A7F9917" w14:textId="12B693E5" w:rsidR="00241951" w:rsidRDefault="00241951">
          <w:pPr>
            <w:pStyle w:val="TOC1"/>
            <w:tabs>
              <w:tab w:val="right" w:leader="dot" w:pos="9350"/>
            </w:tabs>
            <w:rPr>
              <w:rFonts w:asciiTheme="minorHAnsi" w:hAnsiTheme="minorHAnsi"/>
              <w:noProof/>
              <w:sz w:val="22"/>
            </w:rPr>
          </w:pPr>
          <w:hyperlink w:anchor="_Toc224294122" w:history="1">
            <w:r w:rsidRPr="00C875A6">
              <w:rPr>
                <w:rStyle w:val="Hyperlink"/>
                <w:rFonts w:eastAsia="Times New Roman"/>
                <w:noProof/>
              </w:rPr>
              <w:t>2. Stakeholder Engagement Strategies</w:t>
            </w:r>
            <w:r>
              <w:rPr>
                <w:noProof/>
                <w:webHidden/>
              </w:rPr>
              <w:tab/>
            </w:r>
            <w:r>
              <w:rPr>
                <w:noProof/>
                <w:webHidden/>
              </w:rPr>
              <w:fldChar w:fldCharType="begin"/>
            </w:r>
            <w:r>
              <w:rPr>
                <w:noProof/>
                <w:webHidden/>
              </w:rPr>
              <w:instrText xml:space="preserve"> PAGEREF _Toc224294122 \h </w:instrText>
            </w:r>
            <w:r>
              <w:rPr>
                <w:noProof/>
                <w:webHidden/>
              </w:rPr>
            </w:r>
            <w:r>
              <w:rPr>
                <w:noProof/>
                <w:webHidden/>
              </w:rPr>
              <w:fldChar w:fldCharType="separate"/>
            </w:r>
            <w:r>
              <w:rPr>
                <w:noProof/>
                <w:webHidden/>
              </w:rPr>
              <w:t>3</w:t>
            </w:r>
            <w:r>
              <w:rPr>
                <w:noProof/>
                <w:webHidden/>
              </w:rPr>
              <w:fldChar w:fldCharType="end"/>
            </w:r>
          </w:hyperlink>
        </w:p>
        <w:p w14:paraId="4C20CDB6" w14:textId="66C64A2C" w:rsidR="00241951" w:rsidRDefault="00241951">
          <w:pPr>
            <w:pStyle w:val="TOC2"/>
            <w:tabs>
              <w:tab w:val="right" w:leader="dot" w:pos="9350"/>
            </w:tabs>
            <w:rPr>
              <w:rFonts w:asciiTheme="minorHAnsi" w:hAnsiTheme="minorHAnsi"/>
              <w:noProof/>
              <w:sz w:val="22"/>
            </w:rPr>
          </w:pPr>
          <w:hyperlink w:anchor="_Toc224294123" w:history="1">
            <w:r w:rsidRPr="00C875A6">
              <w:rPr>
                <w:rStyle w:val="Hyperlink"/>
                <w:rFonts w:eastAsia="Times New Roman"/>
                <w:noProof/>
              </w:rPr>
              <w:t>2.1 Stakeholder Analysis</w:t>
            </w:r>
            <w:r>
              <w:rPr>
                <w:noProof/>
                <w:webHidden/>
              </w:rPr>
              <w:tab/>
            </w:r>
            <w:r>
              <w:rPr>
                <w:noProof/>
                <w:webHidden/>
              </w:rPr>
              <w:fldChar w:fldCharType="begin"/>
            </w:r>
            <w:r>
              <w:rPr>
                <w:noProof/>
                <w:webHidden/>
              </w:rPr>
              <w:instrText xml:space="preserve"> PAGEREF _Toc224294123 \h </w:instrText>
            </w:r>
            <w:r>
              <w:rPr>
                <w:noProof/>
                <w:webHidden/>
              </w:rPr>
            </w:r>
            <w:r>
              <w:rPr>
                <w:noProof/>
                <w:webHidden/>
              </w:rPr>
              <w:fldChar w:fldCharType="separate"/>
            </w:r>
            <w:r>
              <w:rPr>
                <w:noProof/>
                <w:webHidden/>
              </w:rPr>
              <w:t>3</w:t>
            </w:r>
            <w:r>
              <w:rPr>
                <w:noProof/>
                <w:webHidden/>
              </w:rPr>
              <w:fldChar w:fldCharType="end"/>
            </w:r>
          </w:hyperlink>
        </w:p>
        <w:p w14:paraId="2180AE76" w14:textId="2420A5BC" w:rsidR="00241951" w:rsidRDefault="00241951">
          <w:pPr>
            <w:pStyle w:val="TOC1"/>
            <w:tabs>
              <w:tab w:val="right" w:leader="dot" w:pos="9350"/>
            </w:tabs>
            <w:rPr>
              <w:rFonts w:asciiTheme="minorHAnsi" w:hAnsiTheme="minorHAnsi"/>
              <w:noProof/>
              <w:sz w:val="22"/>
            </w:rPr>
          </w:pPr>
          <w:hyperlink w:anchor="_Toc224294124" w:history="1">
            <w:r w:rsidRPr="00C875A6">
              <w:rPr>
                <w:rStyle w:val="Hyperlink"/>
                <w:noProof/>
              </w:rPr>
              <w:t>2.2 Stakeholder Mapping</w:t>
            </w:r>
            <w:r>
              <w:rPr>
                <w:noProof/>
                <w:webHidden/>
              </w:rPr>
              <w:tab/>
            </w:r>
            <w:r>
              <w:rPr>
                <w:noProof/>
                <w:webHidden/>
              </w:rPr>
              <w:fldChar w:fldCharType="begin"/>
            </w:r>
            <w:r>
              <w:rPr>
                <w:noProof/>
                <w:webHidden/>
              </w:rPr>
              <w:instrText xml:space="preserve"> PAGEREF _Toc224294124 \h </w:instrText>
            </w:r>
            <w:r>
              <w:rPr>
                <w:noProof/>
                <w:webHidden/>
              </w:rPr>
            </w:r>
            <w:r>
              <w:rPr>
                <w:noProof/>
                <w:webHidden/>
              </w:rPr>
              <w:fldChar w:fldCharType="separate"/>
            </w:r>
            <w:r>
              <w:rPr>
                <w:noProof/>
                <w:webHidden/>
              </w:rPr>
              <w:t>5</w:t>
            </w:r>
            <w:r>
              <w:rPr>
                <w:noProof/>
                <w:webHidden/>
              </w:rPr>
              <w:fldChar w:fldCharType="end"/>
            </w:r>
          </w:hyperlink>
        </w:p>
        <w:p w14:paraId="60B1BB8F" w14:textId="0D7A86C4" w:rsidR="00241951" w:rsidRDefault="00241951">
          <w:pPr>
            <w:pStyle w:val="TOC2"/>
            <w:tabs>
              <w:tab w:val="right" w:leader="dot" w:pos="9350"/>
            </w:tabs>
            <w:rPr>
              <w:rFonts w:asciiTheme="minorHAnsi" w:hAnsiTheme="minorHAnsi"/>
              <w:noProof/>
              <w:sz w:val="22"/>
            </w:rPr>
          </w:pPr>
          <w:hyperlink w:anchor="_Toc224294125" w:history="1">
            <w:r w:rsidRPr="00C875A6">
              <w:rPr>
                <w:rStyle w:val="Hyperlink"/>
                <w:rFonts w:eastAsia="Times New Roman"/>
                <w:noProof/>
              </w:rPr>
              <w:t>2.3 Communication Plan</w:t>
            </w:r>
            <w:r>
              <w:rPr>
                <w:noProof/>
                <w:webHidden/>
              </w:rPr>
              <w:tab/>
            </w:r>
            <w:r>
              <w:rPr>
                <w:noProof/>
                <w:webHidden/>
              </w:rPr>
              <w:fldChar w:fldCharType="begin"/>
            </w:r>
            <w:r>
              <w:rPr>
                <w:noProof/>
                <w:webHidden/>
              </w:rPr>
              <w:instrText xml:space="preserve"> PAGEREF _Toc224294125 \h </w:instrText>
            </w:r>
            <w:r>
              <w:rPr>
                <w:noProof/>
                <w:webHidden/>
              </w:rPr>
            </w:r>
            <w:r>
              <w:rPr>
                <w:noProof/>
                <w:webHidden/>
              </w:rPr>
              <w:fldChar w:fldCharType="separate"/>
            </w:r>
            <w:r>
              <w:rPr>
                <w:noProof/>
                <w:webHidden/>
              </w:rPr>
              <w:t>7</w:t>
            </w:r>
            <w:r>
              <w:rPr>
                <w:noProof/>
                <w:webHidden/>
              </w:rPr>
              <w:fldChar w:fldCharType="end"/>
            </w:r>
          </w:hyperlink>
        </w:p>
        <w:p w14:paraId="1D753CDC" w14:textId="08F33E08" w:rsidR="00241951" w:rsidRDefault="00241951">
          <w:pPr>
            <w:pStyle w:val="TOC2"/>
            <w:tabs>
              <w:tab w:val="right" w:leader="dot" w:pos="9350"/>
            </w:tabs>
            <w:rPr>
              <w:rFonts w:asciiTheme="minorHAnsi" w:hAnsiTheme="minorHAnsi"/>
              <w:noProof/>
              <w:sz w:val="22"/>
            </w:rPr>
          </w:pPr>
          <w:hyperlink w:anchor="_Toc224294126" w:history="1">
            <w:r w:rsidRPr="00C875A6">
              <w:rPr>
                <w:rStyle w:val="Hyperlink"/>
                <w:rFonts w:eastAsia="Times New Roman"/>
                <w:noProof/>
              </w:rPr>
              <w:t>2.4 Consultation Strategy</w:t>
            </w:r>
            <w:r>
              <w:rPr>
                <w:noProof/>
                <w:webHidden/>
              </w:rPr>
              <w:tab/>
            </w:r>
            <w:r>
              <w:rPr>
                <w:noProof/>
                <w:webHidden/>
              </w:rPr>
              <w:fldChar w:fldCharType="begin"/>
            </w:r>
            <w:r>
              <w:rPr>
                <w:noProof/>
                <w:webHidden/>
              </w:rPr>
              <w:instrText xml:space="preserve"> PAGEREF _Toc224294126 \h </w:instrText>
            </w:r>
            <w:r>
              <w:rPr>
                <w:noProof/>
                <w:webHidden/>
              </w:rPr>
            </w:r>
            <w:r>
              <w:rPr>
                <w:noProof/>
                <w:webHidden/>
              </w:rPr>
              <w:fldChar w:fldCharType="separate"/>
            </w:r>
            <w:r>
              <w:rPr>
                <w:noProof/>
                <w:webHidden/>
              </w:rPr>
              <w:t>8</w:t>
            </w:r>
            <w:r>
              <w:rPr>
                <w:noProof/>
                <w:webHidden/>
              </w:rPr>
              <w:fldChar w:fldCharType="end"/>
            </w:r>
          </w:hyperlink>
        </w:p>
        <w:p w14:paraId="35AC8A95" w14:textId="558255EB" w:rsidR="00241951" w:rsidRDefault="00241951">
          <w:pPr>
            <w:pStyle w:val="TOC1"/>
            <w:tabs>
              <w:tab w:val="right" w:leader="dot" w:pos="9350"/>
            </w:tabs>
            <w:rPr>
              <w:rFonts w:asciiTheme="minorHAnsi" w:hAnsiTheme="minorHAnsi"/>
              <w:noProof/>
              <w:sz w:val="22"/>
            </w:rPr>
          </w:pPr>
          <w:hyperlink w:anchor="_Toc224294127" w:history="1">
            <w:r w:rsidRPr="00C875A6">
              <w:rPr>
                <w:rStyle w:val="Hyperlink"/>
                <w:rFonts w:eastAsia="Times New Roman"/>
                <w:noProof/>
              </w:rPr>
              <w:t>3. Ethical Considerations in Stakeholder Consultation, Participation, and Feedback</w:t>
            </w:r>
            <w:r>
              <w:rPr>
                <w:noProof/>
                <w:webHidden/>
              </w:rPr>
              <w:tab/>
            </w:r>
            <w:r>
              <w:rPr>
                <w:noProof/>
                <w:webHidden/>
              </w:rPr>
              <w:fldChar w:fldCharType="begin"/>
            </w:r>
            <w:r>
              <w:rPr>
                <w:noProof/>
                <w:webHidden/>
              </w:rPr>
              <w:instrText xml:space="preserve"> PAGEREF _Toc224294127 \h </w:instrText>
            </w:r>
            <w:r>
              <w:rPr>
                <w:noProof/>
                <w:webHidden/>
              </w:rPr>
            </w:r>
            <w:r>
              <w:rPr>
                <w:noProof/>
                <w:webHidden/>
              </w:rPr>
              <w:fldChar w:fldCharType="separate"/>
            </w:r>
            <w:r>
              <w:rPr>
                <w:noProof/>
                <w:webHidden/>
              </w:rPr>
              <w:t>9</w:t>
            </w:r>
            <w:r>
              <w:rPr>
                <w:noProof/>
                <w:webHidden/>
              </w:rPr>
              <w:fldChar w:fldCharType="end"/>
            </w:r>
          </w:hyperlink>
        </w:p>
        <w:p w14:paraId="374D349F" w14:textId="37DB114D" w:rsidR="00241951" w:rsidRDefault="00241951">
          <w:pPr>
            <w:pStyle w:val="TOC1"/>
            <w:tabs>
              <w:tab w:val="right" w:leader="dot" w:pos="9350"/>
            </w:tabs>
            <w:rPr>
              <w:rFonts w:asciiTheme="minorHAnsi" w:hAnsiTheme="minorHAnsi"/>
              <w:noProof/>
              <w:sz w:val="22"/>
            </w:rPr>
          </w:pPr>
          <w:hyperlink w:anchor="_Toc224294128" w:history="1">
            <w:r w:rsidRPr="00C875A6">
              <w:rPr>
                <w:rStyle w:val="Hyperlink"/>
                <w:rFonts w:eastAsia="Times New Roman"/>
                <w:noProof/>
              </w:rPr>
              <w:t>4. Conclusion and Reflection</w:t>
            </w:r>
            <w:r>
              <w:rPr>
                <w:noProof/>
                <w:webHidden/>
              </w:rPr>
              <w:tab/>
            </w:r>
            <w:r>
              <w:rPr>
                <w:noProof/>
                <w:webHidden/>
              </w:rPr>
              <w:fldChar w:fldCharType="begin"/>
            </w:r>
            <w:r>
              <w:rPr>
                <w:noProof/>
                <w:webHidden/>
              </w:rPr>
              <w:instrText xml:space="preserve"> PAGEREF _Toc224294128 \h </w:instrText>
            </w:r>
            <w:r>
              <w:rPr>
                <w:noProof/>
                <w:webHidden/>
              </w:rPr>
            </w:r>
            <w:r>
              <w:rPr>
                <w:noProof/>
                <w:webHidden/>
              </w:rPr>
              <w:fldChar w:fldCharType="separate"/>
            </w:r>
            <w:r>
              <w:rPr>
                <w:noProof/>
                <w:webHidden/>
              </w:rPr>
              <w:t>11</w:t>
            </w:r>
            <w:r>
              <w:rPr>
                <w:noProof/>
                <w:webHidden/>
              </w:rPr>
              <w:fldChar w:fldCharType="end"/>
            </w:r>
          </w:hyperlink>
        </w:p>
        <w:p w14:paraId="27E87DF9" w14:textId="162203EA" w:rsidR="00241951" w:rsidRDefault="00241951">
          <w:pPr>
            <w:pStyle w:val="TOC1"/>
            <w:tabs>
              <w:tab w:val="right" w:leader="dot" w:pos="9350"/>
            </w:tabs>
            <w:rPr>
              <w:rFonts w:asciiTheme="minorHAnsi" w:hAnsiTheme="minorHAnsi"/>
              <w:noProof/>
              <w:sz w:val="22"/>
            </w:rPr>
          </w:pPr>
          <w:hyperlink w:anchor="_Toc224294129" w:history="1">
            <w:r w:rsidRPr="00C875A6">
              <w:rPr>
                <w:rStyle w:val="Hyperlink"/>
                <w:rFonts w:eastAsia="Times New Roman" w:cs="Arial"/>
                <w:noProof/>
              </w:rPr>
              <w:t>5. References</w:t>
            </w:r>
            <w:r>
              <w:rPr>
                <w:noProof/>
                <w:webHidden/>
              </w:rPr>
              <w:tab/>
            </w:r>
            <w:r>
              <w:rPr>
                <w:noProof/>
                <w:webHidden/>
              </w:rPr>
              <w:fldChar w:fldCharType="begin"/>
            </w:r>
            <w:r>
              <w:rPr>
                <w:noProof/>
                <w:webHidden/>
              </w:rPr>
              <w:instrText xml:space="preserve"> PAGEREF _Toc224294129 \h </w:instrText>
            </w:r>
            <w:r>
              <w:rPr>
                <w:noProof/>
                <w:webHidden/>
              </w:rPr>
            </w:r>
            <w:r>
              <w:rPr>
                <w:noProof/>
                <w:webHidden/>
              </w:rPr>
              <w:fldChar w:fldCharType="separate"/>
            </w:r>
            <w:r>
              <w:rPr>
                <w:noProof/>
                <w:webHidden/>
              </w:rPr>
              <w:t>14</w:t>
            </w:r>
            <w:r>
              <w:rPr>
                <w:noProof/>
                <w:webHidden/>
              </w:rPr>
              <w:fldChar w:fldCharType="end"/>
            </w:r>
          </w:hyperlink>
        </w:p>
        <w:p w14:paraId="1545E873" w14:textId="1D357481" w:rsidR="00811394" w:rsidRDefault="00811394">
          <w:r>
            <w:rPr>
              <w:b/>
              <w:bCs/>
              <w:noProof/>
            </w:rPr>
            <w:fldChar w:fldCharType="end"/>
          </w:r>
        </w:p>
      </w:sdtContent>
    </w:sdt>
    <w:p w14:paraId="7949126B" w14:textId="63755EDC"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28C51356" w14:textId="2B8395EC"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721B43BE" w14:textId="1B02B508"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51E7A1B0" w14:textId="3E32B61A"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3A80E321" w14:textId="7D96411A"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084C73AA" w14:textId="77FE05EA"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6735D4F2" w14:textId="17373A55"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3CC5905E" w14:textId="0240368D"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74796EE0" w14:textId="719F754B" w:rsidR="00811394" w:rsidRDefault="00811394" w:rsidP="00273E7D">
      <w:pPr>
        <w:spacing w:before="100" w:beforeAutospacing="1" w:after="100" w:afterAutospacing="1" w:line="240" w:lineRule="auto"/>
        <w:rPr>
          <w:rFonts w:ascii="Times New Roman" w:eastAsia="Times New Roman" w:hAnsi="Times New Roman" w:cs="Times New Roman"/>
          <w:szCs w:val="24"/>
        </w:rPr>
      </w:pPr>
    </w:p>
    <w:p w14:paraId="5925AC16" w14:textId="052E8883" w:rsidR="00AA3AB4" w:rsidRPr="00AA3AB4" w:rsidRDefault="00241951" w:rsidP="00811394">
      <w:pPr>
        <w:pStyle w:val="Heading1"/>
        <w:rPr>
          <w:rFonts w:eastAsia="Times New Roman"/>
        </w:rPr>
      </w:pPr>
      <w:bookmarkStart w:id="0" w:name="_Toc224294121"/>
      <w:r>
        <w:rPr>
          <w:rFonts w:eastAsia="Times New Roman"/>
          <w:b w:val="0"/>
          <w:bCs w:val="0"/>
        </w:rPr>
        <w:t xml:space="preserve">1. </w:t>
      </w:r>
      <w:r w:rsidR="00AA3AB4">
        <w:rPr>
          <w:rFonts w:eastAsia="Times New Roman"/>
          <w:b w:val="0"/>
          <w:bCs w:val="0"/>
        </w:rPr>
        <w:t>I</w:t>
      </w:r>
      <w:r w:rsidR="00AA3AB4" w:rsidRPr="00AA3AB4">
        <w:rPr>
          <w:rFonts w:eastAsia="Times New Roman"/>
        </w:rPr>
        <w:t>ntroduction</w:t>
      </w:r>
      <w:bookmarkEnd w:id="0"/>
    </w:p>
    <w:p w14:paraId="65FE4926" w14:textId="1B07D36E" w:rsidR="00AA3AB4" w:rsidRDefault="00AA3AB4" w:rsidP="00811394">
      <w:pPr>
        <w:rPr>
          <w:rFonts w:eastAsia="Times New Roman"/>
        </w:rPr>
      </w:pPr>
      <w:r w:rsidRPr="00AA3AB4">
        <w:rPr>
          <w:rFonts w:eastAsia="Times New Roman"/>
        </w:rPr>
        <w:t xml:space="preserve">The </w:t>
      </w:r>
      <w:r>
        <w:rPr>
          <w:rFonts w:eastAsia="Times New Roman"/>
        </w:rPr>
        <w:t>development</w:t>
      </w:r>
      <w:r w:rsidRPr="00AA3AB4">
        <w:rPr>
          <w:rFonts w:eastAsia="Times New Roman"/>
        </w:rPr>
        <w:t xml:space="preserve"> of a new community park in London is an opportunity to increase the amount of green space, improve the work of the community, and ensure the sustainability of the environment. Recreational spaces can be combined with ecological and social benefits as demonstrated in the parks of London like </w:t>
      </w:r>
      <w:r w:rsidRPr="00811394">
        <w:rPr>
          <w:rFonts w:eastAsia="Times New Roman"/>
          <w:b/>
          <w:bCs/>
        </w:rPr>
        <w:t>Queen Elizabeth Olympic Park</w:t>
      </w:r>
      <w:r w:rsidRPr="00AA3AB4">
        <w:rPr>
          <w:rFonts w:eastAsia="Times New Roman"/>
        </w:rPr>
        <w:t xml:space="preserve"> through strategic planning (McKay and </w:t>
      </w:r>
      <w:proofErr w:type="spellStart"/>
      <w:r w:rsidRPr="00AA3AB4">
        <w:rPr>
          <w:rFonts w:eastAsia="Times New Roman"/>
        </w:rPr>
        <w:t>Tantoh</w:t>
      </w:r>
      <w:proofErr w:type="spellEnd"/>
      <w:r w:rsidRPr="00AA3AB4">
        <w:rPr>
          <w:rFonts w:eastAsia="Times New Roman"/>
        </w:rPr>
        <w:t xml:space="preserve">, 2021). The purpose of this portfolio is to serve as the stakeholder management plan of a proposed public park, determining the important stakeholders, the analysis of their interests, and working out the engagement techniques to guarantee effective and inclusive participation. It will examine the power, influence, and interest of stakeholders and map them to inform </w:t>
      </w:r>
      <w:r w:rsidRPr="00811394">
        <w:t>communication</w:t>
      </w:r>
      <w:r w:rsidRPr="00AA3AB4">
        <w:rPr>
          <w:rFonts w:eastAsia="Times New Roman"/>
        </w:rPr>
        <w:t xml:space="preserve"> and consultation strategies with real-life examples of projects in London, including the involvement of the community in upgrades of </w:t>
      </w:r>
      <w:r w:rsidRPr="00811394">
        <w:rPr>
          <w:rFonts w:eastAsia="Times New Roman"/>
          <w:b/>
          <w:bCs/>
        </w:rPr>
        <w:t>Victoria Park</w:t>
      </w:r>
      <w:r w:rsidRPr="00AA3AB4">
        <w:rPr>
          <w:rFonts w:eastAsia="Times New Roman"/>
        </w:rPr>
        <w:t xml:space="preserve">. Additionally, the portfolio will assess ethics, such as data protection, inclusion, and diversity and consider the role of stakeholder engagement in the success and sustainability of the project (He et al., 2025). Through this </w:t>
      </w:r>
      <w:proofErr w:type="spellStart"/>
      <w:r w:rsidRPr="00AA3AB4">
        <w:rPr>
          <w:rFonts w:eastAsia="Times New Roman"/>
        </w:rPr>
        <w:t>categorised</w:t>
      </w:r>
      <w:proofErr w:type="spellEnd"/>
      <w:r w:rsidRPr="00AA3AB4">
        <w:rPr>
          <w:rFonts w:eastAsia="Times New Roman"/>
        </w:rPr>
        <w:t xml:space="preserve"> method, the portfolio shows how stakeholder involvement can streamline planning, </w:t>
      </w:r>
      <w:proofErr w:type="spellStart"/>
      <w:r w:rsidRPr="00AA3AB4">
        <w:rPr>
          <w:rFonts w:eastAsia="Times New Roman"/>
        </w:rPr>
        <w:t>minimise</w:t>
      </w:r>
      <w:proofErr w:type="spellEnd"/>
      <w:r w:rsidRPr="00AA3AB4">
        <w:rPr>
          <w:rFonts w:eastAsia="Times New Roman"/>
        </w:rPr>
        <w:t xml:space="preserve"> the number of conflicts and make sure that the new public park will address the recreation, social and environmental needs of the London communities.</w:t>
      </w:r>
    </w:p>
    <w:p w14:paraId="27CACC4B" w14:textId="77777777" w:rsidR="00811394" w:rsidRPr="00811394" w:rsidRDefault="00811394" w:rsidP="00811394">
      <w:pPr>
        <w:pStyle w:val="Heading1"/>
        <w:rPr>
          <w:rFonts w:eastAsia="Times New Roman"/>
        </w:rPr>
      </w:pPr>
      <w:bookmarkStart w:id="1" w:name="_Toc224294122"/>
      <w:r w:rsidRPr="00811394">
        <w:rPr>
          <w:rFonts w:eastAsia="Times New Roman"/>
        </w:rPr>
        <w:lastRenderedPageBreak/>
        <w:t>2. Stakeholder Engagement Strategies</w:t>
      </w:r>
      <w:bookmarkEnd w:id="1"/>
    </w:p>
    <w:p w14:paraId="2A0C2E71" w14:textId="77777777" w:rsidR="00811394" w:rsidRPr="00811394" w:rsidRDefault="00811394" w:rsidP="00811394">
      <w:pPr>
        <w:pStyle w:val="Heading2"/>
        <w:rPr>
          <w:rFonts w:eastAsia="Times New Roman"/>
        </w:rPr>
      </w:pPr>
      <w:bookmarkStart w:id="2" w:name="_Toc224294123"/>
      <w:r w:rsidRPr="00811394">
        <w:rPr>
          <w:rFonts w:eastAsia="Times New Roman"/>
        </w:rPr>
        <w:t>2.1 Stakeholder Analysis</w:t>
      </w:r>
      <w:bookmarkEnd w:id="2"/>
    </w:p>
    <w:p w14:paraId="305E6CAF" w14:textId="45C88F94" w:rsidR="00811394" w:rsidRDefault="00811394" w:rsidP="00811394">
      <w:r w:rsidRPr="00283AFC">
        <w:t xml:space="preserve">The stakeholder engagement can be achieved by first </w:t>
      </w:r>
      <w:proofErr w:type="spellStart"/>
      <w:r w:rsidRPr="00283AFC">
        <w:t>analysing</w:t>
      </w:r>
      <w:proofErr w:type="spellEnd"/>
      <w:r w:rsidRPr="00283AFC">
        <w:t xml:space="preserve"> the parties within the development of the new public park in London. Some of the key stakeholders are the local residents, the London Borough Council, the environmental </w:t>
      </w:r>
      <w:proofErr w:type="spellStart"/>
      <w:r w:rsidRPr="00283AFC">
        <w:t>organisations</w:t>
      </w:r>
      <w:proofErr w:type="spellEnd"/>
      <w:r w:rsidRPr="00283AFC">
        <w:t xml:space="preserve">, the local businesses, the park management authorities, as well as the recreational user groups (McKay and </w:t>
      </w:r>
      <w:proofErr w:type="spellStart"/>
      <w:r w:rsidRPr="00283AFC">
        <w:t>Tantoh</w:t>
      </w:r>
      <w:proofErr w:type="spellEnd"/>
      <w:r w:rsidRPr="00283AFC">
        <w:t>, 2021). In order to deal with such stakeholders, they must be evaluated in terms of power, interest and influence in the project.</w:t>
      </w:r>
    </w:p>
    <w:p w14:paraId="3A38F7C2" w14:textId="518050EC" w:rsidR="00811394" w:rsidRDefault="00811394" w:rsidP="00811394"/>
    <w:p w14:paraId="42AD4C38" w14:textId="77777777" w:rsidR="00811394" w:rsidRPr="00283AFC" w:rsidRDefault="00811394" w:rsidP="00811394"/>
    <w:tbl>
      <w:tblPr>
        <w:tblStyle w:val="TableGrid"/>
        <w:tblW w:w="7290" w:type="dxa"/>
        <w:tblLook w:val="04A0" w:firstRow="1" w:lastRow="0" w:firstColumn="1" w:lastColumn="0" w:noHBand="0" w:noVBand="1"/>
      </w:tblPr>
      <w:tblGrid>
        <w:gridCol w:w="3573"/>
        <w:gridCol w:w="1183"/>
        <w:gridCol w:w="1183"/>
        <w:gridCol w:w="1351"/>
      </w:tblGrid>
      <w:tr w:rsidR="00811394" w:rsidRPr="00811394" w14:paraId="73ED5BD1" w14:textId="77777777" w:rsidTr="00046A58">
        <w:trPr>
          <w:trHeight w:val="495"/>
        </w:trPr>
        <w:tc>
          <w:tcPr>
            <w:tcW w:w="0" w:type="auto"/>
            <w:hideMark/>
          </w:tcPr>
          <w:p w14:paraId="317C41ED" w14:textId="77777777" w:rsidR="00811394" w:rsidRPr="00811394" w:rsidRDefault="00811394" w:rsidP="00046A58">
            <w:pPr>
              <w:spacing w:line="240" w:lineRule="auto"/>
              <w:jc w:val="center"/>
              <w:rPr>
                <w:rFonts w:ascii="Times New Roman" w:eastAsia="Times New Roman" w:hAnsi="Times New Roman" w:cs="Times New Roman"/>
                <w:b/>
                <w:bCs/>
                <w:szCs w:val="24"/>
              </w:rPr>
            </w:pPr>
            <w:r w:rsidRPr="00811394">
              <w:rPr>
                <w:rFonts w:ascii="Times New Roman" w:eastAsia="Times New Roman" w:hAnsi="Times New Roman" w:cs="Times New Roman"/>
                <w:b/>
                <w:bCs/>
                <w:szCs w:val="24"/>
              </w:rPr>
              <w:t>Stakeholder</w:t>
            </w:r>
          </w:p>
        </w:tc>
        <w:tc>
          <w:tcPr>
            <w:tcW w:w="0" w:type="auto"/>
            <w:hideMark/>
          </w:tcPr>
          <w:p w14:paraId="06F9FE76" w14:textId="77777777" w:rsidR="00811394" w:rsidRPr="00811394" w:rsidRDefault="00811394" w:rsidP="00046A58">
            <w:pPr>
              <w:spacing w:line="240" w:lineRule="auto"/>
              <w:jc w:val="center"/>
              <w:rPr>
                <w:rFonts w:ascii="Times New Roman" w:eastAsia="Times New Roman" w:hAnsi="Times New Roman" w:cs="Times New Roman"/>
                <w:b/>
                <w:bCs/>
                <w:szCs w:val="24"/>
              </w:rPr>
            </w:pPr>
            <w:r w:rsidRPr="00811394">
              <w:rPr>
                <w:rFonts w:ascii="Times New Roman" w:eastAsia="Times New Roman" w:hAnsi="Times New Roman" w:cs="Times New Roman"/>
                <w:b/>
                <w:bCs/>
                <w:szCs w:val="24"/>
              </w:rPr>
              <w:t>Power</w:t>
            </w:r>
          </w:p>
        </w:tc>
        <w:tc>
          <w:tcPr>
            <w:tcW w:w="0" w:type="auto"/>
            <w:hideMark/>
          </w:tcPr>
          <w:p w14:paraId="3FA3B4C8" w14:textId="77777777" w:rsidR="00811394" w:rsidRPr="00811394" w:rsidRDefault="00811394" w:rsidP="00046A58">
            <w:pPr>
              <w:spacing w:line="240" w:lineRule="auto"/>
              <w:jc w:val="center"/>
              <w:rPr>
                <w:rFonts w:ascii="Times New Roman" w:eastAsia="Times New Roman" w:hAnsi="Times New Roman" w:cs="Times New Roman"/>
                <w:b/>
                <w:bCs/>
                <w:szCs w:val="24"/>
              </w:rPr>
            </w:pPr>
            <w:r w:rsidRPr="00811394">
              <w:rPr>
                <w:rFonts w:ascii="Times New Roman" w:eastAsia="Times New Roman" w:hAnsi="Times New Roman" w:cs="Times New Roman"/>
                <w:b/>
                <w:bCs/>
                <w:szCs w:val="24"/>
              </w:rPr>
              <w:t>Interest</w:t>
            </w:r>
          </w:p>
        </w:tc>
        <w:tc>
          <w:tcPr>
            <w:tcW w:w="0" w:type="auto"/>
            <w:hideMark/>
          </w:tcPr>
          <w:p w14:paraId="065B342D" w14:textId="77777777" w:rsidR="00811394" w:rsidRPr="00811394" w:rsidRDefault="00811394" w:rsidP="00046A58">
            <w:pPr>
              <w:spacing w:line="240" w:lineRule="auto"/>
              <w:jc w:val="center"/>
              <w:rPr>
                <w:rFonts w:ascii="Times New Roman" w:eastAsia="Times New Roman" w:hAnsi="Times New Roman" w:cs="Times New Roman"/>
                <w:b/>
                <w:bCs/>
                <w:szCs w:val="24"/>
              </w:rPr>
            </w:pPr>
            <w:r w:rsidRPr="00811394">
              <w:rPr>
                <w:rFonts w:ascii="Times New Roman" w:eastAsia="Times New Roman" w:hAnsi="Times New Roman" w:cs="Times New Roman"/>
                <w:b/>
                <w:bCs/>
                <w:szCs w:val="24"/>
              </w:rPr>
              <w:t>Influence</w:t>
            </w:r>
          </w:p>
        </w:tc>
      </w:tr>
      <w:tr w:rsidR="00811394" w:rsidRPr="00811394" w14:paraId="78595027" w14:textId="77777777" w:rsidTr="00046A58">
        <w:trPr>
          <w:trHeight w:val="495"/>
        </w:trPr>
        <w:tc>
          <w:tcPr>
            <w:tcW w:w="0" w:type="auto"/>
            <w:hideMark/>
          </w:tcPr>
          <w:p w14:paraId="73E846FA"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Local Residents</w:t>
            </w:r>
          </w:p>
        </w:tc>
        <w:tc>
          <w:tcPr>
            <w:tcW w:w="0" w:type="auto"/>
            <w:hideMark/>
          </w:tcPr>
          <w:p w14:paraId="30F7CDF2"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Medium</w:t>
            </w:r>
          </w:p>
        </w:tc>
        <w:tc>
          <w:tcPr>
            <w:tcW w:w="0" w:type="auto"/>
            <w:hideMark/>
          </w:tcPr>
          <w:p w14:paraId="2DA490C3"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c>
          <w:tcPr>
            <w:tcW w:w="0" w:type="auto"/>
            <w:hideMark/>
          </w:tcPr>
          <w:p w14:paraId="1D524622"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r>
      <w:tr w:rsidR="00811394" w:rsidRPr="00811394" w14:paraId="37901064" w14:textId="77777777" w:rsidTr="00046A58">
        <w:trPr>
          <w:trHeight w:val="474"/>
        </w:trPr>
        <w:tc>
          <w:tcPr>
            <w:tcW w:w="0" w:type="auto"/>
            <w:hideMark/>
          </w:tcPr>
          <w:p w14:paraId="1564E527"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London Borough Council</w:t>
            </w:r>
          </w:p>
        </w:tc>
        <w:tc>
          <w:tcPr>
            <w:tcW w:w="0" w:type="auto"/>
            <w:hideMark/>
          </w:tcPr>
          <w:p w14:paraId="5AB7BBBE"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c>
          <w:tcPr>
            <w:tcW w:w="0" w:type="auto"/>
            <w:hideMark/>
          </w:tcPr>
          <w:p w14:paraId="55AA592A"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c>
          <w:tcPr>
            <w:tcW w:w="0" w:type="auto"/>
            <w:hideMark/>
          </w:tcPr>
          <w:p w14:paraId="032B84BE"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r>
      <w:tr w:rsidR="00811394" w:rsidRPr="00811394" w14:paraId="634A173F" w14:textId="77777777" w:rsidTr="00046A58">
        <w:trPr>
          <w:trHeight w:val="495"/>
        </w:trPr>
        <w:tc>
          <w:tcPr>
            <w:tcW w:w="0" w:type="auto"/>
            <w:hideMark/>
          </w:tcPr>
          <w:p w14:paraId="2CD19BFB"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 xml:space="preserve">Environmental </w:t>
            </w:r>
            <w:proofErr w:type="spellStart"/>
            <w:r w:rsidRPr="00811394">
              <w:rPr>
                <w:rFonts w:ascii="Times New Roman" w:eastAsia="Times New Roman" w:hAnsi="Times New Roman" w:cs="Times New Roman"/>
                <w:szCs w:val="24"/>
              </w:rPr>
              <w:t>Organisations</w:t>
            </w:r>
            <w:proofErr w:type="spellEnd"/>
          </w:p>
        </w:tc>
        <w:tc>
          <w:tcPr>
            <w:tcW w:w="0" w:type="auto"/>
            <w:hideMark/>
          </w:tcPr>
          <w:p w14:paraId="0059B9E3"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Medium</w:t>
            </w:r>
          </w:p>
        </w:tc>
        <w:tc>
          <w:tcPr>
            <w:tcW w:w="0" w:type="auto"/>
            <w:hideMark/>
          </w:tcPr>
          <w:p w14:paraId="0D3CFACE"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Medium</w:t>
            </w:r>
          </w:p>
        </w:tc>
        <w:tc>
          <w:tcPr>
            <w:tcW w:w="0" w:type="auto"/>
            <w:hideMark/>
          </w:tcPr>
          <w:p w14:paraId="776E734C"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Medium</w:t>
            </w:r>
          </w:p>
        </w:tc>
      </w:tr>
      <w:tr w:rsidR="00811394" w:rsidRPr="00811394" w14:paraId="1B4CB69A" w14:textId="77777777" w:rsidTr="00046A58">
        <w:trPr>
          <w:trHeight w:val="495"/>
        </w:trPr>
        <w:tc>
          <w:tcPr>
            <w:tcW w:w="0" w:type="auto"/>
            <w:hideMark/>
          </w:tcPr>
          <w:p w14:paraId="2C6AA521"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Local Businesses</w:t>
            </w:r>
          </w:p>
        </w:tc>
        <w:tc>
          <w:tcPr>
            <w:tcW w:w="0" w:type="auto"/>
            <w:hideMark/>
          </w:tcPr>
          <w:p w14:paraId="124DA348"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Low</w:t>
            </w:r>
          </w:p>
        </w:tc>
        <w:tc>
          <w:tcPr>
            <w:tcW w:w="0" w:type="auto"/>
            <w:hideMark/>
          </w:tcPr>
          <w:p w14:paraId="477DAECA"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Medium</w:t>
            </w:r>
          </w:p>
        </w:tc>
        <w:tc>
          <w:tcPr>
            <w:tcW w:w="0" w:type="auto"/>
            <w:hideMark/>
          </w:tcPr>
          <w:p w14:paraId="3BA7469D"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Medium</w:t>
            </w:r>
          </w:p>
        </w:tc>
      </w:tr>
      <w:tr w:rsidR="00811394" w:rsidRPr="00811394" w14:paraId="66374CB1" w14:textId="77777777" w:rsidTr="00046A58">
        <w:trPr>
          <w:trHeight w:val="495"/>
        </w:trPr>
        <w:tc>
          <w:tcPr>
            <w:tcW w:w="0" w:type="auto"/>
            <w:hideMark/>
          </w:tcPr>
          <w:p w14:paraId="6905E2F2"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Park Management Authorities</w:t>
            </w:r>
          </w:p>
        </w:tc>
        <w:tc>
          <w:tcPr>
            <w:tcW w:w="0" w:type="auto"/>
            <w:hideMark/>
          </w:tcPr>
          <w:p w14:paraId="21E0562D"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c>
          <w:tcPr>
            <w:tcW w:w="0" w:type="auto"/>
            <w:hideMark/>
          </w:tcPr>
          <w:p w14:paraId="3656C448"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c>
          <w:tcPr>
            <w:tcW w:w="0" w:type="auto"/>
            <w:hideMark/>
          </w:tcPr>
          <w:p w14:paraId="39B4C005"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r>
      <w:tr w:rsidR="00811394" w:rsidRPr="00811394" w14:paraId="4F861EB9" w14:textId="77777777" w:rsidTr="00046A58">
        <w:trPr>
          <w:trHeight w:val="495"/>
        </w:trPr>
        <w:tc>
          <w:tcPr>
            <w:tcW w:w="0" w:type="auto"/>
            <w:hideMark/>
          </w:tcPr>
          <w:p w14:paraId="72860A13"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Recreational User Groups</w:t>
            </w:r>
          </w:p>
        </w:tc>
        <w:tc>
          <w:tcPr>
            <w:tcW w:w="0" w:type="auto"/>
            <w:hideMark/>
          </w:tcPr>
          <w:p w14:paraId="1B3D6AB3"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Low</w:t>
            </w:r>
          </w:p>
        </w:tc>
        <w:tc>
          <w:tcPr>
            <w:tcW w:w="0" w:type="auto"/>
            <w:hideMark/>
          </w:tcPr>
          <w:p w14:paraId="1E3308CE"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High</w:t>
            </w:r>
          </w:p>
        </w:tc>
        <w:tc>
          <w:tcPr>
            <w:tcW w:w="0" w:type="auto"/>
            <w:hideMark/>
          </w:tcPr>
          <w:p w14:paraId="26E58E05" w14:textId="77777777" w:rsidR="00811394" w:rsidRPr="00811394" w:rsidRDefault="00811394" w:rsidP="00046A58">
            <w:pPr>
              <w:spacing w:line="240" w:lineRule="auto"/>
              <w:rPr>
                <w:rFonts w:ascii="Times New Roman" w:eastAsia="Times New Roman" w:hAnsi="Times New Roman" w:cs="Times New Roman"/>
                <w:szCs w:val="24"/>
              </w:rPr>
            </w:pPr>
            <w:r w:rsidRPr="00811394">
              <w:rPr>
                <w:rFonts w:ascii="Times New Roman" w:eastAsia="Times New Roman" w:hAnsi="Times New Roman" w:cs="Times New Roman"/>
                <w:szCs w:val="24"/>
              </w:rPr>
              <w:t>Medium</w:t>
            </w:r>
          </w:p>
        </w:tc>
      </w:tr>
    </w:tbl>
    <w:p w14:paraId="67556EEE" w14:textId="77777777" w:rsidR="00811394" w:rsidRDefault="00811394" w:rsidP="00811394"/>
    <w:p w14:paraId="538D847D" w14:textId="77777777" w:rsidR="00811394" w:rsidRPr="00283AFC" w:rsidRDefault="00811394" w:rsidP="00811394">
      <w:r w:rsidRPr="00283AFC">
        <w:t>The locals are very concerned with the development of the park because it will have a direct impact on their quality of life and leisure opportunities. Their formal power is restricted; however, their influence is increased in form of consultations with the population and advocacy within the community (</w:t>
      </w:r>
      <w:proofErr w:type="spellStart"/>
      <w:r w:rsidRPr="00283AFC">
        <w:t>Arnstein</w:t>
      </w:r>
      <w:proofErr w:type="spellEnd"/>
      <w:r w:rsidRPr="00283AFC">
        <w:t>, 1969). The London Borough Council has great power and influence, over budgets, planning permission, and regulatory control, and they have the same interests as political and community goals (</w:t>
      </w:r>
      <w:proofErr w:type="spellStart"/>
      <w:r w:rsidRPr="00283AFC">
        <w:t>Lauria</w:t>
      </w:r>
      <w:proofErr w:type="spellEnd"/>
      <w:r w:rsidRPr="00283AFC">
        <w:t xml:space="preserve"> and </w:t>
      </w:r>
      <w:proofErr w:type="spellStart"/>
      <w:r w:rsidRPr="00283AFC">
        <w:t>Slotterback</w:t>
      </w:r>
      <w:proofErr w:type="spellEnd"/>
      <w:r w:rsidRPr="00283AFC">
        <w:t xml:space="preserve">, 2020). Environmental </w:t>
      </w:r>
      <w:proofErr w:type="spellStart"/>
      <w:r w:rsidRPr="00283AFC">
        <w:t>organisations</w:t>
      </w:r>
      <w:proofErr w:type="spellEnd"/>
      <w:r w:rsidRPr="00283AFC">
        <w:t xml:space="preserve"> have medium power, influence but they serve as a crucial advisory body so that sustainable </w:t>
      </w:r>
      <w:proofErr w:type="spellStart"/>
      <w:r w:rsidRPr="00283AFC">
        <w:t>practises</w:t>
      </w:r>
      <w:proofErr w:type="spellEnd"/>
      <w:r w:rsidRPr="00283AFC">
        <w:t xml:space="preserve"> and preservation of biodiversity could be </w:t>
      </w:r>
      <w:proofErr w:type="spellStart"/>
      <w:r w:rsidRPr="00283AFC">
        <w:t>prioritised</w:t>
      </w:r>
      <w:proofErr w:type="spellEnd"/>
      <w:r w:rsidRPr="00283AFC">
        <w:t xml:space="preserve"> in planning and implementation (He et al., 2025). Interest </w:t>
      </w:r>
      <w:r w:rsidRPr="00283AFC">
        <w:lastRenderedPageBreak/>
        <w:t xml:space="preserve">of local businesses is medium level that is concerned with commercial opportunities and more foot-traffic, but their official authority on the decisions is rather low. The power and influence of the park management authorities in charge of the day-to-day business and long-term maintenance are high and so is the interest in the successful functionality and the community participation results of the park. The recreational user groups, which include sports clubs and youth </w:t>
      </w:r>
      <w:proofErr w:type="spellStart"/>
      <w:r w:rsidRPr="00283AFC">
        <w:t>organisations</w:t>
      </w:r>
      <w:proofErr w:type="spellEnd"/>
      <w:r w:rsidRPr="00283AFC">
        <w:t>, are of great interest and can do only advocacy and participatory consultations because they frequently use the space (</w:t>
      </w:r>
      <w:proofErr w:type="spellStart"/>
      <w:r w:rsidRPr="00283AFC">
        <w:t>Nared</w:t>
      </w:r>
      <w:proofErr w:type="spellEnd"/>
      <w:r w:rsidRPr="00283AFC">
        <w:t xml:space="preserve"> &amp; Bole, 2020).</w:t>
      </w:r>
    </w:p>
    <w:p w14:paraId="77209C0E" w14:textId="77777777" w:rsidR="00811394" w:rsidRPr="00283AFC" w:rsidRDefault="00811394" w:rsidP="00811394">
      <w:r w:rsidRPr="00283AFC">
        <w:t xml:space="preserve">This evaluation will influence the </w:t>
      </w:r>
      <w:proofErr w:type="spellStart"/>
      <w:r w:rsidRPr="00283AFC">
        <w:t>prioritisation</w:t>
      </w:r>
      <w:proofErr w:type="spellEnd"/>
      <w:r w:rsidRPr="00283AFC">
        <w:t xml:space="preserve"> of the engagement activities so that stakeholders with high interest and high influence should be actively involved in the project cycle e.g. residents, council officials, and the park management authorities. Media-interest and medium-power stakeholders such as the environmental groups and the local businesses will need periodic updates and participation in certain stages of the project. The recreational user groups, which represent low-power stakeholders, should be consulted in specific terms to gather feedback and promote the community ownership.</w:t>
      </w:r>
    </w:p>
    <w:p w14:paraId="390FAD76" w14:textId="77777777" w:rsidR="00811394" w:rsidRPr="00283AFC" w:rsidRDefault="00811394" w:rsidP="00811394">
      <w:pPr>
        <w:pStyle w:val="Heading1"/>
      </w:pPr>
      <w:bookmarkStart w:id="3" w:name="_Toc224294124"/>
      <w:r w:rsidRPr="00283AFC">
        <w:t>2.2 Stakeholder Mapping</w:t>
      </w:r>
      <w:bookmarkEnd w:id="3"/>
    </w:p>
    <w:p w14:paraId="297E62C2" w14:textId="35F2261D" w:rsidR="00811394" w:rsidRDefault="00811394" w:rsidP="00811394">
      <w:r w:rsidRPr="00283AFC">
        <w:t xml:space="preserve">Stakeholder mapping is the </w:t>
      </w:r>
      <w:proofErr w:type="spellStart"/>
      <w:r w:rsidRPr="00283AFC">
        <w:t>visualisation</w:t>
      </w:r>
      <w:proofErr w:type="spellEnd"/>
      <w:r w:rsidRPr="00283AFC">
        <w:t xml:space="preserve"> of the relative stakeholder positions based on their power and interest to implement an engagement strategy and resource allocation. In the case of the new public park, the stakeholders are adjusted into four quadrants:</w:t>
      </w:r>
    </w:p>
    <w:p w14:paraId="25AD08D8" w14:textId="7BAC1A24" w:rsidR="00E77E3B" w:rsidRDefault="00E77E3B" w:rsidP="00E77E3B">
      <w:pPr>
        <w:spacing w:after="0"/>
        <w:jc w:val="center"/>
      </w:pPr>
      <w:r>
        <w:t>High Power</w:t>
      </w:r>
    </w:p>
    <w:p w14:paraId="5CF87906" w14:textId="1473DF13" w:rsidR="00E77E3B" w:rsidRDefault="00E77E3B" w:rsidP="00E77E3B">
      <w:pPr>
        <w:spacing w:after="0"/>
        <w:jc w:val="center"/>
      </w:pPr>
      <w:r>
        <w:rPr>
          <w:noProof/>
        </w:rPr>
        <mc:AlternateContent>
          <mc:Choice Requires="wps">
            <w:drawing>
              <wp:anchor distT="45720" distB="45720" distL="114300" distR="114300" simplePos="0" relativeHeight="251661312" behindDoc="0" locked="0" layoutInCell="1" allowOverlap="1" wp14:anchorId="2126AB58" wp14:editId="3E0EA0E8">
                <wp:simplePos x="0" y="0"/>
                <wp:positionH relativeFrom="column">
                  <wp:posOffset>3799840</wp:posOffset>
                </wp:positionH>
                <wp:positionV relativeFrom="paragraph">
                  <wp:posOffset>1097280</wp:posOffset>
                </wp:positionV>
                <wp:extent cx="2360930" cy="259080"/>
                <wp:effectExtent l="3175" t="0" r="23495" b="2349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60930" cy="259080"/>
                        </a:xfrm>
                        <a:prstGeom prst="rect">
                          <a:avLst/>
                        </a:prstGeom>
                        <a:solidFill>
                          <a:srgbClr val="FFFFFF"/>
                        </a:solidFill>
                        <a:ln w="9525">
                          <a:solidFill>
                            <a:srgbClr val="000000"/>
                          </a:solidFill>
                          <a:miter lim="800000"/>
                          <a:headEnd/>
                          <a:tailEnd/>
                        </a:ln>
                      </wps:spPr>
                      <wps:txbx>
                        <w:txbxContent>
                          <w:p w14:paraId="19A6F10E" w14:textId="4B49E152" w:rsidR="00E77E3B" w:rsidRDefault="00E77E3B" w:rsidP="00E77E3B">
                            <w:pPr>
                              <w:jc w:val="center"/>
                            </w:pPr>
                            <w:r>
                              <w:t>Low 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26AB58" id="_x0000_t202" coordsize="21600,21600" o:spt="202" path="m,l,21600r21600,l21600,xe">
                <v:stroke joinstyle="miter"/>
                <v:path gradientshapeok="t" o:connecttype="rect"/>
              </v:shapetype>
              <v:shape id="Text Box 2" o:spid="_x0000_s1026" type="#_x0000_t202" style="position:absolute;left:0;text-align:left;margin-left:299.2pt;margin-top:86.4pt;width:185.9pt;height:20.4pt;rotation:-90;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">
                <v:textbox>
                  <w:txbxContent>
                    <w:p w14:paraId="19A6F10E" w14:textId="4B49E152" w:rsidR="00E77E3B" w:rsidRDefault="00E77E3B" w:rsidP="00E77E3B">
                      <w:pPr>
                        <w:jc w:val="center"/>
                      </w:pPr>
                      <w:r>
                        <w:t>Low Interest</w:t>
                      </w:r>
                    </w:p>
                  </w:txbxContent>
                </v:textbox>
                <w10:wrap type="square"/>
              </v:shape>
            </w:pict>
          </mc:Fallback>
        </mc:AlternateContent>
      </w:r>
      <w:r>
        <w:rPr>
          <w:noProof/>
        </w:rPr>
        <mc:AlternateContent>
          <mc:Choice Requires="wps">
            <w:drawing>
              <wp:anchor distT="45720" distB="45720" distL="114300" distR="114300" simplePos="0" relativeHeight="251659264" behindDoc="0" locked="0" layoutInCell="1" allowOverlap="1" wp14:anchorId="053C9CD3" wp14:editId="665D5344">
                <wp:simplePos x="0" y="0"/>
                <wp:positionH relativeFrom="column">
                  <wp:posOffset>-769620</wp:posOffset>
                </wp:positionH>
                <wp:positionV relativeFrom="paragraph">
                  <wp:posOffset>1062990</wp:posOffset>
                </wp:positionV>
                <wp:extent cx="2360930" cy="259080"/>
                <wp:effectExtent l="3175" t="0" r="2349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60930" cy="259080"/>
                        </a:xfrm>
                        <a:prstGeom prst="rect">
                          <a:avLst/>
                        </a:prstGeom>
                        <a:solidFill>
                          <a:srgbClr val="FFFFFF"/>
                        </a:solidFill>
                        <a:ln w="9525">
                          <a:solidFill>
                            <a:srgbClr val="000000"/>
                          </a:solidFill>
                          <a:miter lim="800000"/>
                          <a:headEnd/>
                          <a:tailEnd/>
                        </a:ln>
                      </wps:spPr>
                      <wps:txbx>
                        <w:txbxContent>
                          <w:p w14:paraId="7D47F33C" w14:textId="41E143B0" w:rsidR="00E77E3B" w:rsidRDefault="00E77E3B" w:rsidP="00E77E3B">
                            <w:pPr>
                              <w:jc w:val="center"/>
                            </w:pPr>
                            <w:r>
                              <w:t>High 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C9CD3" id="_x0000_s1027" type="#_x0000_t202" style="position:absolute;left:0;text-align:left;margin-left:-60.6pt;margin-top:83.7pt;width:185.9pt;height:20.4pt;rotation:-90;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">
                <v:textbox>
                  <w:txbxContent>
                    <w:p w14:paraId="7D47F33C" w14:textId="41E143B0" w:rsidR="00E77E3B" w:rsidRDefault="00E77E3B" w:rsidP="00E77E3B">
                      <w:pPr>
                        <w:jc w:val="center"/>
                      </w:pPr>
                      <w:r>
                        <w:t>High Interest</w:t>
                      </w:r>
                    </w:p>
                  </w:txbxContent>
                </v:textbox>
                <w10:wrap type="square"/>
              </v:shape>
            </w:pict>
          </mc:Fallback>
        </mc:AlternateContent>
      </w:r>
      <w:r>
        <w:rPr>
          <w:noProof/>
        </w:rPr>
        <w:drawing>
          <wp:inline distT="0" distB="0" distL="0" distR="0" wp14:anchorId="58B166E3" wp14:editId="6A2F5C3B">
            <wp:extent cx="3931920" cy="2346960"/>
            <wp:effectExtent l="38100" t="25400" r="30480" b="279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CF7CE6B" w14:textId="18FF2B50" w:rsidR="00E77E3B" w:rsidRPr="00283AFC" w:rsidRDefault="00E77E3B" w:rsidP="00E77E3B">
      <w:pPr>
        <w:spacing w:after="0"/>
        <w:jc w:val="center"/>
      </w:pPr>
      <w:r>
        <w:lastRenderedPageBreak/>
        <w:t>Low Power</w:t>
      </w:r>
    </w:p>
    <w:p w14:paraId="709F6C9D" w14:textId="77777777" w:rsidR="00811394" w:rsidRPr="00283AFC" w:rsidRDefault="00811394" w:rsidP="00811394">
      <w:pPr>
        <w:pStyle w:val="ListParagraph"/>
        <w:numPr>
          <w:ilvl w:val="0"/>
          <w:numId w:val="9"/>
        </w:numPr>
      </w:pPr>
      <w:r w:rsidRPr="00283AFC">
        <w:rPr>
          <w:b/>
          <w:bCs/>
        </w:rPr>
        <w:t>High Power / High Interest (Manage Closely):</w:t>
      </w:r>
      <w:r w:rsidRPr="00283AFC">
        <w:t xml:space="preserve"> London Borough Council, Park Management Authorities and major community representatives. These stakeholders play a crucial role in the approval of the project, decision making, and success in the operations. Constant communication and participation in the work process provides consistency in the goals and an easy flow of actions (</w:t>
      </w:r>
      <w:proofErr w:type="spellStart"/>
      <w:r w:rsidRPr="00283AFC">
        <w:t>Lauria</w:t>
      </w:r>
      <w:proofErr w:type="spellEnd"/>
      <w:r w:rsidRPr="00283AFC">
        <w:t xml:space="preserve"> and </w:t>
      </w:r>
      <w:proofErr w:type="spellStart"/>
      <w:r w:rsidRPr="00283AFC">
        <w:t>Slotterback</w:t>
      </w:r>
      <w:proofErr w:type="spellEnd"/>
      <w:r w:rsidRPr="00283AFC">
        <w:t xml:space="preserve"> 2020).</w:t>
      </w:r>
    </w:p>
    <w:p w14:paraId="2F16AF75" w14:textId="77777777" w:rsidR="00811394" w:rsidRPr="00283AFC" w:rsidRDefault="00811394" w:rsidP="00811394">
      <w:pPr>
        <w:pStyle w:val="ListParagraph"/>
        <w:numPr>
          <w:ilvl w:val="0"/>
          <w:numId w:val="9"/>
        </w:numPr>
      </w:pPr>
      <w:r w:rsidRPr="00283AFC">
        <w:rPr>
          <w:b/>
          <w:bCs/>
        </w:rPr>
        <w:t>High Power / Low Interest (Keep Satisfied):</w:t>
      </w:r>
      <w:r w:rsidRPr="00283AFC">
        <w:t xml:space="preserve"> Some regulatory bodies and funding agencies can be having a lot of power but little interest in the </w:t>
      </w:r>
      <w:proofErr w:type="gramStart"/>
      <w:r w:rsidRPr="00283AFC">
        <w:t>day to day</w:t>
      </w:r>
      <w:proofErr w:type="gramEnd"/>
      <w:r w:rsidRPr="00283AFC">
        <w:t xml:space="preserve"> affairs. They need periodical feedback and assurances that project requirements and compliance requirements are being adhered to.</w:t>
      </w:r>
    </w:p>
    <w:p w14:paraId="1455EF0D" w14:textId="77777777" w:rsidR="00811394" w:rsidRPr="00283AFC" w:rsidRDefault="00811394" w:rsidP="00811394">
      <w:pPr>
        <w:pStyle w:val="ListParagraph"/>
        <w:numPr>
          <w:ilvl w:val="0"/>
          <w:numId w:val="9"/>
        </w:numPr>
      </w:pPr>
      <w:r w:rsidRPr="00283AFC">
        <w:rPr>
          <w:b/>
          <w:bCs/>
        </w:rPr>
        <w:t>Low Power / High Interest (Keep Informed):</w:t>
      </w:r>
      <w:r w:rsidRPr="00283AFC">
        <w:t xml:space="preserve"> This quadrant includes the local residents, the recreational user groups and the community associations. Although they do not have much influence on a formal level, timely information and feedback inclusion enhances buy-in and </w:t>
      </w:r>
      <w:proofErr w:type="spellStart"/>
      <w:r w:rsidRPr="00283AFC">
        <w:t>minimises</w:t>
      </w:r>
      <w:proofErr w:type="spellEnd"/>
      <w:r w:rsidRPr="00283AFC">
        <w:t xml:space="preserve"> possible conflicts (McKay and </w:t>
      </w:r>
      <w:proofErr w:type="spellStart"/>
      <w:r w:rsidRPr="00283AFC">
        <w:t>Tantoh</w:t>
      </w:r>
      <w:proofErr w:type="spellEnd"/>
      <w:r w:rsidRPr="00283AFC">
        <w:t>, 2021).</w:t>
      </w:r>
    </w:p>
    <w:p w14:paraId="3FC08D81" w14:textId="77777777" w:rsidR="00811394" w:rsidRPr="00283AFC" w:rsidRDefault="00811394" w:rsidP="00811394">
      <w:pPr>
        <w:pStyle w:val="ListParagraph"/>
        <w:numPr>
          <w:ilvl w:val="0"/>
          <w:numId w:val="9"/>
        </w:numPr>
      </w:pPr>
      <w:r w:rsidRPr="00283AFC">
        <w:rPr>
          <w:b/>
          <w:bCs/>
        </w:rPr>
        <w:t>Low Power / Low Interest (Monitor):</w:t>
      </w:r>
      <w:r w:rsidRPr="00283AFC">
        <w:t xml:space="preserve"> Peripheral stakeholders, including non-local commercial or general visitors, who are not of great interest and impact, may be monitored with minimum interaction in order to prevent extravagant resources allocation.</w:t>
      </w:r>
    </w:p>
    <w:p w14:paraId="59016827" w14:textId="77777777" w:rsidR="00811394" w:rsidRPr="00283AFC" w:rsidRDefault="00811394" w:rsidP="00811394">
      <w:r w:rsidRPr="00283AFC">
        <w:t>This mapping rationale makes sure that the efforts made in the engagement are equal to the needs and impact of the stakeholders. As an example, the recent redevelopment of Victoria Park in London used the approach to mapping to allocate resources because the high-interest residents participated in participatory design workshops, environmental NGOs had to be consulted on biodiversity actions, and the other stakeholders who did not influence the work received regular newsletters and site updates (</w:t>
      </w:r>
      <w:proofErr w:type="spellStart"/>
      <w:r w:rsidRPr="00283AFC">
        <w:t>Nared</w:t>
      </w:r>
      <w:proofErr w:type="spellEnd"/>
      <w:r w:rsidRPr="00283AFC">
        <w:t xml:space="preserve"> &amp; Bole, 2020). This is not only an inclusive method but will also enable those stakeholders with high impact in the project to influence key decisions in such a way that the park achieves the social, ecological, and recreational goals without compromising transparency and accountability (He et al., 2025).</w:t>
      </w:r>
    </w:p>
    <w:p w14:paraId="2605754A" w14:textId="080AD4CD" w:rsidR="00811394" w:rsidRDefault="00811394" w:rsidP="00811394">
      <w:r w:rsidRPr="00283AFC">
        <w:lastRenderedPageBreak/>
        <w:t xml:space="preserve">To conclude, stakeholder analysis and mapping can offer an </w:t>
      </w:r>
      <w:proofErr w:type="spellStart"/>
      <w:r w:rsidRPr="00283AFC">
        <w:t>organised</w:t>
      </w:r>
      <w:proofErr w:type="spellEnd"/>
      <w:r w:rsidRPr="00283AFC">
        <w:t xml:space="preserve"> background of engagement plans in the London public park project. </w:t>
      </w:r>
      <w:proofErr w:type="spellStart"/>
      <w:r w:rsidRPr="00283AFC">
        <w:t>Prioritisation</w:t>
      </w:r>
      <w:proofErr w:type="spellEnd"/>
      <w:r w:rsidRPr="00283AFC">
        <w:t xml:space="preserve"> of communication, consultation, and involvement activities can be achieved by project managers by determining power, interest and influence of stakeholders and putting them on a relative position with which a visual map is prepared. This systematic way of doing things means that there is efficient use of the resources, there is a wide participation and the chances of delivering a project successfully are boosted.</w:t>
      </w:r>
    </w:p>
    <w:p w14:paraId="22926B15" w14:textId="77777777" w:rsidR="00811394" w:rsidRPr="00283AFC" w:rsidRDefault="00811394" w:rsidP="00811394"/>
    <w:p w14:paraId="7667873F" w14:textId="77C3592D" w:rsidR="00811394" w:rsidRDefault="00811394" w:rsidP="00811394">
      <w:pPr>
        <w:pStyle w:val="Heading2"/>
        <w:rPr>
          <w:rFonts w:eastAsia="Times New Roman"/>
        </w:rPr>
      </w:pPr>
      <w:bookmarkStart w:id="4" w:name="_Toc224294125"/>
      <w:r w:rsidRPr="00AA3AB4">
        <w:rPr>
          <w:rFonts w:eastAsia="Times New Roman"/>
        </w:rPr>
        <w:t>2.3 Communication Plan</w:t>
      </w:r>
      <w:bookmarkEnd w:id="4"/>
    </w:p>
    <w:p w14:paraId="57C0A4A3" w14:textId="77777777" w:rsidR="00017894" w:rsidRPr="00F4534F" w:rsidRDefault="00017894" w:rsidP="00017894">
      <w:r w:rsidRPr="00F4534F">
        <w:t xml:space="preserve">The success of the London community park project is greatly reliant on effective communication that will keep the stakeholders well informed, engaged and capable of making valuable contributions to the project. The communication strategies are </w:t>
      </w:r>
      <w:proofErr w:type="spellStart"/>
      <w:r w:rsidRPr="00F4534F">
        <w:t>customised</w:t>
      </w:r>
      <w:proofErr w:type="spellEnd"/>
      <w:r w:rsidRPr="00F4534F">
        <w:t xml:space="preserve"> to the power, interest, and influence of each stakeholder according to the values of transparency, accountability, and inclusivity (He et al., 2025).</w:t>
      </w:r>
    </w:p>
    <w:tbl>
      <w:tblPr>
        <w:tblStyle w:val="TableGrid"/>
        <w:tblW w:w="0" w:type="auto"/>
        <w:tblLook w:val="04A0" w:firstRow="1" w:lastRow="0" w:firstColumn="1" w:lastColumn="0" w:noHBand="0" w:noVBand="1"/>
      </w:tblPr>
      <w:tblGrid>
        <w:gridCol w:w="1739"/>
        <w:gridCol w:w="2081"/>
        <w:gridCol w:w="1703"/>
        <w:gridCol w:w="1490"/>
        <w:gridCol w:w="2337"/>
      </w:tblGrid>
      <w:tr w:rsidR="00017894" w:rsidRPr="00F4534F" w14:paraId="38357264" w14:textId="77777777" w:rsidTr="004B677D">
        <w:tc>
          <w:tcPr>
            <w:tcW w:w="0" w:type="auto"/>
            <w:hideMark/>
          </w:tcPr>
          <w:p w14:paraId="1478E83F"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Stakeholder</w:t>
            </w:r>
          </w:p>
        </w:tc>
        <w:tc>
          <w:tcPr>
            <w:tcW w:w="0" w:type="auto"/>
            <w:hideMark/>
          </w:tcPr>
          <w:p w14:paraId="7D7262FE"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purpose Objective</w:t>
            </w:r>
          </w:p>
        </w:tc>
        <w:tc>
          <w:tcPr>
            <w:tcW w:w="0" w:type="auto"/>
            <w:hideMark/>
          </w:tcPr>
          <w:p w14:paraId="284CADA0"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Method / Medium</w:t>
            </w:r>
          </w:p>
        </w:tc>
        <w:tc>
          <w:tcPr>
            <w:tcW w:w="0" w:type="auto"/>
            <w:hideMark/>
          </w:tcPr>
          <w:p w14:paraId="20AD96A3"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Frequency / Timing</w:t>
            </w:r>
          </w:p>
        </w:tc>
        <w:tc>
          <w:tcPr>
            <w:tcW w:w="0" w:type="auto"/>
            <w:hideMark/>
          </w:tcPr>
          <w:p w14:paraId="3E78B7F1"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Justification</w:t>
            </w:r>
          </w:p>
        </w:tc>
      </w:tr>
      <w:tr w:rsidR="00017894" w:rsidRPr="00F4534F" w14:paraId="373CC437" w14:textId="77777777" w:rsidTr="004B677D">
        <w:tc>
          <w:tcPr>
            <w:tcW w:w="0" w:type="auto"/>
            <w:hideMark/>
          </w:tcPr>
          <w:p w14:paraId="757237FF"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Local Residents</w:t>
            </w:r>
          </w:p>
        </w:tc>
        <w:tc>
          <w:tcPr>
            <w:tcW w:w="0" w:type="auto"/>
            <w:hideMark/>
          </w:tcPr>
          <w:p w14:paraId="39DB3164"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Project progress and facilities also tell them about what is going on</w:t>
            </w:r>
          </w:p>
        </w:tc>
        <w:tc>
          <w:tcPr>
            <w:tcW w:w="0" w:type="auto"/>
            <w:hideMark/>
          </w:tcPr>
          <w:p w14:paraId="290297A1"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newsletters, community noticeboards, emails</w:t>
            </w:r>
          </w:p>
        </w:tc>
        <w:tc>
          <w:tcPr>
            <w:tcW w:w="0" w:type="auto"/>
            <w:hideMark/>
          </w:tcPr>
          <w:p w14:paraId="637FCE35"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Monthly / project milestones</w:t>
            </w:r>
          </w:p>
        </w:tc>
        <w:tc>
          <w:tcPr>
            <w:tcW w:w="0" w:type="auto"/>
            <w:hideMark/>
          </w:tcPr>
          <w:p w14:paraId="3916B579"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High interest/medium power, means it is known and used (Nam &amp; Dempsey, 2019)</w:t>
            </w:r>
          </w:p>
        </w:tc>
      </w:tr>
      <w:tr w:rsidR="00017894" w:rsidRPr="00F4534F" w14:paraId="29298776" w14:textId="77777777" w:rsidTr="004B677D">
        <w:tc>
          <w:tcPr>
            <w:tcW w:w="0" w:type="auto"/>
            <w:hideMark/>
          </w:tcPr>
          <w:p w14:paraId="314042FB"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London Borough Council</w:t>
            </w:r>
          </w:p>
        </w:tc>
        <w:tc>
          <w:tcPr>
            <w:tcW w:w="0" w:type="auto"/>
            <w:hideMark/>
          </w:tcPr>
          <w:p w14:paraId="0956583A"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Facilitate approvals, policy guidance</w:t>
            </w:r>
          </w:p>
        </w:tc>
        <w:tc>
          <w:tcPr>
            <w:tcW w:w="0" w:type="auto"/>
            <w:hideMark/>
          </w:tcPr>
          <w:p w14:paraId="50834FA8"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Formal meetings, reports, email</w:t>
            </w:r>
          </w:p>
        </w:tc>
        <w:tc>
          <w:tcPr>
            <w:tcW w:w="0" w:type="auto"/>
            <w:hideMark/>
          </w:tcPr>
          <w:p w14:paraId="5893CEC6"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Monthly / milestone based</w:t>
            </w:r>
          </w:p>
        </w:tc>
        <w:tc>
          <w:tcPr>
            <w:tcW w:w="0" w:type="auto"/>
            <w:hideMark/>
          </w:tcPr>
          <w:p w14:paraId="39706D9A"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High power and interest; necessary to governance (</w:t>
            </w:r>
            <w:proofErr w:type="spellStart"/>
            <w:r w:rsidRPr="00F4534F">
              <w:rPr>
                <w:rFonts w:ascii="Times New Roman" w:eastAsia="Times New Roman" w:hAnsi="Times New Roman" w:cs="Times New Roman"/>
                <w:szCs w:val="24"/>
              </w:rPr>
              <w:t>Arnstein</w:t>
            </w:r>
            <w:proofErr w:type="spellEnd"/>
            <w:r w:rsidRPr="00F4534F">
              <w:rPr>
                <w:rFonts w:ascii="Times New Roman" w:eastAsia="Times New Roman" w:hAnsi="Times New Roman" w:cs="Times New Roman"/>
                <w:szCs w:val="24"/>
              </w:rPr>
              <w:t>, 1969)</w:t>
            </w:r>
          </w:p>
        </w:tc>
      </w:tr>
      <w:tr w:rsidR="00017894" w:rsidRPr="00F4534F" w14:paraId="748C4343" w14:textId="77777777" w:rsidTr="004B677D">
        <w:tc>
          <w:tcPr>
            <w:tcW w:w="0" w:type="auto"/>
            <w:hideMark/>
          </w:tcPr>
          <w:p w14:paraId="393E7D87"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 xml:space="preserve">Environmental </w:t>
            </w:r>
            <w:proofErr w:type="spellStart"/>
            <w:r w:rsidRPr="00F4534F">
              <w:rPr>
                <w:rFonts w:ascii="Times New Roman" w:eastAsia="Times New Roman" w:hAnsi="Times New Roman" w:cs="Times New Roman"/>
                <w:szCs w:val="24"/>
              </w:rPr>
              <w:t>Organisations</w:t>
            </w:r>
            <w:proofErr w:type="spellEnd"/>
          </w:p>
        </w:tc>
        <w:tc>
          <w:tcPr>
            <w:tcW w:w="0" w:type="auto"/>
            <w:hideMark/>
          </w:tcPr>
          <w:p w14:paraId="2D627EB5"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Post ecological and sustainability-related news</w:t>
            </w:r>
          </w:p>
        </w:tc>
        <w:tc>
          <w:tcPr>
            <w:tcW w:w="0" w:type="auto"/>
            <w:hideMark/>
          </w:tcPr>
          <w:p w14:paraId="36A3B75A"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Workshops, advisory emails, newsletters</w:t>
            </w:r>
          </w:p>
        </w:tc>
        <w:tc>
          <w:tcPr>
            <w:tcW w:w="0" w:type="auto"/>
            <w:hideMark/>
          </w:tcPr>
          <w:p w14:paraId="41BDCA1E"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Quarterly / project milestones</w:t>
            </w:r>
          </w:p>
        </w:tc>
        <w:tc>
          <w:tcPr>
            <w:tcW w:w="0" w:type="auto"/>
            <w:hideMark/>
          </w:tcPr>
          <w:p w14:paraId="28FFB33F"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Medium power and interest; make sure that environmental standards are achieved (</w:t>
            </w:r>
            <w:proofErr w:type="spellStart"/>
            <w:r w:rsidRPr="00F4534F">
              <w:rPr>
                <w:rFonts w:ascii="Times New Roman" w:eastAsia="Times New Roman" w:hAnsi="Times New Roman" w:cs="Times New Roman"/>
                <w:szCs w:val="24"/>
              </w:rPr>
              <w:t>Epting</w:t>
            </w:r>
            <w:proofErr w:type="spellEnd"/>
            <w:r w:rsidRPr="00F4534F">
              <w:rPr>
                <w:rFonts w:ascii="Times New Roman" w:eastAsia="Times New Roman" w:hAnsi="Times New Roman" w:cs="Times New Roman"/>
                <w:szCs w:val="24"/>
              </w:rPr>
              <w:t>, 2023)</w:t>
            </w:r>
          </w:p>
        </w:tc>
      </w:tr>
      <w:tr w:rsidR="00017894" w:rsidRPr="00F4534F" w14:paraId="798C1CF7" w14:textId="77777777" w:rsidTr="004B677D">
        <w:tc>
          <w:tcPr>
            <w:tcW w:w="0" w:type="auto"/>
            <w:hideMark/>
          </w:tcPr>
          <w:p w14:paraId="43FD5734"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Local Businesses</w:t>
            </w:r>
          </w:p>
        </w:tc>
        <w:tc>
          <w:tcPr>
            <w:tcW w:w="0" w:type="auto"/>
            <w:hideMark/>
          </w:tcPr>
          <w:p w14:paraId="69073516"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Share the effects of operations</w:t>
            </w:r>
          </w:p>
        </w:tc>
        <w:tc>
          <w:tcPr>
            <w:tcW w:w="0" w:type="auto"/>
            <w:hideMark/>
          </w:tcPr>
          <w:p w14:paraId="548C8CF8"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Operations briefing, newsletter, emails</w:t>
            </w:r>
          </w:p>
        </w:tc>
        <w:tc>
          <w:tcPr>
            <w:tcW w:w="0" w:type="auto"/>
            <w:hideMark/>
          </w:tcPr>
          <w:p w14:paraId="2F08E93A"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quarterly / milestone updates</w:t>
            </w:r>
          </w:p>
        </w:tc>
        <w:tc>
          <w:tcPr>
            <w:tcW w:w="0" w:type="auto"/>
            <w:hideMark/>
          </w:tcPr>
          <w:p w14:paraId="03E81577"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Medium influence; low power, sustain cooperation (Toronto Public Space Initiative, 2026)</w:t>
            </w:r>
          </w:p>
        </w:tc>
      </w:tr>
      <w:tr w:rsidR="00017894" w:rsidRPr="00F4534F" w14:paraId="17A790AB" w14:textId="77777777" w:rsidTr="004B677D">
        <w:tc>
          <w:tcPr>
            <w:tcW w:w="0" w:type="auto"/>
            <w:hideMark/>
          </w:tcPr>
          <w:p w14:paraId="0F402C6A"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lastRenderedPageBreak/>
              <w:t>Park Management Authorities</w:t>
            </w:r>
          </w:p>
        </w:tc>
        <w:tc>
          <w:tcPr>
            <w:tcW w:w="0" w:type="auto"/>
            <w:hideMark/>
          </w:tcPr>
          <w:p w14:paraId="2BF49B93"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The process of coordinating the management and policy implementation</w:t>
            </w:r>
          </w:p>
        </w:tc>
        <w:tc>
          <w:tcPr>
            <w:tcW w:w="0" w:type="auto"/>
            <w:hideMark/>
          </w:tcPr>
          <w:p w14:paraId="620131AA"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Meetings, operational reports, emails</w:t>
            </w:r>
          </w:p>
        </w:tc>
        <w:tc>
          <w:tcPr>
            <w:tcW w:w="0" w:type="auto"/>
            <w:hideMark/>
          </w:tcPr>
          <w:p w14:paraId="62DB29BC"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Monthly / project milestones</w:t>
            </w:r>
          </w:p>
        </w:tc>
        <w:tc>
          <w:tcPr>
            <w:tcW w:w="0" w:type="auto"/>
            <w:hideMark/>
          </w:tcPr>
          <w:p w14:paraId="0CDD0F7B"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 xml:space="preserve">High power and interest; ensure policies are implemented effectively (McKay and </w:t>
            </w:r>
            <w:proofErr w:type="spellStart"/>
            <w:r w:rsidRPr="00F4534F">
              <w:rPr>
                <w:rFonts w:ascii="Times New Roman" w:eastAsia="Times New Roman" w:hAnsi="Times New Roman" w:cs="Times New Roman"/>
                <w:szCs w:val="24"/>
              </w:rPr>
              <w:t>Tantoh</w:t>
            </w:r>
            <w:proofErr w:type="spellEnd"/>
            <w:r w:rsidRPr="00F4534F">
              <w:rPr>
                <w:rFonts w:ascii="Times New Roman" w:eastAsia="Times New Roman" w:hAnsi="Times New Roman" w:cs="Times New Roman"/>
                <w:szCs w:val="24"/>
              </w:rPr>
              <w:t>, 2021)</w:t>
            </w:r>
          </w:p>
        </w:tc>
      </w:tr>
      <w:tr w:rsidR="00017894" w:rsidRPr="00F4534F" w14:paraId="75D1DFFB" w14:textId="77777777" w:rsidTr="004B677D">
        <w:tc>
          <w:tcPr>
            <w:tcW w:w="0" w:type="auto"/>
            <w:hideMark/>
          </w:tcPr>
          <w:p w14:paraId="12659F54"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Recreational User Groups</w:t>
            </w:r>
          </w:p>
        </w:tc>
        <w:tc>
          <w:tcPr>
            <w:tcW w:w="0" w:type="auto"/>
            <w:hideMark/>
          </w:tcPr>
          <w:p w14:paraId="5F9E1DA0"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Inform about facilities and events</w:t>
            </w:r>
          </w:p>
        </w:tc>
        <w:tc>
          <w:tcPr>
            <w:tcW w:w="0" w:type="auto"/>
            <w:hideMark/>
          </w:tcPr>
          <w:p w14:paraId="4FE3613C"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Social media, emails, workshops</w:t>
            </w:r>
          </w:p>
        </w:tc>
        <w:tc>
          <w:tcPr>
            <w:tcW w:w="0" w:type="auto"/>
            <w:hideMark/>
          </w:tcPr>
          <w:p w14:paraId="61161A07"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Monthly / seasonal events and activities</w:t>
            </w:r>
          </w:p>
        </w:tc>
        <w:tc>
          <w:tcPr>
            <w:tcW w:w="0" w:type="auto"/>
            <w:hideMark/>
          </w:tcPr>
          <w:p w14:paraId="27F17994"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high interest; low power; keep users satisfied (City Parks Forum / American Planning Association, 2026)</w:t>
            </w:r>
          </w:p>
        </w:tc>
      </w:tr>
    </w:tbl>
    <w:p w14:paraId="0F8A8963" w14:textId="77777777" w:rsidR="00017894" w:rsidRPr="00F4534F" w:rsidRDefault="00017894" w:rsidP="00017894"/>
    <w:p w14:paraId="470A109D" w14:textId="50C54F57" w:rsidR="00E77E3B" w:rsidRDefault="00017894" w:rsidP="00017894">
      <w:r w:rsidRPr="00F4534F">
        <w:t xml:space="preserve">The communication strategy uses a multi-channel strategy, which includes both traditional and digital channels. The stakeholders who are high-power and high-interest like the London Borough Council and Park Management Authorities demand formal reports and structured meetings to help in decision-making and operational oversight. The newsletters, community boards, and social media inform residents and recreational user groups about everything that is happening on the ground and allow them to participate in decisions (McKay and </w:t>
      </w:r>
      <w:proofErr w:type="spellStart"/>
      <w:r w:rsidRPr="00F4534F">
        <w:t>Tantoh</w:t>
      </w:r>
      <w:proofErr w:type="spellEnd"/>
      <w:r w:rsidRPr="00F4534F">
        <w:t xml:space="preserve">, 2021). </w:t>
      </w:r>
      <w:proofErr w:type="spellStart"/>
      <w:r w:rsidRPr="00F4534F">
        <w:t>Organisations</w:t>
      </w:r>
      <w:proofErr w:type="spellEnd"/>
      <w:r w:rsidRPr="00F4534F">
        <w:t xml:space="preserve"> that sustain environmental goals are updated and provided with workshops (</w:t>
      </w:r>
      <w:proofErr w:type="spellStart"/>
      <w:r w:rsidRPr="00F4534F">
        <w:t>Epting</w:t>
      </w:r>
      <w:proofErr w:type="spellEnd"/>
      <w:r w:rsidRPr="00F4534F">
        <w:t>, 2023). Potential disruptions in the operations of the local businesses are informed about to ensure that they are supported to reduce conflict (Toronto Public Space Initiative, 2026).</w:t>
      </w:r>
    </w:p>
    <w:p w14:paraId="7CBC7DA9" w14:textId="6622B75A" w:rsidR="00811394" w:rsidRDefault="00811394" w:rsidP="00811394">
      <w:pPr>
        <w:pStyle w:val="Heading2"/>
        <w:rPr>
          <w:rFonts w:eastAsia="Times New Roman"/>
        </w:rPr>
      </w:pPr>
      <w:bookmarkStart w:id="5" w:name="_Toc224294126"/>
      <w:r w:rsidRPr="00AA3AB4">
        <w:rPr>
          <w:rFonts w:eastAsia="Times New Roman"/>
        </w:rPr>
        <w:t>2.4 Consultation Strategy</w:t>
      </w:r>
      <w:bookmarkEnd w:id="5"/>
    </w:p>
    <w:p w14:paraId="16135759" w14:textId="77777777" w:rsidR="00017894" w:rsidRPr="00F4534F" w:rsidRDefault="00017894" w:rsidP="00017894">
      <w:r w:rsidRPr="00F4534F">
        <w:t>With the consultation strategy, there is an active involvement of the stakeholders and the design, operations and programming of the park are designed to represent the priorities of the community, sustainability issues and the needs of operations (</w:t>
      </w:r>
      <w:proofErr w:type="spellStart"/>
      <w:r w:rsidRPr="00F4534F">
        <w:t>Arnstein</w:t>
      </w:r>
      <w:proofErr w:type="spellEnd"/>
      <w:r w:rsidRPr="00F4534F">
        <w:t>, 1969). The stakeholders are involved as per their influence and interest through the means that are suitable to them.</w:t>
      </w:r>
    </w:p>
    <w:tbl>
      <w:tblPr>
        <w:tblStyle w:val="TableGrid"/>
        <w:tblW w:w="0" w:type="auto"/>
        <w:tblLook w:val="04A0" w:firstRow="1" w:lastRow="0" w:firstColumn="1" w:lastColumn="0" w:noHBand="0" w:noVBand="1"/>
      </w:tblPr>
      <w:tblGrid>
        <w:gridCol w:w="1774"/>
        <w:gridCol w:w="1939"/>
        <w:gridCol w:w="1693"/>
        <w:gridCol w:w="1549"/>
        <w:gridCol w:w="2395"/>
      </w:tblGrid>
      <w:tr w:rsidR="00017894" w:rsidRPr="00F4534F" w14:paraId="2F634226" w14:textId="77777777" w:rsidTr="004B677D">
        <w:tc>
          <w:tcPr>
            <w:tcW w:w="0" w:type="auto"/>
            <w:hideMark/>
          </w:tcPr>
          <w:p w14:paraId="7F0AABC6"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Stakeholder</w:t>
            </w:r>
          </w:p>
        </w:tc>
        <w:tc>
          <w:tcPr>
            <w:tcW w:w="0" w:type="auto"/>
            <w:hideMark/>
          </w:tcPr>
          <w:p w14:paraId="576CBED8"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Goal / purpose</w:t>
            </w:r>
          </w:p>
        </w:tc>
        <w:tc>
          <w:tcPr>
            <w:tcW w:w="0" w:type="auto"/>
            <w:hideMark/>
          </w:tcPr>
          <w:p w14:paraId="01E23E50"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Procedure / initiative</w:t>
            </w:r>
          </w:p>
        </w:tc>
        <w:tc>
          <w:tcPr>
            <w:tcW w:w="0" w:type="auto"/>
            <w:hideMark/>
          </w:tcPr>
          <w:p w14:paraId="5F7D2E5F"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When / How often</w:t>
            </w:r>
          </w:p>
        </w:tc>
        <w:tc>
          <w:tcPr>
            <w:tcW w:w="0" w:type="auto"/>
            <w:hideMark/>
          </w:tcPr>
          <w:p w14:paraId="6068CBE7" w14:textId="77777777" w:rsidR="00017894" w:rsidRPr="00F4534F" w:rsidRDefault="00017894" w:rsidP="004B677D">
            <w:pPr>
              <w:spacing w:line="240" w:lineRule="auto"/>
              <w:jc w:val="center"/>
              <w:rPr>
                <w:rFonts w:ascii="Times New Roman" w:eastAsia="Times New Roman" w:hAnsi="Times New Roman" w:cs="Times New Roman"/>
                <w:b/>
                <w:bCs/>
                <w:szCs w:val="24"/>
              </w:rPr>
            </w:pPr>
            <w:r w:rsidRPr="00F4534F">
              <w:rPr>
                <w:rFonts w:ascii="Times New Roman" w:eastAsia="Times New Roman" w:hAnsi="Times New Roman" w:cs="Times New Roman"/>
                <w:b/>
                <w:bCs/>
                <w:szCs w:val="24"/>
              </w:rPr>
              <w:t>Reason.</w:t>
            </w:r>
          </w:p>
        </w:tc>
      </w:tr>
      <w:tr w:rsidR="00017894" w:rsidRPr="00F4534F" w14:paraId="081FF88B" w14:textId="77777777" w:rsidTr="004B677D">
        <w:tc>
          <w:tcPr>
            <w:tcW w:w="0" w:type="auto"/>
            <w:hideMark/>
          </w:tcPr>
          <w:p w14:paraId="0DED6E7F"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Local Residents</w:t>
            </w:r>
          </w:p>
        </w:tc>
        <w:tc>
          <w:tcPr>
            <w:tcW w:w="0" w:type="auto"/>
            <w:hideMark/>
          </w:tcPr>
          <w:p w14:paraId="68B4A493"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Take feedback regarding design, safety, and comforts</w:t>
            </w:r>
          </w:p>
        </w:tc>
        <w:tc>
          <w:tcPr>
            <w:tcW w:w="0" w:type="auto"/>
            <w:hideMark/>
          </w:tcPr>
          <w:p w14:paraId="751A7C35"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Surveys, focus groups, open workshops</w:t>
            </w:r>
          </w:p>
        </w:tc>
        <w:tc>
          <w:tcPr>
            <w:tcW w:w="0" w:type="auto"/>
            <w:hideMark/>
          </w:tcPr>
          <w:p w14:paraId="141BF12C"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Preliminary planning and quarterly</w:t>
            </w:r>
          </w:p>
        </w:tc>
        <w:tc>
          <w:tcPr>
            <w:tcW w:w="0" w:type="auto"/>
            <w:hideMark/>
          </w:tcPr>
          <w:p w14:paraId="0EFFD877"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 xml:space="preserve">High interest; medium power; makes sure that needs of community are taken into account </w:t>
            </w:r>
            <w:r w:rsidRPr="00F4534F">
              <w:rPr>
                <w:rFonts w:ascii="Times New Roman" w:eastAsia="Times New Roman" w:hAnsi="Times New Roman" w:cs="Times New Roman"/>
                <w:szCs w:val="24"/>
              </w:rPr>
              <w:lastRenderedPageBreak/>
              <w:t>(Nam and Dempsey, 2019).</w:t>
            </w:r>
          </w:p>
        </w:tc>
      </w:tr>
      <w:tr w:rsidR="00017894" w:rsidRPr="00F4534F" w14:paraId="17FFC2FB" w14:textId="77777777" w:rsidTr="004B677D">
        <w:tc>
          <w:tcPr>
            <w:tcW w:w="0" w:type="auto"/>
            <w:hideMark/>
          </w:tcPr>
          <w:p w14:paraId="4D8E9F86"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lastRenderedPageBreak/>
              <w:t>London Borough Council</w:t>
            </w:r>
          </w:p>
        </w:tc>
        <w:tc>
          <w:tcPr>
            <w:tcW w:w="0" w:type="auto"/>
            <w:hideMark/>
          </w:tcPr>
          <w:p w14:paraId="738AA5E7"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Budgets, policies and compliance approval</w:t>
            </w:r>
          </w:p>
        </w:tc>
        <w:tc>
          <w:tcPr>
            <w:tcW w:w="0" w:type="auto"/>
            <w:hideMark/>
          </w:tcPr>
          <w:p w14:paraId="290B8109"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Strategic workshops, formal meetings</w:t>
            </w:r>
          </w:p>
        </w:tc>
        <w:tc>
          <w:tcPr>
            <w:tcW w:w="0" w:type="auto"/>
            <w:hideMark/>
          </w:tcPr>
          <w:p w14:paraId="39620253"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Monthly / project milestones</w:t>
            </w:r>
          </w:p>
        </w:tc>
        <w:tc>
          <w:tcPr>
            <w:tcW w:w="0" w:type="auto"/>
            <w:hideMark/>
          </w:tcPr>
          <w:p w14:paraId="7FFFEBA3"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high power and interest required (</w:t>
            </w:r>
            <w:proofErr w:type="spellStart"/>
            <w:r w:rsidRPr="00F4534F">
              <w:rPr>
                <w:rFonts w:ascii="Times New Roman" w:eastAsia="Times New Roman" w:hAnsi="Times New Roman" w:cs="Times New Roman"/>
                <w:szCs w:val="24"/>
              </w:rPr>
              <w:t>Arnstein</w:t>
            </w:r>
            <w:proofErr w:type="spellEnd"/>
            <w:r w:rsidRPr="00F4534F">
              <w:rPr>
                <w:rFonts w:ascii="Times New Roman" w:eastAsia="Times New Roman" w:hAnsi="Times New Roman" w:cs="Times New Roman"/>
                <w:szCs w:val="24"/>
              </w:rPr>
              <w:t>, 1969)</w:t>
            </w:r>
          </w:p>
        </w:tc>
      </w:tr>
      <w:tr w:rsidR="00017894" w:rsidRPr="00F4534F" w14:paraId="05B15DE3" w14:textId="77777777" w:rsidTr="004B677D">
        <w:tc>
          <w:tcPr>
            <w:tcW w:w="0" w:type="auto"/>
            <w:hideMark/>
          </w:tcPr>
          <w:p w14:paraId="49E7C6EA"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 xml:space="preserve">Environmental </w:t>
            </w:r>
            <w:proofErr w:type="spellStart"/>
            <w:r w:rsidRPr="00F4534F">
              <w:rPr>
                <w:rFonts w:ascii="Times New Roman" w:eastAsia="Times New Roman" w:hAnsi="Times New Roman" w:cs="Times New Roman"/>
                <w:szCs w:val="24"/>
              </w:rPr>
              <w:t>Organisations</w:t>
            </w:r>
            <w:proofErr w:type="spellEnd"/>
          </w:p>
        </w:tc>
        <w:tc>
          <w:tcPr>
            <w:tcW w:w="0" w:type="auto"/>
            <w:hideMark/>
          </w:tcPr>
          <w:p w14:paraId="5BC6CD88"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Combine environmental concerns</w:t>
            </w:r>
          </w:p>
        </w:tc>
        <w:tc>
          <w:tcPr>
            <w:tcW w:w="0" w:type="auto"/>
            <w:hideMark/>
          </w:tcPr>
          <w:p w14:paraId="74C7C207"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Advisory meetings, participatory research</w:t>
            </w:r>
          </w:p>
        </w:tc>
        <w:tc>
          <w:tcPr>
            <w:tcW w:w="0" w:type="auto"/>
            <w:hideMark/>
          </w:tcPr>
          <w:p w14:paraId="2E6B8EC4"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Planning &amp; milestone reviews</w:t>
            </w:r>
          </w:p>
        </w:tc>
        <w:tc>
          <w:tcPr>
            <w:tcW w:w="0" w:type="auto"/>
            <w:hideMark/>
          </w:tcPr>
          <w:p w14:paraId="6F50B15E"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Medium power and interest; sustainability input (</w:t>
            </w:r>
            <w:proofErr w:type="spellStart"/>
            <w:r w:rsidRPr="00F4534F">
              <w:rPr>
                <w:rFonts w:ascii="Times New Roman" w:eastAsia="Times New Roman" w:hAnsi="Times New Roman" w:cs="Times New Roman"/>
                <w:szCs w:val="24"/>
              </w:rPr>
              <w:t>Epting</w:t>
            </w:r>
            <w:proofErr w:type="spellEnd"/>
            <w:r w:rsidRPr="00F4534F">
              <w:rPr>
                <w:rFonts w:ascii="Times New Roman" w:eastAsia="Times New Roman" w:hAnsi="Times New Roman" w:cs="Times New Roman"/>
                <w:szCs w:val="24"/>
              </w:rPr>
              <w:t>, 2023)</w:t>
            </w:r>
          </w:p>
        </w:tc>
      </w:tr>
      <w:tr w:rsidR="00017894" w:rsidRPr="00F4534F" w14:paraId="47BB14D4" w14:textId="77777777" w:rsidTr="004B677D">
        <w:tc>
          <w:tcPr>
            <w:tcW w:w="0" w:type="auto"/>
            <w:hideMark/>
          </w:tcPr>
          <w:p w14:paraId="006B6EF6"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Local Businesses</w:t>
            </w:r>
          </w:p>
        </w:tc>
        <w:tc>
          <w:tcPr>
            <w:tcW w:w="0" w:type="auto"/>
            <w:hideMark/>
          </w:tcPr>
          <w:p w14:paraId="348C8E43"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Reduced operational effects</w:t>
            </w:r>
          </w:p>
        </w:tc>
        <w:tc>
          <w:tcPr>
            <w:tcW w:w="0" w:type="auto"/>
            <w:hideMark/>
          </w:tcPr>
          <w:p w14:paraId="0F3A7158"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Briefing sessions, feedback forms, etc.</w:t>
            </w:r>
          </w:p>
        </w:tc>
        <w:tc>
          <w:tcPr>
            <w:tcW w:w="0" w:type="auto"/>
            <w:hideMark/>
          </w:tcPr>
          <w:p w14:paraId="501AE325"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Medium influence</w:t>
            </w:r>
          </w:p>
        </w:tc>
        <w:tc>
          <w:tcPr>
            <w:tcW w:w="0" w:type="auto"/>
            <w:hideMark/>
          </w:tcPr>
          <w:p w14:paraId="3288DE0B"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low power; upholding support (Toronto Public Space Initiative, 2026)</w:t>
            </w:r>
          </w:p>
        </w:tc>
      </w:tr>
      <w:tr w:rsidR="00017894" w:rsidRPr="00F4534F" w14:paraId="3D7E4161" w14:textId="77777777" w:rsidTr="004B677D">
        <w:tc>
          <w:tcPr>
            <w:tcW w:w="0" w:type="auto"/>
            <w:hideMark/>
          </w:tcPr>
          <w:p w14:paraId="6F1AD1C5"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Park Management Authorities</w:t>
            </w:r>
          </w:p>
        </w:tc>
        <w:tc>
          <w:tcPr>
            <w:tcW w:w="0" w:type="auto"/>
            <w:hideMark/>
          </w:tcPr>
          <w:p w14:paraId="72EE5AB7"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Operational management coordination</w:t>
            </w:r>
          </w:p>
        </w:tc>
        <w:tc>
          <w:tcPr>
            <w:tcW w:w="0" w:type="auto"/>
            <w:hideMark/>
          </w:tcPr>
          <w:p w14:paraId="3D1B0AE7"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Workshops, operating briefs</w:t>
            </w:r>
          </w:p>
        </w:tc>
        <w:tc>
          <w:tcPr>
            <w:tcW w:w="0" w:type="auto"/>
            <w:hideMark/>
          </w:tcPr>
          <w:p w14:paraId="517E1376"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Monthly / project milestones</w:t>
            </w:r>
          </w:p>
        </w:tc>
        <w:tc>
          <w:tcPr>
            <w:tcW w:w="0" w:type="auto"/>
            <w:hideMark/>
          </w:tcPr>
          <w:p w14:paraId="6CBD8402"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 xml:space="preserve">High power and interest; effective management is ensured (McKay and </w:t>
            </w:r>
            <w:proofErr w:type="spellStart"/>
            <w:r w:rsidRPr="00F4534F">
              <w:rPr>
                <w:rFonts w:ascii="Times New Roman" w:eastAsia="Times New Roman" w:hAnsi="Times New Roman" w:cs="Times New Roman"/>
                <w:szCs w:val="24"/>
              </w:rPr>
              <w:t>Tantoh</w:t>
            </w:r>
            <w:proofErr w:type="spellEnd"/>
            <w:r w:rsidRPr="00F4534F">
              <w:rPr>
                <w:rFonts w:ascii="Times New Roman" w:eastAsia="Times New Roman" w:hAnsi="Times New Roman" w:cs="Times New Roman"/>
                <w:szCs w:val="24"/>
              </w:rPr>
              <w:t>, 2021)</w:t>
            </w:r>
          </w:p>
        </w:tc>
      </w:tr>
      <w:tr w:rsidR="00017894" w:rsidRPr="00F4534F" w14:paraId="52294F89" w14:textId="77777777" w:rsidTr="004B677D">
        <w:tc>
          <w:tcPr>
            <w:tcW w:w="0" w:type="auto"/>
            <w:hideMark/>
          </w:tcPr>
          <w:p w14:paraId="2F9EFB6F"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Recreational User Groups</w:t>
            </w:r>
          </w:p>
        </w:tc>
        <w:tc>
          <w:tcPr>
            <w:tcW w:w="0" w:type="auto"/>
            <w:hideMark/>
          </w:tcPr>
          <w:p w14:paraId="012098F6"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Meet recreational needs</w:t>
            </w:r>
          </w:p>
        </w:tc>
        <w:tc>
          <w:tcPr>
            <w:tcW w:w="0" w:type="auto"/>
            <w:hideMark/>
          </w:tcPr>
          <w:p w14:paraId="5A98BB5B"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Assure, focus groups, interactive, survey</w:t>
            </w:r>
          </w:p>
        </w:tc>
        <w:tc>
          <w:tcPr>
            <w:tcW w:w="0" w:type="auto"/>
            <w:hideMark/>
          </w:tcPr>
          <w:p w14:paraId="30586F6C"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throughout the project phases</w:t>
            </w:r>
          </w:p>
        </w:tc>
        <w:tc>
          <w:tcPr>
            <w:tcW w:w="0" w:type="auto"/>
            <w:hideMark/>
          </w:tcPr>
          <w:p w14:paraId="4BB74D9D" w14:textId="77777777" w:rsidR="00017894" w:rsidRPr="00F4534F" w:rsidRDefault="00017894" w:rsidP="004B677D">
            <w:pPr>
              <w:spacing w:line="240" w:lineRule="auto"/>
              <w:rPr>
                <w:rFonts w:ascii="Times New Roman" w:eastAsia="Times New Roman" w:hAnsi="Times New Roman" w:cs="Times New Roman"/>
                <w:szCs w:val="24"/>
              </w:rPr>
            </w:pPr>
            <w:r w:rsidRPr="00F4534F">
              <w:rPr>
                <w:rFonts w:ascii="Times New Roman" w:eastAsia="Times New Roman" w:hAnsi="Times New Roman" w:cs="Times New Roman"/>
                <w:szCs w:val="24"/>
              </w:rPr>
              <w:t>High interest; low power; user engagement (City Parks Forum / American Planning Association, 2026)</w:t>
            </w:r>
          </w:p>
        </w:tc>
      </w:tr>
    </w:tbl>
    <w:p w14:paraId="15DD09E6" w14:textId="77777777" w:rsidR="00017894" w:rsidRPr="00F4534F" w:rsidRDefault="00017894" w:rsidP="00017894"/>
    <w:p w14:paraId="5BD168D6" w14:textId="77777777" w:rsidR="00017894" w:rsidRPr="00F4534F" w:rsidRDefault="00017894" w:rsidP="00017894">
      <w:r w:rsidRPr="00F4534F">
        <w:t xml:space="preserve">The consultation approaches are participative, repeated, and moral and involve surveys, workshops, focus groups, and participatory research. Decisions regarding playgrounds, walking paths and seating as well as the safety of the surrounding are all contributed by the locals of the region, and recreational groups offer information about the usage patterns and the </w:t>
      </w:r>
      <w:proofErr w:type="spellStart"/>
      <w:r w:rsidRPr="00F4534F">
        <w:t>programme</w:t>
      </w:r>
      <w:proofErr w:type="spellEnd"/>
      <w:r w:rsidRPr="00F4534F">
        <w:t xml:space="preserve"> planning. Environmental </w:t>
      </w:r>
      <w:proofErr w:type="spellStart"/>
      <w:r w:rsidRPr="00F4534F">
        <w:t>organisations</w:t>
      </w:r>
      <w:proofErr w:type="spellEnd"/>
      <w:r w:rsidRPr="00F4534F">
        <w:t xml:space="preserve"> give advice on how to balance recreational and ecological goals by proposing biodiversity, sustainability, and habitat protection (He et al., 2025). Formal workshops and review meetings are held to approve budgets and operational strategies by high-power stakeholders such as the London Borough Council and Park Management Authorities (McKay &amp; </w:t>
      </w:r>
      <w:proofErr w:type="spellStart"/>
      <w:r w:rsidRPr="00F4534F">
        <w:t>Tantoh</w:t>
      </w:r>
      <w:proofErr w:type="spellEnd"/>
      <w:r w:rsidRPr="00F4534F">
        <w:t>, 2021).</w:t>
      </w:r>
    </w:p>
    <w:p w14:paraId="55F5CA19" w14:textId="231339CF" w:rsidR="00811394" w:rsidRPr="00811394" w:rsidRDefault="00017894" w:rsidP="00811394">
      <w:r w:rsidRPr="00F4534F">
        <w:t xml:space="preserve">The plan focuses on diversity, equity, and inclusion (DEI). The minority ethnic groups, the aged residents, and the young people will be accommodated through multilingual resources, convenient venues, and flexible times so that the representation is wide. Recurring consultations enable feedback to be incorporated at project checkpoints, which </w:t>
      </w:r>
      <w:r w:rsidRPr="00F4534F">
        <w:lastRenderedPageBreak/>
        <w:t>encourages accountability and ownership of the community (</w:t>
      </w:r>
      <w:proofErr w:type="spellStart"/>
      <w:r w:rsidRPr="00F4534F">
        <w:t>Epting</w:t>
      </w:r>
      <w:proofErr w:type="spellEnd"/>
      <w:r w:rsidRPr="00F4534F">
        <w:t>, 2023; Shin, Woo and Choi, 2022).</w:t>
      </w:r>
    </w:p>
    <w:p w14:paraId="662DAD4F" w14:textId="36047157" w:rsidR="00811394" w:rsidRDefault="00811394" w:rsidP="00811394">
      <w:pPr>
        <w:pStyle w:val="Heading1"/>
        <w:rPr>
          <w:rFonts w:eastAsia="Times New Roman"/>
        </w:rPr>
      </w:pPr>
      <w:bookmarkStart w:id="6" w:name="_Toc224294127"/>
      <w:r w:rsidRPr="00AA3AB4">
        <w:rPr>
          <w:rFonts w:eastAsia="Times New Roman"/>
        </w:rPr>
        <w:t>3. Ethical Considerations in Stakeholder Consultation, Participation, and Feedback</w:t>
      </w:r>
      <w:bookmarkEnd w:id="6"/>
    </w:p>
    <w:p w14:paraId="2229420D" w14:textId="77777777" w:rsidR="00017894" w:rsidRPr="00F4534F" w:rsidRDefault="00017894" w:rsidP="00017894">
      <w:r w:rsidRPr="00F4534F">
        <w:t xml:space="preserve">Stakeholder participation in urban development projects is based on ethical considerations, which make stakeholder participation transparent, fair, and inclusive. In the case of the community park in London there are ethical </w:t>
      </w:r>
      <w:proofErr w:type="spellStart"/>
      <w:r w:rsidRPr="00F4534F">
        <w:t>practises</w:t>
      </w:r>
      <w:proofErr w:type="spellEnd"/>
      <w:r w:rsidRPr="00F4534F">
        <w:t xml:space="preserve"> that govern the manner in which stakeholders are consulted, data is gathered and feedback </w:t>
      </w:r>
      <w:proofErr w:type="spellStart"/>
      <w:r w:rsidRPr="00F4534F">
        <w:t>utilised</w:t>
      </w:r>
      <w:proofErr w:type="spellEnd"/>
      <w:r w:rsidRPr="00F4534F">
        <w:t xml:space="preserve"> in project planning. The core values are respect of confidentiality, informed consent, and proper reporting. Stakeholders such as the local residents, environmental </w:t>
      </w:r>
      <w:proofErr w:type="spellStart"/>
      <w:r w:rsidRPr="00F4534F">
        <w:t>organisations</w:t>
      </w:r>
      <w:proofErr w:type="spellEnd"/>
      <w:r w:rsidRPr="00F4534F">
        <w:t>, youth groups as well as recreational user groups should know the rationale behind consultations and how they affect the decisions. Such values are used to contribute to trust, credibility, and legitimacy in the process of planning and implementation</w:t>
      </w:r>
      <w:r>
        <w:t>.</w:t>
      </w:r>
    </w:p>
    <w:p w14:paraId="23D7B1BC" w14:textId="77777777" w:rsidR="00017894" w:rsidRPr="00F4534F" w:rsidRDefault="00017894" w:rsidP="00017894">
      <w:r w:rsidRPr="00F4534F">
        <w:t>Equity, diversity, and inclusion (DEI) is a critical ethical factor. The project should provide equal opportunities to all groups of demographics to participate. Vulnerable groups like the elderly, disabled, minority ethnic groups and the youths should be given special consideration. In order to be inclusive, the consultation exercise must use:</w:t>
      </w:r>
    </w:p>
    <w:p w14:paraId="24CA37F0" w14:textId="77777777" w:rsidR="00017894" w:rsidRPr="00F4534F" w:rsidRDefault="00017894" w:rsidP="00017894">
      <w:pPr>
        <w:pStyle w:val="ListParagraph"/>
        <w:numPr>
          <w:ilvl w:val="0"/>
          <w:numId w:val="15"/>
        </w:numPr>
        <w:spacing w:line="259" w:lineRule="auto"/>
        <w:jc w:val="left"/>
      </w:pPr>
      <w:r w:rsidRPr="00F4534F">
        <w:t>Available meeting and work shop venues.</w:t>
      </w:r>
    </w:p>
    <w:p w14:paraId="7CD0C654" w14:textId="77777777" w:rsidR="00017894" w:rsidRPr="00F4534F" w:rsidRDefault="00017894" w:rsidP="00017894">
      <w:pPr>
        <w:pStyle w:val="ListParagraph"/>
        <w:numPr>
          <w:ilvl w:val="0"/>
          <w:numId w:val="15"/>
        </w:numPr>
        <w:spacing w:line="259" w:lineRule="auto"/>
        <w:jc w:val="left"/>
      </w:pPr>
      <w:r w:rsidRPr="00F4534F">
        <w:t>Different availability: flexible schedules.</w:t>
      </w:r>
    </w:p>
    <w:p w14:paraId="7055840A" w14:textId="77777777" w:rsidR="00017894" w:rsidRPr="00F4534F" w:rsidRDefault="00017894" w:rsidP="00017894">
      <w:pPr>
        <w:pStyle w:val="ListParagraph"/>
        <w:numPr>
          <w:ilvl w:val="0"/>
          <w:numId w:val="15"/>
        </w:numPr>
        <w:spacing w:line="259" w:lineRule="auto"/>
        <w:jc w:val="left"/>
      </w:pPr>
      <w:r w:rsidRPr="00F4534F">
        <w:t>Multilingual content and resources of non-native English learners.</w:t>
      </w:r>
    </w:p>
    <w:p w14:paraId="1BB779D5" w14:textId="77777777" w:rsidR="00017894" w:rsidRPr="00F4534F" w:rsidRDefault="00017894" w:rsidP="00017894">
      <w:pPr>
        <w:pStyle w:val="ListParagraph"/>
        <w:numPr>
          <w:ilvl w:val="0"/>
          <w:numId w:val="15"/>
        </w:numPr>
        <w:spacing w:line="259" w:lineRule="auto"/>
        <w:jc w:val="left"/>
      </w:pPr>
      <w:r w:rsidRPr="00F4534F">
        <w:t>Online communication channels to supplement face-to-face interactions.</w:t>
      </w:r>
    </w:p>
    <w:p w14:paraId="68C9A024" w14:textId="77777777" w:rsidR="00017894" w:rsidRPr="00F4534F" w:rsidRDefault="00017894" w:rsidP="00017894">
      <w:r w:rsidRPr="00F4534F">
        <w:t>These policies will guarantee that the participation is constructive and reflecting of the community and that the stakeholders can input with no limitations</w:t>
      </w:r>
      <w:r>
        <w:t>.</w:t>
      </w:r>
    </w:p>
    <w:p w14:paraId="1A117506" w14:textId="77777777" w:rsidR="00017894" w:rsidRPr="00F4534F" w:rsidRDefault="00017894" w:rsidP="00017894">
      <w:r w:rsidRPr="00F4534F">
        <w:t xml:space="preserve">Another critical ethical issue is prejudice. The consultation techniques such as surveys, focus groups and interviews should be well planned to eliminate the risk of leading questions, selective reporting and </w:t>
      </w:r>
      <w:proofErr w:type="spellStart"/>
      <w:r w:rsidRPr="00F4534F">
        <w:t>marginalising</w:t>
      </w:r>
      <w:proofErr w:type="spellEnd"/>
      <w:r w:rsidRPr="00F4534F">
        <w:t xml:space="preserve"> stakeholders that have more power. As an illustration, the influence of the London Borough Council and Park Management Authorities may be great; nevertheless, the role of the residents and environmental </w:t>
      </w:r>
      <w:proofErr w:type="spellStart"/>
      <w:r w:rsidRPr="00F4534F">
        <w:lastRenderedPageBreak/>
        <w:t>organisations</w:t>
      </w:r>
      <w:proofErr w:type="spellEnd"/>
      <w:r w:rsidRPr="00F4534F">
        <w:t xml:space="preserve"> should not be neglected. The feedback can and must be objectively </w:t>
      </w:r>
      <w:proofErr w:type="spellStart"/>
      <w:r w:rsidRPr="00F4534F">
        <w:t>analysed</w:t>
      </w:r>
      <w:proofErr w:type="spellEnd"/>
      <w:r w:rsidRPr="00F4534F">
        <w:t xml:space="preserve"> and balanced in making the decisions in order to be fair</w:t>
      </w:r>
      <w:r>
        <w:t>.</w:t>
      </w:r>
    </w:p>
    <w:p w14:paraId="2AC328E5" w14:textId="77777777" w:rsidR="00017894" w:rsidRPr="00F4534F" w:rsidRDefault="00017894" w:rsidP="00017894">
      <w:r w:rsidRPr="00F4534F">
        <w:t xml:space="preserve">The ethical consultation is based on transparency and accountability. The process of evaluation of </w:t>
      </w:r>
      <w:proofErr w:type="gramStart"/>
      <w:r w:rsidRPr="00F4534F">
        <w:t>stakeholders</w:t>
      </w:r>
      <w:proofErr w:type="gramEnd"/>
      <w:r w:rsidRPr="00F4534F">
        <w:t xml:space="preserve"> contributions and decisions should be informed to them. The presence of the feedback loops, the publication of the consultation summaries, and the documentation of the changes made due to the input of the stakeholders prove that the participation is appreciated and has a practical result. This is also enhanced by open communication about project limitations, timelines and constraints as this </w:t>
      </w:r>
      <w:proofErr w:type="gramStart"/>
      <w:r w:rsidRPr="00F4534F">
        <w:t>builds</w:t>
      </w:r>
      <w:proofErr w:type="gramEnd"/>
      <w:r w:rsidRPr="00F4534F">
        <w:t xml:space="preserve"> stakeholder confidence (Shin, Woo and Choi, 2022).</w:t>
      </w:r>
    </w:p>
    <w:p w14:paraId="1C049822" w14:textId="77777777" w:rsidR="00017894" w:rsidRPr="00F4534F" w:rsidRDefault="00017894" w:rsidP="00017894">
      <w:r w:rsidRPr="00F4534F">
        <w:t xml:space="preserve">Data protection and confidentiality are also aspects that have to be taken into account when engaging in ethical consultation. The data obtained about the person during surveys, focus groups, or even feedbacks have to be stored safely and </w:t>
      </w:r>
      <w:proofErr w:type="spellStart"/>
      <w:r w:rsidRPr="00F4534F">
        <w:t>utilised</w:t>
      </w:r>
      <w:proofErr w:type="spellEnd"/>
      <w:r w:rsidRPr="00F4534F">
        <w:t xml:space="preserve"> accordingly. There should be an assurance to the stakeholders that their responses will not be misrepresented or shared without their consent. Honesty and meaningful participation </w:t>
      </w:r>
      <w:proofErr w:type="gramStart"/>
      <w:r w:rsidRPr="00F4534F">
        <w:t>is</w:t>
      </w:r>
      <w:proofErr w:type="gramEnd"/>
      <w:r w:rsidRPr="00F4534F">
        <w:t xml:space="preserve"> promoted by communicating clearly what data will be used, as well as what consent procedures will occur (</w:t>
      </w:r>
      <w:proofErr w:type="spellStart"/>
      <w:r w:rsidRPr="00F4534F">
        <w:t>Nared</w:t>
      </w:r>
      <w:proofErr w:type="spellEnd"/>
      <w:r w:rsidRPr="00F4534F">
        <w:t xml:space="preserve"> and Bole, 2020).</w:t>
      </w:r>
    </w:p>
    <w:p w14:paraId="774D1A01" w14:textId="77777777" w:rsidR="00017894" w:rsidRPr="00F4534F" w:rsidRDefault="00017894" w:rsidP="00017894">
      <w:r w:rsidRPr="00F4534F">
        <w:t xml:space="preserve">Generally, the ethical standards used in the stakeholder engagement in the case of the London community park make consultations to be inclusive, open, and responsible. The project will be able to incorporate the community, environmental and operational perspectives in decision-making by addressing equity, </w:t>
      </w:r>
      <w:proofErr w:type="spellStart"/>
      <w:r w:rsidRPr="00F4534F">
        <w:t>minimising</w:t>
      </w:r>
      <w:proofErr w:type="spellEnd"/>
      <w:r w:rsidRPr="00F4534F">
        <w:t xml:space="preserve"> bias, safeguarding data, and offering feedback. Ethical involvement enhances the quality of planning as well as sustainability in the long run, community trust, and project legitimacy (</w:t>
      </w:r>
      <w:proofErr w:type="spellStart"/>
      <w:r w:rsidRPr="00F4534F">
        <w:t>Arnstein</w:t>
      </w:r>
      <w:proofErr w:type="spellEnd"/>
      <w:r w:rsidRPr="00F4534F">
        <w:t>, 1969</w:t>
      </w:r>
      <w:r>
        <w:t>).</w:t>
      </w:r>
    </w:p>
    <w:p w14:paraId="015EA5B7" w14:textId="5157100D" w:rsidR="00811394" w:rsidRDefault="00811394" w:rsidP="00811394">
      <w:pPr>
        <w:pStyle w:val="Heading1"/>
        <w:rPr>
          <w:rFonts w:eastAsia="Times New Roman"/>
        </w:rPr>
      </w:pPr>
      <w:bookmarkStart w:id="7" w:name="_Toc224294128"/>
      <w:r w:rsidRPr="00AA3AB4">
        <w:rPr>
          <w:rFonts w:eastAsia="Times New Roman"/>
        </w:rPr>
        <w:t>4. Conclusion and Reflection</w:t>
      </w:r>
      <w:bookmarkEnd w:id="7"/>
    </w:p>
    <w:p w14:paraId="1DD67E2C" w14:textId="77777777" w:rsidR="00B23EB6" w:rsidRDefault="00B23EB6" w:rsidP="00B23EB6">
      <w:r>
        <w:t xml:space="preserve">The construction of the London community park shows the critical nature of </w:t>
      </w:r>
      <w:proofErr w:type="spellStart"/>
      <w:r>
        <w:t>organised</w:t>
      </w:r>
      <w:proofErr w:type="spellEnd"/>
      <w:r>
        <w:t xml:space="preserve"> stakeholder involvement in the creation of sustainable and socially inclusive urban development. Identification, </w:t>
      </w:r>
      <w:proofErr w:type="spellStart"/>
      <w:r>
        <w:t>analysing</w:t>
      </w:r>
      <w:proofErr w:type="spellEnd"/>
      <w:r>
        <w:t xml:space="preserve"> and </w:t>
      </w:r>
      <w:proofErr w:type="spellStart"/>
      <w:r>
        <w:t>categorisation</w:t>
      </w:r>
      <w:proofErr w:type="spellEnd"/>
      <w:r>
        <w:t xml:space="preserve"> of stakeholders according to power, interest and influence helps to make sure that communication and consultation strategies are properly adjusted. Formal engagement was </w:t>
      </w:r>
      <w:proofErr w:type="spellStart"/>
      <w:r>
        <w:t>prioritised</w:t>
      </w:r>
      <w:proofErr w:type="spellEnd"/>
      <w:r>
        <w:t xml:space="preserve"> to high-power and high-interest stakeholders, i.e., the London Borough Council and the Park Management </w:t>
      </w:r>
      <w:r>
        <w:lastRenderedPageBreak/>
        <w:t xml:space="preserve">Authorities to obtain approvals, budgetary management and operational direction. On the contrary, high-interest, low-power communities such as local residents, recreational user groups, and youth </w:t>
      </w:r>
      <w:proofErr w:type="spellStart"/>
      <w:r>
        <w:t>organisations</w:t>
      </w:r>
      <w:proofErr w:type="spellEnd"/>
      <w:r>
        <w:t xml:space="preserve"> were consulted through surveys, workshops, and interactive consultations to make sure that the community priorities, recreational needs, and social equity were considered (</w:t>
      </w:r>
      <w:proofErr w:type="spellStart"/>
      <w:r>
        <w:t>Arnstein</w:t>
      </w:r>
      <w:proofErr w:type="spellEnd"/>
      <w:r>
        <w:t xml:space="preserve">, 1969; McKay and </w:t>
      </w:r>
      <w:proofErr w:type="spellStart"/>
      <w:r>
        <w:t>Tantoh</w:t>
      </w:r>
      <w:proofErr w:type="spellEnd"/>
      <w:r>
        <w:t>, 2021). The balance that can be achieved in this structured method enables the regulatory requirements, a possibility of operation and participation in the community, transparency and trust.</w:t>
      </w:r>
    </w:p>
    <w:p w14:paraId="48B31535" w14:textId="77777777" w:rsidR="00B23EB6" w:rsidRDefault="00B23EB6" w:rsidP="00B23EB6"/>
    <w:p w14:paraId="19416713" w14:textId="77777777" w:rsidR="00B23EB6" w:rsidRDefault="00B23EB6" w:rsidP="00B23EB6">
      <w:r>
        <w:t>The engagement process was based on ethical considerations. Diversity, equity, and inclusion (DEI) in the consultation ensured that all groups of the population could play a role, even the vulnerable groups, including the aged population, people with disabilities, minority ethnic groups, and youth. Informed consent, transparency, confidentiality, and objectivity were among the principles of ethical consultation that ensured that stakeholder contributions were not biassed or distorted and strengthened the credibility of the project (</w:t>
      </w:r>
      <w:proofErr w:type="spellStart"/>
      <w:r>
        <w:t>Epting</w:t>
      </w:r>
      <w:proofErr w:type="spellEnd"/>
      <w:r>
        <w:t xml:space="preserve">, 2023; </w:t>
      </w:r>
      <w:proofErr w:type="spellStart"/>
      <w:r>
        <w:t>Nared</w:t>
      </w:r>
      <w:proofErr w:type="spellEnd"/>
      <w:r>
        <w:t xml:space="preserve"> and Bole, 2020). The establishment of accountability, the increase in the level of trust, and the promotion of the validity of the park development were achieved through the incorporation of feedback of all stakeholder groups into the project planning.</w:t>
      </w:r>
    </w:p>
    <w:p w14:paraId="387A6D0B" w14:textId="77777777" w:rsidR="00B23EB6" w:rsidRDefault="00B23EB6" w:rsidP="00B23EB6">
      <w:r>
        <w:t>Going back on the process, I have acquired an in-depth knowledge about the practical implementation of the principles of stakeholder engagement. I also understood that stakeholder management is not a process formalism, but rather an essential process of ensuring the inclusion of decision-making and long-term sustainability. Developing the communication and consultation plans enabled me to value the difficulties of aligning various views and interests. Specifically, it was necessary to balance the influence of high-power stakeholders with the needs of lower-power groups of high interests to be approached with careful planning and ethical control. I noted that open and extensive participation does not only enhance the outcome of a project, but also enables community ownership, which will reduce possible conflict and enhance positive social outcomes (He et al., 2025).</w:t>
      </w:r>
    </w:p>
    <w:p w14:paraId="24289850" w14:textId="77777777" w:rsidR="00B23EB6" w:rsidRDefault="00B23EB6" w:rsidP="00B23EB6">
      <w:r>
        <w:lastRenderedPageBreak/>
        <w:t>Also, I have cultivated the sense of the necessity of iterative engagement. The constant consultation during the stages of the project and feedback analysis makes sure that the contributions made by stakeholders are appreciated and adopted, which makes the process of planning responsive and flexible. Past experiences of urban parks, including the Mofolo Park redevelopment and Sheffield district parks projects, helped reiterate the importance of integrating the structured engagement with the ethics to achieve maximum effectiveness.</w:t>
      </w:r>
    </w:p>
    <w:p w14:paraId="667DC222" w14:textId="4467F846" w:rsidR="00811394" w:rsidRDefault="00B23EB6" w:rsidP="00B23EB6">
      <w:r>
        <w:t>Conclusively, the community park project in London is a good example of how thorough stakeholder involvement, which is based on ethics, transparency, and inclusivity can lead to urban developments that are socially acceptable, environmentally sound and functional. On a personal level, the portfolio has enhanced my practical and reflective skills in stakeholder management so that I can appreciate the role of ensuring that competing interests, ethical responsibility and long-term sustainability are balanced. I now feel confident in using these principles in future projects understanding that meaningful engagement will change the planning process not into a procedural process but a dynamic process that will help the community as a whole.</w:t>
      </w:r>
    </w:p>
    <w:p w14:paraId="2C4DE503" w14:textId="035DBF82" w:rsidR="00811394" w:rsidRDefault="00811394" w:rsidP="00811394"/>
    <w:p w14:paraId="3E88A209" w14:textId="17050052" w:rsidR="00811394" w:rsidRDefault="00811394" w:rsidP="00811394"/>
    <w:p w14:paraId="35EA1518" w14:textId="7914B0A6" w:rsidR="00811394" w:rsidRDefault="00811394" w:rsidP="00811394"/>
    <w:p w14:paraId="29C9D4A1" w14:textId="571BED12" w:rsidR="00B23EB6" w:rsidRDefault="00B23EB6" w:rsidP="00811394"/>
    <w:p w14:paraId="6562BC9B" w14:textId="17EA63D2" w:rsidR="00B23EB6" w:rsidRDefault="00B23EB6" w:rsidP="00811394"/>
    <w:p w14:paraId="16043D24" w14:textId="3BAA5D5A" w:rsidR="00B23EB6" w:rsidRDefault="00B23EB6" w:rsidP="00811394"/>
    <w:p w14:paraId="11CC2648" w14:textId="5FE550CD" w:rsidR="00B23EB6" w:rsidRDefault="00B23EB6" w:rsidP="00811394"/>
    <w:p w14:paraId="7B59AE99" w14:textId="3A8C1387" w:rsidR="00B23EB6" w:rsidRDefault="00B23EB6" w:rsidP="00811394"/>
    <w:p w14:paraId="2AD5E3E8" w14:textId="6A950828" w:rsidR="00B23EB6" w:rsidRDefault="00B23EB6" w:rsidP="00811394"/>
    <w:p w14:paraId="7266CE4E" w14:textId="6D057620" w:rsidR="00B23EB6" w:rsidRDefault="00B23EB6" w:rsidP="00811394"/>
    <w:p w14:paraId="0591AA22" w14:textId="40387B3F" w:rsidR="00B23EB6" w:rsidRDefault="00B23EB6" w:rsidP="00811394"/>
    <w:p w14:paraId="51DCEFC2" w14:textId="23E6D772" w:rsidR="00B23EB6" w:rsidRDefault="00B23EB6" w:rsidP="00811394"/>
    <w:p w14:paraId="69E3EE74" w14:textId="683FC143" w:rsidR="00B23EB6" w:rsidRDefault="00B23EB6" w:rsidP="00811394"/>
    <w:p w14:paraId="70E62178" w14:textId="479EFBA5" w:rsidR="00B23EB6" w:rsidRDefault="00B23EB6" w:rsidP="00811394"/>
    <w:p w14:paraId="3928B6F1" w14:textId="69FF18C2" w:rsidR="00B23EB6" w:rsidRDefault="00B23EB6" w:rsidP="00811394"/>
    <w:p w14:paraId="2F90D66D" w14:textId="456394E6" w:rsidR="00811394" w:rsidRPr="00B23EB6" w:rsidRDefault="00811394" w:rsidP="00811394">
      <w:pPr>
        <w:rPr>
          <w:rFonts w:cs="Arial"/>
          <w:szCs w:val="24"/>
        </w:rPr>
      </w:pPr>
    </w:p>
    <w:p w14:paraId="185422CF" w14:textId="77777777" w:rsidR="00811394" w:rsidRPr="00B23EB6" w:rsidRDefault="00811394" w:rsidP="00811394">
      <w:pPr>
        <w:rPr>
          <w:rFonts w:cs="Arial"/>
          <w:szCs w:val="24"/>
        </w:rPr>
      </w:pPr>
    </w:p>
    <w:p w14:paraId="2708142E" w14:textId="77777777" w:rsidR="00811394" w:rsidRPr="00B23EB6" w:rsidRDefault="00811394" w:rsidP="00811394">
      <w:pPr>
        <w:pStyle w:val="Heading1"/>
        <w:rPr>
          <w:rFonts w:ascii="Arial" w:eastAsia="Times New Roman" w:hAnsi="Arial" w:cs="Arial"/>
          <w:sz w:val="24"/>
          <w:szCs w:val="24"/>
        </w:rPr>
      </w:pPr>
      <w:bookmarkStart w:id="8" w:name="_Toc224294129"/>
      <w:r w:rsidRPr="00B23EB6">
        <w:rPr>
          <w:rFonts w:ascii="Arial" w:eastAsia="Times New Roman" w:hAnsi="Arial" w:cs="Arial"/>
          <w:sz w:val="24"/>
          <w:szCs w:val="24"/>
        </w:rPr>
        <w:t>5. References</w:t>
      </w:r>
      <w:bookmarkEnd w:id="8"/>
    </w:p>
    <w:p w14:paraId="4BBDAE2F" w14:textId="77777777" w:rsidR="00811394" w:rsidRPr="00B23EB6" w:rsidRDefault="00811394" w:rsidP="00811394">
      <w:pPr>
        <w:pStyle w:val="ListParagraph"/>
        <w:numPr>
          <w:ilvl w:val="0"/>
          <w:numId w:val="14"/>
        </w:numPr>
        <w:spacing w:after="0"/>
        <w:jc w:val="left"/>
        <w:rPr>
          <w:rFonts w:eastAsia="Times New Roman" w:cs="Arial"/>
          <w:szCs w:val="24"/>
        </w:rPr>
      </w:pPr>
      <w:proofErr w:type="spellStart"/>
      <w:r w:rsidRPr="00B23EB6">
        <w:rPr>
          <w:rFonts w:eastAsia="Times New Roman" w:cs="Arial"/>
          <w:szCs w:val="24"/>
        </w:rPr>
        <w:t>Arnstein</w:t>
      </w:r>
      <w:proofErr w:type="spellEnd"/>
      <w:r w:rsidRPr="00B23EB6">
        <w:rPr>
          <w:rFonts w:eastAsia="Times New Roman" w:cs="Arial"/>
          <w:szCs w:val="24"/>
        </w:rPr>
        <w:t xml:space="preserve">, S.R., </w:t>
      </w:r>
      <w:r w:rsidRPr="00B23EB6">
        <w:rPr>
          <w:rFonts w:eastAsia="Times New Roman" w:cs="Arial"/>
          <w:i/>
          <w:iCs/>
          <w:szCs w:val="24"/>
        </w:rPr>
        <w:t>A Ladder of Citizen Participation: From Citizen Power to Tokenism</w:t>
      </w:r>
      <w:r w:rsidRPr="00B23EB6">
        <w:rPr>
          <w:rFonts w:eastAsia="Times New Roman" w:cs="Arial"/>
          <w:szCs w:val="24"/>
        </w:rPr>
        <w:t>, Journal of the American Institute of Planners, 1969.</w:t>
      </w:r>
    </w:p>
    <w:p w14:paraId="46D018BD" w14:textId="77777777" w:rsidR="00811394" w:rsidRPr="00B23EB6" w:rsidRDefault="00811394" w:rsidP="00811394">
      <w:pPr>
        <w:pStyle w:val="ListParagraph"/>
        <w:numPr>
          <w:ilvl w:val="0"/>
          <w:numId w:val="14"/>
        </w:numPr>
        <w:spacing w:after="0"/>
        <w:jc w:val="left"/>
        <w:rPr>
          <w:rFonts w:eastAsia="Times New Roman" w:cs="Arial"/>
          <w:szCs w:val="24"/>
        </w:rPr>
      </w:pPr>
      <w:r w:rsidRPr="00B23EB6">
        <w:rPr>
          <w:rFonts w:eastAsia="Times New Roman" w:cs="Arial"/>
          <w:szCs w:val="24"/>
        </w:rPr>
        <w:t xml:space="preserve">City Parks Forum / American Planning Association, </w:t>
      </w:r>
      <w:r w:rsidRPr="00B23EB6">
        <w:rPr>
          <w:rFonts w:eastAsia="Times New Roman" w:cs="Arial"/>
          <w:i/>
          <w:iCs/>
          <w:szCs w:val="24"/>
        </w:rPr>
        <w:t>How Cities Use Parks for Community Engagement</w:t>
      </w:r>
      <w:r w:rsidRPr="00B23EB6">
        <w:rPr>
          <w:rFonts w:eastAsia="Times New Roman" w:cs="Arial"/>
          <w:szCs w:val="24"/>
        </w:rPr>
        <w:t xml:space="preserve">, Planning.org. Available at: </w:t>
      </w:r>
      <w:hyperlink r:id="rId13" w:history="1">
        <w:r w:rsidRPr="00B23EB6">
          <w:rPr>
            <w:rFonts w:eastAsia="Times New Roman" w:cs="Arial"/>
            <w:color w:val="0000FF"/>
            <w:szCs w:val="24"/>
            <w:u w:val="single"/>
          </w:rPr>
          <w:t>https://www.planning.org/publications/document/9148666/</w:t>
        </w:r>
      </w:hyperlink>
      <w:r w:rsidRPr="00B23EB6">
        <w:rPr>
          <w:rFonts w:eastAsia="Times New Roman" w:cs="Arial"/>
          <w:szCs w:val="24"/>
        </w:rPr>
        <w:t xml:space="preserve"> (Accessed 14</w:t>
      </w:r>
      <w:r w:rsidRPr="00B23EB6">
        <w:rPr>
          <w:rFonts w:eastAsia="Times New Roman" w:cs="Arial"/>
          <w:szCs w:val="24"/>
        </w:rPr>
        <w:noBreakHyphen/>
        <w:t>02</w:t>
      </w:r>
      <w:r w:rsidRPr="00B23EB6">
        <w:rPr>
          <w:rFonts w:eastAsia="Times New Roman" w:cs="Arial"/>
          <w:szCs w:val="24"/>
        </w:rPr>
        <w:noBreakHyphen/>
        <w:t>26)</w:t>
      </w:r>
    </w:p>
    <w:p w14:paraId="3851F86E" w14:textId="77777777" w:rsidR="00811394" w:rsidRPr="00B23EB6" w:rsidRDefault="00811394" w:rsidP="00811394">
      <w:pPr>
        <w:pStyle w:val="ListParagraph"/>
        <w:numPr>
          <w:ilvl w:val="0"/>
          <w:numId w:val="14"/>
        </w:numPr>
        <w:spacing w:after="0"/>
        <w:jc w:val="left"/>
        <w:rPr>
          <w:rFonts w:eastAsia="Times New Roman" w:cs="Arial"/>
          <w:szCs w:val="24"/>
        </w:rPr>
      </w:pPr>
      <w:proofErr w:type="spellStart"/>
      <w:r w:rsidRPr="00B23EB6">
        <w:rPr>
          <w:rFonts w:eastAsia="Times New Roman" w:cs="Arial"/>
          <w:szCs w:val="24"/>
        </w:rPr>
        <w:t>Epting</w:t>
      </w:r>
      <w:proofErr w:type="spellEnd"/>
      <w:r w:rsidRPr="00B23EB6">
        <w:rPr>
          <w:rFonts w:eastAsia="Times New Roman" w:cs="Arial"/>
          <w:szCs w:val="24"/>
        </w:rPr>
        <w:t xml:space="preserve">, S., </w:t>
      </w:r>
      <w:r w:rsidRPr="00B23EB6">
        <w:rPr>
          <w:rFonts w:eastAsia="Times New Roman" w:cs="Arial"/>
          <w:i/>
          <w:iCs/>
          <w:szCs w:val="24"/>
        </w:rPr>
        <w:t>Urban Enlightenment: Multistakeholder Engagement and the City</w:t>
      </w:r>
      <w:r w:rsidRPr="00B23EB6">
        <w:rPr>
          <w:rFonts w:eastAsia="Times New Roman" w:cs="Arial"/>
          <w:szCs w:val="24"/>
        </w:rPr>
        <w:t xml:space="preserve">, Routledge, New York, 2023. Available at: </w:t>
      </w:r>
      <w:hyperlink r:id="rId14" w:history="1">
        <w:r w:rsidRPr="00B23EB6">
          <w:rPr>
            <w:rFonts w:eastAsia="Times New Roman" w:cs="Arial"/>
            <w:color w:val="0000FF"/>
            <w:szCs w:val="24"/>
            <w:u w:val="single"/>
          </w:rPr>
          <w:t>https://www.taylorfrancis.com/books/mono/10.4324/9781003334736/urban-enlightenment-shane-epting</w:t>
        </w:r>
      </w:hyperlink>
      <w:r w:rsidRPr="00B23EB6">
        <w:rPr>
          <w:rFonts w:eastAsia="Times New Roman" w:cs="Arial"/>
          <w:szCs w:val="24"/>
        </w:rPr>
        <w:t xml:space="preserve"> (Accessed 15</w:t>
      </w:r>
      <w:r w:rsidRPr="00B23EB6">
        <w:rPr>
          <w:rFonts w:eastAsia="Times New Roman" w:cs="Arial"/>
          <w:szCs w:val="24"/>
        </w:rPr>
        <w:noBreakHyphen/>
        <w:t>02</w:t>
      </w:r>
      <w:r w:rsidRPr="00B23EB6">
        <w:rPr>
          <w:rFonts w:eastAsia="Times New Roman" w:cs="Arial"/>
          <w:szCs w:val="24"/>
        </w:rPr>
        <w:noBreakHyphen/>
        <w:t>26)</w:t>
      </w:r>
    </w:p>
    <w:p w14:paraId="3BB471C6" w14:textId="77777777" w:rsidR="00811394" w:rsidRPr="00B23EB6" w:rsidRDefault="00811394" w:rsidP="00811394">
      <w:pPr>
        <w:pStyle w:val="ListParagraph"/>
        <w:numPr>
          <w:ilvl w:val="0"/>
          <w:numId w:val="14"/>
        </w:numPr>
        <w:spacing w:after="0"/>
        <w:jc w:val="left"/>
        <w:rPr>
          <w:rFonts w:eastAsia="Times New Roman" w:cs="Arial"/>
          <w:szCs w:val="24"/>
        </w:rPr>
      </w:pPr>
      <w:r w:rsidRPr="00B23EB6">
        <w:rPr>
          <w:rFonts w:eastAsia="Times New Roman" w:cs="Arial"/>
          <w:szCs w:val="24"/>
        </w:rPr>
        <w:t xml:space="preserve">He, B. et al., 2025. </w:t>
      </w:r>
      <w:r w:rsidRPr="00B23EB6">
        <w:rPr>
          <w:rFonts w:eastAsia="Times New Roman" w:cs="Arial"/>
          <w:i/>
          <w:iCs/>
          <w:szCs w:val="24"/>
        </w:rPr>
        <w:t>Urban Park Planning for Sustainability: Resident Insights from China’s Major Cities</w:t>
      </w:r>
      <w:r w:rsidRPr="00B23EB6">
        <w:rPr>
          <w:rFonts w:eastAsia="Times New Roman" w:cs="Arial"/>
          <w:szCs w:val="24"/>
        </w:rPr>
        <w:t xml:space="preserve">, </w:t>
      </w:r>
      <w:r w:rsidRPr="00B23EB6">
        <w:rPr>
          <w:rFonts w:eastAsia="Times New Roman" w:cs="Arial"/>
          <w:i/>
          <w:iCs/>
          <w:szCs w:val="24"/>
        </w:rPr>
        <w:t>Land</w:t>
      </w:r>
      <w:r w:rsidRPr="00B23EB6">
        <w:rPr>
          <w:rFonts w:eastAsia="Times New Roman" w:cs="Arial"/>
          <w:szCs w:val="24"/>
        </w:rPr>
        <w:t>, 14(1), 128.</w:t>
      </w:r>
    </w:p>
    <w:p w14:paraId="147D7C4B" w14:textId="77777777" w:rsidR="00811394" w:rsidRPr="00B23EB6" w:rsidRDefault="00811394" w:rsidP="00811394">
      <w:pPr>
        <w:pStyle w:val="ListParagraph"/>
        <w:numPr>
          <w:ilvl w:val="0"/>
          <w:numId w:val="14"/>
        </w:numPr>
        <w:spacing w:after="0"/>
        <w:jc w:val="left"/>
        <w:rPr>
          <w:rFonts w:eastAsia="Times New Roman" w:cs="Arial"/>
          <w:szCs w:val="24"/>
        </w:rPr>
      </w:pPr>
      <w:proofErr w:type="spellStart"/>
      <w:r w:rsidRPr="00B23EB6">
        <w:rPr>
          <w:rFonts w:eastAsia="Times New Roman" w:cs="Arial"/>
          <w:szCs w:val="24"/>
        </w:rPr>
        <w:t>Lauria</w:t>
      </w:r>
      <w:proofErr w:type="spellEnd"/>
      <w:r w:rsidRPr="00B23EB6">
        <w:rPr>
          <w:rFonts w:eastAsia="Times New Roman" w:cs="Arial"/>
          <w:szCs w:val="24"/>
        </w:rPr>
        <w:t xml:space="preserve">, M. &amp; </w:t>
      </w:r>
      <w:proofErr w:type="spellStart"/>
      <w:r w:rsidRPr="00B23EB6">
        <w:rPr>
          <w:rFonts w:eastAsia="Times New Roman" w:cs="Arial"/>
          <w:szCs w:val="24"/>
        </w:rPr>
        <w:t>Slotterback</w:t>
      </w:r>
      <w:proofErr w:type="spellEnd"/>
      <w:r w:rsidRPr="00B23EB6">
        <w:rPr>
          <w:rFonts w:eastAsia="Times New Roman" w:cs="Arial"/>
          <w:szCs w:val="24"/>
        </w:rPr>
        <w:t xml:space="preserve">, C.S. (eds.), </w:t>
      </w:r>
      <w:r w:rsidRPr="00B23EB6">
        <w:rPr>
          <w:rFonts w:eastAsia="Times New Roman" w:cs="Arial"/>
          <w:i/>
          <w:iCs/>
          <w:szCs w:val="24"/>
        </w:rPr>
        <w:t xml:space="preserve">Learning from </w:t>
      </w:r>
      <w:proofErr w:type="spellStart"/>
      <w:r w:rsidRPr="00B23EB6">
        <w:rPr>
          <w:rFonts w:eastAsia="Times New Roman" w:cs="Arial"/>
          <w:i/>
          <w:iCs/>
          <w:szCs w:val="24"/>
        </w:rPr>
        <w:t>Arnstein’s</w:t>
      </w:r>
      <w:proofErr w:type="spellEnd"/>
      <w:r w:rsidRPr="00B23EB6">
        <w:rPr>
          <w:rFonts w:eastAsia="Times New Roman" w:cs="Arial"/>
          <w:i/>
          <w:iCs/>
          <w:szCs w:val="24"/>
        </w:rPr>
        <w:t xml:space="preserve"> Ladder: From Citizen Participation to Public Engagement</w:t>
      </w:r>
      <w:r w:rsidRPr="00B23EB6">
        <w:rPr>
          <w:rFonts w:eastAsia="Times New Roman" w:cs="Arial"/>
          <w:szCs w:val="24"/>
        </w:rPr>
        <w:t>, Routledge, 2020.</w:t>
      </w:r>
    </w:p>
    <w:p w14:paraId="2D16080A" w14:textId="77777777" w:rsidR="00811394" w:rsidRPr="00B23EB6" w:rsidRDefault="00811394" w:rsidP="00811394">
      <w:pPr>
        <w:pStyle w:val="ListParagraph"/>
        <w:numPr>
          <w:ilvl w:val="0"/>
          <w:numId w:val="14"/>
        </w:numPr>
        <w:spacing w:after="0"/>
        <w:jc w:val="left"/>
        <w:rPr>
          <w:rFonts w:eastAsia="Times New Roman" w:cs="Arial"/>
          <w:szCs w:val="24"/>
        </w:rPr>
      </w:pPr>
      <w:r w:rsidRPr="00B23EB6">
        <w:rPr>
          <w:rFonts w:eastAsia="Times New Roman" w:cs="Arial"/>
          <w:szCs w:val="24"/>
        </w:rPr>
        <w:t xml:space="preserve">McKay, T.J.M. &amp; </w:t>
      </w:r>
      <w:proofErr w:type="spellStart"/>
      <w:r w:rsidRPr="00B23EB6">
        <w:rPr>
          <w:rFonts w:eastAsia="Times New Roman" w:cs="Arial"/>
          <w:szCs w:val="24"/>
        </w:rPr>
        <w:t>Tantoh</w:t>
      </w:r>
      <w:proofErr w:type="spellEnd"/>
      <w:r w:rsidRPr="00B23EB6">
        <w:rPr>
          <w:rFonts w:eastAsia="Times New Roman" w:cs="Arial"/>
          <w:szCs w:val="24"/>
        </w:rPr>
        <w:t xml:space="preserve">, H.B., 2021. </w:t>
      </w:r>
      <w:r w:rsidRPr="00B23EB6">
        <w:rPr>
          <w:rFonts w:eastAsia="Times New Roman" w:cs="Arial"/>
          <w:i/>
          <w:iCs/>
          <w:szCs w:val="24"/>
        </w:rPr>
        <w:t>A dialogue approach to stakeholder engagement with urban communities: The case of Mofolo Park, Soweto, Johannesburg, South Africa</w:t>
      </w:r>
      <w:r w:rsidRPr="00B23EB6">
        <w:rPr>
          <w:rFonts w:eastAsia="Times New Roman" w:cs="Arial"/>
          <w:szCs w:val="24"/>
        </w:rPr>
        <w:t xml:space="preserve">, </w:t>
      </w:r>
      <w:r w:rsidRPr="00B23EB6">
        <w:rPr>
          <w:rFonts w:eastAsia="Times New Roman" w:cs="Arial"/>
          <w:i/>
          <w:iCs/>
          <w:szCs w:val="24"/>
        </w:rPr>
        <w:t>Journal of Environmental Planning and Management</w:t>
      </w:r>
      <w:r w:rsidRPr="00B23EB6">
        <w:rPr>
          <w:rFonts w:eastAsia="Times New Roman" w:cs="Arial"/>
          <w:szCs w:val="24"/>
        </w:rPr>
        <w:t>, 64(12), pp.2172–2191.</w:t>
      </w:r>
    </w:p>
    <w:p w14:paraId="413F235A" w14:textId="77777777" w:rsidR="00811394" w:rsidRPr="00B23EB6" w:rsidRDefault="00811394" w:rsidP="00811394">
      <w:pPr>
        <w:pStyle w:val="ListParagraph"/>
        <w:numPr>
          <w:ilvl w:val="0"/>
          <w:numId w:val="14"/>
        </w:numPr>
        <w:spacing w:after="0"/>
        <w:jc w:val="left"/>
        <w:rPr>
          <w:rFonts w:eastAsia="Times New Roman" w:cs="Arial"/>
          <w:szCs w:val="24"/>
        </w:rPr>
      </w:pPr>
      <w:r w:rsidRPr="00B23EB6">
        <w:rPr>
          <w:rFonts w:eastAsia="Times New Roman" w:cs="Arial"/>
          <w:szCs w:val="24"/>
        </w:rPr>
        <w:t xml:space="preserve">Nam, J. &amp; Dempsey, N., 2019. </w:t>
      </w:r>
      <w:r w:rsidRPr="00B23EB6">
        <w:rPr>
          <w:rFonts w:eastAsia="Times New Roman" w:cs="Arial"/>
          <w:i/>
          <w:iCs/>
          <w:szCs w:val="24"/>
        </w:rPr>
        <w:t>Understanding stakeholder perceptions of acceptability and feasibility of formal and informal planting in Sheffield’s district parks</w:t>
      </w:r>
      <w:r w:rsidRPr="00B23EB6">
        <w:rPr>
          <w:rFonts w:eastAsia="Times New Roman" w:cs="Arial"/>
          <w:szCs w:val="24"/>
        </w:rPr>
        <w:t xml:space="preserve">, </w:t>
      </w:r>
      <w:r w:rsidRPr="00B23EB6">
        <w:rPr>
          <w:rFonts w:eastAsia="Times New Roman" w:cs="Arial"/>
          <w:i/>
          <w:iCs/>
          <w:szCs w:val="24"/>
        </w:rPr>
        <w:t>Sustainability</w:t>
      </w:r>
      <w:r w:rsidRPr="00B23EB6">
        <w:rPr>
          <w:rFonts w:eastAsia="Times New Roman" w:cs="Arial"/>
          <w:szCs w:val="24"/>
        </w:rPr>
        <w:t>, 11(2), 360.</w:t>
      </w:r>
    </w:p>
    <w:p w14:paraId="2E3C049F" w14:textId="77777777" w:rsidR="00811394" w:rsidRPr="00B23EB6" w:rsidRDefault="00811394" w:rsidP="00811394">
      <w:pPr>
        <w:pStyle w:val="ListParagraph"/>
        <w:numPr>
          <w:ilvl w:val="0"/>
          <w:numId w:val="14"/>
        </w:numPr>
        <w:spacing w:after="0"/>
        <w:jc w:val="left"/>
        <w:rPr>
          <w:rFonts w:eastAsia="Times New Roman" w:cs="Arial"/>
          <w:szCs w:val="24"/>
        </w:rPr>
      </w:pPr>
      <w:proofErr w:type="spellStart"/>
      <w:r w:rsidRPr="00B23EB6">
        <w:rPr>
          <w:rFonts w:eastAsia="Times New Roman" w:cs="Arial"/>
          <w:szCs w:val="24"/>
        </w:rPr>
        <w:lastRenderedPageBreak/>
        <w:t>Nared</w:t>
      </w:r>
      <w:proofErr w:type="spellEnd"/>
      <w:r w:rsidRPr="00B23EB6">
        <w:rPr>
          <w:rFonts w:eastAsia="Times New Roman" w:cs="Arial"/>
          <w:szCs w:val="24"/>
        </w:rPr>
        <w:t xml:space="preserve">, J. &amp; Bole, D. (eds.), </w:t>
      </w:r>
      <w:r w:rsidRPr="00B23EB6">
        <w:rPr>
          <w:rFonts w:eastAsia="Times New Roman" w:cs="Arial"/>
          <w:i/>
          <w:iCs/>
          <w:szCs w:val="24"/>
        </w:rPr>
        <w:t>Participatory Research and Planning in Practice</w:t>
      </w:r>
      <w:r w:rsidRPr="00B23EB6">
        <w:rPr>
          <w:rFonts w:eastAsia="Times New Roman" w:cs="Arial"/>
          <w:szCs w:val="24"/>
        </w:rPr>
        <w:t xml:space="preserve">, Springer, Cham, 2020. Available at: </w:t>
      </w:r>
      <w:hyperlink r:id="rId15" w:history="1">
        <w:r w:rsidRPr="00B23EB6">
          <w:rPr>
            <w:rFonts w:eastAsia="Times New Roman" w:cs="Arial"/>
            <w:color w:val="0000FF"/>
            <w:szCs w:val="24"/>
            <w:u w:val="single"/>
          </w:rPr>
          <w:t>https://link.springer.com/book/10.1007/978-3-030-28014-7</w:t>
        </w:r>
      </w:hyperlink>
      <w:r w:rsidRPr="00B23EB6">
        <w:rPr>
          <w:rFonts w:eastAsia="Times New Roman" w:cs="Arial"/>
          <w:szCs w:val="24"/>
        </w:rPr>
        <w:t xml:space="preserve"> (Accessed 12</w:t>
      </w:r>
      <w:r w:rsidRPr="00B23EB6">
        <w:rPr>
          <w:rFonts w:eastAsia="Times New Roman" w:cs="Arial"/>
          <w:szCs w:val="24"/>
        </w:rPr>
        <w:noBreakHyphen/>
        <w:t>02</w:t>
      </w:r>
      <w:r w:rsidRPr="00B23EB6">
        <w:rPr>
          <w:rFonts w:eastAsia="Times New Roman" w:cs="Arial"/>
          <w:szCs w:val="24"/>
        </w:rPr>
        <w:noBreakHyphen/>
        <w:t>26)</w:t>
      </w:r>
    </w:p>
    <w:p w14:paraId="4F8A01D5" w14:textId="77777777" w:rsidR="00811394" w:rsidRPr="00B23EB6" w:rsidRDefault="00811394" w:rsidP="00811394">
      <w:pPr>
        <w:pStyle w:val="ListParagraph"/>
        <w:numPr>
          <w:ilvl w:val="0"/>
          <w:numId w:val="14"/>
        </w:numPr>
        <w:spacing w:after="0"/>
        <w:jc w:val="left"/>
        <w:rPr>
          <w:rFonts w:eastAsia="Times New Roman" w:cs="Arial"/>
          <w:szCs w:val="24"/>
        </w:rPr>
      </w:pPr>
      <w:r w:rsidRPr="00B23EB6">
        <w:rPr>
          <w:rFonts w:eastAsia="Times New Roman" w:cs="Arial"/>
          <w:szCs w:val="24"/>
        </w:rPr>
        <w:t xml:space="preserve">Natarajan, L. &amp; Short, M. (eds.), </w:t>
      </w:r>
      <w:r w:rsidRPr="00B23EB6">
        <w:rPr>
          <w:rFonts w:eastAsia="Times New Roman" w:cs="Arial"/>
          <w:i/>
          <w:iCs/>
          <w:szCs w:val="24"/>
        </w:rPr>
        <w:t>Engaged Urban Pedagogy: Participatory Practices in Planning and Place</w:t>
      </w:r>
      <w:r w:rsidRPr="00B23EB6">
        <w:rPr>
          <w:rFonts w:eastAsia="Times New Roman" w:cs="Arial"/>
          <w:i/>
          <w:iCs/>
          <w:szCs w:val="24"/>
        </w:rPr>
        <w:noBreakHyphen/>
        <w:t>Making</w:t>
      </w:r>
      <w:r w:rsidRPr="00B23EB6">
        <w:rPr>
          <w:rFonts w:eastAsia="Times New Roman" w:cs="Arial"/>
          <w:szCs w:val="24"/>
        </w:rPr>
        <w:t xml:space="preserve">, UCL Press, 2023. Available at: </w:t>
      </w:r>
      <w:hyperlink r:id="rId16" w:history="1">
        <w:r w:rsidRPr="00B23EB6">
          <w:rPr>
            <w:rFonts w:eastAsia="Times New Roman" w:cs="Arial"/>
            <w:color w:val="0000FF"/>
            <w:szCs w:val="24"/>
            <w:u w:val="single"/>
          </w:rPr>
          <w:t>https://uclpress.co.uk/book/engaged-urban-pedagogy/</w:t>
        </w:r>
      </w:hyperlink>
      <w:r w:rsidRPr="00B23EB6">
        <w:rPr>
          <w:rFonts w:eastAsia="Times New Roman" w:cs="Arial"/>
          <w:szCs w:val="24"/>
        </w:rPr>
        <w:t xml:space="preserve"> (Accessed 10</w:t>
      </w:r>
      <w:r w:rsidRPr="00B23EB6">
        <w:rPr>
          <w:rFonts w:eastAsia="Times New Roman" w:cs="Arial"/>
          <w:szCs w:val="24"/>
        </w:rPr>
        <w:noBreakHyphen/>
        <w:t>02</w:t>
      </w:r>
      <w:r w:rsidRPr="00B23EB6">
        <w:rPr>
          <w:rFonts w:eastAsia="Times New Roman" w:cs="Arial"/>
          <w:szCs w:val="24"/>
        </w:rPr>
        <w:noBreakHyphen/>
        <w:t>26)</w:t>
      </w:r>
    </w:p>
    <w:p w14:paraId="7C751973" w14:textId="77777777" w:rsidR="00811394" w:rsidRPr="00B23EB6" w:rsidRDefault="00811394" w:rsidP="00811394">
      <w:pPr>
        <w:pStyle w:val="ListParagraph"/>
        <w:numPr>
          <w:ilvl w:val="0"/>
          <w:numId w:val="14"/>
        </w:numPr>
        <w:spacing w:after="0"/>
        <w:jc w:val="left"/>
        <w:rPr>
          <w:rFonts w:eastAsia="Times New Roman" w:cs="Arial"/>
          <w:szCs w:val="24"/>
        </w:rPr>
      </w:pPr>
      <w:r w:rsidRPr="00B23EB6">
        <w:rPr>
          <w:rFonts w:eastAsia="Times New Roman" w:cs="Arial"/>
          <w:szCs w:val="24"/>
        </w:rPr>
        <w:t xml:space="preserve">National Recreation and Park Association, </w:t>
      </w:r>
      <w:r w:rsidRPr="00B23EB6">
        <w:rPr>
          <w:rFonts w:eastAsia="Times New Roman" w:cs="Arial"/>
          <w:i/>
          <w:iCs/>
          <w:szCs w:val="24"/>
        </w:rPr>
        <w:t>Community Engagement Resource Guide</w:t>
      </w:r>
      <w:r w:rsidRPr="00B23EB6">
        <w:rPr>
          <w:rFonts w:eastAsia="Times New Roman" w:cs="Arial"/>
          <w:szCs w:val="24"/>
        </w:rPr>
        <w:t xml:space="preserve">, National Recreation and Park Association. Available at: </w:t>
      </w:r>
      <w:hyperlink r:id="rId17" w:history="1">
        <w:r w:rsidRPr="00B23EB6">
          <w:rPr>
            <w:rFonts w:eastAsia="Times New Roman" w:cs="Arial"/>
            <w:color w:val="0000FF"/>
            <w:szCs w:val="24"/>
            <w:u w:val="single"/>
          </w:rPr>
          <w:t>https://www.nrpa.org/contentassets/19b3cbe05a634d5e8d3b712dbc8aa9d0/community-engagement-guide-nrpa.pdf</w:t>
        </w:r>
      </w:hyperlink>
      <w:r w:rsidRPr="00B23EB6">
        <w:rPr>
          <w:rFonts w:eastAsia="Times New Roman" w:cs="Arial"/>
          <w:szCs w:val="24"/>
        </w:rPr>
        <w:t xml:space="preserve"> (Accessed 11</w:t>
      </w:r>
      <w:r w:rsidRPr="00B23EB6">
        <w:rPr>
          <w:rFonts w:eastAsia="Times New Roman" w:cs="Arial"/>
          <w:szCs w:val="24"/>
        </w:rPr>
        <w:noBreakHyphen/>
        <w:t>02</w:t>
      </w:r>
      <w:r w:rsidRPr="00B23EB6">
        <w:rPr>
          <w:rFonts w:eastAsia="Times New Roman" w:cs="Arial"/>
          <w:szCs w:val="24"/>
        </w:rPr>
        <w:noBreakHyphen/>
        <w:t>26)</w:t>
      </w:r>
    </w:p>
    <w:p w14:paraId="335E3F26" w14:textId="77777777" w:rsidR="00811394" w:rsidRPr="00B23EB6" w:rsidRDefault="00811394" w:rsidP="00811394">
      <w:pPr>
        <w:pStyle w:val="ListParagraph"/>
        <w:numPr>
          <w:ilvl w:val="0"/>
          <w:numId w:val="14"/>
        </w:numPr>
        <w:spacing w:after="0"/>
        <w:jc w:val="left"/>
        <w:rPr>
          <w:rFonts w:eastAsia="Times New Roman" w:cs="Arial"/>
          <w:szCs w:val="24"/>
        </w:rPr>
      </w:pPr>
      <w:r w:rsidRPr="00B23EB6">
        <w:rPr>
          <w:rFonts w:eastAsia="Times New Roman" w:cs="Arial"/>
          <w:szCs w:val="24"/>
        </w:rPr>
        <w:t xml:space="preserve">Shin, M., Woo, J.H. &amp; Choi, H., 2022. </w:t>
      </w:r>
      <w:r w:rsidRPr="00B23EB6">
        <w:rPr>
          <w:rFonts w:eastAsia="Times New Roman" w:cs="Arial"/>
          <w:i/>
          <w:iCs/>
          <w:szCs w:val="24"/>
        </w:rPr>
        <w:t>Designing a public engagement process for long</w:t>
      </w:r>
      <w:r w:rsidRPr="00B23EB6">
        <w:rPr>
          <w:rFonts w:eastAsia="Times New Roman" w:cs="Arial"/>
          <w:i/>
          <w:iCs/>
          <w:szCs w:val="24"/>
        </w:rPr>
        <w:noBreakHyphen/>
        <w:t>term urban park development project</w:t>
      </w:r>
      <w:r w:rsidRPr="00B23EB6">
        <w:rPr>
          <w:rFonts w:eastAsia="Times New Roman" w:cs="Arial"/>
          <w:szCs w:val="24"/>
        </w:rPr>
        <w:t xml:space="preserve">, </w:t>
      </w:r>
      <w:r w:rsidRPr="00B23EB6">
        <w:rPr>
          <w:rFonts w:eastAsia="Times New Roman" w:cs="Arial"/>
          <w:i/>
          <w:iCs/>
          <w:szCs w:val="24"/>
        </w:rPr>
        <w:t>PLOS ONE</w:t>
      </w:r>
      <w:r w:rsidRPr="00B23EB6">
        <w:rPr>
          <w:rFonts w:eastAsia="Times New Roman" w:cs="Arial"/>
          <w:szCs w:val="24"/>
        </w:rPr>
        <w:t>, 17(5): e0268804.</w:t>
      </w:r>
    </w:p>
    <w:p w14:paraId="41A95DB6" w14:textId="77777777" w:rsidR="00811394" w:rsidRPr="00B23EB6" w:rsidRDefault="00811394" w:rsidP="00811394">
      <w:pPr>
        <w:pStyle w:val="ListParagraph"/>
        <w:numPr>
          <w:ilvl w:val="0"/>
          <w:numId w:val="14"/>
        </w:numPr>
        <w:spacing w:after="0"/>
        <w:jc w:val="left"/>
        <w:rPr>
          <w:rFonts w:eastAsia="Times New Roman" w:cs="Arial"/>
          <w:szCs w:val="24"/>
        </w:rPr>
      </w:pPr>
      <w:r w:rsidRPr="00B23EB6">
        <w:rPr>
          <w:rFonts w:eastAsia="Times New Roman" w:cs="Arial"/>
          <w:szCs w:val="24"/>
        </w:rPr>
        <w:t xml:space="preserve">Toronto Public Space Initiative, </w:t>
      </w:r>
      <w:r w:rsidRPr="00B23EB6">
        <w:rPr>
          <w:rFonts w:eastAsia="Times New Roman" w:cs="Arial"/>
          <w:i/>
          <w:iCs/>
          <w:szCs w:val="24"/>
        </w:rPr>
        <w:t>Park Governance and Community Engagement Research</w:t>
      </w:r>
      <w:r w:rsidRPr="00B23EB6">
        <w:rPr>
          <w:rFonts w:eastAsia="Times New Roman" w:cs="Arial"/>
          <w:szCs w:val="24"/>
        </w:rPr>
        <w:t xml:space="preserve">, PublicSpaces.ca. Available at: </w:t>
      </w:r>
      <w:hyperlink r:id="rId18" w:history="1">
        <w:r w:rsidRPr="00B23EB6">
          <w:rPr>
            <w:rFonts w:eastAsia="Times New Roman" w:cs="Arial"/>
            <w:color w:val="0000FF"/>
            <w:szCs w:val="24"/>
            <w:u w:val="single"/>
          </w:rPr>
          <w:t>https://publicspaces.ca/park-governance-model-research-project/</w:t>
        </w:r>
      </w:hyperlink>
      <w:r w:rsidRPr="00B23EB6">
        <w:rPr>
          <w:rFonts w:eastAsia="Times New Roman" w:cs="Arial"/>
          <w:szCs w:val="24"/>
        </w:rPr>
        <w:t xml:space="preserve"> (Accessed 09</w:t>
      </w:r>
      <w:r w:rsidRPr="00B23EB6">
        <w:rPr>
          <w:rFonts w:eastAsia="Times New Roman" w:cs="Arial"/>
          <w:szCs w:val="24"/>
        </w:rPr>
        <w:noBreakHyphen/>
        <w:t>02</w:t>
      </w:r>
      <w:r w:rsidRPr="00B23EB6">
        <w:rPr>
          <w:rFonts w:eastAsia="Times New Roman" w:cs="Arial"/>
          <w:szCs w:val="24"/>
        </w:rPr>
        <w:noBreakHyphen/>
        <w:t>26)</w:t>
      </w:r>
    </w:p>
    <w:p w14:paraId="7C25785B" w14:textId="77777777" w:rsidR="00811394" w:rsidRPr="00B23EB6" w:rsidRDefault="00811394" w:rsidP="00273E7D">
      <w:pPr>
        <w:spacing w:before="100" w:beforeAutospacing="1" w:after="100" w:afterAutospacing="1" w:line="240" w:lineRule="auto"/>
        <w:rPr>
          <w:rFonts w:eastAsia="Times New Roman" w:cs="Arial"/>
          <w:szCs w:val="24"/>
        </w:rPr>
      </w:pPr>
    </w:p>
    <w:sectPr w:rsidR="00811394" w:rsidRPr="00B23EB6">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3AEBE" w14:textId="77777777" w:rsidR="002D2CE0" w:rsidRDefault="002D2CE0" w:rsidP="00811394">
      <w:pPr>
        <w:spacing w:after="0" w:line="240" w:lineRule="auto"/>
      </w:pPr>
      <w:r>
        <w:separator/>
      </w:r>
    </w:p>
  </w:endnote>
  <w:endnote w:type="continuationSeparator" w:id="0">
    <w:p w14:paraId="787657F4" w14:textId="77777777" w:rsidR="002D2CE0" w:rsidRDefault="002D2CE0" w:rsidP="008113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35224"/>
      <w:docPartObj>
        <w:docPartGallery w:val="Page Numbers (Bottom of Page)"/>
        <w:docPartUnique/>
      </w:docPartObj>
    </w:sdtPr>
    <w:sdtEndPr>
      <w:rPr>
        <w:color w:val="7F7F7F" w:themeColor="background1" w:themeShade="7F"/>
        <w:spacing w:val="60"/>
      </w:rPr>
    </w:sdtEndPr>
    <w:sdtContent>
      <w:p w14:paraId="155629A8" w14:textId="0E581802" w:rsidR="00CB1BFF" w:rsidRDefault="00CB1B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562257" w14:textId="77777777" w:rsidR="00CB1BFF" w:rsidRDefault="00CB1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50027B" w14:textId="77777777" w:rsidR="002D2CE0" w:rsidRDefault="002D2CE0" w:rsidP="00811394">
      <w:pPr>
        <w:spacing w:after="0" w:line="240" w:lineRule="auto"/>
      </w:pPr>
      <w:r>
        <w:separator/>
      </w:r>
    </w:p>
  </w:footnote>
  <w:footnote w:type="continuationSeparator" w:id="0">
    <w:p w14:paraId="5F125084" w14:textId="77777777" w:rsidR="002D2CE0" w:rsidRDefault="002D2CE0" w:rsidP="008113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DABA78" w14:textId="0493B9E6" w:rsidR="00811394" w:rsidRDefault="00811394">
    <w:pPr>
      <w:pStyle w:val="Header"/>
    </w:pPr>
    <w:r>
      <w:rPr>
        <w:noProof/>
      </w:rPr>
      <w:drawing>
        <wp:anchor distT="0" distB="0" distL="114300" distR="114300" simplePos="0" relativeHeight="251658240" behindDoc="1" locked="0" layoutInCell="1" allowOverlap="1" wp14:anchorId="324F5A90" wp14:editId="58E3AE17">
          <wp:simplePos x="0" y="0"/>
          <wp:positionH relativeFrom="margin">
            <wp:align>left</wp:align>
          </wp:positionH>
          <wp:positionV relativeFrom="paragraph">
            <wp:posOffset>-137160</wp:posOffset>
          </wp:positionV>
          <wp:extent cx="891540" cy="373380"/>
          <wp:effectExtent l="0" t="0" r="3810" b="7620"/>
          <wp:wrapNone/>
          <wp:docPr id="369" name="Picture 369"/>
          <wp:cNvGraphicFramePr/>
          <a:graphic xmlns:a="http://schemas.openxmlformats.org/drawingml/2006/main">
            <a:graphicData uri="http://schemas.openxmlformats.org/drawingml/2006/picture">
              <pic:pic xmlns:pic="http://schemas.openxmlformats.org/drawingml/2006/picture">
                <pic:nvPicPr>
                  <pic:cNvPr id="369" name="Picture 369"/>
                  <pic:cNvPicPr/>
                </pic:nvPicPr>
                <pic:blipFill>
                  <a:blip r:embed="rId1">
                    <a:extLst>
                      <a:ext uri="{28A0092B-C50C-407E-A947-70E740481C1C}">
                        <a14:useLocalDpi xmlns:a14="http://schemas.microsoft.com/office/drawing/2010/main" val="0"/>
                      </a:ext>
                    </a:extLst>
                  </a:blip>
                  <a:stretch>
                    <a:fillRect/>
                  </a:stretch>
                </pic:blipFill>
                <pic:spPr>
                  <a:xfrm>
                    <a:off x="0" y="0"/>
                    <a:ext cx="891540" cy="373380"/>
                  </a:xfrm>
                  <a:prstGeom prst="rect">
                    <a:avLst/>
                  </a:prstGeom>
                </pic:spPr>
              </pic:pic>
            </a:graphicData>
          </a:graphic>
          <wp14:sizeRelH relativeFrom="margin">
            <wp14:pctWidth>0</wp14:pctWidth>
          </wp14:sizeRelH>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A2417"/>
    <w:multiLevelType w:val="multilevel"/>
    <w:tmpl w:val="9BA2436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E63F06"/>
    <w:multiLevelType w:val="multilevel"/>
    <w:tmpl w:val="2EBEB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9183E"/>
    <w:multiLevelType w:val="multilevel"/>
    <w:tmpl w:val="8BEC6A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11873"/>
    <w:multiLevelType w:val="hybridMultilevel"/>
    <w:tmpl w:val="643CCC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AC732E"/>
    <w:multiLevelType w:val="hybridMultilevel"/>
    <w:tmpl w:val="F8FC91F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3794167"/>
    <w:multiLevelType w:val="multilevel"/>
    <w:tmpl w:val="A79CB5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D49BD"/>
    <w:multiLevelType w:val="multilevel"/>
    <w:tmpl w:val="34BEE2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0053C5"/>
    <w:multiLevelType w:val="hybridMultilevel"/>
    <w:tmpl w:val="F79A7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2D1227"/>
    <w:multiLevelType w:val="multilevel"/>
    <w:tmpl w:val="420AFAE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C0513B"/>
    <w:multiLevelType w:val="hybridMultilevel"/>
    <w:tmpl w:val="FB7EA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16336D"/>
    <w:multiLevelType w:val="multilevel"/>
    <w:tmpl w:val="327E5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A30AC4"/>
    <w:multiLevelType w:val="multilevel"/>
    <w:tmpl w:val="5004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A84EC5"/>
    <w:multiLevelType w:val="multilevel"/>
    <w:tmpl w:val="3FAC1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686D74"/>
    <w:multiLevelType w:val="multilevel"/>
    <w:tmpl w:val="98046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1A1E40"/>
    <w:multiLevelType w:val="multilevel"/>
    <w:tmpl w:val="8A76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4735339">
    <w:abstractNumId w:val="1"/>
  </w:num>
  <w:num w:numId="2" w16cid:durableId="164326383">
    <w:abstractNumId w:val="10"/>
  </w:num>
  <w:num w:numId="3" w16cid:durableId="1760521342">
    <w:abstractNumId w:val="6"/>
  </w:num>
  <w:num w:numId="4" w16cid:durableId="1839687471">
    <w:abstractNumId w:val="5"/>
  </w:num>
  <w:num w:numId="5" w16cid:durableId="1118112054">
    <w:abstractNumId w:val="2"/>
  </w:num>
  <w:num w:numId="6" w16cid:durableId="743990803">
    <w:abstractNumId w:val="13"/>
  </w:num>
  <w:num w:numId="7" w16cid:durableId="1938974326">
    <w:abstractNumId w:val="11"/>
  </w:num>
  <w:num w:numId="8" w16cid:durableId="1856763">
    <w:abstractNumId w:val="14"/>
  </w:num>
  <w:num w:numId="9" w16cid:durableId="671762652">
    <w:abstractNumId w:val="7"/>
  </w:num>
  <w:num w:numId="10" w16cid:durableId="1003705152">
    <w:abstractNumId w:val="12"/>
  </w:num>
  <w:num w:numId="11" w16cid:durableId="1680739574">
    <w:abstractNumId w:val="8"/>
  </w:num>
  <w:num w:numId="12" w16cid:durableId="2000572466">
    <w:abstractNumId w:val="0"/>
  </w:num>
  <w:num w:numId="13" w16cid:durableId="1778793822">
    <w:abstractNumId w:val="3"/>
  </w:num>
  <w:num w:numId="14" w16cid:durableId="2071532019">
    <w:abstractNumId w:val="4"/>
  </w:num>
  <w:num w:numId="15" w16cid:durableId="10964361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ADA"/>
    <w:rsid w:val="00017894"/>
    <w:rsid w:val="0007152A"/>
    <w:rsid w:val="00241951"/>
    <w:rsid w:val="00273E7D"/>
    <w:rsid w:val="002D2CE0"/>
    <w:rsid w:val="00527ADA"/>
    <w:rsid w:val="006C559E"/>
    <w:rsid w:val="00806D1D"/>
    <w:rsid w:val="00811394"/>
    <w:rsid w:val="00AA3AB4"/>
    <w:rsid w:val="00B23EB6"/>
    <w:rsid w:val="00BC3832"/>
    <w:rsid w:val="00C12180"/>
    <w:rsid w:val="00CB1BFF"/>
    <w:rsid w:val="00E22F41"/>
    <w:rsid w:val="00E77E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C3672"/>
  <w15:chartTrackingRefBased/>
  <w15:docId w15:val="{6314A45E-24C0-4F98-BF71-0BB361498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394"/>
    <w:pPr>
      <w:spacing w:line="360" w:lineRule="auto"/>
    </w:pPr>
    <w:rPr>
      <w:rFonts w:ascii="Arial" w:hAnsi="Arial"/>
      <w:sz w:val="24"/>
    </w:rPr>
  </w:style>
  <w:style w:type="paragraph" w:styleId="Heading1">
    <w:name w:val="heading 1"/>
    <w:basedOn w:val="Normal"/>
    <w:next w:val="Normal"/>
    <w:link w:val="Heading1Char"/>
    <w:uiPriority w:val="9"/>
    <w:qFormat/>
    <w:rsid w:val="00811394"/>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811394"/>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811394"/>
    <w:pPr>
      <w:keepNext/>
      <w:keepLines/>
      <w:spacing w:before="120" w:after="0"/>
      <w:outlineLvl w:val="2"/>
    </w:pPr>
    <w:rPr>
      <w:rFonts w:asciiTheme="majorHAnsi" w:eastAsiaTheme="majorEastAsia" w:hAnsiTheme="majorHAnsi" w:cstheme="majorBidi"/>
      <w:spacing w:val="4"/>
      <w:szCs w:val="24"/>
    </w:rPr>
  </w:style>
  <w:style w:type="paragraph" w:styleId="Heading4">
    <w:name w:val="heading 4"/>
    <w:basedOn w:val="Normal"/>
    <w:next w:val="Normal"/>
    <w:link w:val="Heading4Char"/>
    <w:uiPriority w:val="9"/>
    <w:semiHidden/>
    <w:unhideWhenUsed/>
    <w:qFormat/>
    <w:rsid w:val="0081139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81139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81139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81139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81139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81139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11394"/>
    <w:rPr>
      <w:rFonts w:asciiTheme="majorHAnsi" w:eastAsiaTheme="majorEastAsia" w:hAnsiTheme="majorHAnsi" w:cstheme="majorBidi"/>
      <w:spacing w:val="4"/>
      <w:sz w:val="24"/>
      <w:szCs w:val="24"/>
    </w:rPr>
  </w:style>
  <w:style w:type="paragraph" w:styleId="NormalWeb">
    <w:name w:val="Normal (Web)"/>
    <w:basedOn w:val="Normal"/>
    <w:uiPriority w:val="99"/>
    <w:semiHidden/>
    <w:unhideWhenUsed/>
    <w:rsid w:val="00527ADA"/>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811394"/>
    <w:rPr>
      <w:b/>
      <w:bCs/>
      <w:color w:val="auto"/>
    </w:rPr>
  </w:style>
  <w:style w:type="character" w:styleId="Emphasis">
    <w:name w:val="Emphasis"/>
    <w:basedOn w:val="DefaultParagraphFont"/>
    <w:uiPriority w:val="20"/>
    <w:qFormat/>
    <w:rsid w:val="00811394"/>
    <w:rPr>
      <w:i/>
      <w:iCs/>
      <w:color w:val="auto"/>
    </w:rPr>
  </w:style>
  <w:style w:type="character" w:styleId="Hyperlink">
    <w:name w:val="Hyperlink"/>
    <w:basedOn w:val="DefaultParagraphFont"/>
    <w:uiPriority w:val="99"/>
    <w:unhideWhenUsed/>
    <w:rsid w:val="00527ADA"/>
    <w:rPr>
      <w:color w:val="0000FF"/>
      <w:u w:val="single"/>
    </w:rPr>
  </w:style>
  <w:style w:type="character" w:customStyle="1" w:styleId="Heading1Char">
    <w:name w:val="Heading 1 Char"/>
    <w:basedOn w:val="DefaultParagraphFont"/>
    <w:link w:val="Heading1"/>
    <w:uiPriority w:val="9"/>
    <w:rsid w:val="0081139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811394"/>
    <w:rPr>
      <w:rFonts w:asciiTheme="majorHAnsi" w:eastAsiaTheme="majorEastAsia" w:hAnsiTheme="majorHAnsi" w:cstheme="majorBidi"/>
      <w:b/>
      <w:bCs/>
      <w:sz w:val="28"/>
      <w:szCs w:val="28"/>
    </w:rPr>
  </w:style>
  <w:style w:type="table" w:styleId="TableGrid">
    <w:name w:val="Table Grid"/>
    <w:basedOn w:val="TableNormal"/>
    <w:uiPriority w:val="39"/>
    <w:rsid w:val="008113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1394"/>
    <w:pPr>
      <w:ind w:left="720"/>
      <w:contextualSpacing/>
    </w:pPr>
  </w:style>
  <w:style w:type="paragraph" w:styleId="Header">
    <w:name w:val="header"/>
    <w:basedOn w:val="Normal"/>
    <w:link w:val="HeaderChar"/>
    <w:uiPriority w:val="99"/>
    <w:unhideWhenUsed/>
    <w:rsid w:val="008113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1394"/>
  </w:style>
  <w:style w:type="paragraph" w:styleId="Footer">
    <w:name w:val="footer"/>
    <w:basedOn w:val="Normal"/>
    <w:link w:val="FooterChar"/>
    <w:uiPriority w:val="99"/>
    <w:unhideWhenUsed/>
    <w:rsid w:val="008113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1394"/>
  </w:style>
  <w:style w:type="table" w:customStyle="1" w:styleId="TableGrid0">
    <w:name w:val="TableGrid"/>
    <w:rsid w:val="00811394"/>
    <w:pPr>
      <w:spacing w:after="0" w:line="240" w:lineRule="auto"/>
    </w:p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811394"/>
    <w:pPr>
      <w:outlineLvl w:val="9"/>
    </w:pPr>
  </w:style>
  <w:style w:type="paragraph" w:styleId="TOC1">
    <w:name w:val="toc 1"/>
    <w:basedOn w:val="Normal"/>
    <w:next w:val="Normal"/>
    <w:autoRedefine/>
    <w:uiPriority w:val="39"/>
    <w:unhideWhenUsed/>
    <w:rsid w:val="00811394"/>
    <w:pPr>
      <w:spacing w:after="100"/>
    </w:pPr>
  </w:style>
  <w:style w:type="paragraph" w:styleId="TOC2">
    <w:name w:val="toc 2"/>
    <w:basedOn w:val="Normal"/>
    <w:next w:val="Normal"/>
    <w:autoRedefine/>
    <w:uiPriority w:val="39"/>
    <w:unhideWhenUsed/>
    <w:rsid w:val="00811394"/>
    <w:pPr>
      <w:spacing w:after="100"/>
      <w:ind w:left="220"/>
    </w:pPr>
  </w:style>
  <w:style w:type="character" w:customStyle="1" w:styleId="Heading4Char">
    <w:name w:val="Heading 4 Char"/>
    <w:basedOn w:val="DefaultParagraphFont"/>
    <w:link w:val="Heading4"/>
    <w:uiPriority w:val="9"/>
    <w:semiHidden/>
    <w:rsid w:val="0081139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81139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81139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811394"/>
    <w:rPr>
      <w:i/>
      <w:iCs/>
    </w:rPr>
  </w:style>
  <w:style w:type="character" w:customStyle="1" w:styleId="Heading8Char">
    <w:name w:val="Heading 8 Char"/>
    <w:basedOn w:val="DefaultParagraphFont"/>
    <w:link w:val="Heading8"/>
    <w:uiPriority w:val="9"/>
    <w:semiHidden/>
    <w:rsid w:val="00811394"/>
    <w:rPr>
      <w:b/>
      <w:bCs/>
    </w:rPr>
  </w:style>
  <w:style w:type="character" w:customStyle="1" w:styleId="Heading9Char">
    <w:name w:val="Heading 9 Char"/>
    <w:basedOn w:val="DefaultParagraphFont"/>
    <w:link w:val="Heading9"/>
    <w:uiPriority w:val="9"/>
    <w:semiHidden/>
    <w:rsid w:val="00811394"/>
    <w:rPr>
      <w:i/>
      <w:iCs/>
    </w:rPr>
  </w:style>
  <w:style w:type="paragraph" w:styleId="Caption">
    <w:name w:val="caption"/>
    <w:basedOn w:val="Normal"/>
    <w:next w:val="Normal"/>
    <w:uiPriority w:val="35"/>
    <w:semiHidden/>
    <w:unhideWhenUsed/>
    <w:qFormat/>
    <w:rsid w:val="00811394"/>
    <w:rPr>
      <w:b/>
      <w:bCs/>
      <w:sz w:val="18"/>
      <w:szCs w:val="18"/>
    </w:rPr>
  </w:style>
  <w:style w:type="paragraph" w:styleId="Title">
    <w:name w:val="Title"/>
    <w:basedOn w:val="Normal"/>
    <w:next w:val="Normal"/>
    <w:link w:val="TitleChar"/>
    <w:uiPriority w:val="10"/>
    <w:qFormat/>
    <w:rsid w:val="0081139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81139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81139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811394"/>
    <w:rPr>
      <w:rFonts w:asciiTheme="majorHAnsi" w:eastAsiaTheme="majorEastAsia" w:hAnsiTheme="majorHAnsi" w:cstheme="majorBidi"/>
      <w:sz w:val="24"/>
      <w:szCs w:val="24"/>
    </w:rPr>
  </w:style>
  <w:style w:type="paragraph" w:styleId="NoSpacing">
    <w:name w:val="No Spacing"/>
    <w:uiPriority w:val="1"/>
    <w:qFormat/>
    <w:rsid w:val="00811394"/>
    <w:pPr>
      <w:spacing w:after="0" w:line="240" w:lineRule="auto"/>
    </w:pPr>
  </w:style>
  <w:style w:type="paragraph" w:styleId="Quote">
    <w:name w:val="Quote"/>
    <w:basedOn w:val="Normal"/>
    <w:next w:val="Normal"/>
    <w:link w:val="QuoteChar"/>
    <w:uiPriority w:val="29"/>
    <w:qFormat/>
    <w:rsid w:val="00811394"/>
    <w:pPr>
      <w:spacing w:before="200" w:line="264" w:lineRule="auto"/>
      <w:ind w:left="864" w:right="864"/>
      <w:jc w:val="center"/>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811394"/>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81139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81139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811394"/>
    <w:rPr>
      <w:i/>
      <w:iCs/>
      <w:color w:val="auto"/>
    </w:rPr>
  </w:style>
  <w:style w:type="character" w:styleId="IntenseEmphasis">
    <w:name w:val="Intense Emphasis"/>
    <w:basedOn w:val="DefaultParagraphFont"/>
    <w:uiPriority w:val="21"/>
    <w:qFormat/>
    <w:rsid w:val="00811394"/>
    <w:rPr>
      <w:b/>
      <w:bCs/>
      <w:i/>
      <w:iCs/>
      <w:color w:val="auto"/>
    </w:rPr>
  </w:style>
  <w:style w:type="character" w:styleId="SubtleReference">
    <w:name w:val="Subtle Reference"/>
    <w:basedOn w:val="DefaultParagraphFont"/>
    <w:uiPriority w:val="31"/>
    <w:qFormat/>
    <w:rsid w:val="00811394"/>
    <w:rPr>
      <w:smallCaps/>
      <w:color w:val="auto"/>
      <w:u w:val="single" w:color="7F7F7F" w:themeColor="text1" w:themeTint="80"/>
    </w:rPr>
  </w:style>
  <w:style w:type="character" w:styleId="IntenseReference">
    <w:name w:val="Intense Reference"/>
    <w:basedOn w:val="DefaultParagraphFont"/>
    <w:uiPriority w:val="32"/>
    <w:qFormat/>
    <w:rsid w:val="00811394"/>
    <w:rPr>
      <w:b/>
      <w:bCs/>
      <w:smallCaps/>
      <w:color w:val="auto"/>
      <w:u w:val="single"/>
    </w:rPr>
  </w:style>
  <w:style w:type="character" w:styleId="BookTitle">
    <w:name w:val="Book Title"/>
    <w:basedOn w:val="DefaultParagraphFont"/>
    <w:uiPriority w:val="33"/>
    <w:qFormat/>
    <w:rsid w:val="00811394"/>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775083">
      <w:bodyDiv w:val="1"/>
      <w:marLeft w:val="0"/>
      <w:marRight w:val="0"/>
      <w:marTop w:val="0"/>
      <w:marBottom w:val="0"/>
      <w:divBdr>
        <w:top w:val="none" w:sz="0" w:space="0" w:color="auto"/>
        <w:left w:val="none" w:sz="0" w:space="0" w:color="auto"/>
        <w:bottom w:val="none" w:sz="0" w:space="0" w:color="auto"/>
        <w:right w:val="none" w:sz="0" w:space="0" w:color="auto"/>
      </w:divBdr>
    </w:div>
    <w:div w:id="311637687">
      <w:bodyDiv w:val="1"/>
      <w:marLeft w:val="0"/>
      <w:marRight w:val="0"/>
      <w:marTop w:val="0"/>
      <w:marBottom w:val="0"/>
      <w:divBdr>
        <w:top w:val="none" w:sz="0" w:space="0" w:color="auto"/>
        <w:left w:val="none" w:sz="0" w:space="0" w:color="auto"/>
        <w:bottom w:val="none" w:sz="0" w:space="0" w:color="auto"/>
        <w:right w:val="none" w:sz="0" w:space="0" w:color="auto"/>
      </w:divBdr>
    </w:div>
    <w:div w:id="383408682">
      <w:bodyDiv w:val="1"/>
      <w:marLeft w:val="0"/>
      <w:marRight w:val="0"/>
      <w:marTop w:val="0"/>
      <w:marBottom w:val="0"/>
      <w:divBdr>
        <w:top w:val="none" w:sz="0" w:space="0" w:color="auto"/>
        <w:left w:val="none" w:sz="0" w:space="0" w:color="auto"/>
        <w:bottom w:val="none" w:sz="0" w:space="0" w:color="auto"/>
        <w:right w:val="none" w:sz="0" w:space="0" w:color="auto"/>
      </w:divBdr>
    </w:div>
    <w:div w:id="1216547414">
      <w:bodyDiv w:val="1"/>
      <w:marLeft w:val="0"/>
      <w:marRight w:val="0"/>
      <w:marTop w:val="0"/>
      <w:marBottom w:val="0"/>
      <w:divBdr>
        <w:top w:val="none" w:sz="0" w:space="0" w:color="auto"/>
        <w:left w:val="none" w:sz="0" w:space="0" w:color="auto"/>
        <w:bottom w:val="none" w:sz="0" w:space="0" w:color="auto"/>
        <w:right w:val="none" w:sz="0" w:space="0" w:color="auto"/>
      </w:divBdr>
    </w:div>
    <w:div w:id="1562517993">
      <w:bodyDiv w:val="1"/>
      <w:marLeft w:val="0"/>
      <w:marRight w:val="0"/>
      <w:marTop w:val="0"/>
      <w:marBottom w:val="0"/>
      <w:divBdr>
        <w:top w:val="none" w:sz="0" w:space="0" w:color="auto"/>
        <w:left w:val="none" w:sz="0" w:space="0" w:color="auto"/>
        <w:bottom w:val="none" w:sz="0" w:space="0" w:color="auto"/>
        <w:right w:val="none" w:sz="0" w:space="0" w:color="auto"/>
      </w:divBdr>
    </w:div>
    <w:div w:id="211277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planning.org/publications/document/9148666/" TargetMode="External"/><Relationship Id="rId18" Type="http://schemas.openxmlformats.org/officeDocument/2006/relationships/hyperlink" Target="https://publicspaces.ca/park-governance-model-research-projec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nrpa.org/contentassets/19b3cbe05a634d5e8d3b712dbc8aa9d0/community-engagement-guide-nrpa.pdf" TargetMode="External"/><Relationship Id="rId2" Type="http://schemas.openxmlformats.org/officeDocument/2006/relationships/numbering" Target="numbering.xml"/><Relationship Id="rId16" Type="http://schemas.openxmlformats.org/officeDocument/2006/relationships/hyperlink" Target="https://uclpress.co.uk/book/engaged-urban-pedagog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link.springer.com/book/10.1007/978-3-030-28014-7" TargetMode="External"/><Relationship Id="rId10" Type="http://schemas.openxmlformats.org/officeDocument/2006/relationships/diagramQuickStyle" Target="diagrams/quickStyle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taylorfrancis.com/books/mono/10.4324/9781003334736/urban-enlightenment-shane-epting"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A2547E-5724-466B-A79C-7FC975585FAE}" type="doc">
      <dgm:prSet loTypeId="urn:microsoft.com/office/officeart/2005/8/layout/matrix1" loCatId="matrix" qsTypeId="urn:microsoft.com/office/officeart/2005/8/quickstyle/3d1" qsCatId="3D" csTypeId="urn:microsoft.com/office/officeart/2005/8/colors/colorful5" csCatId="colorful" phldr="1"/>
      <dgm:spPr/>
      <dgm:t>
        <a:bodyPr/>
        <a:lstStyle/>
        <a:p>
          <a:endParaRPr lang="en-US"/>
        </a:p>
      </dgm:t>
    </dgm:pt>
    <dgm:pt modelId="{194296F1-724E-416B-9079-A0CD6A9C9DC6}">
      <dgm:prSet phldrT="[Text]"/>
      <dgm:spPr/>
      <dgm:t>
        <a:bodyPr/>
        <a:lstStyle/>
        <a:p>
          <a:r>
            <a:rPr lang="en-US"/>
            <a:t>Stakeholder Mapping</a:t>
          </a:r>
        </a:p>
      </dgm:t>
    </dgm:pt>
    <dgm:pt modelId="{B6DE5F59-5360-4D3F-A019-C045DA947556}" type="parTrans" cxnId="{7F1B07B3-FDB7-414B-82B1-4A81A8420725}">
      <dgm:prSet/>
      <dgm:spPr/>
      <dgm:t>
        <a:bodyPr/>
        <a:lstStyle/>
        <a:p>
          <a:endParaRPr lang="en-US"/>
        </a:p>
      </dgm:t>
    </dgm:pt>
    <dgm:pt modelId="{A0AF82D7-EB86-427C-8152-2BB9D9BEB858}" type="sibTrans" cxnId="{7F1B07B3-FDB7-414B-82B1-4A81A8420725}">
      <dgm:prSet/>
      <dgm:spPr/>
      <dgm:t>
        <a:bodyPr/>
        <a:lstStyle/>
        <a:p>
          <a:endParaRPr lang="en-US"/>
        </a:p>
      </dgm:t>
    </dgm:pt>
    <dgm:pt modelId="{3EC55DE0-9765-42F1-8DDA-30EF33E32B68}">
      <dgm:prSet phldrT="[Text]"/>
      <dgm:spPr/>
      <dgm:t>
        <a:bodyPr/>
        <a:lstStyle/>
        <a:p>
          <a:r>
            <a:rPr lang="en-US"/>
            <a:t>Manage Closely</a:t>
          </a:r>
        </a:p>
      </dgm:t>
    </dgm:pt>
    <dgm:pt modelId="{BF039268-E197-4348-8AA7-FB401D4459D7}" type="parTrans" cxnId="{0133E028-159B-48F9-AB4E-6D63838CAD11}">
      <dgm:prSet/>
      <dgm:spPr/>
      <dgm:t>
        <a:bodyPr/>
        <a:lstStyle/>
        <a:p>
          <a:endParaRPr lang="en-US"/>
        </a:p>
      </dgm:t>
    </dgm:pt>
    <dgm:pt modelId="{AB78A865-52DD-42EB-B36F-9B0FC207883D}" type="sibTrans" cxnId="{0133E028-159B-48F9-AB4E-6D63838CAD11}">
      <dgm:prSet/>
      <dgm:spPr/>
      <dgm:t>
        <a:bodyPr/>
        <a:lstStyle/>
        <a:p>
          <a:endParaRPr lang="en-US"/>
        </a:p>
      </dgm:t>
    </dgm:pt>
    <dgm:pt modelId="{D0CEB234-4CC8-43BC-BBFC-0999E4DCC200}">
      <dgm:prSet phldrT="[Text]"/>
      <dgm:spPr/>
      <dgm:t>
        <a:bodyPr/>
        <a:lstStyle/>
        <a:p>
          <a:r>
            <a:rPr lang="en-US"/>
            <a:t>Keep Satisfied</a:t>
          </a:r>
        </a:p>
      </dgm:t>
    </dgm:pt>
    <dgm:pt modelId="{82880CE0-DEB1-4EE7-8389-5E6A7C783EE8}" type="parTrans" cxnId="{7D4D27AD-1858-4852-8D32-A5871E16936A}">
      <dgm:prSet/>
      <dgm:spPr/>
      <dgm:t>
        <a:bodyPr/>
        <a:lstStyle/>
        <a:p>
          <a:endParaRPr lang="en-US"/>
        </a:p>
      </dgm:t>
    </dgm:pt>
    <dgm:pt modelId="{EAD401F6-65B6-4AF3-8D5D-A7BF760B56FE}" type="sibTrans" cxnId="{7D4D27AD-1858-4852-8D32-A5871E16936A}">
      <dgm:prSet/>
      <dgm:spPr/>
      <dgm:t>
        <a:bodyPr/>
        <a:lstStyle/>
        <a:p>
          <a:endParaRPr lang="en-US"/>
        </a:p>
      </dgm:t>
    </dgm:pt>
    <dgm:pt modelId="{492C78C6-405A-486C-88FE-09F462164897}">
      <dgm:prSet phldrT="[Text]"/>
      <dgm:spPr/>
      <dgm:t>
        <a:bodyPr/>
        <a:lstStyle/>
        <a:p>
          <a:r>
            <a:rPr lang="en-US"/>
            <a:t>Keep Informed</a:t>
          </a:r>
        </a:p>
      </dgm:t>
    </dgm:pt>
    <dgm:pt modelId="{5932BC49-30C9-4AD9-864F-E465D2E085CB}" type="parTrans" cxnId="{7DBC6C05-B423-464A-AFFD-7E81DE9B7983}">
      <dgm:prSet/>
      <dgm:spPr/>
      <dgm:t>
        <a:bodyPr/>
        <a:lstStyle/>
        <a:p>
          <a:endParaRPr lang="en-US"/>
        </a:p>
      </dgm:t>
    </dgm:pt>
    <dgm:pt modelId="{4379FBDE-2869-4A09-8F1E-7EB87BDF904E}" type="sibTrans" cxnId="{7DBC6C05-B423-464A-AFFD-7E81DE9B7983}">
      <dgm:prSet/>
      <dgm:spPr/>
      <dgm:t>
        <a:bodyPr/>
        <a:lstStyle/>
        <a:p>
          <a:endParaRPr lang="en-US"/>
        </a:p>
      </dgm:t>
    </dgm:pt>
    <dgm:pt modelId="{D2A35508-81AD-4171-B6AB-9D66FA983C98}">
      <dgm:prSet phldrT="[Text]"/>
      <dgm:spPr/>
      <dgm:t>
        <a:bodyPr/>
        <a:lstStyle/>
        <a:p>
          <a:r>
            <a:rPr lang="en-US"/>
            <a:t>Monitor</a:t>
          </a:r>
        </a:p>
      </dgm:t>
    </dgm:pt>
    <dgm:pt modelId="{D276E2F8-F3AA-4486-9542-3D50B17A82C7}" type="parTrans" cxnId="{8CEED16F-20E4-47AD-ABEC-7AB602ECABE2}">
      <dgm:prSet/>
      <dgm:spPr/>
      <dgm:t>
        <a:bodyPr/>
        <a:lstStyle/>
        <a:p>
          <a:endParaRPr lang="en-US"/>
        </a:p>
      </dgm:t>
    </dgm:pt>
    <dgm:pt modelId="{B9356F53-114B-457F-85D0-BFF620BB64BE}" type="sibTrans" cxnId="{8CEED16F-20E4-47AD-ABEC-7AB602ECABE2}">
      <dgm:prSet/>
      <dgm:spPr/>
      <dgm:t>
        <a:bodyPr/>
        <a:lstStyle/>
        <a:p>
          <a:endParaRPr lang="en-US"/>
        </a:p>
      </dgm:t>
    </dgm:pt>
    <dgm:pt modelId="{E07094A7-FF7D-4F97-8473-6DFAAE4EB7C5}" type="pres">
      <dgm:prSet presAssocID="{0AA2547E-5724-466B-A79C-7FC975585FAE}" presName="diagram" presStyleCnt="0">
        <dgm:presLayoutVars>
          <dgm:chMax val="1"/>
          <dgm:dir/>
          <dgm:animLvl val="ctr"/>
          <dgm:resizeHandles val="exact"/>
        </dgm:presLayoutVars>
      </dgm:prSet>
      <dgm:spPr/>
    </dgm:pt>
    <dgm:pt modelId="{47A45485-A9D5-43F0-BA26-544D587E0A7F}" type="pres">
      <dgm:prSet presAssocID="{0AA2547E-5724-466B-A79C-7FC975585FAE}" presName="matrix" presStyleCnt="0"/>
      <dgm:spPr/>
    </dgm:pt>
    <dgm:pt modelId="{0A6C2C31-6F5D-4DA7-906C-ACE19B36FE71}" type="pres">
      <dgm:prSet presAssocID="{0AA2547E-5724-466B-A79C-7FC975585FAE}" presName="tile1" presStyleLbl="node1" presStyleIdx="0" presStyleCnt="4"/>
      <dgm:spPr/>
    </dgm:pt>
    <dgm:pt modelId="{B2C6D6BD-CF37-4086-A57F-98F298E7EE16}" type="pres">
      <dgm:prSet presAssocID="{0AA2547E-5724-466B-A79C-7FC975585FAE}" presName="tile1text" presStyleLbl="node1" presStyleIdx="0" presStyleCnt="4">
        <dgm:presLayoutVars>
          <dgm:chMax val="0"/>
          <dgm:chPref val="0"/>
          <dgm:bulletEnabled val="1"/>
        </dgm:presLayoutVars>
      </dgm:prSet>
      <dgm:spPr/>
    </dgm:pt>
    <dgm:pt modelId="{67D06E0D-DB47-4086-9D27-D0A2DB572B1D}" type="pres">
      <dgm:prSet presAssocID="{0AA2547E-5724-466B-A79C-7FC975585FAE}" presName="tile2" presStyleLbl="node1" presStyleIdx="1" presStyleCnt="4"/>
      <dgm:spPr/>
    </dgm:pt>
    <dgm:pt modelId="{3C125469-0B73-4443-A9E2-91AB14268562}" type="pres">
      <dgm:prSet presAssocID="{0AA2547E-5724-466B-A79C-7FC975585FAE}" presName="tile2text" presStyleLbl="node1" presStyleIdx="1" presStyleCnt="4">
        <dgm:presLayoutVars>
          <dgm:chMax val="0"/>
          <dgm:chPref val="0"/>
          <dgm:bulletEnabled val="1"/>
        </dgm:presLayoutVars>
      </dgm:prSet>
      <dgm:spPr/>
    </dgm:pt>
    <dgm:pt modelId="{1A6895FD-5BC9-4147-BA7C-37D2876EA5D9}" type="pres">
      <dgm:prSet presAssocID="{0AA2547E-5724-466B-A79C-7FC975585FAE}" presName="tile3" presStyleLbl="node1" presStyleIdx="2" presStyleCnt="4"/>
      <dgm:spPr/>
    </dgm:pt>
    <dgm:pt modelId="{3C4F3C10-7573-45C8-AEBA-7F8EB7635D16}" type="pres">
      <dgm:prSet presAssocID="{0AA2547E-5724-466B-A79C-7FC975585FAE}" presName="tile3text" presStyleLbl="node1" presStyleIdx="2" presStyleCnt="4">
        <dgm:presLayoutVars>
          <dgm:chMax val="0"/>
          <dgm:chPref val="0"/>
          <dgm:bulletEnabled val="1"/>
        </dgm:presLayoutVars>
      </dgm:prSet>
      <dgm:spPr/>
    </dgm:pt>
    <dgm:pt modelId="{29D1F915-0F3A-4F1C-9D24-36FBDF6AFA20}" type="pres">
      <dgm:prSet presAssocID="{0AA2547E-5724-466B-A79C-7FC975585FAE}" presName="tile4" presStyleLbl="node1" presStyleIdx="3" presStyleCnt="4"/>
      <dgm:spPr/>
    </dgm:pt>
    <dgm:pt modelId="{09D35455-040A-4F23-B064-D4A31F36DBE9}" type="pres">
      <dgm:prSet presAssocID="{0AA2547E-5724-466B-A79C-7FC975585FAE}" presName="tile4text" presStyleLbl="node1" presStyleIdx="3" presStyleCnt="4">
        <dgm:presLayoutVars>
          <dgm:chMax val="0"/>
          <dgm:chPref val="0"/>
          <dgm:bulletEnabled val="1"/>
        </dgm:presLayoutVars>
      </dgm:prSet>
      <dgm:spPr/>
    </dgm:pt>
    <dgm:pt modelId="{53F54293-D3CF-4B66-BFE9-0F0A40C3AF5A}" type="pres">
      <dgm:prSet presAssocID="{0AA2547E-5724-466B-A79C-7FC975585FAE}" presName="centerTile" presStyleLbl="fgShp" presStyleIdx="0" presStyleCnt="1">
        <dgm:presLayoutVars>
          <dgm:chMax val="0"/>
          <dgm:chPref val="0"/>
        </dgm:presLayoutVars>
      </dgm:prSet>
      <dgm:spPr/>
    </dgm:pt>
  </dgm:ptLst>
  <dgm:cxnLst>
    <dgm:cxn modelId="{7DBC6C05-B423-464A-AFFD-7E81DE9B7983}" srcId="{194296F1-724E-416B-9079-A0CD6A9C9DC6}" destId="{492C78C6-405A-486C-88FE-09F462164897}" srcOrd="2" destOrd="0" parTransId="{5932BC49-30C9-4AD9-864F-E465D2E085CB}" sibTransId="{4379FBDE-2869-4A09-8F1E-7EB87BDF904E}"/>
    <dgm:cxn modelId="{BC8A370D-06B3-4E5B-ABA8-DB2538695520}" type="presOf" srcId="{0AA2547E-5724-466B-A79C-7FC975585FAE}" destId="{E07094A7-FF7D-4F97-8473-6DFAAE4EB7C5}" srcOrd="0" destOrd="0" presId="urn:microsoft.com/office/officeart/2005/8/layout/matrix1"/>
    <dgm:cxn modelId="{5EDBD626-D1F5-40D5-81DD-02BC5DB0996E}" type="presOf" srcId="{D2A35508-81AD-4171-B6AB-9D66FA983C98}" destId="{29D1F915-0F3A-4F1C-9D24-36FBDF6AFA20}" srcOrd="0" destOrd="0" presId="urn:microsoft.com/office/officeart/2005/8/layout/matrix1"/>
    <dgm:cxn modelId="{77125628-DC6F-47AA-A820-768573D05F2A}" type="presOf" srcId="{D2A35508-81AD-4171-B6AB-9D66FA983C98}" destId="{09D35455-040A-4F23-B064-D4A31F36DBE9}" srcOrd="1" destOrd="0" presId="urn:microsoft.com/office/officeart/2005/8/layout/matrix1"/>
    <dgm:cxn modelId="{0133E028-159B-48F9-AB4E-6D63838CAD11}" srcId="{194296F1-724E-416B-9079-A0CD6A9C9DC6}" destId="{3EC55DE0-9765-42F1-8DDA-30EF33E32B68}" srcOrd="0" destOrd="0" parTransId="{BF039268-E197-4348-8AA7-FB401D4459D7}" sibTransId="{AB78A865-52DD-42EB-B36F-9B0FC207883D}"/>
    <dgm:cxn modelId="{8CEED16F-20E4-47AD-ABEC-7AB602ECABE2}" srcId="{194296F1-724E-416B-9079-A0CD6A9C9DC6}" destId="{D2A35508-81AD-4171-B6AB-9D66FA983C98}" srcOrd="3" destOrd="0" parTransId="{D276E2F8-F3AA-4486-9542-3D50B17A82C7}" sibTransId="{B9356F53-114B-457F-85D0-BFF620BB64BE}"/>
    <dgm:cxn modelId="{F454EF78-C7E0-4FA3-8ED0-B658A2707FBC}" type="presOf" srcId="{D0CEB234-4CC8-43BC-BBFC-0999E4DCC200}" destId="{67D06E0D-DB47-4086-9D27-D0A2DB572B1D}" srcOrd="0" destOrd="0" presId="urn:microsoft.com/office/officeart/2005/8/layout/matrix1"/>
    <dgm:cxn modelId="{AB77607C-6673-4107-A9B9-1C5AC244EAA3}" type="presOf" srcId="{3EC55DE0-9765-42F1-8DDA-30EF33E32B68}" destId="{B2C6D6BD-CF37-4086-A57F-98F298E7EE16}" srcOrd="1" destOrd="0" presId="urn:microsoft.com/office/officeart/2005/8/layout/matrix1"/>
    <dgm:cxn modelId="{54798489-FF03-4430-8431-3A5ED2FE4C0C}" type="presOf" srcId="{492C78C6-405A-486C-88FE-09F462164897}" destId="{1A6895FD-5BC9-4147-BA7C-37D2876EA5D9}" srcOrd="0" destOrd="0" presId="urn:microsoft.com/office/officeart/2005/8/layout/matrix1"/>
    <dgm:cxn modelId="{FD4EA88B-B485-43B8-B43B-93FB51AE3D54}" type="presOf" srcId="{3EC55DE0-9765-42F1-8DDA-30EF33E32B68}" destId="{0A6C2C31-6F5D-4DA7-906C-ACE19B36FE71}" srcOrd="0" destOrd="0" presId="urn:microsoft.com/office/officeart/2005/8/layout/matrix1"/>
    <dgm:cxn modelId="{F6920491-3CAB-4919-8A2E-3A771285F1C4}" type="presOf" srcId="{194296F1-724E-416B-9079-A0CD6A9C9DC6}" destId="{53F54293-D3CF-4B66-BFE9-0F0A40C3AF5A}" srcOrd="0" destOrd="0" presId="urn:microsoft.com/office/officeart/2005/8/layout/matrix1"/>
    <dgm:cxn modelId="{7D4D27AD-1858-4852-8D32-A5871E16936A}" srcId="{194296F1-724E-416B-9079-A0CD6A9C9DC6}" destId="{D0CEB234-4CC8-43BC-BBFC-0999E4DCC200}" srcOrd="1" destOrd="0" parTransId="{82880CE0-DEB1-4EE7-8389-5E6A7C783EE8}" sibTransId="{EAD401F6-65B6-4AF3-8D5D-A7BF760B56FE}"/>
    <dgm:cxn modelId="{7F1B07B3-FDB7-414B-82B1-4A81A8420725}" srcId="{0AA2547E-5724-466B-A79C-7FC975585FAE}" destId="{194296F1-724E-416B-9079-A0CD6A9C9DC6}" srcOrd="0" destOrd="0" parTransId="{B6DE5F59-5360-4D3F-A019-C045DA947556}" sibTransId="{A0AF82D7-EB86-427C-8152-2BB9D9BEB858}"/>
    <dgm:cxn modelId="{147353CE-953E-465C-A29A-49993B2502DC}" type="presOf" srcId="{492C78C6-405A-486C-88FE-09F462164897}" destId="{3C4F3C10-7573-45C8-AEBA-7F8EB7635D16}" srcOrd="1" destOrd="0" presId="urn:microsoft.com/office/officeart/2005/8/layout/matrix1"/>
    <dgm:cxn modelId="{F91A4DFF-8217-4AD7-9124-D756E303E83A}" type="presOf" srcId="{D0CEB234-4CC8-43BC-BBFC-0999E4DCC200}" destId="{3C125469-0B73-4443-A9E2-91AB14268562}" srcOrd="1" destOrd="0" presId="urn:microsoft.com/office/officeart/2005/8/layout/matrix1"/>
    <dgm:cxn modelId="{836A23DC-25D5-4012-9392-38797B945868}" type="presParOf" srcId="{E07094A7-FF7D-4F97-8473-6DFAAE4EB7C5}" destId="{47A45485-A9D5-43F0-BA26-544D587E0A7F}" srcOrd="0" destOrd="0" presId="urn:microsoft.com/office/officeart/2005/8/layout/matrix1"/>
    <dgm:cxn modelId="{66A888CE-F8CE-472F-80D0-EF4FC8200202}" type="presParOf" srcId="{47A45485-A9D5-43F0-BA26-544D587E0A7F}" destId="{0A6C2C31-6F5D-4DA7-906C-ACE19B36FE71}" srcOrd="0" destOrd="0" presId="urn:microsoft.com/office/officeart/2005/8/layout/matrix1"/>
    <dgm:cxn modelId="{AF640BBA-5E06-4310-A5B6-67FDB9C61AF6}" type="presParOf" srcId="{47A45485-A9D5-43F0-BA26-544D587E0A7F}" destId="{B2C6D6BD-CF37-4086-A57F-98F298E7EE16}" srcOrd="1" destOrd="0" presId="urn:microsoft.com/office/officeart/2005/8/layout/matrix1"/>
    <dgm:cxn modelId="{0C188C0B-916F-4E25-A66C-2523447B41C3}" type="presParOf" srcId="{47A45485-A9D5-43F0-BA26-544D587E0A7F}" destId="{67D06E0D-DB47-4086-9D27-D0A2DB572B1D}" srcOrd="2" destOrd="0" presId="urn:microsoft.com/office/officeart/2005/8/layout/matrix1"/>
    <dgm:cxn modelId="{7DD52A12-40E1-4A08-A736-EAC00B9504C3}" type="presParOf" srcId="{47A45485-A9D5-43F0-BA26-544D587E0A7F}" destId="{3C125469-0B73-4443-A9E2-91AB14268562}" srcOrd="3" destOrd="0" presId="urn:microsoft.com/office/officeart/2005/8/layout/matrix1"/>
    <dgm:cxn modelId="{0B257FA3-8746-45EC-94E4-80DE2D88C783}" type="presParOf" srcId="{47A45485-A9D5-43F0-BA26-544D587E0A7F}" destId="{1A6895FD-5BC9-4147-BA7C-37D2876EA5D9}" srcOrd="4" destOrd="0" presId="urn:microsoft.com/office/officeart/2005/8/layout/matrix1"/>
    <dgm:cxn modelId="{67A6A6DC-8FC9-4EEB-9B74-F8A024603E64}" type="presParOf" srcId="{47A45485-A9D5-43F0-BA26-544D587E0A7F}" destId="{3C4F3C10-7573-45C8-AEBA-7F8EB7635D16}" srcOrd="5" destOrd="0" presId="urn:microsoft.com/office/officeart/2005/8/layout/matrix1"/>
    <dgm:cxn modelId="{38BC8F64-FB99-44C6-BB4D-9DA7D0D04F5D}" type="presParOf" srcId="{47A45485-A9D5-43F0-BA26-544D587E0A7F}" destId="{29D1F915-0F3A-4F1C-9D24-36FBDF6AFA20}" srcOrd="6" destOrd="0" presId="urn:microsoft.com/office/officeart/2005/8/layout/matrix1"/>
    <dgm:cxn modelId="{6B51AA25-EC52-4DAE-80A5-74DB94BF4DE6}" type="presParOf" srcId="{47A45485-A9D5-43F0-BA26-544D587E0A7F}" destId="{09D35455-040A-4F23-B064-D4A31F36DBE9}" srcOrd="7" destOrd="0" presId="urn:microsoft.com/office/officeart/2005/8/layout/matrix1"/>
    <dgm:cxn modelId="{3A573932-AE7D-4E08-8FF4-DBE941A405AC}" type="presParOf" srcId="{E07094A7-FF7D-4F97-8473-6DFAAE4EB7C5}" destId="{53F54293-D3CF-4B66-BFE9-0F0A40C3AF5A}"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6C2C31-6F5D-4DA7-906C-ACE19B36FE71}">
      <dsp:nvSpPr>
        <dsp:cNvPr id="0" name=""/>
        <dsp:cNvSpPr/>
      </dsp:nvSpPr>
      <dsp:spPr>
        <a:xfrm rot="16200000">
          <a:off x="396240" y="-396240"/>
          <a:ext cx="1173479" cy="1965960"/>
        </a:xfrm>
        <a:prstGeom prst="round1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Manage Closely</a:t>
          </a:r>
        </a:p>
      </dsp:txBody>
      <dsp:txXfrm rot="5400000">
        <a:off x="0" y="0"/>
        <a:ext cx="1965960" cy="880110"/>
      </dsp:txXfrm>
    </dsp:sp>
    <dsp:sp modelId="{67D06E0D-DB47-4086-9D27-D0A2DB572B1D}">
      <dsp:nvSpPr>
        <dsp:cNvPr id="0" name=""/>
        <dsp:cNvSpPr/>
      </dsp:nvSpPr>
      <dsp:spPr>
        <a:xfrm>
          <a:off x="1965960" y="0"/>
          <a:ext cx="1965960" cy="1173479"/>
        </a:xfrm>
        <a:prstGeom prst="round1Rect">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Keep Satisfied</a:t>
          </a:r>
        </a:p>
      </dsp:txBody>
      <dsp:txXfrm>
        <a:off x="1965960" y="0"/>
        <a:ext cx="1965960" cy="880110"/>
      </dsp:txXfrm>
    </dsp:sp>
    <dsp:sp modelId="{1A6895FD-5BC9-4147-BA7C-37D2876EA5D9}">
      <dsp:nvSpPr>
        <dsp:cNvPr id="0" name=""/>
        <dsp:cNvSpPr/>
      </dsp:nvSpPr>
      <dsp:spPr>
        <a:xfrm rot="10800000">
          <a:off x="0" y="1173479"/>
          <a:ext cx="1965960" cy="1173479"/>
        </a:xfrm>
        <a:prstGeom prst="round1Rect">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Keep Informed</a:t>
          </a:r>
        </a:p>
      </dsp:txBody>
      <dsp:txXfrm rot="10800000">
        <a:off x="0" y="1466849"/>
        <a:ext cx="1965960" cy="880110"/>
      </dsp:txXfrm>
    </dsp:sp>
    <dsp:sp modelId="{29D1F915-0F3A-4F1C-9D24-36FBDF6AFA20}">
      <dsp:nvSpPr>
        <dsp:cNvPr id="0" name=""/>
        <dsp:cNvSpPr/>
      </dsp:nvSpPr>
      <dsp:spPr>
        <a:xfrm rot="5400000">
          <a:off x="2362200" y="777239"/>
          <a:ext cx="1173479" cy="1965960"/>
        </a:xfrm>
        <a:prstGeom prst="round1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Monitor</a:t>
          </a:r>
        </a:p>
      </dsp:txBody>
      <dsp:txXfrm rot="-5400000">
        <a:off x="1965960" y="1466849"/>
        <a:ext cx="1965960" cy="880110"/>
      </dsp:txXfrm>
    </dsp:sp>
    <dsp:sp modelId="{53F54293-D3CF-4B66-BFE9-0F0A40C3AF5A}">
      <dsp:nvSpPr>
        <dsp:cNvPr id="0" name=""/>
        <dsp:cNvSpPr/>
      </dsp:nvSpPr>
      <dsp:spPr>
        <a:xfrm>
          <a:off x="1376172" y="880110"/>
          <a:ext cx="1179576" cy="586739"/>
        </a:xfrm>
        <a:prstGeom prst="roundRect">
          <a:avLst/>
        </a:prstGeom>
        <a:solidFill>
          <a:schemeClr val="accent5">
            <a:tint val="40000"/>
            <a:hueOff val="0"/>
            <a:satOff val="0"/>
            <a:lumOff val="0"/>
            <a:alphaOff val="0"/>
          </a:schemeClr>
        </a:solidFill>
        <a:ln>
          <a:noFill/>
        </a:ln>
        <a:effectLst>
          <a:outerShdw blurRad="57150" dist="19050" dir="5400000" algn="ctr" rotWithShape="0">
            <a:srgbClr val="000000">
              <a:alpha val="63000"/>
            </a:srgbClr>
          </a:outerShdw>
        </a:effectLst>
        <a:scene3d>
          <a:camera prst="orthographicFront"/>
          <a:lightRig rig="flat" dir="t"/>
        </a:scene3d>
        <a:sp3d z="190500" prstMaterial="plastic">
          <a:bevelT w="120900" h="88900"/>
          <a:bevelB w="88900" h="31750" prst="angle"/>
        </a:sp3d>
      </dsp:spPr>
      <dsp:style>
        <a:lnRef idx="0">
          <a:scrgbClr r="0" g="0" b="0"/>
        </a:lnRef>
        <a:fillRef idx="1">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Stakeholder Mapping</a:t>
          </a:r>
        </a:p>
      </dsp:txBody>
      <dsp:txXfrm>
        <a:off x="1404814" y="908752"/>
        <a:ext cx="1122292" cy="529455"/>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8751B3-9B98-4A3E-987B-D3AAA8CCF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3701</Words>
  <Characters>21102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Pharma-DM, Sales Admin-Arifur</dc:creator>
  <cp:keywords/>
  <dc:description/>
  <cp:lastModifiedBy>Maki Solomon Mandefro (2442578)</cp:lastModifiedBy>
  <cp:revision>2</cp:revision>
  <dcterms:created xsi:type="dcterms:W3CDTF">2026-04-23T12:27:00Z</dcterms:created>
  <dcterms:modified xsi:type="dcterms:W3CDTF">2026-04-23T12:27:00Z</dcterms:modified>
</cp:coreProperties>
</file>