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E5C3C8" w14:textId="77777777" w:rsidR="00921B70" w:rsidRDefault="00921B70" w:rsidP="00921B70">
      <w:r>
        <w:t>Part B: Financial Analysis</w:t>
      </w:r>
    </w:p>
    <w:p w14:paraId="0F9498CA" w14:textId="77777777" w:rsidR="00921B70" w:rsidRDefault="00921B70" w:rsidP="00921B70">
      <w:r>
        <w:t>Liquidity and Leverage Ratios</w:t>
      </w:r>
    </w:p>
    <w:p w14:paraId="52B63BA6" w14:textId="77777777" w:rsidR="00921B70" w:rsidRDefault="00921B70" w:rsidP="00921B70">
      <w:r>
        <w:t>The following section, through detailed discussion by way of its liquidity and leverage ratios over the last five years, seeks to understand the financial resilience of The Walt Disney Company. The current ratio and quick ratio are the significant two ratios of liquidity, where the company's short-term ability for meeting the obligations can be assessed.</w:t>
      </w:r>
    </w:p>
    <w:p w14:paraId="341B26F9" w14:textId="77777777" w:rsidR="00921B70" w:rsidRDefault="00921B70" w:rsidP="00921B70">
      <w:r>
        <w:t xml:space="preserve"> </w:t>
      </w:r>
    </w:p>
    <w:p w14:paraId="10B2E5DE" w14:textId="77777777" w:rsidR="00921B70" w:rsidRDefault="00921B70" w:rsidP="00921B70">
      <w:r>
        <w:t>On the other side, with the leverages of these two liquidity ratios, fall the debt-to-equity ratio and time interest earned ratio, which gives insights into the degree of debt burden and the ability of the company to cover interest charges out of its earnings. In the current between 2019 and 2023, the current ratio of Disney depicted variations, mainly due to its major acquisitions and transformations in its operational strategy—more so, its current ratio variations to its major acquisitions and transformations in the operational strategy.</w:t>
      </w:r>
    </w:p>
    <w:p w14:paraId="3A292D19" w14:textId="77777777" w:rsidR="00921B70" w:rsidRDefault="00921B70" w:rsidP="00921B70">
      <w:r>
        <w:t xml:space="preserve"> </w:t>
      </w:r>
    </w:p>
    <w:p w14:paraId="58B3DB71" w14:textId="77777777" w:rsidR="00921B70" w:rsidRDefault="00921B70" w:rsidP="00921B70">
      <w:r>
        <w:t xml:space="preserve">For instance, in 2020, the ratio went down since the parks' and resorts' revenues reflected a sharp decline but later increased through the year with the expansion of the company's media service, thereby </w:t>
      </w:r>
      <w:proofErr w:type="spellStart"/>
      <w:r>
        <w:t>stabilizing</w:t>
      </w:r>
      <w:proofErr w:type="spellEnd"/>
      <w:r>
        <w:t xml:space="preserve"> the revenue streams (Disney Annual Reports, 2019-2023). Strategic financing decisions, such as the acquisition of 21st Century Fox and its derivative effects that have both increased Disney's debt load and broadened its asset base and revenue potential, are similarly reflected in Disney's leverage ratios. The debt to equity has gone up post-acquisition, but gradually it has been managed down as the company adjusted its capital structure and improved cash flows through its direct-to-consumer services.</w:t>
      </w:r>
    </w:p>
    <w:p w14:paraId="06F66335" w14:textId="77777777" w:rsidR="00921B70" w:rsidRDefault="00921B70" w:rsidP="00921B70">
      <w:r>
        <w:t xml:space="preserve"> </w:t>
      </w:r>
    </w:p>
    <w:p w14:paraId="3548A3F9" w14:textId="77777777" w:rsidR="00921B70" w:rsidRDefault="00921B70" w:rsidP="00921B70">
      <w:r>
        <w:t>Financial Performance Analysis</w:t>
      </w:r>
    </w:p>
    <w:p w14:paraId="3EC75861" w14:textId="77777777" w:rsidR="00921B70" w:rsidRDefault="00921B70" w:rsidP="00921B70">
      <w:r>
        <w:t>The financial performance of Disney through these ratios really demonstrates a company capable of treading large industry and economic changes. The enhanced liquidity ratios for years 2022 and 2023 will reiterate the phase of recovery consistent with worldwide economic revival tendencies and successful integration of streaming services that diversify the income sources and lower dependency on visitor-based physical revenues. The leverage ratios indicate a strategic use of debt, leveraging it for long-term growth rather than short-term gains. It is this strategic financial management that has enabled Disney to survive not just in business but also to continue investing in technologies and new markets like streaming media, now critical to the Disney business model.</w:t>
      </w:r>
    </w:p>
    <w:p w14:paraId="009661AD" w14:textId="77777777" w:rsidR="00921B70" w:rsidRDefault="00921B70" w:rsidP="00921B70">
      <w:r>
        <w:t xml:space="preserve"> </w:t>
      </w:r>
    </w:p>
    <w:p w14:paraId="242DD48F" w14:textId="77777777" w:rsidR="00921B70" w:rsidRDefault="00921B70" w:rsidP="00921B70">
      <w:r>
        <w:t>Comparison with Competitor</w:t>
      </w:r>
    </w:p>
    <w:p w14:paraId="0D4039F6" w14:textId="77777777" w:rsidR="00921B70" w:rsidRDefault="00921B70" w:rsidP="00921B70">
      <w:r>
        <w:t>Comparing with Comcast Corporation, the closest competitor, the financial metrics show that though both are similarly highly leveraged in debts towards strategic acquisitions, Disney does maintain a more diversified asset portfolio, which helped the liquidity ratio to hold up more firmly. The heavy investment in cable and internet service will make Comcast exhibit a different kind of financial pressure, as shown from its slightly higher leverage but lower liquidity ratios (Comcast Annual Reports, 2019-2023).</w:t>
      </w:r>
    </w:p>
    <w:p w14:paraId="73FC4055" w14:textId="77777777" w:rsidR="00921B70" w:rsidRDefault="00921B70" w:rsidP="00921B70">
      <w:r>
        <w:t xml:space="preserve"> </w:t>
      </w:r>
    </w:p>
    <w:p w14:paraId="2F3CFAA6" w14:textId="77777777" w:rsidR="00921B70" w:rsidRDefault="00921B70" w:rsidP="00921B70">
      <w:r>
        <w:t>Capital Structure Theory Review</w:t>
      </w:r>
    </w:p>
    <w:p w14:paraId="51687477" w14:textId="77777777" w:rsidR="00921B70" w:rsidRDefault="00921B70" w:rsidP="00921B70">
      <w:r>
        <w:t>One of the capital structures theories that may be applied to Disney is the trade-off theory. In fact, the theory postulates that firms trade off tax advantages of additional debt against costs of financial distress (Myers, 1984). From this perspective, I would say that the theory is relevant in trying to analyse Disney, taking into consideration the strategic decisions it makes regarding very large acquisitions and new technology platforms.</w:t>
      </w:r>
    </w:p>
    <w:p w14:paraId="2F48E1FB" w14:textId="77777777" w:rsidR="00921B70" w:rsidRDefault="00921B70" w:rsidP="00921B70">
      <w:r>
        <w:t xml:space="preserve"> </w:t>
      </w:r>
    </w:p>
    <w:p w14:paraId="1A12317A" w14:textId="77777777" w:rsidR="00921B70" w:rsidRDefault="00921B70" w:rsidP="00921B70">
      <w:r>
        <w:t>Application of Theory to Disney</w:t>
      </w:r>
    </w:p>
    <w:p w14:paraId="4700E040" w14:textId="43220712" w:rsidR="00921B70" w:rsidRDefault="00921B70" w:rsidP="00921B70">
      <w:r>
        <w:t>This shows that Disney applies the Trade-Off Theory—the use of debt financing for acquiring assets that provide potential for long-term growth—like 21st Century Fox and the investment in Disney+. The capability of the company to carry a serviceable amount of debt reflects strategic leveraging towards optimising its capital structure, while being able to balance both risks and returns effectively.</w:t>
      </w:r>
    </w:p>
    <w:p w14:paraId="07A7C34E" w14:textId="77777777" w:rsidR="00921B70" w:rsidRDefault="00921B70" w:rsidP="00921B70">
      <w:r>
        <w:t xml:space="preserve"> </w:t>
      </w:r>
    </w:p>
    <w:p w14:paraId="49FC48D3" w14:textId="77777777" w:rsidR="00921B70" w:rsidRDefault="00921B70" w:rsidP="00921B70">
      <w:r>
        <w:t>Share Price Analysis</w:t>
      </w:r>
    </w:p>
    <w:p w14:paraId="6E82970C" w14:textId="77777777" w:rsidR="00921B70" w:rsidRDefault="00921B70" w:rsidP="00921B70">
      <w:r>
        <w:t>Looking at five-year running of Disney's share price, it has been volatile but showed its general trajectory of going upward and, in general, it reflects the general resilience and strategic flexibility of the company. The monthly data of share prices during the last four years, starting in 2019 through 2023, shows it posting very strong losses at the beginning of the pandemic; however, there was a very strong subsequent recovery as the company reoriented focus towards digital streaming and global expansion of focus. Visual aids, such as line graphs that indicate the trends of the prices of shares with respect to time, in relation to the corporate events and financial announcements, would better show how the two affected or drove the market.</w:t>
      </w:r>
    </w:p>
    <w:p w14:paraId="22E9A3BE" w14:textId="77777777" w:rsidR="00921B70" w:rsidRDefault="00921B70" w:rsidP="00921B70">
      <w:r>
        <w:t xml:space="preserve"> </w:t>
      </w:r>
    </w:p>
    <w:p w14:paraId="783B7794" w14:textId="16CBF997" w:rsidR="00921B70" w:rsidRDefault="00921B70" w:rsidP="00921B70">
      <w:r>
        <w:t xml:space="preserve">This detailed financial analysis of The Walt Disney Company gives a good idea of how well capital structure is being used in this giant corporate, which is managed to </w:t>
      </w:r>
      <w:r w:rsidR="00B05EEC">
        <w:t>strategise</w:t>
      </w:r>
      <w:r>
        <w:t xml:space="preserve"> about the best ways so that shareholder value gets enhanced, and sustainability is maintained in the long run. The adaptability of the company in the market with front-strategic planning reflects the numbers and overall performance of the market.</w:t>
      </w:r>
    </w:p>
    <w:p w14:paraId="45C0D22D" w14:textId="77777777" w:rsidR="00921B70" w:rsidRDefault="00921B70"/>
    <w:sectPr w:rsidR="00921B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B70"/>
    <w:rsid w:val="00921B70"/>
    <w:rsid w:val="00B05E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4C6976"/>
  <w15:chartTrackingRefBased/>
  <w15:docId w15:val="{A072EEBE-CC56-F544-AC4B-0116EFA03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1B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1B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1B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1B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1B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1B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1B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1B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1B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B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1B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1B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1B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1B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1B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1B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1B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1B70"/>
    <w:rPr>
      <w:rFonts w:eastAsiaTheme="majorEastAsia" w:cstheme="majorBidi"/>
      <w:color w:val="272727" w:themeColor="text1" w:themeTint="D8"/>
    </w:rPr>
  </w:style>
  <w:style w:type="paragraph" w:styleId="Title">
    <w:name w:val="Title"/>
    <w:basedOn w:val="Normal"/>
    <w:next w:val="Normal"/>
    <w:link w:val="TitleChar"/>
    <w:uiPriority w:val="10"/>
    <w:qFormat/>
    <w:rsid w:val="00921B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1B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1B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1B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1B70"/>
    <w:pPr>
      <w:spacing w:before="160"/>
      <w:jc w:val="center"/>
    </w:pPr>
    <w:rPr>
      <w:i/>
      <w:iCs/>
      <w:color w:val="404040" w:themeColor="text1" w:themeTint="BF"/>
    </w:rPr>
  </w:style>
  <w:style w:type="character" w:customStyle="1" w:styleId="QuoteChar">
    <w:name w:val="Quote Char"/>
    <w:basedOn w:val="DefaultParagraphFont"/>
    <w:link w:val="Quote"/>
    <w:uiPriority w:val="29"/>
    <w:rsid w:val="00921B70"/>
    <w:rPr>
      <w:i/>
      <w:iCs/>
      <w:color w:val="404040" w:themeColor="text1" w:themeTint="BF"/>
    </w:rPr>
  </w:style>
  <w:style w:type="paragraph" w:styleId="ListParagraph">
    <w:name w:val="List Paragraph"/>
    <w:basedOn w:val="Normal"/>
    <w:uiPriority w:val="34"/>
    <w:qFormat/>
    <w:rsid w:val="00921B70"/>
    <w:pPr>
      <w:ind w:left="720"/>
      <w:contextualSpacing/>
    </w:pPr>
  </w:style>
  <w:style w:type="character" w:styleId="IntenseEmphasis">
    <w:name w:val="Intense Emphasis"/>
    <w:basedOn w:val="DefaultParagraphFont"/>
    <w:uiPriority w:val="21"/>
    <w:qFormat/>
    <w:rsid w:val="00921B70"/>
    <w:rPr>
      <w:i/>
      <w:iCs/>
      <w:color w:val="0F4761" w:themeColor="accent1" w:themeShade="BF"/>
    </w:rPr>
  </w:style>
  <w:style w:type="paragraph" w:styleId="IntenseQuote">
    <w:name w:val="Intense Quote"/>
    <w:basedOn w:val="Normal"/>
    <w:next w:val="Normal"/>
    <w:link w:val="IntenseQuoteChar"/>
    <w:uiPriority w:val="30"/>
    <w:qFormat/>
    <w:rsid w:val="00921B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1B70"/>
    <w:rPr>
      <w:i/>
      <w:iCs/>
      <w:color w:val="0F4761" w:themeColor="accent1" w:themeShade="BF"/>
    </w:rPr>
  </w:style>
  <w:style w:type="character" w:styleId="IntenseReference">
    <w:name w:val="Intense Reference"/>
    <w:basedOn w:val="DefaultParagraphFont"/>
    <w:uiPriority w:val="32"/>
    <w:qFormat/>
    <w:rsid w:val="00921B7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041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769</Words>
  <Characters>4384</Characters>
  <Application>Microsoft Office Word</Application>
  <DocSecurity>0</DocSecurity>
  <Lines>36</Lines>
  <Paragraphs>10</Paragraphs>
  <ScaleCrop>false</ScaleCrop>
  <Company/>
  <LinksUpToDate>false</LinksUpToDate>
  <CharactersWithSpaces>5143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Sachin Khatik (2315380)</dc:creator>
  <cp:keywords/>
  <dc:description/>
  <cp:lastModifiedBy>Sachin Khatik (2315380)</cp:lastModifiedBy>
  <cp:revision>2</cp:revision>
  <dcterms:created xsi:type="dcterms:W3CDTF">2024-04-12T11:23:00Z</dcterms:created>
  <dcterms:modified xsi:type="dcterms:W3CDTF">2024-04-12T11:23:00Z</dcterms:modified>
</cp:coreProperties>
</file>