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32E5C" w14:textId="4800C263" w:rsidR="00EF55F8" w:rsidRDefault="00227AC1" w:rsidP="0077503E">
      <w:pPr>
        <w:spacing w:before="120" w:after="120" w:line="360" w:lineRule="auto"/>
      </w:pPr>
      <w:r>
        <w:rPr>
          <w:noProof/>
        </w:rPr>
        <w:drawing>
          <wp:inline distT="0" distB="0" distL="0" distR="0" wp14:anchorId="6A96B6AF" wp14:editId="2C68B551">
            <wp:extent cx="5353050" cy="2517775"/>
            <wp:effectExtent l="0" t="0" r="0" b="0"/>
            <wp:docPr id="18331433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53050" cy="2517775"/>
                    </a:xfrm>
                    <a:prstGeom prst="rect">
                      <a:avLst/>
                    </a:prstGeom>
                    <a:noFill/>
                  </pic:spPr>
                </pic:pic>
              </a:graphicData>
            </a:graphic>
          </wp:inline>
        </w:drawing>
      </w:r>
    </w:p>
    <w:p w14:paraId="19807820" w14:textId="77777777" w:rsidR="0077503E" w:rsidRDefault="0077503E" w:rsidP="0077503E">
      <w:pPr>
        <w:spacing w:before="120" w:after="120" w:line="360" w:lineRule="auto"/>
      </w:pPr>
    </w:p>
    <w:p w14:paraId="1C3E02CF" w14:textId="77777777" w:rsidR="00CD2F34" w:rsidRDefault="00CD2F34" w:rsidP="0077503E">
      <w:pPr>
        <w:spacing w:before="120" w:after="120" w:line="360" w:lineRule="auto"/>
        <w:rPr>
          <w:rFonts w:ascii="Arial" w:hAnsi="Arial" w:cs="Arial"/>
        </w:rPr>
      </w:pPr>
    </w:p>
    <w:p w14:paraId="1215C180" w14:textId="25CBF335" w:rsidR="0077503E" w:rsidRPr="00E46F7D" w:rsidRDefault="0077503E" w:rsidP="0077503E">
      <w:pPr>
        <w:spacing w:before="120" w:after="120" w:line="360" w:lineRule="auto"/>
        <w:rPr>
          <w:rFonts w:ascii="Arial" w:hAnsi="Arial" w:cs="Arial"/>
        </w:rPr>
      </w:pPr>
      <w:r w:rsidRPr="00E46F7D">
        <w:rPr>
          <w:rFonts w:ascii="Arial" w:hAnsi="Arial" w:cs="Arial"/>
        </w:rPr>
        <w:t>Student Name: Ala Uzun (2243112)</w:t>
      </w:r>
    </w:p>
    <w:p w14:paraId="67AD11DB" w14:textId="42F00C98" w:rsidR="0077503E" w:rsidRPr="00E46F7D" w:rsidRDefault="00BD7B5E" w:rsidP="0077503E">
      <w:pPr>
        <w:spacing w:before="120" w:after="120" w:line="360" w:lineRule="auto"/>
        <w:rPr>
          <w:rFonts w:ascii="Arial" w:hAnsi="Arial" w:cs="Arial"/>
        </w:rPr>
      </w:pPr>
      <w:r w:rsidRPr="00E46F7D">
        <w:rPr>
          <w:rFonts w:ascii="Arial" w:hAnsi="Arial" w:cs="Arial"/>
        </w:rPr>
        <w:t>Module</w:t>
      </w:r>
      <w:r w:rsidR="0077503E" w:rsidRPr="00E46F7D">
        <w:rPr>
          <w:rFonts w:ascii="Arial" w:hAnsi="Arial" w:cs="Arial"/>
        </w:rPr>
        <w:t xml:space="preserve"> Name: </w:t>
      </w:r>
      <w:r w:rsidR="005601C9" w:rsidRPr="00E46F7D">
        <w:rPr>
          <w:rFonts w:ascii="Arial" w:hAnsi="Arial" w:cs="Arial"/>
        </w:rPr>
        <w:t>Management Accounting for Managers</w:t>
      </w:r>
    </w:p>
    <w:p w14:paraId="76EEC70A" w14:textId="438DAA64" w:rsidR="005D34A9" w:rsidRPr="00E46F7D" w:rsidRDefault="00BD7B5E" w:rsidP="0077503E">
      <w:pPr>
        <w:spacing w:before="120" w:after="120" w:line="360" w:lineRule="auto"/>
        <w:rPr>
          <w:rFonts w:ascii="Arial" w:hAnsi="Arial" w:cs="Arial"/>
        </w:rPr>
      </w:pPr>
      <w:r w:rsidRPr="00E46F7D">
        <w:rPr>
          <w:rFonts w:ascii="Arial" w:hAnsi="Arial" w:cs="Arial"/>
        </w:rPr>
        <w:t>Module Code</w:t>
      </w:r>
      <w:r w:rsidR="005D34A9" w:rsidRPr="00E46F7D">
        <w:rPr>
          <w:rFonts w:ascii="Arial" w:hAnsi="Arial" w:cs="Arial"/>
        </w:rPr>
        <w:t>:</w:t>
      </w:r>
      <w:r w:rsidR="00E46F7D" w:rsidRPr="00E46F7D">
        <w:rPr>
          <w:rFonts w:ascii="Arial" w:hAnsi="Arial" w:cs="Arial"/>
        </w:rPr>
        <w:t xml:space="preserve"> </w:t>
      </w:r>
      <w:r w:rsidR="005D34A9" w:rsidRPr="00E46F7D">
        <w:rPr>
          <w:rFonts w:ascii="Arial" w:hAnsi="Arial" w:cs="Arial"/>
        </w:rPr>
        <w:t xml:space="preserve"> </w:t>
      </w:r>
      <w:r w:rsidR="00E46F7D" w:rsidRPr="00E46F7D">
        <w:rPr>
          <w:rFonts w:ascii="Arial" w:hAnsi="Arial" w:cs="Arial"/>
        </w:rPr>
        <w:t>LCBB5010</w:t>
      </w:r>
    </w:p>
    <w:p w14:paraId="7592EDE6" w14:textId="4AE0B0D3" w:rsidR="0077503E" w:rsidRPr="00E46F7D" w:rsidRDefault="0077503E" w:rsidP="0077503E">
      <w:pPr>
        <w:spacing w:before="120" w:after="120" w:line="360" w:lineRule="auto"/>
        <w:rPr>
          <w:rFonts w:ascii="Arial" w:hAnsi="Arial" w:cs="Arial"/>
        </w:rPr>
      </w:pPr>
      <w:r w:rsidRPr="00E46F7D">
        <w:rPr>
          <w:rFonts w:ascii="Arial" w:hAnsi="Arial" w:cs="Arial"/>
        </w:rPr>
        <w:t xml:space="preserve">Lecturer Name: </w:t>
      </w:r>
      <w:r w:rsidR="00403B56" w:rsidRPr="00E46F7D">
        <w:rPr>
          <w:rFonts w:ascii="Arial" w:hAnsi="Arial" w:cs="Arial"/>
        </w:rPr>
        <w:t>Zainab Atta</w:t>
      </w:r>
    </w:p>
    <w:p w14:paraId="6F5496C5" w14:textId="77777777" w:rsidR="0077503E" w:rsidRDefault="0077503E" w:rsidP="0077503E">
      <w:pPr>
        <w:spacing w:before="120" w:after="120" w:line="360" w:lineRule="auto"/>
      </w:pPr>
    </w:p>
    <w:p w14:paraId="76E61C05" w14:textId="77777777" w:rsidR="00E46F7D" w:rsidRDefault="00E46F7D" w:rsidP="0077503E">
      <w:pPr>
        <w:spacing w:before="120" w:after="120" w:line="360" w:lineRule="auto"/>
      </w:pPr>
    </w:p>
    <w:p w14:paraId="707CB41F" w14:textId="77777777" w:rsidR="00524928" w:rsidRPr="00CD2F34" w:rsidRDefault="00524928" w:rsidP="00524928">
      <w:pPr>
        <w:pStyle w:val="Title"/>
        <w:rPr>
          <w:rFonts w:ascii="Arial" w:hAnsi="Arial" w:cs="Arial"/>
          <w:sz w:val="40"/>
          <w:szCs w:val="40"/>
        </w:rPr>
      </w:pPr>
    </w:p>
    <w:p w14:paraId="53AE60C1" w14:textId="41979EDC" w:rsidR="00B84CCB" w:rsidRPr="00CD2F34" w:rsidRDefault="00CD2F34" w:rsidP="0077503E">
      <w:pPr>
        <w:spacing w:before="120" w:after="120" w:line="360" w:lineRule="auto"/>
        <w:rPr>
          <w:rStyle w:val="BookTitle"/>
          <w:rFonts w:ascii="Arial" w:hAnsi="Arial" w:cs="Arial"/>
          <w:sz w:val="28"/>
          <w:szCs w:val="28"/>
        </w:rPr>
      </w:pPr>
      <w:r w:rsidRPr="00CD2F34">
        <w:rPr>
          <w:rStyle w:val="BookTitle"/>
          <w:rFonts w:ascii="Arial" w:hAnsi="Arial" w:cs="Arial"/>
          <w:sz w:val="28"/>
          <w:szCs w:val="28"/>
        </w:rPr>
        <w:t>Marks &amp; Spencer Group plc: A Critical Evaluation of Management Accounting Tools and Practices in Strategic Decision-Making</w:t>
      </w:r>
    </w:p>
    <w:p w14:paraId="092265E5" w14:textId="77777777" w:rsidR="00EF55F8" w:rsidRDefault="00EF55F8" w:rsidP="00CD2F34"/>
    <w:p w14:paraId="5FF54358" w14:textId="77777777" w:rsidR="00EF55F8" w:rsidRDefault="00EF55F8" w:rsidP="009A5DD6">
      <w:pPr>
        <w:pStyle w:val="Style1"/>
        <w:rPr>
          <w:b/>
          <w:bCs/>
        </w:rPr>
      </w:pPr>
    </w:p>
    <w:p w14:paraId="6D1748AC" w14:textId="77777777" w:rsidR="00CB30CC" w:rsidRDefault="00CB30CC" w:rsidP="009A5DD6">
      <w:pPr>
        <w:pStyle w:val="Style1"/>
        <w:rPr>
          <w:b/>
          <w:bCs/>
        </w:rPr>
      </w:pPr>
    </w:p>
    <w:p w14:paraId="46B58415" w14:textId="77777777" w:rsidR="00CB30CC" w:rsidRDefault="00CB30CC" w:rsidP="009A5DD6">
      <w:pPr>
        <w:pStyle w:val="Style1"/>
        <w:rPr>
          <w:b/>
          <w:bCs/>
        </w:rPr>
      </w:pPr>
    </w:p>
    <w:p w14:paraId="5461ECFA" w14:textId="77777777" w:rsidR="00CB30CC" w:rsidRDefault="00CB30CC" w:rsidP="009A5DD6">
      <w:pPr>
        <w:pStyle w:val="Style1"/>
        <w:rPr>
          <w:b/>
          <w:bCs/>
        </w:rPr>
      </w:pPr>
    </w:p>
    <w:sdt>
      <w:sdtPr>
        <w:rPr>
          <w:rFonts w:ascii="Arial" w:eastAsiaTheme="minorHAnsi" w:hAnsi="Arial" w:cs="Arial"/>
          <w:color w:val="auto"/>
          <w:kern w:val="2"/>
          <w:sz w:val="28"/>
          <w:szCs w:val="28"/>
          <w:lang w:val="en-GB"/>
          <w14:ligatures w14:val="standardContextual"/>
        </w:rPr>
        <w:id w:val="-6137942"/>
        <w:docPartObj>
          <w:docPartGallery w:val="Table of Contents"/>
          <w:docPartUnique/>
        </w:docPartObj>
      </w:sdtPr>
      <w:sdtEndPr>
        <w:rPr>
          <w:b/>
          <w:bCs/>
          <w:noProof/>
        </w:rPr>
      </w:sdtEndPr>
      <w:sdtContent>
        <w:p w14:paraId="47E1F65A" w14:textId="2184D450" w:rsidR="00CB30CC" w:rsidRPr="00AF1286" w:rsidRDefault="00CB30CC">
          <w:pPr>
            <w:pStyle w:val="TOCHeading"/>
            <w:rPr>
              <w:rFonts w:ascii="Arial" w:hAnsi="Arial" w:cs="Arial"/>
              <w:sz w:val="28"/>
              <w:szCs w:val="28"/>
            </w:rPr>
          </w:pPr>
          <w:r w:rsidRPr="00AF1286">
            <w:rPr>
              <w:rFonts w:ascii="Arial" w:hAnsi="Arial" w:cs="Arial"/>
              <w:sz w:val="28"/>
              <w:szCs w:val="28"/>
            </w:rPr>
            <w:t>Table of Contents</w:t>
          </w:r>
        </w:p>
        <w:p w14:paraId="7C79F37D" w14:textId="3600590A" w:rsidR="00CB30CC" w:rsidRPr="00AF1286" w:rsidRDefault="00CB30CC">
          <w:pPr>
            <w:pStyle w:val="TOC1"/>
            <w:tabs>
              <w:tab w:val="right" w:leader="dot" w:pos="9016"/>
            </w:tabs>
            <w:rPr>
              <w:rFonts w:ascii="Arial" w:eastAsiaTheme="minorEastAsia" w:hAnsi="Arial" w:cs="Arial"/>
              <w:noProof/>
              <w:sz w:val="28"/>
              <w:szCs w:val="28"/>
              <w:lang w:eastAsia="en-GB"/>
            </w:rPr>
          </w:pPr>
          <w:r w:rsidRPr="00AF1286">
            <w:rPr>
              <w:rFonts w:ascii="Arial" w:hAnsi="Arial" w:cs="Arial"/>
              <w:sz w:val="28"/>
              <w:szCs w:val="28"/>
            </w:rPr>
            <w:fldChar w:fldCharType="begin"/>
          </w:r>
          <w:r w:rsidRPr="00AF1286">
            <w:rPr>
              <w:rFonts w:ascii="Arial" w:hAnsi="Arial" w:cs="Arial"/>
              <w:sz w:val="28"/>
              <w:szCs w:val="28"/>
            </w:rPr>
            <w:instrText xml:space="preserve"> TOC \o "1-3" \h \z \u </w:instrText>
          </w:r>
          <w:r w:rsidRPr="00AF1286">
            <w:rPr>
              <w:rFonts w:ascii="Arial" w:hAnsi="Arial" w:cs="Arial"/>
              <w:sz w:val="28"/>
              <w:szCs w:val="28"/>
            </w:rPr>
            <w:fldChar w:fldCharType="separate"/>
          </w:r>
          <w:hyperlink w:anchor="_Toc234502622" w:history="1">
            <w:r w:rsidRPr="00AF1286">
              <w:rPr>
                <w:rStyle w:val="Hyperlink"/>
                <w:rFonts w:ascii="Arial" w:hAnsi="Arial" w:cs="Arial"/>
                <w:b/>
                <w:bCs/>
                <w:noProof/>
                <w:sz w:val="28"/>
                <w:szCs w:val="28"/>
              </w:rPr>
              <w:t>1. Introduction</w:t>
            </w:r>
            <w:r w:rsidRPr="00AF1286">
              <w:rPr>
                <w:rFonts w:ascii="Arial" w:hAnsi="Arial" w:cs="Arial"/>
                <w:noProof/>
                <w:webHidden/>
                <w:sz w:val="28"/>
                <w:szCs w:val="28"/>
              </w:rPr>
              <w:tab/>
            </w:r>
            <w:r w:rsidRPr="00AF1286">
              <w:rPr>
                <w:rFonts w:ascii="Arial" w:hAnsi="Arial" w:cs="Arial"/>
                <w:noProof/>
                <w:webHidden/>
                <w:sz w:val="28"/>
                <w:szCs w:val="28"/>
              </w:rPr>
              <w:fldChar w:fldCharType="begin"/>
            </w:r>
            <w:r w:rsidRPr="00AF1286">
              <w:rPr>
                <w:rFonts w:ascii="Arial" w:hAnsi="Arial" w:cs="Arial"/>
                <w:noProof/>
                <w:webHidden/>
                <w:sz w:val="28"/>
                <w:szCs w:val="28"/>
              </w:rPr>
              <w:instrText xml:space="preserve"> PAGEREF _Toc234502622 \h </w:instrText>
            </w:r>
            <w:r w:rsidRPr="00AF1286">
              <w:rPr>
                <w:rFonts w:ascii="Arial" w:hAnsi="Arial" w:cs="Arial"/>
                <w:noProof/>
                <w:webHidden/>
                <w:sz w:val="28"/>
                <w:szCs w:val="28"/>
              </w:rPr>
            </w:r>
            <w:r w:rsidRPr="00AF1286">
              <w:rPr>
                <w:rFonts w:ascii="Arial" w:hAnsi="Arial" w:cs="Arial"/>
                <w:noProof/>
                <w:webHidden/>
                <w:sz w:val="28"/>
                <w:szCs w:val="28"/>
              </w:rPr>
              <w:fldChar w:fldCharType="separate"/>
            </w:r>
            <w:r w:rsidR="00BA6D97">
              <w:rPr>
                <w:rFonts w:ascii="Arial" w:hAnsi="Arial" w:cs="Arial"/>
                <w:noProof/>
                <w:webHidden/>
                <w:sz w:val="28"/>
                <w:szCs w:val="28"/>
              </w:rPr>
              <w:t>2</w:t>
            </w:r>
            <w:r w:rsidRPr="00AF1286">
              <w:rPr>
                <w:rFonts w:ascii="Arial" w:hAnsi="Arial" w:cs="Arial"/>
                <w:noProof/>
                <w:webHidden/>
                <w:sz w:val="28"/>
                <w:szCs w:val="28"/>
              </w:rPr>
              <w:fldChar w:fldCharType="end"/>
            </w:r>
          </w:hyperlink>
        </w:p>
        <w:p w14:paraId="6D7EEAA2" w14:textId="53763348" w:rsidR="00CB30CC" w:rsidRPr="00AF1286" w:rsidRDefault="00CB30CC">
          <w:pPr>
            <w:pStyle w:val="TOC1"/>
            <w:tabs>
              <w:tab w:val="right" w:leader="dot" w:pos="9016"/>
            </w:tabs>
            <w:rPr>
              <w:rFonts w:ascii="Arial" w:eastAsiaTheme="minorEastAsia" w:hAnsi="Arial" w:cs="Arial"/>
              <w:noProof/>
              <w:sz w:val="28"/>
              <w:szCs w:val="28"/>
              <w:lang w:eastAsia="en-GB"/>
            </w:rPr>
          </w:pPr>
          <w:hyperlink w:anchor="_Toc234502623" w:history="1">
            <w:r w:rsidRPr="00AF1286">
              <w:rPr>
                <w:rStyle w:val="Hyperlink"/>
                <w:rFonts w:ascii="Arial" w:hAnsi="Arial" w:cs="Arial"/>
                <w:b/>
                <w:bCs/>
                <w:noProof/>
                <w:sz w:val="28"/>
                <w:szCs w:val="28"/>
              </w:rPr>
              <w:t>2. Cost Analyses and Business Model</w:t>
            </w:r>
            <w:r w:rsidRPr="00AF1286">
              <w:rPr>
                <w:rFonts w:ascii="Arial" w:hAnsi="Arial" w:cs="Arial"/>
                <w:noProof/>
                <w:webHidden/>
                <w:sz w:val="28"/>
                <w:szCs w:val="28"/>
              </w:rPr>
              <w:tab/>
            </w:r>
            <w:r w:rsidRPr="00AF1286">
              <w:rPr>
                <w:rFonts w:ascii="Arial" w:hAnsi="Arial" w:cs="Arial"/>
                <w:noProof/>
                <w:webHidden/>
                <w:sz w:val="28"/>
                <w:szCs w:val="28"/>
              </w:rPr>
              <w:fldChar w:fldCharType="begin"/>
            </w:r>
            <w:r w:rsidRPr="00AF1286">
              <w:rPr>
                <w:rFonts w:ascii="Arial" w:hAnsi="Arial" w:cs="Arial"/>
                <w:noProof/>
                <w:webHidden/>
                <w:sz w:val="28"/>
                <w:szCs w:val="28"/>
              </w:rPr>
              <w:instrText xml:space="preserve"> PAGEREF _Toc234502623 \h </w:instrText>
            </w:r>
            <w:r w:rsidRPr="00AF1286">
              <w:rPr>
                <w:rFonts w:ascii="Arial" w:hAnsi="Arial" w:cs="Arial"/>
                <w:noProof/>
                <w:webHidden/>
                <w:sz w:val="28"/>
                <w:szCs w:val="28"/>
              </w:rPr>
            </w:r>
            <w:r w:rsidRPr="00AF1286">
              <w:rPr>
                <w:rFonts w:ascii="Arial" w:hAnsi="Arial" w:cs="Arial"/>
                <w:noProof/>
                <w:webHidden/>
                <w:sz w:val="28"/>
                <w:szCs w:val="28"/>
              </w:rPr>
              <w:fldChar w:fldCharType="separate"/>
            </w:r>
            <w:r w:rsidR="00BA6D97">
              <w:rPr>
                <w:rFonts w:ascii="Arial" w:hAnsi="Arial" w:cs="Arial"/>
                <w:noProof/>
                <w:webHidden/>
                <w:sz w:val="28"/>
                <w:szCs w:val="28"/>
              </w:rPr>
              <w:t>2</w:t>
            </w:r>
            <w:r w:rsidRPr="00AF1286">
              <w:rPr>
                <w:rFonts w:ascii="Arial" w:hAnsi="Arial" w:cs="Arial"/>
                <w:noProof/>
                <w:webHidden/>
                <w:sz w:val="28"/>
                <w:szCs w:val="28"/>
              </w:rPr>
              <w:fldChar w:fldCharType="end"/>
            </w:r>
          </w:hyperlink>
        </w:p>
        <w:p w14:paraId="38FC3C2B" w14:textId="46057EEC" w:rsidR="00CB30CC" w:rsidRPr="00AF1286" w:rsidRDefault="00CB30CC">
          <w:pPr>
            <w:pStyle w:val="TOC1"/>
            <w:tabs>
              <w:tab w:val="right" w:leader="dot" w:pos="9016"/>
            </w:tabs>
            <w:rPr>
              <w:rFonts w:ascii="Arial" w:eastAsiaTheme="minorEastAsia" w:hAnsi="Arial" w:cs="Arial"/>
              <w:noProof/>
              <w:sz w:val="28"/>
              <w:szCs w:val="28"/>
              <w:lang w:eastAsia="en-GB"/>
            </w:rPr>
          </w:pPr>
          <w:hyperlink w:anchor="_Toc234502624" w:history="1">
            <w:r w:rsidRPr="00AF1286">
              <w:rPr>
                <w:rStyle w:val="Hyperlink"/>
                <w:rFonts w:ascii="Arial" w:hAnsi="Arial" w:cs="Arial"/>
                <w:b/>
                <w:bCs/>
                <w:noProof/>
                <w:sz w:val="28"/>
                <w:szCs w:val="28"/>
              </w:rPr>
              <w:t>3.</w:t>
            </w:r>
            <w:r w:rsidRPr="00AF1286">
              <w:rPr>
                <w:rStyle w:val="Hyperlink"/>
                <w:rFonts w:ascii="Arial" w:eastAsia="Arial" w:hAnsi="Arial" w:cs="Arial"/>
                <w:b/>
                <w:bCs/>
                <w:noProof/>
                <w:kern w:val="0"/>
                <w:sz w:val="28"/>
                <w:szCs w:val="28"/>
                <w:lang w:val="en-US"/>
                <w14:ligatures w14:val="none"/>
              </w:rPr>
              <w:t xml:space="preserve"> </w:t>
            </w:r>
            <w:r w:rsidRPr="00AF1286">
              <w:rPr>
                <w:rStyle w:val="Hyperlink"/>
                <w:rFonts w:ascii="Arial" w:hAnsi="Arial" w:cs="Arial"/>
                <w:b/>
                <w:bCs/>
                <w:noProof/>
                <w:sz w:val="28"/>
                <w:szCs w:val="28"/>
                <w:lang w:val="en-US"/>
              </w:rPr>
              <w:t>Budgeting and Financial Planning</w:t>
            </w:r>
            <w:r w:rsidRPr="00AF1286">
              <w:rPr>
                <w:rFonts w:ascii="Arial" w:hAnsi="Arial" w:cs="Arial"/>
                <w:noProof/>
                <w:webHidden/>
                <w:sz w:val="28"/>
                <w:szCs w:val="28"/>
              </w:rPr>
              <w:tab/>
            </w:r>
            <w:r w:rsidRPr="00AF1286">
              <w:rPr>
                <w:rFonts w:ascii="Arial" w:hAnsi="Arial" w:cs="Arial"/>
                <w:noProof/>
                <w:webHidden/>
                <w:sz w:val="28"/>
                <w:szCs w:val="28"/>
              </w:rPr>
              <w:fldChar w:fldCharType="begin"/>
            </w:r>
            <w:r w:rsidRPr="00AF1286">
              <w:rPr>
                <w:rFonts w:ascii="Arial" w:hAnsi="Arial" w:cs="Arial"/>
                <w:noProof/>
                <w:webHidden/>
                <w:sz w:val="28"/>
                <w:szCs w:val="28"/>
              </w:rPr>
              <w:instrText xml:space="preserve"> PAGEREF _Toc234502624 \h </w:instrText>
            </w:r>
            <w:r w:rsidRPr="00AF1286">
              <w:rPr>
                <w:rFonts w:ascii="Arial" w:hAnsi="Arial" w:cs="Arial"/>
                <w:noProof/>
                <w:webHidden/>
                <w:sz w:val="28"/>
                <w:szCs w:val="28"/>
              </w:rPr>
            </w:r>
            <w:r w:rsidRPr="00AF1286">
              <w:rPr>
                <w:rFonts w:ascii="Arial" w:hAnsi="Arial" w:cs="Arial"/>
                <w:noProof/>
                <w:webHidden/>
                <w:sz w:val="28"/>
                <w:szCs w:val="28"/>
              </w:rPr>
              <w:fldChar w:fldCharType="separate"/>
            </w:r>
            <w:r w:rsidR="00BA6D97">
              <w:rPr>
                <w:rFonts w:ascii="Arial" w:hAnsi="Arial" w:cs="Arial"/>
                <w:noProof/>
                <w:webHidden/>
                <w:sz w:val="28"/>
                <w:szCs w:val="28"/>
              </w:rPr>
              <w:t>4</w:t>
            </w:r>
            <w:r w:rsidRPr="00AF1286">
              <w:rPr>
                <w:rFonts w:ascii="Arial" w:hAnsi="Arial" w:cs="Arial"/>
                <w:noProof/>
                <w:webHidden/>
                <w:sz w:val="28"/>
                <w:szCs w:val="28"/>
              </w:rPr>
              <w:fldChar w:fldCharType="end"/>
            </w:r>
          </w:hyperlink>
        </w:p>
        <w:p w14:paraId="3F9D0614" w14:textId="31A02CBF" w:rsidR="00CB30CC" w:rsidRPr="00AF1286" w:rsidRDefault="00CB30CC">
          <w:pPr>
            <w:pStyle w:val="TOC1"/>
            <w:tabs>
              <w:tab w:val="right" w:leader="dot" w:pos="9016"/>
            </w:tabs>
            <w:rPr>
              <w:rFonts w:ascii="Arial" w:eastAsiaTheme="minorEastAsia" w:hAnsi="Arial" w:cs="Arial"/>
              <w:noProof/>
              <w:sz w:val="28"/>
              <w:szCs w:val="28"/>
              <w:lang w:eastAsia="en-GB"/>
            </w:rPr>
          </w:pPr>
          <w:hyperlink w:anchor="_Toc234502625" w:history="1">
            <w:r w:rsidRPr="00AF1286">
              <w:rPr>
                <w:rStyle w:val="Hyperlink"/>
                <w:rFonts w:ascii="Arial" w:hAnsi="Arial" w:cs="Arial"/>
                <w:b/>
                <w:bCs/>
                <w:noProof/>
                <w:sz w:val="28"/>
                <w:szCs w:val="28"/>
              </w:rPr>
              <w:t>4. Performance Measurement and Decision-Making</w:t>
            </w:r>
            <w:r w:rsidRPr="00AF1286">
              <w:rPr>
                <w:rFonts w:ascii="Arial" w:hAnsi="Arial" w:cs="Arial"/>
                <w:noProof/>
                <w:webHidden/>
                <w:sz w:val="28"/>
                <w:szCs w:val="28"/>
              </w:rPr>
              <w:tab/>
            </w:r>
            <w:r w:rsidRPr="00AF1286">
              <w:rPr>
                <w:rFonts w:ascii="Arial" w:hAnsi="Arial" w:cs="Arial"/>
                <w:noProof/>
                <w:webHidden/>
                <w:sz w:val="28"/>
                <w:szCs w:val="28"/>
              </w:rPr>
              <w:fldChar w:fldCharType="begin"/>
            </w:r>
            <w:r w:rsidRPr="00AF1286">
              <w:rPr>
                <w:rFonts w:ascii="Arial" w:hAnsi="Arial" w:cs="Arial"/>
                <w:noProof/>
                <w:webHidden/>
                <w:sz w:val="28"/>
                <w:szCs w:val="28"/>
              </w:rPr>
              <w:instrText xml:space="preserve"> PAGEREF _Toc234502625 \h </w:instrText>
            </w:r>
            <w:r w:rsidRPr="00AF1286">
              <w:rPr>
                <w:rFonts w:ascii="Arial" w:hAnsi="Arial" w:cs="Arial"/>
                <w:noProof/>
                <w:webHidden/>
                <w:sz w:val="28"/>
                <w:szCs w:val="28"/>
              </w:rPr>
            </w:r>
            <w:r w:rsidRPr="00AF1286">
              <w:rPr>
                <w:rFonts w:ascii="Arial" w:hAnsi="Arial" w:cs="Arial"/>
                <w:noProof/>
                <w:webHidden/>
                <w:sz w:val="28"/>
                <w:szCs w:val="28"/>
              </w:rPr>
              <w:fldChar w:fldCharType="separate"/>
            </w:r>
            <w:r w:rsidR="00BA6D97">
              <w:rPr>
                <w:rFonts w:ascii="Arial" w:hAnsi="Arial" w:cs="Arial"/>
                <w:noProof/>
                <w:webHidden/>
                <w:sz w:val="28"/>
                <w:szCs w:val="28"/>
              </w:rPr>
              <w:t>5</w:t>
            </w:r>
            <w:r w:rsidRPr="00AF1286">
              <w:rPr>
                <w:rFonts w:ascii="Arial" w:hAnsi="Arial" w:cs="Arial"/>
                <w:noProof/>
                <w:webHidden/>
                <w:sz w:val="28"/>
                <w:szCs w:val="28"/>
              </w:rPr>
              <w:fldChar w:fldCharType="end"/>
            </w:r>
          </w:hyperlink>
        </w:p>
        <w:p w14:paraId="05FEF98C" w14:textId="63E6E777" w:rsidR="00CB30CC" w:rsidRPr="00AF1286" w:rsidRDefault="00CB30CC">
          <w:pPr>
            <w:pStyle w:val="TOC1"/>
            <w:tabs>
              <w:tab w:val="right" w:leader="dot" w:pos="9016"/>
            </w:tabs>
            <w:rPr>
              <w:rFonts w:ascii="Arial" w:eastAsiaTheme="minorEastAsia" w:hAnsi="Arial" w:cs="Arial"/>
              <w:noProof/>
              <w:sz w:val="28"/>
              <w:szCs w:val="28"/>
              <w:lang w:eastAsia="en-GB"/>
            </w:rPr>
          </w:pPr>
          <w:hyperlink w:anchor="_Toc234502626" w:history="1">
            <w:r w:rsidRPr="00AF1286">
              <w:rPr>
                <w:rStyle w:val="Hyperlink"/>
                <w:rFonts w:ascii="Arial" w:hAnsi="Arial" w:cs="Arial"/>
                <w:b/>
                <w:bCs/>
                <w:noProof/>
                <w:sz w:val="28"/>
                <w:szCs w:val="28"/>
              </w:rPr>
              <w:t>5. Sustainability and Ethical Considerations</w:t>
            </w:r>
            <w:r w:rsidRPr="00AF1286">
              <w:rPr>
                <w:rFonts w:ascii="Arial" w:hAnsi="Arial" w:cs="Arial"/>
                <w:noProof/>
                <w:webHidden/>
                <w:sz w:val="28"/>
                <w:szCs w:val="28"/>
              </w:rPr>
              <w:tab/>
            </w:r>
            <w:r w:rsidRPr="00AF1286">
              <w:rPr>
                <w:rFonts w:ascii="Arial" w:hAnsi="Arial" w:cs="Arial"/>
                <w:noProof/>
                <w:webHidden/>
                <w:sz w:val="28"/>
                <w:szCs w:val="28"/>
              </w:rPr>
              <w:fldChar w:fldCharType="begin"/>
            </w:r>
            <w:r w:rsidRPr="00AF1286">
              <w:rPr>
                <w:rFonts w:ascii="Arial" w:hAnsi="Arial" w:cs="Arial"/>
                <w:noProof/>
                <w:webHidden/>
                <w:sz w:val="28"/>
                <w:szCs w:val="28"/>
              </w:rPr>
              <w:instrText xml:space="preserve"> PAGEREF _Toc234502626 \h </w:instrText>
            </w:r>
            <w:r w:rsidRPr="00AF1286">
              <w:rPr>
                <w:rFonts w:ascii="Arial" w:hAnsi="Arial" w:cs="Arial"/>
                <w:noProof/>
                <w:webHidden/>
                <w:sz w:val="28"/>
                <w:szCs w:val="28"/>
              </w:rPr>
            </w:r>
            <w:r w:rsidRPr="00AF1286">
              <w:rPr>
                <w:rFonts w:ascii="Arial" w:hAnsi="Arial" w:cs="Arial"/>
                <w:noProof/>
                <w:webHidden/>
                <w:sz w:val="28"/>
                <w:szCs w:val="28"/>
              </w:rPr>
              <w:fldChar w:fldCharType="separate"/>
            </w:r>
            <w:r w:rsidR="00BA6D97">
              <w:rPr>
                <w:rFonts w:ascii="Arial" w:hAnsi="Arial" w:cs="Arial"/>
                <w:noProof/>
                <w:webHidden/>
                <w:sz w:val="28"/>
                <w:szCs w:val="28"/>
              </w:rPr>
              <w:t>7</w:t>
            </w:r>
            <w:r w:rsidRPr="00AF1286">
              <w:rPr>
                <w:rFonts w:ascii="Arial" w:hAnsi="Arial" w:cs="Arial"/>
                <w:noProof/>
                <w:webHidden/>
                <w:sz w:val="28"/>
                <w:szCs w:val="28"/>
              </w:rPr>
              <w:fldChar w:fldCharType="end"/>
            </w:r>
          </w:hyperlink>
        </w:p>
        <w:p w14:paraId="21B81FE4" w14:textId="47919540" w:rsidR="00CB30CC" w:rsidRPr="00AF1286" w:rsidRDefault="00CB30CC">
          <w:pPr>
            <w:pStyle w:val="TOC1"/>
            <w:tabs>
              <w:tab w:val="right" w:leader="dot" w:pos="9016"/>
            </w:tabs>
            <w:rPr>
              <w:rFonts w:ascii="Arial" w:eastAsiaTheme="minorEastAsia" w:hAnsi="Arial" w:cs="Arial"/>
              <w:noProof/>
              <w:sz w:val="28"/>
              <w:szCs w:val="28"/>
              <w:lang w:eastAsia="en-GB"/>
            </w:rPr>
          </w:pPr>
          <w:hyperlink w:anchor="_Toc234502627" w:history="1">
            <w:r w:rsidRPr="00AF1286">
              <w:rPr>
                <w:rStyle w:val="Hyperlink"/>
                <w:rFonts w:ascii="Arial" w:hAnsi="Arial" w:cs="Arial"/>
                <w:b/>
                <w:bCs/>
                <w:noProof/>
                <w:sz w:val="28"/>
                <w:szCs w:val="28"/>
              </w:rPr>
              <w:t>6. Conclusion</w:t>
            </w:r>
            <w:r w:rsidRPr="00AF1286">
              <w:rPr>
                <w:rFonts w:ascii="Arial" w:hAnsi="Arial" w:cs="Arial"/>
                <w:noProof/>
                <w:webHidden/>
                <w:sz w:val="28"/>
                <w:szCs w:val="28"/>
              </w:rPr>
              <w:tab/>
            </w:r>
            <w:r w:rsidRPr="00AF1286">
              <w:rPr>
                <w:rFonts w:ascii="Arial" w:hAnsi="Arial" w:cs="Arial"/>
                <w:noProof/>
                <w:webHidden/>
                <w:sz w:val="28"/>
                <w:szCs w:val="28"/>
              </w:rPr>
              <w:fldChar w:fldCharType="begin"/>
            </w:r>
            <w:r w:rsidRPr="00AF1286">
              <w:rPr>
                <w:rFonts w:ascii="Arial" w:hAnsi="Arial" w:cs="Arial"/>
                <w:noProof/>
                <w:webHidden/>
                <w:sz w:val="28"/>
                <w:szCs w:val="28"/>
              </w:rPr>
              <w:instrText xml:space="preserve"> PAGEREF _Toc234502627 \h </w:instrText>
            </w:r>
            <w:r w:rsidRPr="00AF1286">
              <w:rPr>
                <w:rFonts w:ascii="Arial" w:hAnsi="Arial" w:cs="Arial"/>
                <w:noProof/>
                <w:webHidden/>
                <w:sz w:val="28"/>
                <w:szCs w:val="28"/>
              </w:rPr>
            </w:r>
            <w:r w:rsidRPr="00AF1286">
              <w:rPr>
                <w:rFonts w:ascii="Arial" w:hAnsi="Arial" w:cs="Arial"/>
                <w:noProof/>
                <w:webHidden/>
                <w:sz w:val="28"/>
                <w:szCs w:val="28"/>
              </w:rPr>
              <w:fldChar w:fldCharType="separate"/>
            </w:r>
            <w:r w:rsidR="00BA6D97">
              <w:rPr>
                <w:rFonts w:ascii="Arial" w:hAnsi="Arial" w:cs="Arial"/>
                <w:noProof/>
                <w:webHidden/>
                <w:sz w:val="28"/>
                <w:szCs w:val="28"/>
              </w:rPr>
              <w:t>8</w:t>
            </w:r>
            <w:r w:rsidRPr="00AF1286">
              <w:rPr>
                <w:rFonts w:ascii="Arial" w:hAnsi="Arial" w:cs="Arial"/>
                <w:noProof/>
                <w:webHidden/>
                <w:sz w:val="28"/>
                <w:szCs w:val="28"/>
              </w:rPr>
              <w:fldChar w:fldCharType="end"/>
            </w:r>
          </w:hyperlink>
        </w:p>
        <w:p w14:paraId="2FAC31DD" w14:textId="7ACEB01C" w:rsidR="00CB30CC" w:rsidRPr="00AF1286" w:rsidRDefault="00CB30CC">
          <w:pPr>
            <w:pStyle w:val="TOC1"/>
            <w:tabs>
              <w:tab w:val="right" w:leader="dot" w:pos="9016"/>
            </w:tabs>
            <w:rPr>
              <w:rFonts w:ascii="Arial" w:eastAsiaTheme="minorEastAsia" w:hAnsi="Arial" w:cs="Arial"/>
              <w:noProof/>
              <w:sz w:val="28"/>
              <w:szCs w:val="28"/>
              <w:lang w:eastAsia="en-GB"/>
            </w:rPr>
          </w:pPr>
          <w:hyperlink w:anchor="_Toc234502628" w:history="1">
            <w:r w:rsidRPr="00AF1286">
              <w:rPr>
                <w:rStyle w:val="Hyperlink"/>
                <w:rFonts w:ascii="Arial" w:hAnsi="Arial" w:cs="Arial"/>
                <w:b/>
                <w:bCs/>
                <w:noProof/>
                <w:sz w:val="28"/>
                <w:szCs w:val="28"/>
              </w:rPr>
              <w:t>7. Reference list</w:t>
            </w:r>
            <w:r w:rsidRPr="00AF1286">
              <w:rPr>
                <w:rFonts w:ascii="Arial" w:hAnsi="Arial" w:cs="Arial"/>
                <w:noProof/>
                <w:webHidden/>
                <w:sz w:val="28"/>
                <w:szCs w:val="28"/>
              </w:rPr>
              <w:tab/>
            </w:r>
            <w:r w:rsidRPr="00AF1286">
              <w:rPr>
                <w:rFonts w:ascii="Arial" w:hAnsi="Arial" w:cs="Arial"/>
                <w:noProof/>
                <w:webHidden/>
                <w:sz w:val="28"/>
                <w:szCs w:val="28"/>
              </w:rPr>
              <w:fldChar w:fldCharType="begin"/>
            </w:r>
            <w:r w:rsidRPr="00AF1286">
              <w:rPr>
                <w:rFonts w:ascii="Arial" w:hAnsi="Arial" w:cs="Arial"/>
                <w:noProof/>
                <w:webHidden/>
                <w:sz w:val="28"/>
                <w:szCs w:val="28"/>
              </w:rPr>
              <w:instrText xml:space="preserve"> PAGEREF _Toc234502628 \h </w:instrText>
            </w:r>
            <w:r w:rsidRPr="00AF1286">
              <w:rPr>
                <w:rFonts w:ascii="Arial" w:hAnsi="Arial" w:cs="Arial"/>
                <w:noProof/>
                <w:webHidden/>
                <w:sz w:val="28"/>
                <w:szCs w:val="28"/>
              </w:rPr>
            </w:r>
            <w:r w:rsidRPr="00AF1286">
              <w:rPr>
                <w:rFonts w:ascii="Arial" w:hAnsi="Arial" w:cs="Arial"/>
                <w:noProof/>
                <w:webHidden/>
                <w:sz w:val="28"/>
                <w:szCs w:val="28"/>
              </w:rPr>
              <w:fldChar w:fldCharType="separate"/>
            </w:r>
            <w:r w:rsidR="00BA6D97">
              <w:rPr>
                <w:rFonts w:ascii="Arial" w:hAnsi="Arial" w:cs="Arial"/>
                <w:noProof/>
                <w:webHidden/>
                <w:sz w:val="28"/>
                <w:szCs w:val="28"/>
              </w:rPr>
              <w:t>10</w:t>
            </w:r>
            <w:r w:rsidRPr="00AF1286">
              <w:rPr>
                <w:rFonts w:ascii="Arial" w:hAnsi="Arial" w:cs="Arial"/>
                <w:noProof/>
                <w:webHidden/>
                <w:sz w:val="28"/>
                <w:szCs w:val="28"/>
              </w:rPr>
              <w:fldChar w:fldCharType="end"/>
            </w:r>
          </w:hyperlink>
        </w:p>
        <w:p w14:paraId="42B4AB9E" w14:textId="1A96AD58" w:rsidR="00CB30CC" w:rsidRPr="00AF1286" w:rsidRDefault="00CB30CC">
          <w:pPr>
            <w:rPr>
              <w:rFonts w:ascii="Arial" w:hAnsi="Arial" w:cs="Arial"/>
              <w:sz w:val="28"/>
              <w:szCs w:val="28"/>
            </w:rPr>
          </w:pPr>
          <w:r w:rsidRPr="00AF1286">
            <w:rPr>
              <w:rFonts w:ascii="Arial" w:hAnsi="Arial" w:cs="Arial"/>
              <w:b/>
              <w:bCs/>
              <w:noProof/>
              <w:sz w:val="28"/>
              <w:szCs w:val="28"/>
            </w:rPr>
            <w:fldChar w:fldCharType="end"/>
          </w:r>
        </w:p>
      </w:sdtContent>
    </w:sdt>
    <w:p w14:paraId="3C3E45FD" w14:textId="77777777" w:rsidR="00EF55F8" w:rsidRDefault="00EF55F8" w:rsidP="009A5DD6">
      <w:pPr>
        <w:pStyle w:val="Style1"/>
        <w:rPr>
          <w:b/>
          <w:bCs/>
        </w:rPr>
      </w:pPr>
    </w:p>
    <w:p w14:paraId="42D5444A" w14:textId="77777777" w:rsidR="00EF55F8" w:rsidRDefault="00EF55F8" w:rsidP="009A5DD6">
      <w:pPr>
        <w:pStyle w:val="Style1"/>
        <w:rPr>
          <w:b/>
          <w:bCs/>
        </w:rPr>
      </w:pPr>
    </w:p>
    <w:p w14:paraId="28BF6347" w14:textId="77777777" w:rsidR="00EF55F8" w:rsidRDefault="00EF55F8" w:rsidP="00493528"/>
    <w:p w14:paraId="14865453" w14:textId="77777777" w:rsidR="00EF55F8" w:rsidRDefault="00EF55F8" w:rsidP="009A5DD6">
      <w:pPr>
        <w:pStyle w:val="Style1"/>
        <w:rPr>
          <w:b/>
          <w:bCs/>
        </w:rPr>
      </w:pPr>
    </w:p>
    <w:p w14:paraId="228A6D75" w14:textId="77777777" w:rsidR="00EF55F8" w:rsidRDefault="00EF55F8" w:rsidP="009A5DD6">
      <w:pPr>
        <w:pStyle w:val="Style1"/>
        <w:rPr>
          <w:b/>
          <w:bCs/>
        </w:rPr>
      </w:pPr>
    </w:p>
    <w:p w14:paraId="191ADE96" w14:textId="77777777" w:rsidR="00EF55F8" w:rsidRDefault="00EF55F8" w:rsidP="009A5DD6">
      <w:pPr>
        <w:pStyle w:val="Style1"/>
        <w:rPr>
          <w:b/>
          <w:bCs/>
        </w:rPr>
      </w:pPr>
    </w:p>
    <w:p w14:paraId="4C6066BF" w14:textId="77777777" w:rsidR="00493528" w:rsidRDefault="00493528" w:rsidP="009A5DD6">
      <w:pPr>
        <w:pStyle w:val="Style1"/>
        <w:rPr>
          <w:b/>
          <w:bCs/>
        </w:rPr>
      </w:pPr>
      <w:bookmarkStart w:id="0" w:name="_Toc234502622"/>
    </w:p>
    <w:p w14:paraId="798F0599" w14:textId="77777777" w:rsidR="00493528" w:rsidRDefault="00493528" w:rsidP="009A5DD6">
      <w:pPr>
        <w:pStyle w:val="Style1"/>
        <w:rPr>
          <w:b/>
          <w:bCs/>
        </w:rPr>
      </w:pPr>
    </w:p>
    <w:p w14:paraId="0B981513" w14:textId="77777777" w:rsidR="00493528" w:rsidRDefault="00493528" w:rsidP="009A5DD6">
      <w:pPr>
        <w:pStyle w:val="Style1"/>
        <w:rPr>
          <w:b/>
          <w:bCs/>
        </w:rPr>
      </w:pPr>
    </w:p>
    <w:p w14:paraId="6ED672C2" w14:textId="77777777" w:rsidR="00493528" w:rsidRDefault="00493528" w:rsidP="00493528"/>
    <w:p w14:paraId="5A62BA97" w14:textId="40649C8C" w:rsidR="00B076BC" w:rsidRPr="00493528" w:rsidRDefault="007C5ACE" w:rsidP="00493528">
      <w:pPr>
        <w:pStyle w:val="Style1"/>
        <w:rPr>
          <w:b/>
          <w:bCs/>
        </w:rPr>
      </w:pPr>
      <w:r w:rsidRPr="00493528">
        <w:rPr>
          <w:b/>
          <w:bCs/>
        </w:rPr>
        <w:lastRenderedPageBreak/>
        <w:t xml:space="preserve">1. </w:t>
      </w:r>
      <w:r w:rsidR="00B076BC" w:rsidRPr="00493528">
        <w:rPr>
          <w:b/>
          <w:bCs/>
        </w:rPr>
        <w:t>Introduction</w:t>
      </w:r>
      <w:bookmarkEnd w:id="0"/>
    </w:p>
    <w:p w14:paraId="4F872CAD" w14:textId="35D85BC1" w:rsidR="00331C80" w:rsidRDefault="00DB7D61" w:rsidP="00630C24">
      <w:pPr>
        <w:spacing w:before="120" w:after="120" w:line="360" w:lineRule="auto"/>
        <w:rPr>
          <w:rFonts w:ascii="Arial" w:hAnsi="Arial" w:cs="Arial"/>
        </w:rPr>
      </w:pPr>
      <w:r>
        <w:rPr>
          <w:rFonts w:ascii="Arial" w:hAnsi="Arial" w:cs="Arial"/>
        </w:rPr>
        <w:t xml:space="preserve">Marks &amp; Spencer Group plc (M&amp;S), founded in 1884, is a leading British retailer listed on the London Stock Exchange as part of the FTSE 100 (London Stock Exchange, 2026). It operates in </w:t>
      </w:r>
      <w:r w:rsidR="001130B2">
        <w:rPr>
          <w:rFonts w:ascii="Arial" w:hAnsi="Arial" w:cs="Arial"/>
        </w:rPr>
        <w:t xml:space="preserve">the </w:t>
      </w:r>
      <w:r>
        <w:rPr>
          <w:rFonts w:ascii="Arial" w:hAnsi="Arial" w:cs="Arial"/>
        </w:rPr>
        <w:t xml:space="preserve">Food, Fashion, Home &amp; Beauty segments and owns a 50% stake in Ocado Retail (Marks and Spencer Group plc, 2025a). In 2023, its share price increased by 121.8% (Trustnet, 2024), but a cyberattack in April 2025 wiped out over £1 billion of market value and cut operating profit by around £300 million (CNBC, 2025; GlobalData, 2026). This event </w:t>
      </w:r>
      <w:r w:rsidR="00F14930">
        <w:rPr>
          <w:rFonts w:ascii="Arial" w:hAnsi="Arial" w:cs="Arial"/>
        </w:rPr>
        <w:t>underscores the importance of effective management accounting practices in mitigating external shocks that threaten profitability and shareholder value, especially when compared with competitors such as Next and Primark</w:t>
      </w:r>
      <w:r>
        <w:rPr>
          <w:rFonts w:ascii="Arial" w:hAnsi="Arial" w:cs="Arial"/>
        </w:rPr>
        <w:t>.</w:t>
      </w:r>
    </w:p>
    <w:p w14:paraId="708EE416" w14:textId="4CB78B01" w:rsidR="00011C4D" w:rsidRPr="00630C24" w:rsidRDefault="005A4873" w:rsidP="00630C24">
      <w:pPr>
        <w:spacing w:before="120" w:after="120" w:line="360" w:lineRule="auto"/>
        <w:rPr>
          <w:rFonts w:ascii="Arial" w:hAnsi="Arial" w:cs="Arial"/>
        </w:rPr>
      </w:pPr>
      <w:r>
        <w:rPr>
          <w:rFonts w:ascii="Arial" w:hAnsi="Arial" w:cs="Arial"/>
        </w:rPr>
        <w:t xml:space="preserve">Management accounting involves identifying, measuring, analysing, and communicating both financial and non-financial data to support managers in planning, controlling, and evaluating </w:t>
      </w:r>
      <w:r w:rsidR="00373845">
        <w:rPr>
          <w:rFonts w:ascii="Arial" w:hAnsi="Arial" w:cs="Arial"/>
        </w:rPr>
        <w:t>organisational</w:t>
      </w:r>
      <w:r>
        <w:rPr>
          <w:rFonts w:ascii="Arial" w:hAnsi="Arial" w:cs="Arial"/>
        </w:rPr>
        <w:t xml:space="preserve"> performance (</w:t>
      </w:r>
      <w:proofErr w:type="spellStart"/>
      <w:r>
        <w:rPr>
          <w:rFonts w:ascii="Arial" w:hAnsi="Arial" w:cs="Arial"/>
        </w:rPr>
        <w:t>Atrill</w:t>
      </w:r>
      <w:proofErr w:type="spellEnd"/>
      <w:r>
        <w:rPr>
          <w:rFonts w:ascii="Arial" w:hAnsi="Arial" w:cs="Arial"/>
        </w:rPr>
        <w:t xml:space="preserve"> and McLaney, 2021; Weetman, 2013). These internal processes connect decision-making with </w:t>
      </w:r>
      <w:r w:rsidR="00373845">
        <w:rPr>
          <w:rFonts w:ascii="Arial" w:hAnsi="Arial" w:cs="Arial"/>
        </w:rPr>
        <w:t>organisational</w:t>
      </w:r>
      <w:r>
        <w:rPr>
          <w:rFonts w:ascii="Arial" w:hAnsi="Arial" w:cs="Arial"/>
        </w:rPr>
        <w:t xml:space="preserve"> outcomes. The field is being transformed by advances in artificial intelligence, which automate cost tracking, improve managerial judgment with data-driven insights, and enable more flexible decision-making across M&amp;S's operations (HMFA, 2025). For M&amp;S, effective cost management increased the adjusted return on capital employed from 14.1% to 16.4% in FY2024/25 (Marks and Spencer Group plc, 2025a), demonstrating how such practices support sustained profitability and competitiveness amid volatile retail markets.</w:t>
      </w:r>
    </w:p>
    <w:p w14:paraId="505EA813" w14:textId="561A19D2" w:rsidR="00B076BC" w:rsidRPr="00630C24" w:rsidRDefault="00260A30" w:rsidP="00630C24">
      <w:pPr>
        <w:spacing w:before="120" w:after="120" w:line="360" w:lineRule="auto"/>
        <w:rPr>
          <w:rFonts w:ascii="Arial" w:hAnsi="Arial" w:cs="Arial"/>
        </w:rPr>
      </w:pPr>
      <w:r w:rsidRPr="00630C24">
        <w:rPr>
          <w:rFonts w:ascii="Arial" w:hAnsi="Arial" w:cs="Arial"/>
        </w:rPr>
        <w:t xml:space="preserve">This report critically </w:t>
      </w:r>
      <w:r w:rsidR="00C720E4">
        <w:rPr>
          <w:rFonts w:ascii="Arial" w:hAnsi="Arial" w:cs="Arial"/>
        </w:rPr>
        <w:t>evaluates how M&amp;S applies management accounting tools and principles, focusing on cost analysis, budgeting, performance measurement, sustainability, and strategic decision-making to inform stakeholders about their effectiveness</w:t>
      </w:r>
      <w:r w:rsidRPr="00630C24">
        <w:rPr>
          <w:rFonts w:ascii="Arial" w:hAnsi="Arial" w:cs="Arial"/>
        </w:rPr>
        <w:t>.</w:t>
      </w:r>
    </w:p>
    <w:p w14:paraId="75EFF748" w14:textId="64D22444" w:rsidR="009958B0" w:rsidRDefault="007C5ACE" w:rsidP="009A5DD6">
      <w:pPr>
        <w:pStyle w:val="Style1"/>
        <w:rPr>
          <w:b/>
          <w:bCs/>
        </w:rPr>
      </w:pPr>
      <w:bookmarkStart w:id="1" w:name="_Toc234502623"/>
      <w:r w:rsidRPr="009A5DD6">
        <w:rPr>
          <w:b/>
          <w:bCs/>
        </w:rPr>
        <w:t xml:space="preserve">2. </w:t>
      </w:r>
      <w:r w:rsidR="00B70748" w:rsidRPr="009A5DD6">
        <w:rPr>
          <w:b/>
          <w:bCs/>
        </w:rPr>
        <w:t xml:space="preserve">Cost Analyses and </w:t>
      </w:r>
      <w:r w:rsidR="00CE6CE1" w:rsidRPr="009A5DD6">
        <w:rPr>
          <w:b/>
          <w:bCs/>
        </w:rPr>
        <w:t>Business Model</w:t>
      </w:r>
      <w:bookmarkEnd w:id="1"/>
    </w:p>
    <w:p w14:paraId="3273E1A8" w14:textId="498CA261" w:rsidR="00DB7D61" w:rsidRDefault="00017BDA" w:rsidP="00630C24">
      <w:pPr>
        <w:spacing w:before="120" w:after="120" w:line="360" w:lineRule="auto"/>
        <w:rPr>
          <w:rFonts w:ascii="Arial" w:hAnsi="Arial" w:cs="Arial"/>
        </w:rPr>
      </w:pPr>
      <w:r>
        <w:rPr>
          <w:rFonts w:ascii="Arial" w:hAnsi="Arial" w:cs="Arial"/>
        </w:rPr>
        <w:t>A revenue model explains how an organisation earns income from its products and services (</w:t>
      </w:r>
      <w:proofErr w:type="spellStart"/>
      <w:r>
        <w:rPr>
          <w:rFonts w:ascii="Arial" w:hAnsi="Arial" w:cs="Arial"/>
        </w:rPr>
        <w:t>Atrill</w:t>
      </w:r>
      <w:proofErr w:type="spellEnd"/>
      <w:r>
        <w:rPr>
          <w:rFonts w:ascii="Arial" w:hAnsi="Arial" w:cs="Arial"/>
        </w:rPr>
        <w:t xml:space="preserve"> and McLaney, 2021). M&amp;S uses a multi-channel, own-brand retail revenue model across three connected streams: Food; Fashion, Home &amp; Beauty; and its Ocado Retail stake. In FY2024/25, group sales reached £13,914.3 million, a 6.1% increase from 2023/24, driven mainly by an 8.7% rise in Food sales and a </w:t>
      </w:r>
      <w:r>
        <w:rPr>
          <w:rFonts w:ascii="Arial" w:hAnsi="Arial" w:cs="Arial"/>
        </w:rPr>
        <w:lastRenderedPageBreak/>
        <w:t>3.5% increase in Fashion, Home &amp; Beauty (Marks and Spencer Group plc, 2025a). This demonstrates the resilience of its diversified model to category-specific demand shocks (Macrotrends, 2025). However, as M&amp;S is solely an own-brand retailer, it bears all costs for product development, sourcing, and quality assurance, placing full volume risk on the company, an inherent disadvantage compared to multi-brand competitors like Next (Weetman, 2013).</w:t>
      </w:r>
    </w:p>
    <w:p w14:paraId="469F4CBE" w14:textId="7D3341E5" w:rsidR="007C5ACE" w:rsidRPr="00630C24" w:rsidRDefault="004C3020" w:rsidP="00630C24">
      <w:pPr>
        <w:spacing w:before="120" w:after="120" w:line="360" w:lineRule="auto"/>
        <w:rPr>
          <w:rFonts w:ascii="Arial" w:hAnsi="Arial" w:cs="Arial"/>
        </w:rPr>
      </w:pPr>
      <w:r w:rsidRPr="00630C24">
        <w:rPr>
          <w:rFonts w:ascii="Arial" w:hAnsi="Arial" w:cs="Arial"/>
        </w:rPr>
        <w:t xml:space="preserve">Understanding M&amp;S's cost structure involves categorising costs by their nature and behaviour. Product costs, including direct materials, direct labour, and manufacturing overhead, are assigned to each unit produced and stored as inventory until sold. Conversely, period costs, such as selling and administrative expenses, are recognised immediately in the profit or loss statement (Seal and Rohde, 2018). In the retail sector, M&amp;S's cost of goods sold reached £9,078.7 million in FY2024/25, resulting in a gross profit of £4,738.1 million and a gross margin of about 34.3% (Yahoo Finance, 2025). Costs are also classified by their behaviour: variable costs change in total with activity levels, while fixed costs remain constant regardless of output (Seal and Rohde, 2018; </w:t>
      </w:r>
      <w:proofErr w:type="spellStart"/>
      <w:r w:rsidRPr="00630C24">
        <w:rPr>
          <w:rFonts w:ascii="Arial" w:hAnsi="Arial" w:cs="Arial"/>
        </w:rPr>
        <w:t>Atrill</w:t>
      </w:r>
      <w:proofErr w:type="spellEnd"/>
      <w:r w:rsidRPr="00630C24">
        <w:rPr>
          <w:rFonts w:ascii="Arial" w:hAnsi="Arial" w:cs="Arial"/>
        </w:rPr>
        <w:t xml:space="preserve"> and McLaney, 2022).</w:t>
      </w:r>
    </w:p>
    <w:p w14:paraId="684FE39F" w14:textId="7DBD4970" w:rsidR="007C5ACE" w:rsidRPr="00630C24" w:rsidRDefault="002415B0" w:rsidP="00630C24">
      <w:pPr>
        <w:spacing w:before="120" w:after="120" w:line="360" w:lineRule="auto"/>
        <w:rPr>
          <w:rFonts w:ascii="Arial" w:hAnsi="Arial" w:cs="Arial"/>
        </w:rPr>
      </w:pPr>
      <w:r w:rsidRPr="00630C24">
        <w:rPr>
          <w:rFonts w:ascii="Arial" w:hAnsi="Arial" w:cs="Arial"/>
        </w:rPr>
        <w:t>M&amp;S maintains a substantial fixed-cost base, characteristic of a large bricks-and-mortar retailer. Under IFRS 16, property lease obligations, store depreciation, defined-benefit pension costs, and payroll for over 63,000 employees (Marks and Spencer Group plc, 2025a) constitute largely unavoidable short-run commitments, resulting in significant operational leverage. Consequently, when revenue declines, these fixed costs persist, leading to a disproportionate compression of profitability. This vulnerability was sharply highlighted by the cyberattack in April 2025, which diminished operating profit by approximately £300 million (CNBC, 2025). In contrast, variable costs, primarily related to food procurement, packaging, and logistics, adapt more readily to changes in sales volumes but still face risks associated with supply-chain volatility.</w:t>
      </w:r>
    </w:p>
    <w:p w14:paraId="6BA92F84" w14:textId="173834FC" w:rsidR="00FE0D60" w:rsidRDefault="004402C8" w:rsidP="00630C24">
      <w:pPr>
        <w:spacing w:before="120" w:after="120" w:line="360" w:lineRule="auto"/>
        <w:rPr>
          <w:rFonts w:ascii="Arial" w:hAnsi="Arial" w:cs="Arial"/>
        </w:rPr>
      </w:pPr>
      <w:r w:rsidRPr="00630C24">
        <w:rPr>
          <w:rFonts w:ascii="Arial" w:hAnsi="Arial" w:cs="Arial"/>
        </w:rPr>
        <w:t>Accurate cost attribution requires comprehensive management information. Activity-based costing (ABC) allocates indirect overhead to cost objects such as products, channels, or customers based on the activities that generate it. This approach enables management to assess divisional profitability with greater precision (</w:t>
      </w:r>
      <w:proofErr w:type="spellStart"/>
      <w:r w:rsidRPr="00630C24">
        <w:rPr>
          <w:rFonts w:ascii="Arial" w:hAnsi="Arial" w:cs="Arial"/>
        </w:rPr>
        <w:t>Atrill</w:t>
      </w:r>
      <w:proofErr w:type="spellEnd"/>
      <w:r w:rsidRPr="00630C24">
        <w:rPr>
          <w:rFonts w:ascii="Arial" w:hAnsi="Arial" w:cs="Arial"/>
        </w:rPr>
        <w:t xml:space="preserve"> and McLaney, 2021; Seal and Rohde, 2018). The integration of artificial intelligence further enhances this process; machine learning algorithms are increasingly used to </w:t>
      </w:r>
      <w:r w:rsidRPr="00630C24">
        <w:rPr>
          <w:rFonts w:ascii="Arial" w:hAnsi="Arial" w:cs="Arial"/>
        </w:rPr>
        <w:lastRenderedPageBreak/>
        <w:t>analyse large transactional datasets, identify cost drivers, and automate overhead allocation in real time (HMFA, 2025). As a result, this significantly strengthens the foundational information needed for budgeting, performance measurement, and sustainability decisions.</w:t>
      </w:r>
    </w:p>
    <w:p w14:paraId="734B26B3" w14:textId="65236F12" w:rsidR="006B7300" w:rsidRDefault="006B7300" w:rsidP="00A226FA">
      <w:pPr>
        <w:pStyle w:val="Style1"/>
        <w:rPr>
          <w:b/>
          <w:bCs/>
          <w:lang w:val="en-US"/>
        </w:rPr>
      </w:pPr>
      <w:bookmarkStart w:id="2" w:name="_Toc234502624"/>
      <w:r w:rsidRPr="00A226FA">
        <w:rPr>
          <w:b/>
          <w:bCs/>
        </w:rPr>
        <w:t>3.</w:t>
      </w:r>
      <w:r w:rsidR="00A226FA" w:rsidRPr="00A226FA">
        <w:rPr>
          <w:rFonts w:eastAsia="Arial" w:cs="Arial"/>
          <w:b/>
          <w:bCs/>
          <w:kern w:val="0"/>
          <w:szCs w:val="22"/>
          <w:lang w:val="en-US"/>
          <w14:ligatures w14:val="none"/>
        </w:rPr>
        <w:t xml:space="preserve"> </w:t>
      </w:r>
      <w:r w:rsidR="00A226FA" w:rsidRPr="00A226FA">
        <w:rPr>
          <w:b/>
          <w:bCs/>
          <w:lang w:val="en-US"/>
        </w:rPr>
        <w:t>Budgeting and Financial Planning</w:t>
      </w:r>
      <w:bookmarkEnd w:id="2"/>
    </w:p>
    <w:p w14:paraId="3FFC58F7" w14:textId="6F1D6B06" w:rsidR="005A298E" w:rsidRPr="005A298E" w:rsidRDefault="00E0119A" w:rsidP="005A298E">
      <w:pPr>
        <w:spacing w:before="120" w:after="120" w:line="360" w:lineRule="auto"/>
        <w:rPr>
          <w:rFonts w:ascii="Arial" w:hAnsi="Arial" w:cs="Arial"/>
        </w:rPr>
      </w:pPr>
      <w:r>
        <w:rPr>
          <w:rFonts w:ascii="Arial" w:hAnsi="Arial" w:cs="Arial"/>
        </w:rPr>
        <w:t>Budgeting involves creating a financial plan that guides management in planning, coordinating, and controlling activities (</w:t>
      </w:r>
      <w:proofErr w:type="spellStart"/>
      <w:r>
        <w:rPr>
          <w:rFonts w:ascii="Arial" w:hAnsi="Arial" w:cs="Arial"/>
        </w:rPr>
        <w:t>Atrill</w:t>
      </w:r>
      <w:proofErr w:type="spellEnd"/>
      <w:r>
        <w:rPr>
          <w:rFonts w:ascii="Arial" w:hAnsi="Arial" w:cs="Arial"/>
        </w:rPr>
        <w:t xml:space="preserve"> and McLaney, 2021). In management accounting, budgets </w:t>
      </w:r>
      <w:r w:rsidR="00720780">
        <w:rPr>
          <w:rFonts w:ascii="Arial" w:hAnsi="Arial" w:cs="Arial"/>
        </w:rPr>
        <w:t>authorise</w:t>
      </w:r>
      <w:r>
        <w:rPr>
          <w:rFonts w:ascii="Arial" w:hAnsi="Arial" w:cs="Arial"/>
        </w:rPr>
        <w:t xml:space="preserve"> spending, share plans, motivate managers, and track performance (Weetman, 2013). At M&amp;S, the yearly cycle turns the "Reshaping for Growth" strategy into divisional budgets, allocating capital across Food, Fashion, Home &amp; Beauty, and Ocado Retail while ensuring financial discipline</w:t>
      </w:r>
      <w:r w:rsidR="005A298E" w:rsidRPr="005A298E">
        <w:rPr>
          <w:rFonts w:ascii="Arial" w:hAnsi="Arial" w:cs="Arial"/>
        </w:rPr>
        <w:t>.</w:t>
      </w:r>
    </w:p>
    <w:p w14:paraId="4EEDE47B" w14:textId="1D9F59B2" w:rsidR="005A298E" w:rsidRPr="005A298E" w:rsidRDefault="00E15F67" w:rsidP="005A298E">
      <w:pPr>
        <w:spacing w:before="120" w:after="120" w:line="360" w:lineRule="auto"/>
        <w:rPr>
          <w:rFonts w:ascii="Arial" w:hAnsi="Arial" w:cs="Arial"/>
        </w:rPr>
      </w:pPr>
      <w:r>
        <w:rPr>
          <w:rFonts w:ascii="Arial" w:hAnsi="Arial" w:cs="Arial"/>
        </w:rPr>
        <w:t xml:space="preserve">According to Yahoo Finance (2025) and </w:t>
      </w:r>
      <w:r w:rsidR="00720780">
        <w:rPr>
          <w:rFonts w:ascii="Arial" w:hAnsi="Arial" w:cs="Arial"/>
        </w:rPr>
        <w:t>Google Finance, operating expenses increased from £3,534.1 million in FY2023/24 to £4,070.2 million in FY2024/25, reflecting a rise of £536.1 million,</w:t>
      </w:r>
      <w:r>
        <w:rPr>
          <w:rFonts w:ascii="Arial" w:hAnsi="Arial" w:cs="Arial"/>
        </w:rPr>
        <w:t xml:space="preserve"> or 15.2% year-on-year. This surge far </w:t>
      </w:r>
      <w:r w:rsidR="00720780">
        <w:rPr>
          <w:rFonts w:ascii="Arial" w:hAnsi="Arial" w:cs="Arial"/>
        </w:rPr>
        <w:t>exceeds the 6.1% revenue growth in the same period (Marks and Spencer Group plc, 2025a), suggesting costs are outpacing</w:t>
      </w:r>
      <w:r>
        <w:rPr>
          <w:rFonts w:ascii="Arial" w:hAnsi="Arial" w:cs="Arial"/>
        </w:rPr>
        <w:t xml:space="preserve"> income and highlighting the need for strict budget management.</w:t>
      </w:r>
    </w:p>
    <w:p w14:paraId="176319FA" w14:textId="6CC952E4" w:rsidR="005A298E" w:rsidRPr="005A298E" w:rsidRDefault="00E15F67" w:rsidP="005A298E">
      <w:pPr>
        <w:spacing w:before="120" w:after="120" w:line="360" w:lineRule="auto"/>
        <w:rPr>
          <w:rFonts w:ascii="Arial" w:hAnsi="Arial" w:cs="Arial"/>
        </w:rPr>
      </w:pPr>
      <w:r>
        <w:rPr>
          <w:rFonts w:ascii="Arial" w:hAnsi="Arial" w:cs="Arial"/>
        </w:rPr>
        <w:t>Two main factors drive this growth. Internally, management raised capital expenditure to £557.9 million for FY2024/25, an increase of £177.9 million compared to FY2023/24</w:t>
      </w:r>
      <w:r w:rsidR="006500C1">
        <w:rPr>
          <w:rFonts w:ascii="Arial" w:hAnsi="Arial" w:cs="Arial"/>
        </w:rPr>
        <w:t xml:space="preserve">. </w:t>
      </w:r>
      <w:r>
        <w:rPr>
          <w:rFonts w:ascii="Arial" w:hAnsi="Arial" w:cs="Arial"/>
        </w:rPr>
        <w:t>This investment focuses on store renovations at flagship locations like Cribbs Causeway, new full-line stores, and enhancements to digital infrastructure (Marks and Spencer Group plc, 2025a). The approach follows incremental budgeting, where the previous year's expenditure serves as the baseline, and management adds approved increases aligned with strategic goals (Weetman, 2013). A known limitation is that this method incorporates past inefficiencies without assessing whether baseline activities still add value. Zero-based budgeting (ZBB), which requires justifying all expenses anew each cycle, would mitigate this but is rarely practical for M&amp;S's scale (</w:t>
      </w:r>
      <w:proofErr w:type="spellStart"/>
      <w:r>
        <w:rPr>
          <w:rFonts w:ascii="Arial" w:hAnsi="Arial" w:cs="Arial"/>
        </w:rPr>
        <w:t>Atrill</w:t>
      </w:r>
      <w:proofErr w:type="spellEnd"/>
      <w:r>
        <w:rPr>
          <w:rFonts w:ascii="Arial" w:hAnsi="Arial" w:cs="Arial"/>
        </w:rPr>
        <w:t xml:space="preserve"> and McLaney, 2021).</w:t>
      </w:r>
    </w:p>
    <w:p w14:paraId="4FE856BF" w14:textId="00176818" w:rsidR="005A298E" w:rsidRDefault="00AF4A7D" w:rsidP="005A298E">
      <w:pPr>
        <w:spacing w:before="120" w:after="120" w:line="360" w:lineRule="auto"/>
        <w:rPr>
          <w:rFonts w:ascii="Arial" w:hAnsi="Arial" w:cs="Arial"/>
        </w:rPr>
      </w:pPr>
      <w:r>
        <w:rPr>
          <w:rFonts w:ascii="Arial" w:hAnsi="Arial" w:cs="Arial"/>
        </w:rPr>
        <w:t xml:space="preserve">The UK government's 2024 Autumn Budget introduced two significant cost increases. Starting 6 April 2025, employer National Insurance contributions (NICs) increased from 13.8% to 15.0%, and the secondary earnings threshold was lowered from £9,100 to £5,000 per employee. Deloitte (2024) highlights that these changes </w:t>
      </w:r>
      <w:r>
        <w:rPr>
          <w:rFonts w:ascii="Arial" w:hAnsi="Arial" w:cs="Arial"/>
        </w:rPr>
        <w:lastRenderedPageBreak/>
        <w:t>raise employer NIC costs on a £20,000 salary by 50%, hitting retail businesses especially hard. At the same time, the National Living Wage increased from £11.44 to £12.21 per hour (GOV.UK, 2024; Low Pay Commission, 2025), adding about £60 million to payroll costs and another £60 million to NIC expenses, totalling approximately £120 million, as confirmed in investor disclosures (</w:t>
      </w:r>
      <w:proofErr w:type="spellStart"/>
      <w:r>
        <w:rPr>
          <w:rFonts w:ascii="Arial" w:hAnsi="Arial" w:cs="Arial"/>
        </w:rPr>
        <w:t>ShareAction</w:t>
      </w:r>
      <w:proofErr w:type="spellEnd"/>
      <w:r>
        <w:rPr>
          <w:rFonts w:ascii="Arial" w:hAnsi="Arial" w:cs="Arial"/>
        </w:rPr>
        <w:t xml:space="preserve">, 2025). Within a standard-costing framework, these are considered non-controllable variances and are excluded from assessments of management's operational efficiency (Weetman, 2013). Rather than passing these costs </w:t>
      </w:r>
      <w:r w:rsidR="00CF1F46">
        <w:rPr>
          <w:rFonts w:ascii="Arial" w:hAnsi="Arial" w:cs="Arial"/>
        </w:rPr>
        <w:t xml:space="preserve">on to consumers, management chose to absorb them, viewing wage investment as a long-term value driver aligned with </w:t>
      </w:r>
      <w:r>
        <w:rPr>
          <w:rFonts w:ascii="Arial" w:hAnsi="Arial" w:cs="Arial"/>
        </w:rPr>
        <w:t>employee engagement KPIs (</w:t>
      </w:r>
      <w:proofErr w:type="spellStart"/>
      <w:r>
        <w:rPr>
          <w:rFonts w:ascii="Arial" w:hAnsi="Arial" w:cs="Arial"/>
        </w:rPr>
        <w:t>Atrill</w:t>
      </w:r>
      <w:proofErr w:type="spellEnd"/>
      <w:r>
        <w:rPr>
          <w:rFonts w:ascii="Arial" w:hAnsi="Arial" w:cs="Arial"/>
        </w:rPr>
        <w:t xml:space="preserve"> and McLaney, 2022).</w:t>
      </w:r>
    </w:p>
    <w:p w14:paraId="5F7E2C50" w14:textId="4356314F" w:rsidR="00BA3C77" w:rsidRPr="005A298E" w:rsidRDefault="00BA3C77" w:rsidP="005A298E">
      <w:pPr>
        <w:spacing w:before="120" w:after="120" w:line="360" w:lineRule="auto"/>
        <w:rPr>
          <w:rFonts w:ascii="Arial" w:hAnsi="Arial" w:cs="Arial"/>
        </w:rPr>
      </w:pPr>
      <w:r w:rsidRPr="00BA3C77">
        <w:rPr>
          <w:rFonts w:ascii="Arial" w:hAnsi="Arial" w:cs="Arial"/>
        </w:rPr>
        <w:t>Data from Google Finance and Yahoo Finance (2025) shows a 15.2% rise in operating expenses, climbing from £3,534.1 million in FY2023/24 to £4,070.2 million in FY2024/25. This increase reflects M&amp;S's strategic and externally driven expansion of its cost base. While aligned with the company's growth plans and regulatory requirements, it underscores the need for detailed variance analysis, breaking down actual versus budgeted expenses into controllable and non-controllable parts and for flexible budget frameworks that can adapt to macroeconomic shocks. These measures are essential to protect M&amp;S's profitability amid its ongoing transformation (</w:t>
      </w:r>
      <w:proofErr w:type="spellStart"/>
      <w:r w:rsidRPr="00BA3C77">
        <w:rPr>
          <w:rFonts w:ascii="Arial" w:hAnsi="Arial" w:cs="Arial"/>
        </w:rPr>
        <w:t>Atrill</w:t>
      </w:r>
      <w:proofErr w:type="spellEnd"/>
      <w:r w:rsidRPr="00BA3C77">
        <w:rPr>
          <w:rFonts w:ascii="Arial" w:hAnsi="Arial" w:cs="Arial"/>
        </w:rPr>
        <w:t xml:space="preserve"> and McLaney, 2022; Weetman, 2013).</w:t>
      </w:r>
    </w:p>
    <w:p w14:paraId="33BEBED9" w14:textId="0F97DF50" w:rsidR="001D6CB9" w:rsidRPr="009A5DD6" w:rsidRDefault="001D6CB9" w:rsidP="009A5DD6">
      <w:pPr>
        <w:pStyle w:val="Style1"/>
        <w:rPr>
          <w:b/>
          <w:bCs/>
        </w:rPr>
      </w:pPr>
      <w:bookmarkStart w:id="3" w:name="_Toc234502625"/>
      <w:r w:rsidRPr="009A5DD6">
        <w:rPr>
          <w:b/>
          <w:bCs/>
        </w:rPr>
        <w:t>4. Performance Measurement and Decision-Making</w:t>
      </w:r>
      <w:bookmarkEnd w:id="3"/>
    </w:p>
    <w:p w14:paraId="2538E6E5" w14:textId="1F2C8F3D" w:rsidR="00766B84" w:rsidRPr="00630C24" w:rsidRDefault="0095552A" w:rsidP="00630C24">
      <w:pPr>
        <w:spacing w:before="120" w:after="120" w:line="360" w:lineRule="auto"/>
        <w:rPr>
          <w:rFonts w:ascii="Arial" w:hAnsi="Arial" w:cs="Arial"/>
        </w:rPr>
      </w:pPr>
      <w:proofErr w:type="spellStart"/>
      <w:r>
        <w:rPr>
          <w:rFonts w:ascii="Arial" w:hAnsi="Arial" w:cs="Arial"/>
        </w:rPr>
        <w:t>Atrill</w:t>
      </w:r>
      <w:proofErr w:type="spellEnd"/>
      <w:r>
        <w:rPr>
          <w:rFonts w:ascii="Arial" w:hAnsi="Arial" w:cs="Arial"/>
        </w:rPr>
        <w:t xml:space="preserve"> and McLaney (2022) define performance measurement as the process of comparing inputs, outputs, and outcomes against predetermined targets to guide decision-making. Building on this concept, Kaplan and Norton (1992) introduced the balanced scorecard</w:t>
      </w:r>
      <w:r w:rsidR="00373845">
        <w:rPr>
          <w:rFonts w:ascii="Arial" w:hAnsi="Arial" w:cs="Arial"/>
        </w:rPr>
        <w:t>. This framework</w:t>
      </w:r>
      <w:r>
        <w:rPr>
          <w:rFonts w:ascii="Arial" w:hAnsi="Arial" w:cs="Arial"/>
        </w:rPr>
        <w:t xml:space="preserve"> integrates both financial and non-financial metrics across four key perspectives: financial, customer, internal processes, and learning and growth. This approach aims to reduce dependence on historical financial data. As supply chains grow more intricate and outsourcing becomes prevalent, it is increasingly essential to incorporate non-financial indicators</w:t>
      </w:r>
      <w:r w:rsidR="00373845">
        <w:rPr>
          <w:rFonts w:ascii="Arial" w:hAnsi="Arial" w:cs="Arial"/>
        </w:rPr>
        <w:t xml:space="preserve"> </w:t>
      </w:r>
      <w:r>
        <w:rPr>
          <w:rFonts w:ascii="Arial" w:hAnsi="Arial" w:cs="Arial"/>
        </w:rPr>
        <w:t>such as supplier performance, ethical compliance, and operational resilience</w:t>
      </w:r>
      <w:r w:rsidR="00373845">
        <w:rPr>
          <w:rFonts w:ascii="Arial" w:hAnsi="Arial" w:cs="Arial"/>
        </w:rPr>
        <w:t xml:space="preserve"> </w:t>
      </w:r>
      <w:r>
        <w:rPr>
          <w:rFonts w:ascii="Arial" w:hAnsi="Arial" w:cs="Arial"/>
        </w:rPr>
        <w:t xml:space="preserve">into performance evaluations (Kaplan and Norton, 1992). In this section, we will apply the balanced scorecard to five key performance indicators (KPIs) from M&amp;S, examining </w:t>
      </w:r>
      <w:r>
        <w:rPr>
          <w:rFonts w:ascii="Arial" w:hAnsi="Arial" w:cs="Arial"/>
        </w:rPr>
        <w:lastRenderedPageBreak/>
        <w:t>how each contributes to strategy and acknowledging the limitations of this framework within the context of M&amp;S.</w:t>
      </w:r>
    </w:p>
    <w:p w14:paraId="6B3770CF" w14:textId="254A0F47" w:rsidR="001D6CB9" w:rsidRPr="00630C24" w:rsidRDefault="001D6CB9" w:rsidP="00630C24">
      <w:pPr>
        <w:spacing w:before="120" w:after="120" w:line="360" w:lineRule="auto"/>
        <w:rPr>
          <w:rFonts w:ascii="Arial" w:hAnsi="Arial" w:cs="Arial"/>
        </w:rPr>
      </w:pPr>
      <w:r w:rsidRPr="00630C24">
        <w:rPr>
          <w:rFonts w:ascii="Arial" w:hAnsi="Arial" w:cs="Arial"/>
        </w:rPr>
        <w:t>First, group revenue increased by 6.1% to £13.91 billion in FY2024/25, with Food sales rising 8.7% to £9.0 billion (Marks and Spencer Group plc, 2025a), reflecting a multi-year recovery trend (Macrotrends, 2025). This supported ongoing investments in store renewal and food innovation under "Reshaping for Growth," rather than retrenchment (</w:t>
      </w:r>
      <w:proofErr w:type="spellStart"/>
      <w:r w:rsidRPr="00630C24">
        <w:rPr>
          <w:rFonts w:ascii="Arial" w:hAnsi="Arial" w:cs="Arial"/>
        </w:rPr>
        <w:t>Atrill</w:t>
      </w:r>
      <w:proofErr w:type="spellEnd"/>
      <w:r w:rsidRPr="00630C24">
        <w:rPr>
          <w:rFonts w:ascii="Arial" w:hAnsi="Arial" w:cs="Arial"/>
        </w:rPr>
        <w:t xml:space="preserve"> and McLaney, 2022). However, as a volume-based metric, revenue does not account for profitability, margin quality, or cash conversion and can conceal cost pressures such as those outlined below.</w:t>
      </w:r>
    </w:p>
    <w:p w14:paraId="48EFAFDB" w14:textId="77777777" w:rsidR="001D6CB9" w:rsidRPr="00630C24" w:rsidRDefault="001D6CB9" w:rsidP="00630C24">
      <w:pPr>
        <w:spacing w:before="120" w:after="120" w:line="360" w:lineRule="auto"/>
        <w:rPr>
          <w:rFonts w:ascii="Arial" w:hAnsi="Arial" w:cs="Arial"/>
        </w:rPr>
      </w:pPr>
      <w:r w:rsidRPr="00630C24">
        <w:rPr>
          <w:rFonts w:ascii="Arial" w:hAnsi="Arial" w:cs="Arial"/>
        </w:rPr>
        <w:t>Second, profit before tax (PBT), adjusted for certain items, increased by 22.2% to £875.5 million, reaching its highest level in 15 years. Meanwhile, statutory PBT declined due to a cyber incident that caused an estimated £300 million loss (Marks and Spencer Group plc, 2025a; CNBC, 2025; GlobalData, 2026). By separating "adjusting items" from core trading profit, the company highlighted controllable cost performance (Weetman, 2013), thereby supporting cost-control initiatives such as furniture simplification. However, this categorisation depends on managerial judgment, which can introduce earnings management and reduce comparability (Weetman, 2013; Yahoo Finance, 2025).</w:t>
      </w:r>
    </w:p>
    <w:p w14:paraId="2E3A4BBC" w14:textId="77777777" w:rsidR="001D6CB9" w:rsidRPr="00630C24" w:rsidRDefault="001D6CB9" w:rsidP="00630C24">
      <w:pPr>
        <w:spacing w:before="120" w:after="120" w:line="360" w:lineRule="auto"/>
        <w:rPr>
          <w:rFonts w:ascii="Arial" w:hAnsi="Arial" w:cs="Arial"/>
        </w:rPr>
      </w:pPr>
      <w:r w:rsidRPr="00630C24">
        <w:rPr>
          <w:rFonts w:ascii="Arial" w:hAnsi="Arial" w:cs="Arial"/>
        </w:rPr>
        <w:t>Third, the adjusted ROCE (operating profit divided by capital employed) increased to 16.4% from 14.1%. Meanwhile, net debt/EBITDA decreased to 1.9x from 7.4x (Marks and Spencer Group plc, 2025a), signalling a shift in investment focus towards high-return store rotations and technology rather than low-yielding assets (</w:t>
      </w:r>
      <w:proofErr w:type="spellStart"/>
      <w:r w:rsidRPr="00630C24">
        <w:rPr>
          <w:rFonts w:ascii="Arial" w:hAnsi="Arial" w:cs="Arial"/>
        </w:rPr>
        <w:t>Atrill</w:t>
      </w:r>
      <w:proofErr w:type="spellEnd"/>
      <w:r w:rsidRPr="00630C24">
        <w:rPr>
          <w:rFonts w:ascii="Arial" w:hAnsi="Arial" w:cs="Arial"/>
        </w:rPr>
        <w:t xml:space="preserve"> and McLaney, 2022). However, according to IFRS (2016), the capitalised leases inflate the capital employed, which limits the reliability of ROCE as a measure for a lease-heavy retailer like M&amp;S.</w:t>
      </w:r>
    </w:p>
    <w:p w14:paraId="0D7849B6" w14:textId="2E003852" w:rsidR="001D6CB9" w:rsidRPr="00630C24" w:rsidRDefault="001D6CB9" w:rsidP="00630C24">
      <w:pPr>
        <w:spacing w:before="120" w:after="120" w:line="360" w:lineRule="auto"/>
        <w:rPr>
          <w:rFonts w:ascii="Arial" w:hAnsi="Arial" w:cs="Arial"/>
        </w:rPr>
      </w:pPr>
      <w:r w:rsidRPr="00630C24">
        <w:rPr>
          <w:rFonts w:ascii="Arial" w:hAnsi="Arial" w:cs="Arial"/>
        </w:rPr>
        <w:t>Fourth, M&amp;S's SBTi-validated goal of achieving net-zero emissions by FY2040, including a 55% reduction in Scope 1 and 2 emissions by FY2030, led to investments in the RE:</w:t>
      </w:r>
      <w:r w:rsidR="00362B7A" w:rsidRPr="00630C24">
        <w:rPr>
          <w:rFonts w:ascii="Arial" w:hAnsi="Arial" w:cs="Arial"/>
        </w:rPr>
        <w:t xml:space="preserve"> </w:t>
      </w:r>
      <w:r w:rsidRPr="00630C24">
        <w:rPr>
          <w:rFonts w:ascii="Arial" w:hAnsi="Arial" w:cs="Arial"/>
        </w:rPr>
        <w:t>Spark supplier decarbonisation partnership (Marks and Spencer Group plc, 2025b). This approach aligns with balanced-scorecard principles, where non-financial metrics support long-term enterprise value, even though short-term returns are limited and verifying long-term, Scope-3-focused targets can be challenging.</w:t>
      </w:r>
    </w:p>
    <w:p w14:paraId="5AB0797F" w14:textId="77777777" w:rsidR="001D6CB9" w:rsidRPr="00630C24" w:rsidRDefault="001D6CB9" w:rsidP="00630C24">
      <w:pPr>
        <w:spacing w:before="120" w:after="120" w:line="360" w:lineRule="auto"/>
        <w:rPr>
          <w:rFonts w:ascii="Arial" w:hAnsi="Arial" w:cs="Arial"/>
        </w:rPr>
      </w:pPr>
      <w:r w:rsidRPr="00630C24">
        <w:rPr>
          <w:rFonts w:ascii="Arial" w:hAnsi="Arial" w:cs="Arial"/>
        </w:rPr>
        <w:lastRenderedPageBreak/>
        <w:t>Fifth, employee engagement, defined as commitment to organisational goals alongside wellbeing, and "Mystery Shop" customer-satisfaction scores informed people-investment decisions, with internal research linking engagement to sales performance (Engage for Success, 2013). In response to the National Living Wage rise to £12.21 (Low Pay Commission, 2025), management absorbed higher payroll costs rather than cutting hours, treating wages as a value driver (</w:t>
      </w:r>
      <w:proofErr w:type="spellStart"/>
      <w:r w:rsidRPr="00630C24">
        <w:rPr>
          <w:rFonts w:ascii="Arial" w:hAnsi="Arial" w:cs="Arial"/>
        </w:rPr>
        <w:t>Atrill</w:t>
      </w:r>
      <w:proofErr w:type="spellEnd"/>
      <w:r w:rsidRPr="00630C24">
        <w:rPr>
          <w:rFonts w:ascii="Arial" w:hAnsi="Arial" w:cs="Arial"/>
        </w:rPr>
        <w:t xml:space="preserve"> and McLaney, 2022); however, the underlying study excluded a third of stores, limiting generalisability across M&amp;S's estate.</w:t>
      </w:r>
    </w:p>
    <w:p w14:paraId="3F31E7AF" w14:textId="251B509D" w:rsidR="001D6CB9" w:rsidRPr="00630C24" w:rsidRDefault="00AB59D0" w:rsidP="00630C24">
      <w:pPr>
        <w:spacing w:before="120" w:after="120" w:line="360" w:lineRule="auto"/>
        <w:rPr>
          <w:rFonts w:ascii="Arial" w:hAnsi="Arial" w:cs="Arial"/>
        </w:rPr>
      </w:pPr>
      <w:r w:rsidRPr="00630C24">
        <w:rPr>
          <w:rFonts w:ascii="Arial" w:hAnsi="Arial" w:cs="Arial"/>
        </w:rPr>
        <w:t xml:space="preserve">These KPIs demonstrate M&amp;S balancing profitability, efficiency, and stakeholder metrics, showing sound decision-making and </w:t>
      </w:r>
      <w:r w:rsidR="00362B7A" w:rsidRPr="00630C24">
        <w:rPr>
          <w:rFonts w:ascii="Arial" w:hAnsi="Arial" w:cs="Arial"/>
        </w:rPr>
        <w:t>its</w:t>
      </w:r>
      <w:r w:rsidRPr="00630C24">
        <w:rPr>
          <w:rFonts w:ascii="Arial" w:hAnsi="Arial" w:cs="Arial"/>
        </w:rPr>
        <w:t xml:space="preserve"> limitations (Weetman, 2013).</w:t>
      </w:r>
    </w:p>
    <w:p w14:paraId="789209A6" w14:textId="77777777" w:rsidR="001D6CB9" w:rsidRPr="009A5DD6" w:rsidRDefault="001D6CB9" w:rsidP="009A5DD6">
      <w:pPr>
        <w:pStyle w:val="Style1"/>
        <w:rPr>
          <w:b/>
          <w:bCs/>
        </w:rPr>
      </w:pPr>
      <w:bookmarkStart w:id="4" w:name="_Toc234502626"/>
      <w:r w:rsidRPr="009A5DD6">
        <w:rPr>
          <w:b/>
          <w:bCs/>
        </w:rPr>
        <w:t>5. Sustainability and Ethical Considerations</w:t>
      </w:r>
      <w:bookmarkEnd w:id="4"/>
    </w:p>
    <w:p w14:paraId="158926C9" w14:textId="53E3A17B" w:rsidR="001D6CB9" w:rsidRPr="00630C24" w:rsidRDefault="001D6CB9" w:rsidP="00630C24">
      <w:pPr>
        <w:spacing w:before="120" w:after="120" w:line="360" w:lineRule="auto"/>
        <w:rPr>
          <w:rFonts w:ascii="Arial" w:hAnsi="Arial" w:cs="Arial"/>
        </w:rPr>
      </w:pPr>
      <w:r w:rsidRPr="00630C24">
        <w:rPr>
          <w:rFonts w:ascii="Arial" w:hAnsi="Arial" w:cs="Arial"/>
        </w:rPr>
        <w:t xml:space="preserve">Building on the carbon-reduction KPI above, M&amp;S </w:t>
      </w:r>
      <w:r w:rsidR="004D2D3F" w:rsidRPr="00630C24">
        <w:rPr>
          <w:rFonts w:ascii="Arial" w:hAnsi="Arial" w:cs="Arial"/>
        </w:rPr>
        <w:t>is increasingly integrating sustainability into financial decision-making through environmental management accounting (EMA), which involves identifying and using</w:t>
      </w:r>
      <w:r w:rsidR="00917C89" w:rsidRPr="00630C24">
        <w:rPr>
          <w:rFonts w:ascii="Arial" w:hAnsi="Arial" w:cs="Arial"/>
        </w:rPr>
        <w:t xml:space="preserve"> physical and monetary environmental cost</w:t>
      </w:r>
      <w:r w:rsidRPr="00630C24">
        <w:rPr>
          <w:rFonts w:ascii="Arial" w:hAnsi="Arial" w:cs="Arial"/>
        </w:rPr>
        <w:t xml:space="preserve"> information to improve financial and environmental performance (Burritt, Hahn and Schaltegger, 2002). This is reinforced by the UK's newly endorsed </w:t>
      </w:r>
      <w:r w:rsidR="00917C89" w:rsidRPr="00630C24">
        <w:rPr>
          <w:rFonts w:ascii="Arial" w:hAnsi="Arial" w:cs="Arial"/>
        </w:rPr>
        <w:t>Sustainability Reporting Standards (UK SRS S1 and S2), based on IFRS S1/S2, which require</w:t>
      </w:r>
      <w:r w:rsidRPr="00630C24">
        <w:rPr>
          <w:rFonts w:ascii="Arial" w:hAnsi="Arial" w:cs="Arial"/>
        </w:rPr>
        <w:t xml:space="preserve"> listed companies, including M&amp;S, to disclose climate-related financial risks from January 2027 (GOV.UK, 2026</w:t>
      </w:r>
      <w:r w:rsidR="00783A86" w:rsidRPr="00630C24">
        <w:rPr>
          <w:rFonts w:ascii="Arial" w:hAnsi="Arial" w:cs="Arial"/>
        </w:rPr>
        <w:t>)</w:t>
      </w:r>
      <w:r w:rsidRPr="00630C24">
        <w:rPr>
          <w:rFonts w:ascii="Arial" w:hAnsi="Arial" w:cs="Arial"/>
        </w:rPr>
        <w:t xml:space="preserve">. Consequently, </w:t>
      </w:r>
      <w:r w:rsidR="005153B1" w:rsidRPr="00630C24">
        <w:rPr>
          <w:rFonts w:ascii="Arial" w:hAnsi="Arial" w:cs="Arial"/>
        </w:rPr>
        <w:t xml:space="preserve"> according to</w:t>
      </w:r>
      <w:r w:rsidR="005153B1" w:rsidRPr="00630C24">
        <w:rPr>
          <w:rFonts w:ascii="Arial" w:eastAsia="Times New Roman" w:hAnsi="Arial" w:cs="Arial"/>
          <w:kern w:val="0"/>
          <w:lang w:eastAsia="en-GB"/>
          <w14:ligatures w14:val="none"/>
        </w:rPr>
        <w:t xml:space="preserve"> </w:t>
      </w:r>
      <w:r w:rsidR="005153B1" w:rsidRPr="00630C24">
        <w:rPr>
          <w:rFonts w:ascii="Arial" w:hAnsi="Arial" w:cs="Arial"/>
        </w:rPr>
        <w:t>Little (2025)</w:t>
      </w:r>
      <w:r w:rsidR="00F85561" w:rsidRPr="00630C24">
        <w:rPr>
          <w:rFonts w:ascii="Arial" w:hAnsi="Arial" w:cs="Arial"/>
        </w:rPr>
        <w:t>,</w:t>
      </w:r>
      <w:r w:rsidR="005153B1" w:rsidRPr="00630C24">
        <w:rPr>
          <w:rFonts w:ascii="Arial" w:hAnsi="Arial" w:cs="Arial"/>
        </w:rPr>
        <w:t xml:space="preserve"> </w:t>
      </w:r>
      <w:r w:rsidRPr="00630C24">
        <w:rPr>
          <w:rFonts w:ascii="Arial" w:hAnsi="Arial" w:cs="Arial"/>
        </w:rPr>
        <w:t>RE:</w:t>
      </w:r>
      <w:r w:rsidR="00783A86" w:rsidRPr="00630C24">
        <w:rPr>
          <w:rFonts w:ascii="Arial" w:hAnsi="Arial" w:cs="Arial"/>
        </w:rPr>
        <w:t xml:space="preserve"> </w:t>
      </w:r>
      <w:r w:rsidRPr="00630C24">
        <w:rPr>
          <w:rFonts w:ascii="Arial" w:hAnsi="Arial" w:cs="Arial"/>
        </w:rPr>
        <w:t>Spark and store-rotation appraisals now embed carbon and compliance costs alongside conventional payback criteria</w:t>
      </w:r>
      <w:r w:rsidR="00F850E2" w:rsidRPr="00630C24">
        <w:rPr>
          <w:rFonts w:ascii="Arial" w:hAnsi="Arial" w:cs="Arial"/>
        </w:rPr>
        <w:t xml:space="preserve"> </w:t>
      </w:r>
      <w:r w:rsidR="004A76B5" w:rsidRPr="00630C24">
        <w:rPr>
          <w:rFonts w:ascii="Arial" w:hAnsi="Arial" w:cs="Arial"/>
        </w:rPr>
        <w:t>(</w:t>
      </w:r>
      <w:r w:rsidR="00F850E2" w:rsidRPr="00630C24">
        <w:rPr>
          <w:rFonts w:ascii="Arial" w:hAnsi="Arial" w:cs="Arial"/>
        </w:rPr>
        <w:t>Marks and Spencer</w:t>
      </w:r>
      <w:r w:rsidR="00F85561" w:rsidRPr="00630C24">
        <w:rPr>
          <w:rFonts w:ascii="Arial" w:hAnsi="Arial" w:cs="Arial"/>
        </w:rPr>
        <w:t xml:space="preserve">, </w:t>
      </w:r>
      <w:r w:rsidR="00F850E2" w:rsidRPr="00630C24">
        <w:rPr>
          <w:rFonts w:ascii="Arial" w:hAnsi="Arial" w:cs="Arial"/>
        </w:rPr>
        <w:t>2025b)</w:t>
      </w:r>
      <w:r w:rsidR="00F85561" w:rsidRPr="00630C24">
        <w:rPr>
          <w:rFonts w:ascii="Arial" w:hAnsi="Arial" w:cs="Arial"/>
        </w:rPr>
        <w:t>.</w:t>
      </w:r>
      <w:r w:rsidRPr="00630C24">
        <w:rPr>
          <w:rFonts w:ascii="Arial" w:hAnsi="Arial" w:cs="Arial"/>
        </w:rPr>
        <w:t xml:space="preserve"> A limitation of EMA, however, is that reputational benefits from decarbonisation remain difficult to monetise precisely, leaving appraisals reliant on managerial estimation (Burritt, Hahn and Schaltegger, 2002).</w:t>
      </w:r>
    </w:p>
    <w:p w14:paraId="49A19BB3" w14:textId="77777777" w:rsidR="001D6CB9" w:rsidRPr="00630C24" w:rsidRDefault="001D6CB9" w:rsidP="00630C24">
      <w:pPr>
        <w:spacing w:before="120" w:after="120" w:line="360" w:lineRule="auto"/>
        <w:rPr>
          <w:rFonts w:ascii="Arial" w:hAnsi="Arial" w:cs="Arial"/>
        </w:rPr>
      </w:pPr>
      <w:r w:rsidRPr="00630C24">
        <w:rPr>
          <w:rFonts w:ascii="Arial" w:hAnsi="Arial" w:cs="Arial"/>
        </w:rPr>
        <w:t xml:space="preserve">Ethical considerations also constrain cost-management and pricing. The International Code of Ethics adopted by CIMA requires accountants to maintain integrity and objectivity when allocating costs affecting suppliers and colleagues (IESBA, 2018). M&amp;S's low-price Food strategy must be reconciled with fair supplier remuneration under Fairtrade and Better Cotton commitments, and with statutory wage costs following the National Living Wage rise (Low Pay Commission, 2025), reducing reputational and greenwashing risk (Weetman, 2013). A limitation is that </w:t>
      </w:r>
      <w:r w:rsidRPr="00630C24">
        <w:rPr>
          <w:rFonts w:ascii="Arial" w:hAnsi="Arial" w:cs="Arial"/>
        </w:rPr>
        <w:lastRenderedPageBreak/>
        <w:t>such principles-based codes offer qualitative guidance rather than a measurable rule, leaving scope for interpretation when costs and ethics conflict (IESBA, 2018).</w:t>
      </w:r>
    </w:p>
    <w:p w14:paraId="799E5D9E" w14:textId="5EDCF7C5" w:rsidR="008B4712" w:rsidRPr="00630C24" w:rsidRDefault="003D4321" w:rsidP="00630C24">
      <w:pPr>
        <w:spacing w:before="120" w:after="120" w:line="360" w:lineRule="auto"/>
        <w:rPr>
          <w:rFonts w:ascii="Arial" w:hAnsi="Arial" w:cs="Arial"/>
        </w:rPr>
      </w:pPr>
      <w:r w:rsidRPr="00630C24">
        <w:rPr>
          <w:rFonts w:ascii="Arial" w:hAnsi="Arial" w:cs="Arial"/>
        </w:rPr>
        <w:t>Life cycle costing (LCC) evaluates an asset's total cost over its lifecycle from acquisition to disposal and highlights the link between financial and ethical decisions (</w:t>
      </w:r>
      <w:proofErr w:type="spellStart"/>
      <w:r w:rsidRPr="00630C24">
        <w:rPr>
          <w:rFonts w:ascii="Arial" w:hAnsi="Arial" w:cs="Arial"/>
        </w:rPr>
        <w:t>Atrill</w:t>
      </w:r>
      <w:proofErr w:type="spellEnd"/>
      <w:r w:rsidRPr="00630C24">
        <w:rPr>
          <w:rFonts w:ascii="Arial" w:hAnsi="Arial" w:cs="Arial"/>
        </w:rPr>
        <w:t xml:space="preserve"> and McLaney, 2022). M&amp;S's efforts to electrify its fleet and rotate stores reduce long-term energy and maintenance costs while enhancing its brand reputation among ESG-focused consumers, thereby safeguarding future profits. However, LCC's reliability has historically been constrained by uncertain long-term energy prices and evolving carbon regulations (</w:t>
      </w:r>
      <w:proofErr w:type="spellStart"/>
      <w:r w:rsidRPr="00630C24">
        <w:rPr>
          <w:rFonts w:ascii="Arial" w:hAnsi="Arial" w:cs="Arial"/>
        </w:rPr>
        <w:t>Atrill</w:t>
      </w:r>
      <w:proofErr w:type="spellEnd"/>
      <w:r w:rsidRPr="00630C24">
        <w:rPr>
          <w:rFonts w:ascii="Arial" w:hAnsi="Arial" w:cs="Arial"/>
        </w:rPr>
        <w:t xml:space="preserve"> and McLaney, 2022). Increasingly, artificial intelligence addresses this challenge: machine learning models analyse extensive operational data to identify cost patterns and improve forecast accuracy. At the same time, predictive analytics enable earlier detection of maintenance needs and potential failures</w:t>
      </w:r>
      <w:r w:rsidR="008F4EFC" w:rsidRPr="00630C24">
        <w:rPr>
          <w:rFonts w:ascii="Arial" w:hAnsi="Arial" w:cs="Arial"/>
        </w:rPr>
        <w:t xml:space="preserve"> (</w:t>
      </w:r>
      <w:proofErr w:type="spellStart"/>
      <w:r w:rsidR="008F4EFC" w:rsidRPr="00630C24">
        <w:rPr>
          <w:rFonts w:ascii="Arial" w:hAnsi="Arial" w:cs="Arial"/>
        </w:rPr>
        <w:t>Cerchione</w:t>
      </w:r>
      <w:proofErr w:type="spellEnd"/>
      <w:r w:rsidR="008F4EFC" w:rsidRPr="00630C24">
        <w:rPr>
          <w:rFonts w:ascii="Arial" w:hAnsi="Arial" w:cs="Arial"/>
        </w:rPr>
        <w:t xml:space="preserve"> et al., 2024). </w:t>
      </w:r>
      <w:r w:rsidRPr="00630C24">
        <w:rPr>
          <w:rFonts w:ascii="Arial" w:hAnsi="Arial" w:cs="Arial"/>
        </w:rPr>
        <w:t>For M&amp;S, incorporating AI into LCC could yield more accurate capital investment evaluations, better carbon and cost forecasts, and stronger links between sustainability metrics and financial results.</w:t>
      </w:r>
    </w:p>
    <w:p w14:paraId="215FDA97" w14:textId="7009C06D" w:rsidR="001D6CB9" w:rsidRDefault="004479AB" w:rsidP="00630C24">
      <w:pPr>
        <w:spacing w:before="120" w:after="120" w:line="360" w:lineRule="auto"/>
        <w:rPr>
          <w:rFonts w:ascii="Arial" w:hAnsi="Arial" w:cs="Arial"/>
        </w:rPr>
      </w:pPr>
      <w:r w:rsidRPr="00630C24">
        <w:rPr>
          <w:rFonts w:ascii="Arial" w:hAnsi="Arial" w:cs="Arial"/>
        </w:rPr>
        <w:t>Proactive asset management operationalises LCC benefits</w:t>
      </w:r>
      <w:r w:rsidR="008C4A14" w:rsidRPr="00630C24">
        <w:rPr>
          <w:rFonts w:ascii="Arial" w:hAnsi="Arial" w:cs="Arial"/>
        </w:rPr>
        <w:t xml:space="preserve"> by translating sustainability KPIs into financial results and emphasising </w:t>
      </w:r>
      <w:r w:rsidR="00260A30" w:rsidRPr="00630C24">
        <w:rPr>
          <w:rFonts w:ascii="Arial" w:hAnsi="Arial" w:cs="Arial"/>
        </w:rPr>
        <w:t>the role of management accounting</w:t>
      </w:r>
      <w:r w:rsidR="008C4A14" w:rsidRPr="00630C24">
        <w:rPr>
          <w:rFonts w:ascii="Arial" w:hAnsi="Arial" w:cs="Arial"/>
        </w:rPr>
        <w:t xml:space="preserve"> in ethical, sustainable decision-making</w:t>
      </w:r>
      <w:r w:rsidRPr="00630C24">
        <w:rPr>
          <w:rFonts w:ascii="Arial" w:hAnsi="Arial" w:cs="Arial"/>
        </w:rPr>
        <w:t xml:space="preserve"> (Weetman, 2013).</w:t>
      </w:r>
    </w:p>
    <w:p w14:paraId="0E5FAF9C" w14:textId="5FDA696D" w:rsidR="00EE06F0" w:rsidRDefault="00EE06F0" w:rsidP="00EE06F0">
      <w:pPr>
        <w:pStyle w:val="Style1"/>
        <w:rPr>
          <w:b/>
          <w:bCs/>
        </w:rPr>
      </w:pPr>
      <w:bookmarkStart w:id="5" w:name="_Toc234502627"/>
      <w:r w:rsidRPr="00EE06F0">
        <w:rPr>
          <w:b/>
          <w:bCs/>
        </w:rPr>
        <w:t>6.</w:t>
      </w:r>
      <w:r>
        <w:rPr>
          <w:b/>
          <w:bCs/>
        </w:rPr>
        <w:t xml:space="preserve"> </w:t>
      </w:r>
      <w:r w:rsidRPr="00EE06F0">
        <w:rPr>
          <w:b/>
          <w:bCs/>
        </w:rPr>
        <w:t>Conclusion</w:t>
      </w:r>
      <w:bookmarkEnd w:id="5"/>
    </w:p>
    <w:p w14:paraId="26D01932" w14:textId="3F581B33" w:rsidR="009E4743" w:rsidRPr="009E4743" w:rsidRDefault="00BA6D97" w:rsidP="009E4743">
      <w:pPr>
        <w:spacing w:before="120" w:after="120" w:line="360" w:lineRule="auto"/>
        <w:rPr>
          <w:rFonts w:ascii="Arial" w:hAnsi="Arial" w:cs="Arial"/>
        </w:rPr>
      </w:pPr>
      <w:r>
        <w:rPr>
          <w:rFonts w:ascii="Arial" w:hAnsi="Arial" w:cs="Arial"/>
        </w:rPr>
        <w:t xml:space="preserve">This report explores how M&amp;S utilises management accounting tools and principles </w:t>
      </w:r>
      <w:r w:rsidR="00373845">
        <w:rPr>
          <w:rFonts w:ascii="Arial" w:hAnsi="Arial" w:cs="Arial"/>
        </w:rPr>
        <w:t>across</w:t>
      </w:r>
      <w:r>
        <w:rPr>
          <w:rFonts w:ascii="Arial" w:hAnsi="Arial" w:cs="Arial"/>
        </w:rPr>
        <w:t xml:space="preserve"> cost analysis, budgeting, performance measurement, sustainability, and ethical decision-making. The findings indicate that management accounting transcends mere technical functions; it operates as a strategic tool that supplies both financial and non-financial data to help navigate competitive pressures, regulatory changes, and macroeconomic fluctuations (</w:t>
      </w:r>
      <w:proofErr w:type="spellStart"/>
      <w:r>
        <w:rPr>
          <w:rFonts w:ascii="Arial" w:hAnsi="Arial" w:cs="Arial"/>
        </w:rPr>
        <w:t>Atrill</w:t>
      </w:r>
      <w:proofErr w:type="spellEnd"/>
      <w:r>
        <w:rPr>
          <w:rFonts w:ascii="Arial" w:hAnsi="Arial" w:cs="Arial"/>
        </w:rPr>
        <w:t xml:space="preserve"> and McLaney, 2021; Weetman, 2013). Frameworks such as the balanced scorecard, environmental management accounting, life cycle costing, and activity-based costing enhance informed and accountable decision-making at M&amp;S. However, limitations</w:t>
      </w:r>
      <w:r w:rsidR="00373845">
        <w:rPr>
          <w:rFonts w:ascii="Arial" w:hAnsi="Arial" w:cs="Arial"/>
        </w:rPr>
        <w:t xml:space="preserve">, including forecast uncertainty, the potential for earnings management, and limited applicability, </w:t>
      </w:r>
      <w:r>
        <w:rPr>
          <w:rFonts w:ascii="Arial" w:hAnsi="Arial" w:cs="Arial"/>
        </w:rPr>
        <w:t xml:space="preserve">underscore the need for managers to exercise critical judgment alongside quantitative analysis (Kaplan and Norton, 1992; Burritt, Hahn, and </w:t>
      </w:r>
      <w:proofErr w:type="spellStart"/>
      <w:r>
        <w:rPr>
          <w:rFonts w:ascii="Arial" w:hAnsi="Arial" w:cs="Arial"/>
        </w:rPr>
        <w:t>Schaltegger</w:t>
      </w:r>
      <w:proofErr w:type="spellEnd"/>
      <w:r>
        <w:rPr>
          <w:rFonts w:ascii="Arial" w:hAnsi="Arial" w:cs="Arial"/>
        </w:rPr>
        <w:t xml:space="preserve">, 2002). Emerging artificial intelligence technologies hold promises for mitigating some </w:t>
      </w:r>
      <w:r>
        <w:rPr>
          <w:rFonts w:ascii="Arial" w:hAnsi="Arial" w:cs="Arial"/>
        </w:rPr>
        <w:lastRenderedPageBreak/>
        <w:t>of these challenges by automating cost attribution and enhancing forecast accuracy (HMFA, 2025). In summary, disciplined and adaptable management accounting practices have been pivotal to M&amp;S's financial recovery and will remain essential for sustained profitability and strategic growth.</w:t>
      </w:r>
    </w:p>
    <w:p w14:paraId="7551891A" w14:textId="77777777" w:rsidR="001D6CB9" w:rsidRPr="00630C24" w:rsidRDefault="001D6CB9" w:rsidP="00630C24">
      <w:pPr>
        <w:spacing w:before="120" w:after="120" w:line="360" w:lineRule="auto"/>
        <w:rPr>
          <w:rFonts w:ascii="Arial" w:hAnsi="Arial" w:cs="Arial"/>
        </w:rPr>
      </w:pPr>
    </w:p>
    <w:p w14:paraId="2AFF2499" w14:textId="77777777" w:rsidR="00AE1127" w:rsidRDefault="00AE1127" w:rsidP="00630C24">
      <w:pPr>
        <w:spacing w:before="120" w:after="120" w:line="360" w:lineRule="auto"/>
        <w:rPr>
          <w:rFonts w:ascii="Arial" w:hAnsi="Arial" w:cs="Arial"/>
        </w:rPr>
      </w:pPr>
    </w:p>
    <w:p w14:paraId="1E4BE518" w14:textId="77777777" w:rsidR="000B7056" w:rsidRDefault="000B7056" w:rsidP="00630C24">
      <w:pPr>
        <w:spacing w:before="120" w:after="120" w:line="360" w:lineRule="auto"/>
        <w:rPr>
          <w:rFonts w:ascii="Arial" w:hAnsi="Arial" w:cs="Arial"/>
        </w:rPr>
      </w:pPr>
    </w:p>
    <w:p w14:paraId="0B73705C" w14:textId="77777777" w:rsidR="000B7056" w:rsidRDefault="000B7056" w:rsidP="00630C24">
      <w:pPr>
        <w:spacing w:before="120" w:after="120" w:line="360" w:lineRule="auto"/>
        <w:rPr>
          <w:rFonts w:ascii="Arial" w:hAnsi="Arial" w:cs="Arial"/>
        </w:rPr>
      </w:pPr>
    </w:p>
    <w:p w14:paraId="2BA2CD0B" w14:textId="77777777" w:rsidR="000B7056" w:rsidRDefault="000B7056" w:rsidP="00630C24">
      <w:pPr>
        <w:spacing w:before="120" w:after="120" w:line="360" w:lineRule="auto"/>
        <w:rPr>
          <w:rFonts w:ascii="Arial" w:hAnsi="Arial" w:cs="Arial"/>
        </w:rPr>
      </w:pPr>
    </w:p>
    <w:p w14:paraId="7CE46202" w14:textId="77777777" w:rsidR="000B7056" w:rsidRDefault="000B7056" w:rsidP="00630C24">
      <w:pPr>
        <w:spacing w:before="120" w:after="120" w:line="360" w:lineRule="auto"/>
        <w:rPr>
          <w:rFonts w:ascii="Arial" w:hAnsi="Arial" w:cs="Arial"/>
        </w:rPr>
      </w:pPr>
    </w:p>
    <w:p w14:paraId="2EE74D97" w14:textId="77777777" w:rsidR="000B7056" w:rsidRDefault="000B7056" w:rsidP="00630C24">
      <w:pPr>
        <w:spacing w:before="120" w:after="120" w:line="360" w:lineRule="auto"/>
        <w:rPr>
          <w:rFonts w:ascii="Arial" w:hAnsi="Arial" w:cs="Arial"/>
        </w:rPr>
      </w:pPr>
    </w:p>
    <w:p w14:paraId="43C0FAAD" w14:textId="77777777" w:rsidR="000B7056" w:rsidRDefault="000B7056" w:rsidP="00630C24">
      <w:pPr>
        <w:spacing w:before="120" w:after="120" w:line="360" w:lineRule="auto"/>
        <w:rPr>
          <w:rFonts w:ascii="Arial" w:hAnsi="Arial" w:cs="Arial"/>
        </w:rPr>
      </w:pPr>
    </w:p>
    <w:p w14:paraId="6913BC7D" w14:textId="77777777" w:rsidR="000B7056" w:rsidRDefault="000B7056" w:rsidP="00630C24">
      <w:pPr>
        <w:spacing w:before="120" w:after="120" w:line="360" w:lineRule="auto"/>
        <w:rPr>
          <w:rFonts w:ascii="Arial" w:hAnsi="Arial" w:cs="Arial"/>
        </w:rPr>
      </w:pPr>
    </w:p>
    <w:p w14:paraId="7FD4F96E" w14:textId="77777777" w:rsidR="000B7056" w:rsidRDefault="000B7056" w:rsidP="00630C24">
      <w:pPr>
        <w:spacing w:before="120" w:after="120" w:line="360" w:lineRule="auto"/>
        <w:rPr>
          <w:rFonts w:ascii="Arial" w:hAnsi="Arial" w:cs="Arial"/>
        </w:rPr>
      </w:pPr>
    </w:p>
    <w:p w14:paraId="367167AD" w14:textId="77777777" w:rsidR="000B7056" w:rsidRDefault="000B7056" w:rsidP="00630C24">
      <w:pPr>
        <w:spacing w:before="120" w:after="120" w:line="360" w:lineRule="auto"/>
        <w:rPr>
          <w:rFonts w:ascii="Arial" w:hAnsi="Arial" w:cs="Arial"/>
        </w:rPr>
      </w:pPr>
    </w:p>
    <w:p w14:paraId="0C11CEF7" w14:textId="77777777" w:rsidR="000B7056" w:rsidRDefault="000B7056" w:rsidP="00630C24">
      <w:pPr>
        <w:spacing w:before="120" w:after="120" w:line="360" w:lineRule="auto"/>
        <w:rPr>
          <w:rFonts w:ascii="Arial" w:hAnsi="Arial" w:cs="Arial"/>
        </w:rPr>
      </w:pPr>
    </w:p>
    <w:p w14:paraId="2E509C93" w14:textId="77777777" w:rsidR="000B7056" w:rsidRDefault="000B7056" w:rsidP="00630C24">
      <w:pPr>
        <w:spacing w:before="120" w:after="120" w:line="360" w:lineRule="auto"/>
        <w:rPr>
          <w:rFonts w:ascii="Arial" w:hAnsi="Arial" w:cs="Arial"/>
        </w:rPr>
      </w:pPr>
    </w:p>
    <w:p w14:paraId="65E3D49F" w14:textId="77777777" w:rsidR="000B7056" w:rsidRDefault="000B7056" w:rsidP="00630C24">
      <w:pPr>
        <w:spacing w:before="120" w:after="120" w:line="360" w:lineRule="auto"/>
        <w:rPr>
          <w:rFonts w:ascii="Arial" w:hAnsi="Arial" w:cs="Arial"/>
        </w:rPr>
      </w:pPr>
    </w:p>
    <w:p w14:paraId="49114C8A" w14:textId="77777777" w:rsidR="000B7056" w:rsidRDefault="000B7056" w:rsidP="00630C24">
      <w:pPr>
        <w:spacing w:before="120" w:after="120" w:line="360" w:lineRule="auto"/>
        <w:rPr>
          <w:rFonts w:ascii="Arial" w:hAnsi="Arial" w:cs="Arial"/>
        </w:rPr>
      </w:pPr>
    </w:p>
    <w:p w14:paraId="47C49D02" w14:textId="77777777" w:rsidR="000B7056" w:rsidRDefault="000B7056" w:rsidP="00630C24">
      <w:pPr>
        <w:spacing w:before="120" w:after="120" w:line="360" w:lineRule="auto"/>
        <w:rPr>
          <w:rFonts w:ascii="Arial" w:hAnsi="Arial" w:cs="Arial"/>
        </w:rPr>
      </w:pPr>
    </w:p>
    <w:p w14:paraId="080C1162" w14:textId="77777777" w:rsidR="000B7056" w:rsidRDefault="000B7056" w:rsidP="00630C24">
      <w:pPr>
        <w:spacing w:before="120" w:after="120" w:line="360" w:lineRule="auto"/>
        <w:rPr>
          <w:rFonts w:ascii="Arial" w:hAnsi="Arial" w:cs="Arial"/>
        </w:rPr>
      </w:pPr>
    </w:p>
    <w:p w14:paraId="6FF44754" w14:textId="77777777" w:rsidR="000B7056" w:rsidRDefault="000B7056" w:rsidP="00630C24">
      <w:pPr>
        <w:spacing w:before="120" w:after="120" w:line="360" w:lineRule="auto"/>
        <w:rPr>
          <w:rFonts w:ascii="Arial" w:hAnsi="Arial" w:cs="Arial"/>
        </w:rPr>
      </w:pPr>
    </w:p>
    <w:p w14:paraId="7650B436" w14:textId="77777777" w:rsidR="000B7056" w:rsidRDefault="000B7056" w:rsidP="00630C24">
      <w:pPr>
        <w:spacing w:before="120" w:after="120" w:line="360" w:lineRule="auto"/>
        <w:rPr>
          <w:rFonts w:ascii="Arial" w:hAnsi="Arial" w:cs="Arial"/>
        </w:rPr>
      </w:pPr>
    </w:p>
    <w:p w14:paraId="576D3109" w14:textId="77777777" w:rsidR="000B7056" w:rsidRDefault="000B7056" w:rsidP="00630C24">
      <w:pPr>
        <w:spacing w:before="120" w:after="120" w:line="360" w:lineRule="auto"/>
        <w:rPr>
          <w:rFonts w:ascii="Arial" w:hAnsi="Arial" w:cs="Arial"/>
        </w:rPr>
      </w:pPr>
    </w:p>
    <w:p w14:paraId="5CFE94F8" w14:textId="77777777" w:rsidR="000B7056" w:rsidRDefault="000B7056" w:rsidP="00630C24">
      <w:pPr>
        <w:spacing w:before="120" w:after="120" w:line="360" w:lineRule="auto"/>
        <w:rPr>
          <w:rFonts w:ascii="Arial" w:hAnsi="Arial" w:cs="Arial"/>
        </w:rPr>
      </w:pPr>
    </w:p>
    <w:p w14:paraId="4F9A2377" w14:textId="77777777" w:rsidR="000B7056" w:rsidRDefault="000B7056" w:rsidP="00630C24">
      <w:pPr>
        <w:spacing w:before="120" w:after="120" w:line="360" w:lineRule="auto"/>
        <w:rPr>
          <w:rFonts w:ascii="Arial" w:hAnsi="Arial" w:cs="Arial"/>
        </w:rPr>
      </w:pPr>
    </w:p>
    <w:p w14:paraId="07C2E358" w14:textId="77777777" w:rsidR="00C720E4" w:rsidRDefault="00C720E4" w:rsidP="00630C24">
      <w:pPr>
        <w:spacing w:before="120" w:after="120" w:line="360" w:lineRule="auto"/>
        <w:rPr>
          <w:rFonts w:ascii="Arial" w:hAnsi="Arial" w:cs="Arial"/>
        </w:rPr>
      </w:pPr>
    </w:p>
    <w:p w14:paraId="24BDF777" w14:textId="77777777" w:rsidR="00C720E4" w:rsidRDefault="00C720E4" w:rsidP="00630C24">
      <w:pPr>
        <w:spacing w:before="120" w:after="120" w:line="360" w:lineRule="auto"/>
        <w:rPr>
          <w:rFonts w:ascii="Arial" w:hAnsi="Arial" w:cs="Arial"/>
        </w:rPr>
      </w:pPr>
    </w:p>
    <w:p w14:paraId="4AA2DD05" w14:textId="77777777" w:rsidR="000B7056" w:rsidRDefault="000B7056" w:rsidP="00630C24">
      <w:pPr>
        <w:spacing w:before="120" w:after="120" w:line="360" w:lineRule="auto"/>
        <w:rPr>
          <w:rFonts w:ascii="Arial" w:hAnsi="Arial" w:cs="Arial"/>
        </w:rPr>
      </w:pPr>
    </w:p>
    <w:p w14:paraId="266BED54" w14:textId="46A63010" w:rsidR="000B7056" w:rsidRDefault="00BB750B" w:rsidP="000B7056">
      <w:pPr>
        <w:pStyle w:val="Style1"/>
        <w:rPr>
          <w:b/>
          <w:bCs/>
        </w:rPr>
      </w:pPr>
      <w:bookmarkStart w:id="6" w:name="_Toc234502628"/>
      <w:r w:rsidRPr="00BB750B">
        <w:rPr>
          <w:b/>
          <w:bCs/>
        </w:rPr>
        <w:t>7. Reference list</w:t>
      </w:r>
      <w:bookmarkEnd w:id="6"/>
    </w:p>
    <w:p w14:paraId="773C3BAB" w14:textId="77777777" w:rsidR="00D1127E" w:rsidRPr="00D1127E" w:rsidRDefault="00D1127E" w:rsidP="00D1127E">
      <w:pPr>
        <w:spacing w:before="120" w:after="120" w:line="360" w:lineRule="auto"/>
        <w:ind w:left="720" w:hanging="720"/>
        <w:rPr>
          <w:rFonts w:ascii="Arial" w:hAnsi="Arial" w:cs="Arial"/>
        </w:rPr>
      </w:pPr>
      <w:proofErr w:type="spellStart"/>
      <w:r w:rsidRPr="00D1127E">
        <w:rPr>
          <w:rFonts w:ascii="Arial" w:hAnsi="Arial" w:cs="Arial"/>
        </w:rPr>
        <w:t>Atrill</w:t>
      </w:r>
      <w:proofErr w:type="spellEnd"/>
      <w:r w:rsidRPr="00D1127E">
        <w:rPr>
          <w:rFonts w:ascii="Arial" w:hAnsi="Arial" w:cs="Arial"/>
        </w:rPr>
        <w:t xml:space="preserve">, P. and McLaney, E. (2021) </w:t>
      </w:r>
      <w:r w:rsidRPr="00D1127E">
        <w:rPr>
          <w:rFonts w:ascii="Arial" w:hAnsi="Arial" w:cs="Arial"/>
          <w:i/>
          <w:iCs/>
        </w:rPr>
        <w:t>Management accounting for decision makers</w:t>
      </w:r>
      <w:r w:rsidRPr="00D1127E">
        <w:rPr>
          <w:rFonts w:ascii="Arial" w:hAnsi="Arial" w:cs="Arial"/>
        </w:rPr>
        <w:t xml:space="preserve">. Harlow: Pearson Education. Available at: </w:t>
      </w:r>
      <w:hyperlink r:id="rId8" w:history="1">
        <w:r w:rsidRPr="00D1127E">
          <w:rPr>
            <w:rStyle w:val="Hyperlink"/>
            <w:rFonts w:ascii="Arial" w:hAnsi="Arial" w:cs="Arial"/>
          </w:rPr>
          <w:t>https://ebookcentral.proquest.com/lib/trinity/detail.action?docID=6508505</w:t>
        </w:r>
      </w:hyperlink>
      <w:r w:rsidRPr="00D1127E">
        <w:rPr>
          <w:rFonts w:ascii="Arial" w:hAnsi="Arial" w:cs="Arial"/>
        </w:rPr>
        <w:t xml:space="preserve"> (Accessed: 22 June 2026).</w:t>
      </w:r>
    </w:p>
    <w:p w14:paraId="5CCA177D" w14:textId="77777777" w:rsidR="00D1127E" w:rsidRPr="00D1127E" w:rsidRDefault="00D1127E" w:rsidP="00D1127E">
      <w:pPr>
        <w:spacing w:before="120" w:after="120" w:line="360" w:lineRule="auto"/>
        <w:ind w:left="720" w:hanging="720"/>
        <w:rPr>
          <w:rFonts w:ascii="Arial" w:hAnsi="Arial" w:cs="Arial"/>
        </w:rPr>
      </w:pPr>
      <w:proofErr w:type="spellStart"/>
      <w:r w:rsidRPr="00D1127E">
        <w:rPr>
          <w:rFonts w:ascii="Arial" w:hAnsi="Arial" w:cs="Arial"/>
        </w:rPr>
        <w:t>Atrill</w:t>
      </w:r>
      <w:proofErr w:type="spellEnd"/>
      <w:r w:rsidRPr="00D1127E">
        <w:rPr>
          <w:rFonts w:ascii="Arial" w:hAnsi="Arial" w:cs="Arial"/>
        </w:rPr>
        <w:t xml:space="preserve">, P. and McLaney, E. (2022) </w:t>
      </w:r>
      <w:r w:rsidRPr="00D1127E">
        <w:rPr>
          <w:rFonts w:ascii="Arial" w:hAnsi="Arial" w:cs="Arial"/>
          <w:i/>
          <w:iCs/>
        </w:rPr>
        <w:t>Accounting and finance for non-specialists</w:t>
      </w:r>
      <w:r w:rsidRPr="00D1127E">
        <w:rPr>
          <w:rFonts w:ascii="Arial" w:hAnsi="Arial" w:cs="Arial"/>
        </w:rPr>
        <w:t>. 12th ed. Hoboken, NJ: Pearson.</w:t>
      </w:r>
    </w:p>
    <w:p w14:paraId="4FF406BA"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Burritt, R.L., Hahn, T. and </w:t>
      </w:r>
      <w:proofErr w:type="spellStart"/>
      <w:r w:rsidRPr="00D1127E">
        <w:rPr>
          <w:rFonts w:ascii="Arial" w:hAnsi="Arial" w:cs="Arial"/>
        </w:rPr>
        <w:t>Schaltegger</w:t>
      </w:r>
      <w:proofErr w:type="spellEnd"/>
      <w:r w:rsidRPr="00D1127E">
        <w:rPr>
          <w:rFonts w:ascii="Arial" w:hAnsi="Arial" w:cs="Arial"/>
        </w:rPr>
        <w:t xml:space="preserve">, S. (2002) 'Towards a comprehensive framework for environmental management accounting — links between business actors and environmental management accounting tools', </w:t>
      </w:r>
      <w:r w:rsidRPr="00D1127E">
        <w:rPr>
          <w:rFonts w:ascii="Arial" w:hAnsi="Arial" w:cs="Arial"/>
          <w:i/>
          <w:iCs/>
        </w:rPr>
        <w:t>Australian Accounting Review</w:t>
      </w:r>
      <w:r w:rsidRPr="00D1127E">
        <w:rPr>
          <w:rFonts w:ascii="Arial" w:hAnsi="Arial" w:cs="Arial"/>
        </w:rPr>
        <w:t>, 12(2), pp. 39–50.</w:t>
      </w:r>
    </w:p>
    <w:p w14:paraId="5FB2F21F" w14:textId="77777777" w:rsidR="00D1127E" w:rsidRPr="00D1127E" w:rsidRDefault="00D1127E" w:rsidP="00D1127E">
      <w:pPr>
        <w:spacing w:before="120" w:after="120" w:line="360" w:lineRule="auto"/>
        <w:ind w:left="720" w:hanging="720"/>
        <w:rPr>
          <w:rFonts w:ascii="Arial" w:hAnsi="Arial" w:cs="Arial"/>
        </w:rPr>
      </w:pPr>
      <w:proofErr w:type="spellStart"/>
      <w:r w:rsidRPr="00D1127E">
        <w:rPr>
          <w:rFonts w:ascii="Arial" w:hAnsi="Arial" w:cs="Arial"/>
        </w:rPr>
        <w:t>Cerchione</w:t>
      </w:r>
      <w:proofErr w:type="spellEnd"/>
      <w:r w:rsidRPr="00D1127E">
        <w:rPr>
          <w:rFonts w:ascii="Arial" w:hAnsi="Arial" w:cs="Arial"/>
        </w:rPr>
        <w:t xml:space="preserve">, R. et al. (2024) 'A critical analysis of the integration of life cycle methods and quantitative methods for sustainability assessment', </w:t>
      </w:r>
      <w:r w:rsidRPr="00D1127E">
        <w:rPr>
          <w:rFonts w:ascii="Arial" w:hAnsi="Arial" w:cs="Arial"/>
          <w:i/>
          <w:iCs/>
        </w:rPr>
        <w:t>Corporate Social Responsibility and Environmental Management</w:t>
      </w:r>
      <w:r w:rsidRPr="00D1127E">
        <w:rPr>
          <w:rFonts w:ascii="Arial" w:hAnsi="Arial" w:cs="Arial"/>
        </w:rPr>
        <w:t xml:space="preserve">, 32(1). Available at: </w:t>
      </w:r>
      <w:hyperlink r:id="rId9" w:history="1">
        <w:r w:rsidRPr="00D1127E">
          <w:rPr>
            <w:rStyle w:val="Hyperlink"/>
            <w:rFonts w:ascii="Arial" w:hAnsi="Arial" w:cs="Arial"/>
          </w:rPr>
          <w:t>https://doi.org/10.1002/csr.3010</w:t>
        </w:r>
      </w:hyperlink>
      <w:r w:rsidRPr="00D1127E">
        <w:rPr>
          <w:rFonts w:ascii="Arial" w:hAnsi="Arial" w:cs="Arial"/>
        </w:rPr>
        <w:t xml:space="preserve"> (Accessed: 9 July 2026).</w:t>
      </w:r>
    </w:p>
    <w:p w14:paraId="6EFF8652"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CNBC (2025) </w:t>
      </w:r>
      <w:r w:rsidRPr="00D1127E">
        <w:rPr>
          <w:rFonts w:ascii="Arial" w:hAnsi="Arial" w:cs="Arial"/>
          <w:i/>
          <w:iCs/>
        </w:rPr>
        <w:t>M&amp;S cyberattack to wipe out nearly one-third of annual profits</w:t>
      </w:r>
      <w:r w:rsidRPr="00D1127E">
        <w:rPr>
          <w:rFonts w:ascii="Arial" w:hAnsi="Arial" w:cs="Arial"/>
        </w:rPr>
        <w:t xml:space="preserve">, 21 May. Available at: </w:t>
      </w:r>
      <w:hyperlink r:id="rId10" w:history="1">
        <w:r w:rsidRPr="00D1127E">
          <w:rPr>
            <w:rStyle w:val="Hyperlink"/>
            <w:rFonts w:ascii="Arial" w:hAnsi="Arial" w:cs="Arial"/>
          </w:rPr>
          <w:t>https://www.cnbc.com/2025/05/21/ms-cyberattack-to-wipe-out-nearly-one-third-of-annual-profits.html</w:t>
        </w:r>
      </w:hyperlink>
      <w:r w:rsidRPr="00D1127E">
        <w:rPr>
          <w:rFonts w:ascii="Arial" w:hAnsi="Arial" w:cs="Arial"/>
        </w:rPr>
        <w:t xml:space="preserve"> (Accessed: 26 June 2026).</w:t>
      </w:r>
    </w:p>
    <w:p w14:paraId="5BD0E9AE"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Dahal, R.K., Ghimire, B., Gurung, R. and Karki, D. (2024) 'Management accounting's role in decision-making and efficacy', </w:t>
      </w:r>
      <w:r w:rsidRPr="00D1127E">
        <w:rPr>
          <w:rFonts w:ascii="Arial" w:hAnsi="Arial" w:cs="Arial"/>
          <w:i/>
          <w:iCs/>
        </w:rPr>
        <w:t>Cogent Business &amp; Management</w:t>
      </w:r>
      <w:r w:rsidRPr="00D1127E">
        <w:rPr>
          <w:rFonts w:ascii="Arial" w:hAnsi="Arial" w:cs="Arial"/>
        </w:rPr>
        <w:t xml:space="preserve">, 11(1), 2433165. Available at: </w:t>
      </w:r>
      <w:hyperlink r:id="rId11" w:history="1">
        <w:r w:rsidRPr="00D1127E">
          <w:rPr>
            <w:rStyle w:val="Hyperlink"/>
            <w:rFonts w:ascii="Arial" w:hAnsi="Arial" w:cs="Arial"/>
          </w:rPr>
          <w:t>https://doi.org/10.1080/23311975.2024.2433165</w:t>
        </w:r>
      </w:hyperlink>
      <w:r w:rsidRPr="00D1127E">
        <w:rPr>
          <w:rFonts w:ascii="Arial" w:hAnsi="Arial" w:cs="Arial"/>
        </w:rPr>
        <w:t xml:space="preserve"> (Accessed: 26 June 2026).</w:t>
      </w:r>
    </w:p>
    <w:p w14:paraId="78A195A5"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Deloitte (2024) </w:t>
      </w:r>
      <w:r w:rsidRPr="00D1127E">
        <w:rPr>
          <w:rFonts w:ascii="Arial" w:hAnsi="Arial" w:cs="Arial"/>
          <w:i/>
          <w:iCs/>
        </w:rPr>
        <w:t>Increase to employer NIC rate and lowering of the secondary threshold</w:t>
      </w:r>
      <w:r w:rsidRPr="00D1127E">
        <w:rPr>
          <w:rFonts w:ascii="Arial" w:hAnsi="Arial" w:cs="Arial"/>
        </w:rPr>
        <w:t xml:space="preserve">. Available at: </w:t>
      </w:r>
      <w:hyperlink r:id="rId12" w:history="1">
        <w:r w:rsidRPr="00D1127E">
          <w:rPr>
            <w:rStyle w:val="Hyperlink"/>
            <w:rFonts w:ascii="Arial" w:hAnsi="Arial" w:cs="Arial"/>
          </w:rPr>
          <w:t>https://taxscape.deloitte.com/measures-autumn-budget-2024/increase-to-employer-nic-rate-and-lowering-of-the-secondary-threshold.aspx</w:t>
        </w:r>
      </w:hyperlink>
      <w:r w:rsidRPr="00D1127E">
        <w:rPr>
          <w:rFonts w:ascii="Arial" w:hAnsi="Arial" w:cs="Arial"/>
        </w:rPr>
        <w:t xml:space="preserve"> (Accessed: 9 July 2026).</w:t>
      </w:r>
    </w:p>
    <w:p w14:paraId="69F6C82F"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lastRenderedPageBreak/>
        <w:t xml:space="preserve">Engage for Success (2013) </w:t>
      </w:r>
      <w:r w:rsidRPr="00D1127E">
        <w:rPr>
          <w:rFonts w:ascii="Arial" w:hAnsi="Arial" w:cs="Arial"/>
          <w:i/>
          <w:iCs/>
        </w:rPr>
        <w:t>Evidence case study: Marks and Spencer (2)</w:t>
      </w:r>
      <w:r w:rsidRPr="00D1127E">
        <w:rPr>
          <w:rFonts w:ascii="Arial" w:hAnsi="Arial" w:cs="Arial"/>
        </w:rPr>
        <w:t xml:space="preserve">. Available at: </w:t>
      </w:r>
      <w:hyperlink r:id="rId13" w:history="1">
        <w:r w:rsidRPr="00D1127E">
          <w:rPr>
            <w:rStyle w:val="Hyperlink"/>
            <w:rFonts w:ascii="Arial" w:hAnsi="Arial" w:cs="Arial"/>
          </w:rPr>
          <w:t>https://engageforsuccess.org/case-studies/evidence-case-study-marks-and-spencer-2/</w:t>
        </w:r>
      </w:hyperlink>
      <w:r w:rsidRPr="00D1127E">
        <w:rPr>
          <w:rFonts w:ascii="Arial" w:hAnsi="Arial" w:cs="Arial"/>
        </w:rPr>
        <w:t xml:space="preserve"> (Accessed: 29 June 2026).</w:t>
      </w:r>
    </w:p>
    <w:p w14:paraId="3B6AACFC"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GlobalData (2026) </w:t>
      </w:r>
      <w:r w:rsidRPr="00D1127E">
        <w:rPr>
          <w:rFonts w:ascii="Arial" w:hAnsi="Arial" w:cs="Arial"/>
          <w:i/>
          <w:iCs/>
        </w:rPr>
        <w:t>Marks and Spencer Group plc company profile</w:t>
      </w:r>
      <w:r w:rsidRPr="00D1127E">
        <w:rPr>
          <w:rFonts w:ascii="Arial" w:hAnsi="Arial" w:cs="Arial"/>
        </w:rPr>
        <w:t xml:space="preserve">. Available at: </w:t>
      </w:r>
      <w:hyperlink r:id="rId14" w:history="1">
        <w:r w:rsidRPr="00D1127E">
          <w:rPr>
            <w:rStyle w:val="Hyperlink"/>
            <w:rFonts w:ascii="Arial" w:hAnsi="Arial" w:cs="Arial"/>
          </w:rPr>
          <w:t>https://www.globaldata.com/company-profile/marks-and-spencer-group-plc/</w:t>
        </w:r>
      </w:hyperlink>
      <w:r w:rsidRPr="00D1127E">
        <w:rPr>
          <w:rFonts w:ascii="Arial" w:hAnsi="Arial" w:cs="Arial"/>
        </w:rPr>
        <w:t xml:space="preserve"> (Accessed: 26 June 2026).</w:t>
      </w:r>
    </w:p>
    <w:p w14:paraId="067B0755"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GOV.UK (2024) </w:t>
      </w:r>
      <w:r w:rsidRPr="00D1127E">
        <w:rPr>
          <w:rFonts w:ascii="Arial" w:hAnsi="Arial" w:cs="Arial"/>
          <w:i/>
          <w:iCs/>
        </w:rPr>
        <w:t>Autumn Budget 2024: GAD technical bulletin</w:t>
      </w:r>
      <w:r w:rsidRPr="00D1127E">
        <w:rPr>
          <w:rFonts w:ascii="Arial" w:hAnsi="Arial" w:cs="Arial"/>
        </w:rPr>
        <w:t xml:space="preserve">. HM Treasury. Available at: </w:t>
      </w:r>
      <w:hyperlink r:id="rId15" w:history="1">
        <w:r w:rsidRPr="00D1127E">
          <w:rPr>
            <w:rStyle w:val="Hyperlink"/>
            <w:rFonts w:ascii="Arial" w:hAnsi="Arial" w:cs="Arial"/>
          </w:rPr>
          <w:t>https://www.gov.uk/government/publications/autumn-budget-2024-a-gad-technical-bulletin/autumn-budget-2024-gad-technical-bulletin</w:t>
        </w:r>
      </w:hyperlink>
      <w:r w:rsidRPr="00D1127E">
        <w:rPr>
          <w:rFonts w:ascii="Arial" w:hAnsi="Arial" w:cs="Arial"/>
        </w:rPr>
        <w:t xml:space="preserve"> (Accessed: 9 July 2026).</w:t>
      </w:r>
    </w:p>
    <w:p w14:paraId="38D4FBCE"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GOV.UK (2026) </w:t>
      </w:r>
      <w:r w:rsidRPr="00D1127E">
        <w:rPr>
          <w:rFonts w:ascii="Arial" w:hAnsi="Arial" w:cs="Arial"/>
          <w:i/>
          <w:iCs/>
        </w:rPr>
        <w:t>UK Sustainability Reporting Standards</w:t>
      </w:r>
      <w:r w:rsidRPr="00D1127E">
        <w:rPr>
          <w:rFonts w:ascii="Arial" w:hAnsi="Arial" w:cs="Arial"/>
        </w:rPr>
        <w:t xml:space="preserve">. Department for Business and Trade. Available at: </w:t>
      </w:r>
      <w:hyperlink r:id="rId16" w:history="1">
        <w:r w:rsidRPr="00D1127E">
          <w:rPr>
            <w:rStyle w:val="Hyperlink"/>
            <w:rFonts w:ascii="Arial" w:hAnsi="Arial" w:cs="Arial"/>
          </w:rPr>
          <w:t>https://www.gov.uk/guidance/uk-sustainability-reporting-standards</w:t>
        </w:r>
      </w:hyperlink>
      <w:r w:rsidRPr="00D1127E">
        <w:rPr>
          <w:rFonts w:ascii="Arial" w:hAnsi="Arial" w:cs="Arial"/>
        </w:rPr>
        <w:t xml:space="preserve"> (Accessed: 29 June 2026).</w:t>
      </w:r>
    </w:p>
    <w:p w14:paraId="5DCCE2F4"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HMFA (2025) </w:t>
      </w:r>
      <w:r w:rsidRPr="00D1127E">
        <w:rPr>
          <w:rFonts w:ascii="Arial" w:hAnsi="Arial" w:cs="Arial"/>
          <w:i/>
          <w:iCs/>
        </w:rPr>
        <w:t>Artificial intelligence in management accounting</w:t>
      </w:r>
      <w:r w:rsidRPr="00D1127E">
        <w:rPr>
          <w:rFonts w:ascii="Arial" w:hAnsi="Arial" w:cs="Arial"/>
        </w:rPr>
        <w:t xml:space="preserve">. Available at: </w:t>
      </w:r>
      <w:hyperlink r:id="rId17" w:history="1">
        <w:r w:rsidRPr="00D1127E">
          <w:rPr>
            <w:rStyle w:val="Hyperlink"/>
            <w:rFonts w:ascii="Arial" w:hAnsi="Arial" w:cs="Arial"/>
          </w:rPr>
          <w:t>https://www.hmfa.org.uk</w:t>
        </w:r>
      </w:hyperlink>
      <w:r w:rsidRPr="00D1127E">
        <w:rPr>
          <w:rFonts w:ascii="Arial" w:hAnsi="Arial" w:cs="Arial"/>
        </w:rPr>
        <w:t xml:space="preserve"> (Accessed: 9 July 2026).</w:t>
      </w:r>
    </w:p>
    <w:p w14:paraId="182B91AB"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International Ethics Standards Board for Accountants (IESBA) (2018) </w:t>
      </w:r>
      <w:r w:rsidRPr="00D1127E">
        <w:rPr>
          <w:rFonts w:ascii="Arial" w:hAnsi="Arial" w:cs="Arial"/>
          <w:i/>
          <w:iCs/>
        </w:rPr>
        <w:t>International code of ethics for professional accountants (including international independence standards)</w:t>
      </w:r>
      <w:r w:rsidRPr="00D1127E">
        <w:rPr>
          <w:rFonts w:ascii="Arial" w:hAnsi="Arial" w:cs="Arial"/>
        </w:rPr>
        <w:t>. New York: IFAC.</w:t>
      </w:r>
    </w:p>
    <w:p w14:paraId="5A801D98"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IFRS Foundation (2016) </w:t>
      </w:r>
      <w:r w:rsidRPr="00D1127E">
        <w:rPr>
          <w:rFonts w:ascii="Arial" w:hAnsi="Arial" w:cs="Arial"/>
          <w:i/>
          <w:iCs/>
        </w:rPr>
        <w:t>IFRS 16 leases effects analysis</w:t>
      </w:r>
      <w:r w:rsidRPr="00D1127E">
        <w:rPr>
          <w:rFonts w:ascii="Arial" w:hAnsi="Arial" w:cs="Arial"/>
        </w:rPr>
        <w:t xml:space="preserve">. London: IFRS Foundation. Available at: </w:t>
      </w:r>
      <w:hyperlink r:id="rId18" w:history="1">
        <w:r w:rsidRPr="00D1127E">
          <w:rPr>
            <w:rStyle w:val="Hyperlink"/>
            <w:rFonts w:ascii="Arial" w:hAnsi="Arial" w:cs="Arial"/>
          </w:rPr>
          <w:t>https://www.ifrs.org/content/dam/ifrs/project/leases/ifrs/published-documents/ifrs16-effects-analysis.pdf</w:t>
        </w:r>
      </w:hyperlink>
      <w:r w:rsidRPr="00D1127E">
        <w:rPr>
          <w:rFonts w:ascii="Arial" w:hAnsi="Arial" w:cs="Arial"/>
        </w:rPr>
        <w:t xml:space="preserve"> (Accessed: 3 July 2026).</w:t>
      </w:r>
    </w:p>
    <w:p w14:paraId="7FFC2D34"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Kaplan, R.S. and Norton, D.P. (1992) 'The balanced scorecard – measures that drive performance', </w:t>
      </w:r>
      <w:r w:rsidRPr="00D1127E">
        <w:rPr>
          <w:rFonts w:ascii="Arial" w:hAnsi="Arial" w:cs="Arial"/>
          <w:i/>
          <w:iCs/>
        </w:rPr>
        <w:t>Harvard Business Review</w:t>
      </w:r>
      <w:r w:rsidRPr="00D1127E">
        <w:rPr>
          <w:rFonts w:ascii="Arial" w:hAnsi="Arial" w:cs="Arial"/>
        </w:rPr>
        <w:t>, 70(1), pp. 71–79.</w:t>
      </w:r>
    </w:p>
    <w:p w14:paraId="085F0DB1"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Little, A. (2025) </w:t>
      </w:r>
      <w:r w:rsidRPr="00D1127E">
        <w:rPr>
          <w:rFonts w:ascii="Arial" w:hAnsi="Arial" w:cs="Arial"/>
          <w:i/>
          <w:iCs/>
        </w:rPr>
        <w:t>Carbon valuation: why it matters for regulatory policy</w:t>
      </w:r>
      <w:r w:rsidRPr="00D1127E">
        <w:rPr>
          <w:rFonts w:ascii="Arial" w:hAnsi="Arial" w:cs="Arial"/>
        </w:rPr>
        <w:t xml:space="preserve">. Regulatory Policy Committee, Blog.gov.uk. Available at: </w:t>
      </w:r>
      <w:hyperlink r:id="rId19" w:history="1">
        <w:r w:rsidRPr="00D1127E">
          <w:rPr>
            <w:rStyle w:val="Hyperlink"/>
            <w:rFonts w:ascii="Arial" w:hAnsi="Arial" w:cs="Arial"/>
          </w:rPr>
          <w:t>https://rpc.blog.gov.uk/2025/12/15/carbon-valuation-why-it-matters-for-regulatory-policy/</w:t>
        </w:r>
      </w:hyperlink>
      <w:r w:rsidRPr="00D1127E">
        <w:rPr>
          <w:rFonts w:ascii="Arial" w:hAnsi="Arial" w:cs="Arial"/>
        </w:rPr>
        <w:t xml:space="preserve"> (Accessed: 9 July 2026).</w:t>
      </w:r>
    </w:p>
    <w:p w14:paraId="419D050F"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London Stock Exchange (2026) </w:t>
      </w:r>
      <w:r w:rsidRPr="00D1127E">
        <w:rPr>
          <w:rFonts w:ascii="Arial" w:hAnsi="Arial" w:cs="Arial"/>
          <w:i/>
          <w:iCs/>
        </w:rPr>
        <w:t>Marks and Spencer Group plc (MKS) company page</w:t>
      </w:r>
      <w:r w:rsidRPr="00D1127E">
        <w:rPr>
          <w:rFonts w:ascii="Arial" w:hAnsi="Arial" w:cs="Arial"/>
        </w:rPr>
        <w:t xml:space="preserve">. Available at: </w:t>
      </w:r>
      <w:hyperlink r:id="rId20" w:history="1">
        <w:r w:rsidRPr="00D1127E">
          <w:rPr>
            <w:rStyle w:val="Hyperlink"/>
            <w:rFonts w:ascii="Arial" w:hAnsi="Arial" w:cs="Arial"/>
          </w:rPr>
          <w:t>https://www.londonstockexchange.com/stock/MKS/marks-and-spencer-group-plc/company-page</w:t>
        </w:r>
      </w:hyperlink>
      <w:r w:rsidRPr="00D1127E">
        <w:rPr>
          <w:rFonts w:ascii="Arial" w:hAnsi="Arial" w:cs="Arial"/>
        </w:rPr>
        <w:t xml:space="preserve"> (Accessed: 3 July 2026).</w:t>
      </w:r>
    </w:p>
    <w:p w14:paraId="3FD7EE69"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lastRenderedPageBreak/>
        <w:t xml:space="preserve">Low Pay Commission (2025) </w:t>
      </w:r>
      <w:r w:rsidRPr="00D1127E">
        <w:rPr>
          <w:rFonts w:ascii="Arial" w:hAnsi="Arial" w:cs="Arial"/>
          <w:i/>
          <w:iCs/>
        </w:rPr>
        <w:t>The National Minimum Wage in 2025</w:t>
      </w:r>
      <w:r w:rsidRPr="00D1127E">
        <w:rPr>
          <w:rFonts w:ascii="Arial" w:hAnsi="Arial" w:cs="Arial"/>
        </w:rPr>
        <w:t xml:space="preserve">. London: GOV.UK. Available at: </w:t>
      </w:r>
      <w:hyperlink r:id="rId21" w:history="1">
        <w:r w:rsidRPr="00D1127E">
          <w:rPr>
            <w:rStyle w:val="Hyperlink"/>
            <w:rFonts w:ascii="Arial" w:hAnsi="Arial" w:cs="Arial"/>
          </w:rPr>
          <w:t>https://assets.publishing.service.gov.uk/media/67e6b6b296745eff958ca027/LPC_2025_Uprating_Report.pdf</w:t>
        </w:r>
      </w:hyperlink>
      <w:r w:rsidRPr="00D1127E">
        <w:rPr>
          <w:rFonts w:ascii="Arial" w:hAnsi="Arial" w:cs="Arial"/>
        </w:rPr>
        <w:t xml:space="preserve"> (Accessed: 29 June 2026).</w:t>
      </w:r>
    </w:p>
    <w:p w14:paraId="59E20371"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Macrotrends (2025) </w:t>
      </w:r>
      <w:r w:rsidRPr="00D1127E">
        <w:rPr>
          <w:rFonts w:ascii="Arial" w:hAnsi="Arial" w:cs="Arial"/>
          <w:i/>
          <w:iCs/>
        </w:rPr>
        <w:t>Marks and Spencer Group revenue 2012–2025</w:t>
      </w:r>
      <w:r w:rsidRPr="00D1127E">
        <w:rPr>
          <w:rFonts w:ascii="Arial" w:hAnsi="Arial" w:cs="Arial"/>
        </w:rPr>
        <w:t xml:space="preserve">. Available at: </w:t>
      </w:r>
      <w:hyperlink r:id="rId22" w:history="1">
        <w:r w:rsidRPr="00D1127E">
          <w:rPr>
            <w:rStyle w:val="Hyperlink"/>
            <w:rFonts w:ascii="Arial" w:hAnsi="Arial" w:cs="Arial"/>
          </w:rPr>
          <w:t>https://www.macrotrends.net/stocks/charts/MAKSY/marks-and-spencer-group/revenue</w:t>
        </w:r>
      </w:hyperlink>
      <w:r w:rsidRPr="00D1127E">
        <w:rPr>
          <w:rFonts w:ascii="Arial" w:hAnsi="Arial" w:cs="Arial"/>
        </w:rPr>
        <w:t xml:space="preserve"> (Accessed: 29 June 2026).</w:t>
      </w:r>
    </w:p>
    <w:p w14:paraId="4EAAE2F6"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Marks and Spencer Group plc (2025a) </w:t>
      </w:r>
      <w:r w:rsidRPr="00D1127E">
        <w:rPr>
          <w:rFonts w:ascii="Arial" w:hAnsi="Arial" w:cs="Arial"/>
          <w:i/>
          <w:iCs/>
        </w:rPr>
        <w:t>Annual report and financial statements 2025</w:t>
      </w:r>
      <w:r w:rsidRPr="00D1127E">
        <w:rPr>
          <w:rFonts w:ascii="Arial" w:hAnsi="Arial" w:cs="Arial"/>
        </w:rPr>
        <w:t xml:space="preserve">. Available at: </w:t>
      </w:r>
      <w:hyperlink r:id="rId23" w:history="1">
        <w:r w:rsidRPr="00D1127E">
          <w:rPr>
            <w:rStyle w:val="Hyperlink"/>
            <w:rFonts w:ascii="Arial" w:hAnsi="Arial" w:cs="Arial"/>
          </w:rPr>
          <w:t>https://corporate.marksandspencer.com/sites/marksandspencer/files/2025-05/Marks-and-Spencer-Group-plc-Annual-Report-and-Financial-Statements-2025_INTERACTIVE_FINAL.pdf</w:t>
        </w:r>
      </w:hyperlink>
      <w:r w:rsidRPr="00D1127E">
        <w:rPr>
          <w:rFonts w:ascii="Arial" w:hAnsi="Arial" w:cs="Arial"/>
        </w:rPr>
        <w:t xml:space="preserve"> (Accessed: 29 June 2026).</w:t>
      </w:r>
    </w:p>
    <w:p w14:paraId="0CD1DA33"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Marks and Spencer Group plc (2025b) </w:t>
      </w:r>
      <w:r w:rsidRPr="00D1127E">
        <w:rPr>
          <w:rFonts w:ascii="Arial" w:hAnsi="Arial" w:cs="Arial"/>
          <w:i/>
          <w:iCs/>
        </w:rPr>
        <w:t>Plan A – our planet</w:t>
      </w:r>
      <w:r w:rsidRPr="00D1127E">
        <w:rPr>
          <w:rFonts w:ascii="Arial" w:hAnsi="Arial" w:cs="Arial"/>
        </w:rPr>
        <w:t xml:space="preserve">. Available at: </w:t>
      </w:r>
      <w:hyperlink r:id="rId24" w:history="1">
        <w:r w:rsidRPr="00D1127E">
          <w:rPr>
            <w:rStyle w:val="Hyperlink"/>
            <w:rFonts w:ascii="Arial" w:hAnsi="Arial" w:cs="Arial"/>
          </w:rPr>
          <w:t>https://corporate.marksandspencer.com/sustainability/plan-a-our-planet</w:t>
        </w:r>
      </w:hyperlink>
      <w:r w:rsidRPr="00D1127E">
        <w:rPr>
          <w:rFonts w:ascii="Arial" w:hAnsi="Arial" w:cs="Arial"/>
        </w:rPr>
        <w:t xml:space="preserve"> (Accessed: 29 June 2026).</w:t>
      </w:r>
    </w:p>
    <w:p w14:paraId="69ACA068"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Seal, W. and Rohde, C. (2018) </w:t>
      </w:r>
      <w:r w:rsidRPr="00D1127E">
        <w:rPr>
          <w:rFonts w:ascii="Arial" w:hAnsi="Arial" w:cs="Arial"/>
          <w:i/>
          <w:iCs/>
        </w:rPr>
        <w:t>Management accounting</w:t>
      </w:r>
      <w:r w:rsidRPr="00D1127E">
        <w:rPr>
          <w:rFonts w:ascii="Arial" w:hAnsi="Arial" w:cs="Arial"/>
        </w:rPr>
        <w:t>. 6th ed. London: McGraw-Hill.</w:t>
      </w:r>
    </w:p>
    <w:p w14:paraId="1E92935E" w14:textId="77777777" w:rsidR="00D1127E" w:rsidRPr="00D1127E" w:rsidRDefault="00D1127E" w:rsidP="00D1127E">
      <w:pPr>
        <w:spacing w:before="120" w:after="120" w:line="360" w:lineRule="auto"/>
        <w:ind w:left="720" w:hanging="720"/>
        <w:rPr>
          <w:rFonts w:ascii="Arial" w:hAnsi="Arial" w:cs="Arial"/>
        </w:rPr>
      </w:pPr>
      <w:proofErr w:type="spellStart"/>
      <w:r w:rsidRPr="00D1127E">
        <w:rPr>
          <w:rFonts w:ascii="Arial" w:hAnsi="Arial" w:cs="Arial"/>
        </w:rPr>
        <w:t>ShareAction</w:t>
      </w:r>
      <w:proofErr w:type="spellEnd"/>
      <w:r w:rsidRPr="00D1127E">
        <w:rPr>
          <w:rFonts w:ascii="Arial" w:hAnsi="Arial" w:cs="Arial"/>
        </w:rPr>
        <w:t xml:space="preserve"> (2025) </w:t>
      </w:r>
      <w:r w:rsidRPr="00D1127E">
        <w:rPr>
          <w:rFonts w:ascii="Arial" w:hAnsi="Arial" w:cs="Arial"/>
          <w:i/>
          <w:iCs/>
        </w:rPr>
        <w:t>M&amp;S resolution investor briefing</w:t>
      </w:r>
      <w:r w:rsidRPr="00D1127E">
        <w:rPr>
          <w:rFonts w:ascii="Arial" w:hAnsi="Arial" w:cs="Arial"/>
        </w:rPr>
        <w:t xml:space="preserve">. Available at: </w:t>
      </w:r>
      <w:hyperlink r:id="rId25" w:history="1">
        <w:r w:rsidRPr="00D1127E">
          <w:rPr>
            <w:rStyle w:val="Hyperlink"/>
            <w:rFonts w:ascii="Arial" w:hAnsi="Arial" w:cs="Arial"/>
          </w:rPr>
          <w:t>https://shareaction-api.files.svdcdn.com/production/resources/reports/MS-Resolution-Investor-Briefing-1.pdf</w:t>
        </w:r>
      </w:hyperlink>
      <w:r w:rsidRPr="00D1127E">
        <w:rPr>
          <w:rFonts w:ascii="Arial" w:hAnsi="Arial" w:cs="Arial"/>
        </w:rPr>
        <w:t xml:space="preserve"> (Accessed: 9 July 2026).</w:t>
      </w:r>
    </w:p>
    <w:p w14:paraId="782C51F7"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Trustnet (2024) </w:t>
      </w:r>
      <w:r w:rsidRPr="00D1127E">
        <w:rPr>
          <w:rFonts w:ascii="Arial" w:hAnsi="Arial" w:cs="Arial"/>
          <w:i/>
          <w:iCs/>
        </w:rPr>
        <w:t>Can M&amp;S' recovery continue into 2024 and beyond?</w:t>
      </w:r>
      <w:r w:rsidRPr="00D1127E">
        <w:rPr>
          <w:rFonts w:ascii="Arial" w:hAnsi="Arial" w:cs="Arial"/>
        </w:rPr>
        <w:t xml:space="preserve">, 15 January. Available at: </w:t>
      </w:r>
      <w:hyperlink r:id="rId26" w:history="1">
        <w:r w:rsidRPr="00D1127E">
          <w:rPr>
            <w:rStyle w:val="Hyperlink"/>
            <w:rFonts w:ascii="Arial" w:hAnsi="Arial" w:cs="Arial"/>
          </w:rPr>
          <w:t>https://www.trustnet.com/news/13401813/can-ms-recovery-continue-into-2024-and-beyond</w:t>
        </w:r>
      </w:hyperlink>
      <w:r w:rsidRPr="00D1127E">
        <w:rPr>
          <w:rFonts w:ascii="Arial" w:hAnsi="Arial" w:cs="Arial"/>
        </w:rPr>
        <w:t xml:space="preserve"> (Accessed: 26 June 2026).</w:t>
      </w:r>
    </w:p>
    <w:p w14:paraId="5751623F"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Weetman, P. (2013) </w:t>
      </w:r>
      <w:r w:rsidRPr="00D1127E">
        <w:rPr>
          <w:rFonts w:ascii="Arial" w:hAnsi="Arial" w:cs="Arial"/>
          <w:i/>
          <w:iCs/>
        </w:rPr>
        <w:t>Financial and management accounting: an introduction</w:t>
      </w:r>
      <w:r w:rsidRPr="00D1127E">
        <w:rPr>
          <w:rFonts w:ascii="Arial" w:hAnsi="Arial" w:cs="Arial"/>
        </w:rPr>
        <w:t>. 6th ed. Harlow: Pearson Education Limited.</w:t>
      </w:r>
    </w:p>
    <w:p w14:paraId="6832EBEB" w14:textId="77777777" w:rsidR="00D1127E" w:rsidRPr="00D1127E" w:rsidRDefault="00D1127E" w:rsidP="00D1127E">
      <w:pPr>
        <w:spacing w:before="120" w:after="120" w:line="360" w:lineRule="auto"/>
        <w:ind w:left="720" w:hanging="720"/>
        <w:rPr>
          <w:rFonts w:ascii="Arial" w:hAnsi="Arial" w:cs="Arial"/>
        </w:rPr>
      </w:pPr>
      <w:r w:rsidRPr="00D1127E">
        <w:rPr>
          <w:rFonts w:ascii="Arial" w:hAnsi="Arial" w:cs="Arial"/>
        </w:rPr>
        <w:t xml:space="preserve">Yahoo Finance (2025) </w:t>
      </w:r>
      <w:r w:rsidRPr="00D1127E">
        <w:rPr>
          <w:rFonts w:ascii="Arial" w:hAnsi="Arial" w:cs="Arial"/>
          <w:i/>
          <w:iCs/>
        </w:rPr>
        <w:t>Marks and Spencer Group plc (MKS.L) income statement</w:t>
      </w:r>
      <w:r w:rsidRPr="00D1127E">
        <w:rPr>
          <w:rFonts w:ascii="Arial" w:hAnsi="Arial" w:cs="Arial"/>
        </w:rPr>
        <w:t xml:space="preserve">. Available at: </w:t>
      </w:r>
      <w:hyperlink r:id="rId27" w:history="1">
        <w:r w:rsidRPr="00D1127E">
          <w:rPr>
            <w:rStyle w:val="Hyperlink"/>
            <w:rFonts w:ascii="Arial" w:hAnsi="Arial" w:cs="Arial"/>
          </w:rPr>
          <w:t>https://finance.yahoo.com/quote/MKS.L/financials/</w:t>
        </w:r>
      </w:hyperlink>
      <w:r w:rsidRPr="00D1127E">
        <w:rPr>
          <w:rFonts w:ascii="Arial" w:hAnsi="Arial" w:cs="Arial"/>
        </w:rPr>
        <w:t xml:space="preserve"> (Accessed: 29 June 2026).</w:t>
      </w:r>
    </w:p>
    <w:p w14:paraId="1CE68C4D" w14:textId="77777777" w:rsidR="00BB750B" w:rsidRPr="00BB750B" w:rsidRDefault="00BB750B" w:rsidP="00BB750B">
      <w:pPr>
        <w:spacing w:before="120" w:after="120" w:line="360" w:lineRule="auto"/>
        <w:ind w:left="720" w:hanging="720"/>
        <w:rPr>
          <w:rFonts w:ascii="Arial" w:hAnsi="Arial" w:cs="Arial"/>
        </w:rPr>
      </w:pPr>
    </w:p>
    <w:sectPr w:rsidR="00BB750B" w:rsidRPr="00BB750B" w:rsidSect="00CB30CC">
      <w:footerReference w:type="default" r:id="rId2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88C3F" w14:textId="77777777" w:rsidR="00601BCF" w:rsidRDefault="00601BCF" w:rsidP="006734F2">
      <w:pPr>
        <w:spacing w:after="0" w:line="240" w:lineRule="auto"/>
      </w:pPr>
      <w:r>
        <w:separator/>
      </w:r>
    </w:p>
  </w:endnote>
  <w:endnote w:type="continuationSeparator" w:id="0">
    <w:p w14:paraId="353BF962" w14:textId="77777777" w:rsidR="00601BCF" w:rsidRDefault="00601BCF" w:rsidP="00673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6023944"/>
      <w:docPartObj>
        <w:docPartGallery w:val="Page Numbers (Bottom of Page)"/>
        <w:docPartUnique/>
      </w:docPartObj>
    </w:sdtPr>
    <w:sdtEndPr>
      <w:rPr>
        <w:color w:val="7F7F7F" w:themeColor="background1" w:themeShade="7F"/>
        <w:spacing w:val="60"/>
      </w:rPr>
    </w:sdtEndPr>
    <w:sdtContent>
      <w:p w14:paraId="0BB84CEA" w14:textId="0A026AFD" w:rsidR="006734F2" w:rsidRDefault="006734F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C178CD0" w14:textId="77777777" w:rsidR="006734F2" w:rsidRDefault="00673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9C29C" w14:textId="77777777" w:rsidR="00601BCF" w:rsidRDefault="00601BCF" w:rsidP="006734F2">
      <w:pPr>
        <w:spacing w:after="0" w:line="240" w:lineRule="auto"/>
      </w:pPr>
      <w:r>
        <w:separator/>
      </w:r>
    </w:p>
  </w:footnote>
  <w:footnote w:type="continuationSeparator" w:id="0">
    <w:p w14:paraId="4D9FC793" w14:textId="77777777" w:rsidR="00601BCF" w:rsidRDefault="00601BCF" w:rsidP="006734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156"/>
    <w:rsid w:val="00011808"/>
    <w:rsid w:val="00011C4D"/>
    <w:rsid w:val="00017BDA"/>
    <w:rsid w:val="00024A29"/>
    <w:rsid w:val="000525F8"/>
    <w:rsid w:val="000B7056"/>
    <w:rsid w:val="000E282E"/>
    <w:rsid w:val="000E455C"/>
    <w:rsid w:val="001130B2"/>
    <w:rsid w:val="001229B6"/>
    <w:rsid w:val="00140A2E"/>
    <w:rsid w:val="00172D31"/>
    <w:rsid w:val="00184EAE"/>
    <w:rsid w:val="001B58D2"/>
    <w:rsid w:val="001D6CB9"/>
    <w:rsid w:val="002236A5"/>
    <w:rsid w:val="002266EF"/>
    <w:rsid w:val="00227AC1"/>
    <w:rsid w:val="002415B0"/>
    <w:rsid w:val="00260A30"/>
    <w:rsid w:val="002660F2"/>
    <w:rsid w:val="00292FDE"/>
    <w:rsid w:val="002B4156"/>
    <w:rsid w:val="002E0D17"/>
    <w:rsid w:val="002F0271"/>
    <w:rsid w:val="002F03B1"/>
    <w:rsid w:val="002F612D"/>
    <w:rsid w:val="003219B4"/>
    <w:rsid w:val="00331C80"/>
    <w:rsid w:val="003478DC"/>
    <w:rsid w:val="00362B7A"/>
    <w:rsid w:val="00373845"/>
    <w:rsid w:val="003B3E9D"/>
    <w:rsid w:val="003C514A"/>
    <w:rsid w:val="003D4321"/>
    <w:rsid w:val="003E6398"/>
    <w:rsid w:val="003F6C1B"/>
    <w:rsid w:val="00403B56"/>
    <w:rsid w:val="00422387"/>
    <w:rsid w:val="004402C8"/>
    <w:rsid w:val="00442193"/>
    <w:rsid w:val="004479AB"/>
    <w:rsid w:val="00493528"/>
    <w:rsid w:val="004A76B5"/>
    <w:rsid w:val="004C3020"/>
    <w:rsid w:val="004C4EA4"/>
    <w:rsid w:val="004D1CA8"/>
    <w:rsid w:val="004D2D3F"/>
    <w:rsid w:val="0051453C"/>
    <w:rsid w:val="005153B1"/>
    <w:rsid w:val="00524928"/>
    <w:rsid w:val="00524AD4"/>
    <w:rsid w:val="00534D25"/>
    <w:rsid w:val="00560040"/>
    <w:rsid w:val="005601C9"/>
    <w:rsid w:val="00571664"/>
    <w:rsid w:val="005864CD"/>
    <w:rsid w:val="005872B6"/>
    <w:rsid w:val="005918D5"/>
    <w:rsid w:val="005964A5"/>
    <w:rsid w:val="005A298E"/>
    <w:rsid w:val="005A4873"/>
    <w:rsid w:val="005B453C"/>
    <w:rsid w:val="005D34A9"/>
    <w:rsid w:val="005F4521"/>
    <w:rsid w:val="00600DF8"/>
    <w:rsid w:val="00601BCF"/>
    <w:rsid w:val="00607A5F"/>
    <w:rsid w:val="006128EC"/>
    <w:rsid w:val="00630C24"/>
    <w:rsid w:val="00630E8A"/>
    <w:rsid w:val="00645459"/>
    <w:rsid w:val="006500C1"/>
    <w:rsid w:val="00672198"/>
    <w:rsid w:val="006734F2"/>
    <w:rsid w:val="00683679"/>
    <w:rsid w:val="006A2207"/>
    <w:rsid w:val="006B7300"/>
    <w:rsid w:val="00720780"/>
    <w:rsid w:val="00741EA5"/>
    <w:rsid w:val="00766B84"/>
    <w:rsid w:val="0077503E"/>
    <w:rsid w:val="00776051"/>
    <w:rsid w:val="00783A86"/>
    <w:rsid w:val="007C5ACE"/>
    <w:rsid w:val="008230A8"/>
    <w:rsid w:val="008454D9"/>
    <w:rsid w:val="0084778D"/>
    <w:rsid w:val="00856D2E"/>
    <w:rsid w:val="008B1E1E"/>
    <w:rsid w:val="008B4712"/>
    <w:rsid w:val="008C4A14"/>
    <w:rsid w:val="008F4EFC"/>
    <w:rsid w:val="00914B01"/>
    <w:rsid w:val="00917C89"/>
    <w:rsid w:val="0095552A"/>
    <w:rsid w:val="0099022C"/>
    <w:rsid w:val="009958B0"/>
    <w:rsid w:val="009A5DD6"/>
    <w:rsid w:val="009B1D16"/>
    <w:rsid w:val="009E4743"/>
    <w:rsid w:val="00A226FA"/>
    <w:rsid w:val="00A24C92"/>
    <w:rsid w:val="00A74383"/>
    <w:rsid w:val="00A87DC7"/>
    <w:rsid w:val="00AB59D0"/>
    <w:rsid w:val="00AD5F18"/>
    <w:rsid w:val="00AE1127"/>
    <w:rsid w:val="00AF0B43"/>
    <w:rsid w:val="00AF1286"/>
    <w:rsid w:val="00AF4A7D"/>
    <w:rsid w:val="00B076BC"/>
    <w:rsid w:val="00B16E22"/>
    <w:rsid w:val="00B36237"/>
    <w:rsid w:val="00B70748"/>
    <w:rsid w:val="00B81558"/>
    <w:rsid w:val="00B841CD"/>
    <w:rsid w:val="00B84CCB"/>
    <w:rsid w:val="00BA3C77"/>
    <w:rsid w:val="00BA6667"/>
    <w:rsid w:val="00BA6D97"/>
    <w:rsid w:val="00BB750B"/>
    <w:rsid w:val="00BD7B5E"/>
    <w:rsid w:val="00C04818"/>
    <w:rsid w:val="00C519C5"/>
    <w:rsid w:val="00C6087D"/>
    <w:rsid w:val="00C720E4"/>
    <w:rsid w:val="00C7229F"/>
    <w:rsid w:val="00C84CE4"/>
    <w:rsid w:val="00C85DDD"/>
    <w:rsid w:val="00C93F09"/>
    <w:rsid w:val="00CA0033"/>
    <w:rsid w:val="00CA4220"/>
    <w:rsid w:val="00CB30CC"/>
    <w:rsid w:val="00CD2F34"/>
    <w:rsid w:val="00CE0551"/>
    <w:rsid w:val="00CE6CE1"/>
    <w:rsid w:val="00CF1F46"/>
    <w:rsid w:val="00D1127E"/>
    <w:rsid w:val="00D5514E"/>
    <w:rsid w:val="00D64CA2"/>
    <w:rsid w:val="00D65C75"/>
    <w:rsid w:val="00D84C7D"/>
    <w:rsid w:val="00DB7D61"/>
    <w:rsid w:val="00DF23BD"/>
    <w:rsid w:val="00E0119A"/>
    <w:rsid w:val="00E15F67"/>
    <w:rsid w:val="00E46F7D"/>
    <w:rsid w:val="00EA31E1"/>
    <w:rsid w:val="00EE06F0"/>
    <w:rsid w:val="00EF55F8"/>
    <w:rsid w:val="00F14930"/>
    <w:rsid w:val="00F44F19"/>
    <w:rsid w:val="00F46D08"/>
    <w:rsid w:val="00F4774D"/>
    <w:rsid w:val="00F54B49"/>
    <w:rsid w:val="00F74E39"/>
    <w:rsid w:val="00F850E2"/>
    <w:rsid w:val="00F85561"/>
    <w:rsid w:val="00F87AA7"/>
    <w:rsid w:val="00FE0D60"/>
    <w:rsid w:val="00FE1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E4178"/>
  <w15:chartTrackingRefBased/>
  <w15:docId w15:val="{0914AA14-7849-4534-BB15-6558619E8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748"/>
  </w:style>
  <w:style w:type="paragraph" w:styleId="Heading1">
    <w:name w:val="heading 1"/>
    <w:basedOn w:val="Normal"/>
    <w:next w:val="Normal"/>
    <w:link w:val="Heading1Char"/>
    <w:uiPriority w:val="9"/>
    <w:qFormat/>
    <w:rsid w:val="002B41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41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41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41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41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41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1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1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1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1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41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41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41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41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41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1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1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156"/>
    <w:rPr>
      <w:rFonts w:eastAsiaTheme="majorEastAsia" w:cstheme="majorBidi"/>
      <w:color w:val="272727" w:themeColor="text1" w:themeTint="D8"/>
    </w:rPr>
  </w:style>
  <w:style w:type="paragraph" w:styleId="Title">
    <w:name w:val="Title"/>
    <w:basedOn w:val="Normal"/>
    <w:next w:val="Normal"/>
    <w:link w:val="TitleChar"/>
    <w:uiPriority w:val="10"/>
    <w:qFormat/>
    <w:rsid w:val="002B41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41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1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41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156"/>
    <w:pPr>
      <w:spacing w:before="160"/>
      <w:jc w:val="center"/>
    </w:pPr>
    <w:rPr>
      <w:i/>
      <w:iCs/>
      <w:color w:val="404040" w:themeColor="text1" w:themeTint="BF"/>
    </w:rPr>
  </w:style>
  <w:style w:type="character" w:customStyle="1" w:styleId="QuoteChar">
    <w:name w:val="Quote Char"/>
    <w:basedOn w:val="DefaultParagraphFont"/>
    <w:link w:val="Quote"/>
    <w:uiPriority w:val="29"/>
    <w:rsid w:val="002B4156"/>
    <w:rPr>
      <w:i/>
      <w:iCs/>
      <w:color w:val="404040" w:themeColor="text1" w:themeTint="BF"/>
    </w:rPr>
  </w:style>
  <w:style w:type="paragraph" w:styleId="ListParagraph">
    <w:name w:val="List Paragraph"/>
    <w:basedOn w:val="Normal"/>
    <w:uiPriority w:val="34"/>
    <w:qFormat/>
    <w:rsid w:val="002B4156"/>
    <w:pPr>
      <w:ind w:left="720"/>
      <w:contextualSpacing/>
    </w:pPr>
  </w:style>
  <w:style w:type="character" w:styleId="IntenseEmphasis">
    <w:name w:val="Intense Emphasis"/>
    <w:basedOn w:val="DefaultParagraphFont"/>
    <w:uiPriority w:val="21"/>
    <w:qFormat/>
    <w:rsid w:val="002B4156"/>
    <w:rPr>
      <w:i/>
      <w:iCs/>
      <w:color w:val="0F4761" w:themeColor="accent1" w:themeShade="BF"/>
    </w:rPr>
  </w:style>
  <w:style w:type="paragraph" w:styleId="IntenseQuote">
    <w:name w:val="Intense Quote"/>
    <w:basedOn w:val="Normal"/>
    <w:next w:val="Normal"/>
    <w:link w:val="IntenseQuoteChar"/>
    <w:uiPriority w:val="30"/>
    <w:qFormat/>
    <w:rsid w:val="002B41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4156"/>
    <w:rPr>
      <w:i/>
      <w:iCs/>
      <w:color w:val="0F4761" w:themeColor="accent1" w:themeShade="BF"/>
    </w:rPr>
  </w:style>
  <w:style w:type="character" w:styleId="IntenseReference">
    <w:name w:val="Intense Reference"/>
    <w:basedOn w:val="DefaultParagraphFont"/>
    <w:uiPriority w:val="32"/>
    <w:qFormat/>
    <w:rsid w:val="002B4156"/>
    <w:rPr>
      <w:b/>
      <w:bCs/>
      <w:smallCaps/>
      <w:color w:val="0F4761" w:themeColor="accent1" w:themeShade="BF"/>
      <w:spacing w:val="5"/>
    </w:rPr>
  </w:style>
  <w:style w:type="character" w:styleId="CommentReference">
    <w:name w:val="annotation reference"/>
    <w:basedOn w:val="DefaultParagraphFont"/>
    <w:uiPriority w:val="99"/>
    <w:semiHidden/>
    <w:unhideWhenUsed/>
    <w:rsid w:val="00B36237"/>
    <w:rPr>
      <w:sz w:val="16"/>
      <w:szCs w:val="16"/>
    </w:rPr>
  </w:style>
  <w:style w:type="paragraph" w:styleId="CommentText">
    <w:name w:val="annotation text"/>
    <w:basedOn w:val="Normal"/>
    <w:link w:val="CommentTextChar"/>
    <w:uiPriority w:val="99"/>
    <w:unhideWhenUsed/>
    <w:rsid w:val="00B36237"/>
    <w:pPr>
      <w:spacing w:line="240" w:lineRule="auto"/>
    </w:pPr>
    <w:rPr>
      <w:sz w:val="20"/>
      <w:szCs w:val="20"/>
    </w:rPr>
  </w:style>
  <w:style w:type="character" w:customStyle="1" w:styleId="CommentTextChar">
    <w:name w:val="Comment Text Char"/>
    <w:basedOn w:val="DefaultParagraphFont"/>
    <w:link w:val="CommentText"/>
    <w:uiPriority w:val="99"/>
    <w:rsid w:val="00B36237"/>
    <w:rPr>
      <w:sz w:val="20"/>
      <w:szCs w:val="20"/>
    </w:rPr>
  </w:style>
  <w:style w:type="paragraph" w:styleId="CommentSubject">
    <w:name w:val="annotation subject"/>
    <w:basedOn w:val="CommentText"/>
    <w:next w:val="CommentText"/>
    <w:link w:val="CommentSubjectChar"/>
    <w:uiPriority w:val="99"/>
    <w:semiHidden/>
    <w:unhideWhenUsed/>
    <w:rsid w:val="00B36237"/>
    <w:rPr>
      <w:b/>
      <w:bCs/>
    </w:rPr>
  </w:style>
  <w:style w:type="character" w:customStyle="1" w:styleId="CommentSubjectChar">
    <w:name w:val="Comment Subject Char"/>
    <w:basedOn w:val="CommentTextChar"/>
    <w:link w:val="CommentSubject"/>
    <w:uiPriority w:val="99"/>
    <w:semiHidden/>
    <w:rsid w:val="00B36237"/>
    <w:rPr>
      <w:b/>
      <w:bCs/>
      <w:sz w:val="20"/>
      <w:szCs w:val="20"/>
    </w:rPr>
  </w:style>
  <w:style w:type="character" w:styleId="Hyperlink">
    <w:name w:val="Hyperlink"/>
    <w:basedOn w:val="DefaultParagraphFont"/>
    <w:uiPriority w:val="99"/>
    <w:unhideWhenUsed/>
    <w:rsid w:val="00B36237"/>
    <w:rPr>
      <w:color w:val="467886" w:themeColor="hyperlink"/>
      <w:u w:val="single"/>
    </w:rPr>
  </w:style>
  <w:style w:type="character" w:styleId="UnresolvedMention">
    <w:name w:val="Unresolved Mention"/>
    <w:basedOn w:val="DefaultParagraphFont"/>
    <w:uiPriority w:val="99"/>
    <w:semiHidden/>
    <w:unhideWhenUsed/>
    <w:rsid w:val="00B36237"/>
    <w:rPr>
      <w:color w:val="605E5C"/>
      <w:shd w:val="clear" w:color="auto" w:fill="E1DFDD"/>
    </w:rPr>
  </w:style>
  <w:style w:type="paragraph" w:customStyle="1" w:styleId="Style1">
    <w:name w:val="Style1"/>
    <w:basedOn w:val="Heading1"/>
    <w:qFormat/>
    <w:rsid w:val="00B70748"/>
    <w:rPr>
      <w:rFonts w:ascii="Arial" w:hAnsi="Arial"/>
      <w:color w:val="000000" w:themeColor="text1"/>
      <w:sz w:val="28"/>
    </w:rPr>
  </w:style>
  <w:style w:type="paragraph" w:styleId="NoSpacing">
    <w:name w:val="No Spacing"/>
    <w:link w:val="NoSpacingChar"/>
    <w:uiPriority w:val="1"/>
    <w:qFormat/>
    <w:rsid w:val="00600DF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00DF8"/>
    <w:rPr>
      <w:rFonts w:eastAsiaTheme="minorEastAsia"/>
      <w:kern w:val="0"/>
      <w:sz w:val="22"/>
      <w:szCs w:val="22"/>
      <w:lang w:val="en-US"/>
      <w14:ligatures w14:val="none"/>
    </w:rPr>
  </w:style>
  <w:style w:type="character" w:styleId="BookTitle">
    <w:name w:val="Book Title"/>
    <w:basedOn w:val="DefaultParagraphFont"/>
    <w:uiPriority w:val="33"/>
    <w:qFormat/>
    <w:rsid w:val="00CD2F34"/>
    <w:rPr>
      <w:b/>
      <w:bCs/>
      <w:i/>
      <w:iCs/>
      <w:spacing w:val="5"/>
    </w:rPr>
  </w:style>
  <w:style w:type="paragraph" w:styleId="Header">
    <w:name w:val="header"/>
    <w:basedOn w:val="Normal"/>
    <w:link w:val="HeaderChar"/>
    <w:uiPriority w:val="99"/>
    <w:unhideWhenUsed/>
    <w:rsid w:val="00673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4F2"/>
  </w:style>
  <w:style w:type="paragraph" w:styleId="Footer">
    <w:name w:val="footer"/>
    <w:basedOn w:val="Normal"/>
    <w:link w:val="FooterChar"/>
    <w:uiPriority w:val="99"/>
    <w:unhideWhenUsed/>
    <w:rsid w:val="00673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4F2"/>
  </w:style>
  <w:style w:type="paragraph" w:styleId="TOCHeading">
    <w:name w:val="TOC Heading"/>
    <w:basedOn w:val="Heading1"/>
    <w:next w:val="Normal"/>
    <w:uiPriority w:val="39"/>
    <w:unhideWhenUsed/>
    <w:qFormat/>
    <w:rsid w:val="00CB30C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B30C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docID=6508505" TargetMode="External"/><Relationship Id="rId13" Type="http://schemas.openxmlformats.org/officeDocument/2006/relationships/hyperlink" Target="https://engageforsuccess.org/case-studies/evidence-case-study-marks-and-spencer-2/" TargetMode="External"/><Relationship Id="rId18" Type="http://schemas.openxmlformats.org/officeDocument/2006/relationships/hyperlink" Target="https://www.ifrs.org/content/dam/ifrs/project/leases/ifrs/published-documents/ifrs16-effects-analysis.pdf" TargetMode="External"/><Relationship Id="rId26" Type="http://schemas.openxmlformats.org/officeDocument/2006/relationships/hyperlink" Target="https://www.trustnet.com/news/13401813/can-ms-recovery-continue-into-2024-and-beyond" TargetMode="External"/><Relationship Id="rId3" Type="http://schemas.openxmlformats.org/officeDocument/2006/relationships/settings" Target="settings.xml"/><Relationship Id="rId21" Type="http://schemas.openxmlformats.org/officeDocument/2006/relationships/hyperlink" Target="https://assets.publishing.service.gov.uk/media/67e6b6b296745eff958ca027/LPC_2025_Uprating_Report.pdf" TargetMode="External"/><Relationship Id="rId7" Type="http://schemas.openxmlformats.org/officeDocument/2006/relationships/image" Target="media/image1.png"/><Relationship Id="rId12" Type="http://schemas.openxmlformats.org/officeDocument/2006/relationships/hyperlink" Target="https://taxscape.deloitte.com/measures-autumn-budget-2024/increase-to-employer-nic-rate-and-lowering-of-the-secondary-threshold.aspx" TargetMode="External"/><Relationship Id="rId17" Type="http://schemas.openxmlformats.org/officeDocument/2006/relationships/hyperlink" Target="https://www.hmfa.org.uk" TargetMode="External"/><Relationship Id="rId25" Type="http://schemas.openxmlformats.org/officeDocument/2006/relationships/hyperlink" Target="https://shareaction-api.files.svdcdn.com/production/resources/reports/MS-Resolution-Investor-Briefing-1.pdf" TargetMode="External"/><Relationship Id="rId2" Type="http://schemas.openxmlformats.org/officeDocument/2006/relationships/styles" Target="styles.xml"/><Relationship Id="rId16" Type="http://schemas.openxmlformats.org/officeDocument/2006/relationships/hyperlink" Target="https://www.gov.uk/guidance/uk-sustainability-reporting-standards" TargetMode="External"/><Relationship Id="rId20" Type="http://schemas.openxmlformats.org/officeDocument/2006/relationships/hyperlink" Target="https://www.londonstockexchange.com/stock/MKS/marks-and-spencer-group-plc/company-pag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23311975.2024.2433165" TargetMode="External"/><Relationship Id="rId24" Type="http://schemas.openxmlformats.org/officeDocument/2006/relationships/hyperlink" Target="https://corporate.marksandspencer.com/sustainability/plan-a-our-planet" TargetMode="External"/><Relationship Id="rId5" Type="http://schemas.openxmlformats.org/officeDocument/2006/relationships/footnotes" Target="footnotes.xml"/><Relationship Id="rId15" Type="http://schemas.openxmlformats.org/officeDocument/2006/relationships/hyperlink" Target="https://www.gov.uk/government/publications/autumn-budget-2024-a-gad-technical-bulletin/autumn-budget-2024-gad-technical-bulletin" TargetMode="External"/><Relationship Id="rId23" Type="http://schemas.openxmlformats.org/officeDocument/2006/relationships/hyperlink" Target="https://corporate.marksandspencer.com/sites/marksandspencer/files/2025-05/Marks-and-Spencer-Group-plc-Annual-Report-and-Financial-Statements-2025_INTERACTIVE_FINAL.pdf" TargetMode="External"/><Relationship Id="rId28" Type="http://schemas.openxmlformats.org/officeDocument/2006/relationships/footer" Target="footer1.xml"/><Relationship Id="rId10" Type="http://schemas.openxmlformats.org/officeDocument/2006/relationships/hyperlink" Target="https://www.cnbc.com/2025/05/21/ms-cyberattack-to-wipe-out-nearly-one-third-of-annual-profits.html" TargetMode="External"/><Relationship Id="rId19" Type="http://schemas.openxmlformats.org/officeDocument/2006/relationships/hyperlink" Target="https://rpc.blog.gov.uk/2025/12/15/carbon-valuation-why-it-matters-for-regulatory-policy/" TargetMode="External"/><Relationship Id="rId4" Type="http://schemas.openxmlformats.org/officeDocument/2006/relationships/webSettings" Target="webSettings.xml"/><Relationship Id="rId9" Type="http://schemas.openxmlformats.org/officeDocument/2006/relationships/hyperlink" Target="https://doi.org/10.1002/csr.3010" TargetMode="External"/><Relationship Id="rId14" Type="http://schemas.openxmlformats.org/officeDocument/2006/relationships/hyperlink" Target="https://www.globaldata.com/company-profile/marks-and-spencer-group-plc/" TargetMode="External"/><Relationship Id="rId22" Type="http://schemas.openxmlformats.org/officeDocument/2006/relationships/hyperlink" Target="https://www.macrotrends.net/stocks/charts/MAKSY/marks-and-spencer-group/revenue" TargetMode="External"/><Relationship Id="rId27" Type="http://schemas.openxmlformats.org/officeDocument/2006/relationships/hyperlink" Target="https://finance.yahoo.com/quote/MKS.L/financial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1CC836-5A4F-43D4-8423-0017F69E8622}">
  <we:reference id="wa200002513" version="2021.3.29.10" store="en-GB" storeType="OMEX"/>
  <we:alternateReferences>
    <we:reference id="WA200002513" version="2021.3.29.1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DCAD87-D3B4-46C2-9A50-61F2D08E4B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657</TotalTime>
  <Pages>13</Pages>
  <Words>3226</Words>
  <Characters>22099</Characters>
  <Application>Microsoft Office Word</Application>
  <DocSecurity>0</DocSecurity>
  <Lines>416</Lines>
  <Paragraphs>89</Paragraphs>
  <ScaleCrop>false</ScaleCrop>
  <Company/>
  <LinksUpToDate>false</LinksUpToDate>
  <CharactersWithSpaces>25236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 Uzun</dc:creator>
  <cp:keywords/>
  <dc:description/>
  <cp:lastModifiedBy>Ala Uzun</cp:lastModifiedBy>
  <cp:revision>149</cp:revision>
  <dcterms:created xsi:type="dcterms:W3CDTF">2026-07-03T13:18:00Z</dcterms:created>
  <dcterms:modified xsi:type="dcterms:W3CDTF">2026-07-17T16:46:00Z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74e420d2-8992-4d06-9cc2-d30bf07ebf38</vt:lpwstr>
  </property>
</Properties>
</file>