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4CA3A" w14:textId="77777777" w:rsidR="00BA5896" w:rsidRDefault="00BA5896" w:rsidP="00D54E26">
      <w:pPr>
        <w:tabs>
          <w:tab w:val="num" w:pos="720"/>
        </w:tabs>
        <w:ind w:left="720" w:hanging="360"/>
      </w:pPr>
    </w:p>
    <w:p w14:paraId="6FC3B3F2" w14:textId="3C9FDB8F" w:rsidR="000B7615" w:rsidRPr="009556AC" w:rsidRDefault="009556AC" w:rsidP="009556AC">
      <w:pPr>
        <w:pStyle w:val="Heading1"/>
        <w:rPr>
          <w:sz w:val="56"/>
          <w:szCs w:val="56"/>
          <w:lang w:val="en-GB"/>
        </w:rPr>
      </w:pPr>
      <w:r w:rsidRPr="009556AC">
        <w:rPr>
          <w:sz w:val="56"/>
          <w:szCs w:val="56"/>
        </w:rPr>
        <w:t>BA Business Management (BABM)</w:t>
      </w:r>
    </w:p>
    <w:p w14:paraId="562338BA" w14:textId="0DF9176A" w:rsidR="000B7615" w:rsidRPr="009556AC" w:rsidRDefault="009556AC" w:rsidP="009556AC">
      <w:pPr>
        <w:pStyle w:val="Heading1"/>
        <w:rPr>
          <w:sz w:val="56"/>
          <w:szCs w:val="56"/>
          <w:lang w:val="en-GB"/>
        </w:rPr>
      </w:pPr>
      <w:r w:rsidRPr="009556AC">
        <w:rPr>
          <w:sz w:val="56"/>
          <w:szCs w:val="56"/>
        </w:rPr>
        <w:t>Accounting Fundamentals</w:t>
      </w:r>
    </w:p>
    <w:p w14:paraId="6D62A611" w14:textId="0AF1364B" w:rsidR="000B7615" w:rsidRPr="009556AC" w:rsidRDefault="009556AC" w:rsidP="009556AC">
      <w:pPr>
        <w:pStyle w:val="Heading1"/>
        <w:rPr>
          <w:sz w:val="56"/>
          <w:szCs w:val="56"/>
          <w:lang w:val="en-GB"/>
        </w:rPr>
      </w:pPr>
      <w:r w:rsidRPr="009556AC">
        <w:rPr>
          <w:sz w:val="56"/>
          <w:szCs w:val="56"/>
        </w:rPr>
        <w:t>LCBB4001</w:t>
      </w:r>
    </w:p>
    <w:p w14:paraId="4BB75929" w14:textId="77777777" w:rsidR="000B7615" w:rsidRPr="000B7615" w:rsidRDefault="000B7615" w:rsidP="000B7615">
      <w:pPr>
        <w:rPr>
          <w:lang w:val="en-GB"/>
        </w:rPr>
      </w:pPr>
    </w:p>
    <w:p w14:paraId="23509C76" w14:textId="77777777" w:rsidR="000B7615" w:rsidRDefault="000B7615" w:rsidP="000B7615">
      <w:pPr>
        <w:rPr>
          <w:lang w:val="en-GB"/>
        </w:rPr>
      </w:pPr>
    </w:p>
    <w:p w14:paraId="0ECE26E8" w14:textId="77777777" w:rsidR="009556AC" w:rsidRDefault="009556AC" w:rsidP="000B7615">
      <w:pPr>
        <w:rPr>
          <w:lang w:val="en-GB"/>
        </w:rPr>
      </w:pPr>
    </w:p>
    <w:p w14:paraId="31E80191" w14:textId="77777777" w:rsidR="009556AC" w:rsidRDefault="009556AC" w:rsidP="000B7615">
      <w:pPr>
        <w:rPr>
          <w:lang w:val="en-GB"/>
        </w:rPr>
      </w:pPr>
    </w:p>
    <w:p w14:paraId="4B8914EC" w14:textId="77777777" w:rsidR="009556AC" w:rsidRDefault="009556AC" w:rsidP="000B7615">
      <w:pPr>
        <w:rPr>
          <w:lang w:val="en-GB"/>
        </w:rPr>
      </w:pPr>
    </w:p>
    <w:p w14:paraId="14C4EA97" w14:textId="77777777" w:rsidR="009556AC" w:rsidRDefault="009556AC" w:rsidP="000B7615">
      <w:pPr>
        <w:rPr>
          <w:lang w:val="en-GB"/>
        </w:rPr>
      </w:pPr>
    </w:p>
    <w:p w14:paraId="7D9EEBB3" w14:textId="36A76FA8" w:rsidR="009556AC" w:rsidRPr="00C64EE4" w:rsidRDefault="00AD74B4" w:rsidP="000B7615">
      <w:pPr>
        <w:rPr>
          <w:sz w:val="40"/>
          <w:szCs w:val="40"/>
          <w:lang w:val="en-GB"/>
        </w:rPr>
      </w:pPr>
      <w:r w:rsidRPr="00C64EE4">
        <w:rPr>
          <w:sz w:val="40"/>
          <w:szCs w:val="40"/>
          <w:lang w:val="en-GB"/>
        </w:rPr>
        <w:t>Cosmin Mihai -</w:t>
      </w:r>
      <w:r w:rsidR="00C64EE4" w:rsidRPr="00C64EE4">
        <w:rPr>
          <w:sz w:val="40"/>
          <w:szCs w:val="40"/>
          <w:lang w:val="en-GB"/>
        </w:rPr>
        <w:t>2115663</w:t>
      </w:r>
    </w:p>
    <w:p w14:paraId="2A6FE6D7" w14:textId="77777777" w:rsidR="009556AC" w:rsidRDefault="009556AC" w:rsidP="000B7615">
      <w:pPr>
        <w:rPr>
          <w:lang w:val="en-GB"/>
        </w:rPr>
      </w:pPr>
    </w:p>
    <w:p w14:paraId="30DD19D3" w14:textId="77777777" w:rsidR="009556AC" w:rsidRDefault="009556AC" w:rsidP="000B7615">
      <w:pPr>
        <w:rPr>
          <w:lang w:val="en-GB"/>
        </w:rPr>
      </w:pPr>
    </w:p>
    <w:p w14:paraId="51D1E737" w14:textId="77777777" w:rsidR="009556AC" w:rsidRDefault="009556AC" w:rsidP="000B7615">
      <w:pPr>
        <w:rPr>
          <w:lang w:val="en-GB"/>
        </w:rPr>
      </w:pPr>
    </w:p>
    <w:p w14:paraId="22E39517" w14:textId="77777777" w:rsidR="009556AC" w:rsidRDefault="009556AC" w:rsidP="000B7615">
      <w:pPr>
        <w:rPr>
          <w:lang w:val="en-GB"/>
        </w:rPr>
      </w:pPr>
    </w:p>
    <w:p w14:paraId="6DE240E3" w14:textId="77777777" w:rsidR="009556AC" w:rsidRDefault="009556AC" w:rsidP="000B7615">
      <w:pPr>
        <w:rPr>
          <w:lang w:val="en-GB"/>
        </w:rPr>
      </w:pPr>
    </w:p>
    <w:p w14:paraId="058927F1" w14:textId="77777777" w:rsidR="009556AC" w:rsidRDefault="009556AC" w:rsidP="000B7615">
      <w:pPr>
        <w:rPr>
          <w:lang w:val="en-GB"/>
        </w:rPr>
      </w:pPr>
    </w:p>
    <w:p w14:paraId="6DA69195" w14:textId="77777777" w:rsidR="009556AC" w:rsidRDefault="009556AC" w:rsidP="000B7615">
      <w:pPr>
        <w:rPr>
          <w:lang w:val="en-GB"/>
        </w:rPr>
      </w:pPr>
    </w:p>
    <w:p w14:paraId="75E2A41F" w14:textId="77777777" w:rsidR="009556AC" w:rsidRDefault="009556AC" w:rsidP="000B7615">
      <w:pPr>
        <w:rPr>
          <w:lang w:val="en-GB"/>
        </w:rPr>
      </w:pPr>
    </w:p>
    <w:p w14:paraId="4CB33FE9" w14:textId="77777777" w:rsidR="009556AC" w:rsidRDefault="009556AC" w:rsidP="000B7615">
      <w:pPr>
        <w:rPr>
          <w:lang w:val="en-GB"/>
        </w:rPr>
      </w:pPr>
    </w:p>
    <w:p w14:paraId="23A59CA4" w14:textId="77777777" w:rsidR="009556AC" w:rsidRDefault="009556AC" w:rsidP="000B7615">
      <w:pPr>
        <w:rPr>
          <w:lang w:val="en-GB"/>
        </w:rPr>
      </w:pPr>
    </w:p>
    <w:p w14:paraId="28177213" w14:textId="77777777" w:rsidR="009556AC" w:rsidRDefault="009556AC" w:rsidP="000B7615">
      <w:pPr>
        <w:rPr>
          <w:lang w:val="en-GB"/>
        </w:rPr>
      </w:pPr>
    </w:p>
    <w:p w14:paraId="19F5AC8E" w14:textId="77777777" w:rsidR="009556AC" w:rsidRDefault="009556AC" w:rsidP="000B7615">
      <w:pPr>
        <w:rPr>
          <w:lang w:val="en-GB"/>
        </w:rPr>
      </w:pPr>
    </w:p>
    <w:p w14:paraId="185B490C" w14:textId="77777777" w:rsidR="009556AC" w:rsidRDefault="009556AC" w:rsidP="000B7615">
      <w:pPr>
        <w:rPr>
          <w:lang w:val="en-GB"/>
        </w:rPr>
      </w:pPr>
    </w:p>
    <w:p w14:paraId="4343437C" w14:textId="77777777" w:rsidR="009556AC" w:rsidRDefault="009556AC" w:rsidP="000B7615">
      <w:pPr>
        <w:rPr>
          <w:lang w:val="en-GB"/>
        </w:rPr>
      </w:pPr>
    </w:p>
    <w:p w14:paraId="160EDD50" w14:textId="77777777" w:rsidR="009556AC" w:rsidRDefault="009556AC" w:rsidP="000B7615">
      <w:pPr>
        <w:rPr>
          <w:lang w:val="en-GB"/>
        </w:rPr>
      </w:pPr>
    </w:p>
    <w:p w14:paraId="4A0B4072" w14:textId="77777777" w:rsidR="009556AC" w:rsidRDefault="009556AC" w:rsidP="000B7615">
      <w:pPr>
        <w:rPr>
          <w:lang w:val="en-GB"/>
        </w:rPr>
      </w:pPr>
    </w:p>
    <w:p w14:paraId="158BB90D" w14:textId="77777777" w:rsidR="009556AC" w:rsidRDefault="009556AC" w:rsidP="000B7615">
      <w:pPr>
        <w:rPr>
          <w:lang w:val="en-GB"/>
        </w:rPr>
      </w:pPr>
    </w:p>
    <w:sdt>
      <w:sdtPr>
        <w:id w:val="-503893253"/>
        <w:docPartObj>
          <w:docPartGallery w:val="Table of Contents"/>
          <w:docPartUnique/>
        </w:docPartObj>
      </w:sdtPr>
      <w:sdtEndPr>
        <w:rPr>
          <w:rFonts w:asciiTheme="minorHAnsi" w:eastAsiaTheme="minorEastAsia" w:hAnsiTheme="minorHAnsi" w:cstheme="minorBidi"/>
          <w:noProof/>
          <w:color w:val="auto"/>
          <w:sz w:val="20"/>
          <w:szCs w:val="20"/>
          <w:lang w:bidi="ar-SA"/>
        </w:rPr>
      </w:sdtEndPr>
      <w:sdtContent>
        <w:p w14:paraId="25695043" w14:textId="62C314A7" w:rsidR="000B7615" w:rsidRDefault="000B7615">
          <w:pPr>
            <w:pStyle w:val="TOCHeading"/>
          </w:pPr>
          <w:r>
            <w:t>Table of Contents</w:t>
          </w:r>
        </w:p>
        <w:p w14:paraId="0A0B4B28" w14:textId="037FF3C2" w:rsidR="000B7615" w:rsidRDefault="000B7615">
          <w:pPr>
            <w:pStyle w:val="TOC1"/>
            <w:tabs>
              <w:tab w:val="right" w:leader="dot" w:pos="9350"/>
            </w:tabs>
            <w:rPr>
              <w:noProof/>
            </w:rPr>
          </w:pPr>
          <w:r>
            <w:fldChar w:fldCharType="begin"/>
          </w:r>
          <w:r>
            <w:instrText xml:space="preserve"> TOC \o "1-3" \h \z \u </w:instrText>
          </w:r>
          <w:r>
            <w:fldChar w:fldCharType="separate"/>
          </w:r>
          <w:hyperlink w:anchor="_Toc153707749" w:history="1">
            <w:r w:rsidRPr="00240C6B">
              <w:rPr>
                <w:rStyle w:val="Hyperlink"/>
                <w:noProof/>
                <w:lang w:val="en-GB"/>
              </w:rPr>
              <w:t>Introduction</w:t>
            </w:r>
            <w:r>
              <w:rPr>
                <w:noProof/>
                <w:webHidden/>
              </w:rPr>
              <w:tab/>
            </w:r>
            <w:r>
              <w:rPr>
                <w:noProof/>
                <w:webHidden/>
              </w:rPr>
              <w:fldChar w:fldCharType="begin"/>
            </w:r>
            <w:r>
              <w:rPr>
                <w:noProof/>
                <w:webHidden/>
              </w:rPr>
              <w:instrText xml:space="preserve"> PAGEREF _Toc153707749 \h </w:instrText>
            </w:r>
            <w:r>
              <w:rPr>
                <w:noProof/>
                <w:webHidden/>
              </w:rPr>
            </w:r>
            <w:r>
              <w:rPr>
                <w:noProof/>
                <w:webHidden/>
              </w:rPr>
              <w:fldChar w:fldCharType="separate"/>
            </w:r>
            <w:r>
              <w:rPr>
                <w:noProof/>
                <w:webHidden/>
              </w:rPr>
              <w:t>2</w:t>
            </w:r>
            <w:r>
              <w:rPr>
                <w:noProof/>
                <w:webHidden/>
              </w:rPr>
              <w:fldChar w:fldCharType="end"/>
            </w:r>
          </w:hyperlink>
        </w:p>
        <w:p w14:paraId="6E4EE11F" w14:textId="0EF718F5" w:rsidR="000B7615" w:rsidRDefault="000B7615">
          <w:pPr>
            <w:pStyle w:val="TOC1"/>
            <w:tabs>
              <w:tab w:val="right" w:leader="dot" w:pos="9350"/>
            </w:tabs>
            <w:rPr>
              <w:noProof/>
            </w:rPr>
          </w:pPr>
          <w:hyperlink w:anchor="_Toc153707750" w:history="1">
            <w:r w:rsidRPr="00240C6B">
              <w:rPr>
                <w:rStyle w:val="Hyperlink"/>
                <w:noProof/>
                <w:lang w:val="en-GB"/>
              </w:rPr>
              <w:t>Question 1</w:t>
            </w:r>
            <w:r>
              <w:rPr>
                <w:noProof/>
                <w:webHidden/>
              </w:rPr>
              <w:tab/>
            </w:r>
            <w:r>
              <w:rPr>
                <w:noProof/>
                <w:webHidden/>
              </w:rPr>
              <w:fldChar w:fldCharType="begin"/>
            </w:r>
            <w:r>
              <w:rPr>
                <w:noProof/>
                <w:webHidden/>
              </w:rPr>
              <w:instrText xml:space="preserve"> PAGEREF _Toc153707750 \h </w:instrText>
            </w:r>
            <w:r>
              <w:rPr>
                <w:noProof/>
                <w:webHidden/>
              </w:rPr>
            </w:r>
            <w:r>
              <w:rPr>
                <w:noProof/>
                <w:webHidden/>
              </w:rPr>
              <w:fldChar w:fldCharType="separate"/>
            </w:r>
            <w:r>
              <w:rPr>
                <w:noProof/>
                <w:webHidden/>
              </w:rPr>
              <w:t>2</w:t>
            </w:r>
            <w:r>
              <w:rPr>
                <w:noProof/>
                <w:webHidden/>
              </w:rPr>
              <w:fldChar w:fldCharType="end"/>
            </w:r>
          </w:hyperlink>
        </w:p>
        <w:p w14:paraId="631F46D0" w14:textId="48F67FE7" w:rsidR="000B7615" w:rsidRDefault="000B7615">
          <w:pPr>
            <w:pStyle w:val="TOC1"/>
            <w:tabs>
              <w:tab w:val="right" w:leader="dot" w:pos="9350"/>
            </w:tabs>
            <w:rPr>
              <w:noProof/>
            </w:rPr>
          </w:pPr>
          <w:hyperlink w:anchor="_Toc153707751" w:history="1">
            <w:r w:rsidRPr="00240C6B">
              <w:rPr>
                <w:rStyle w:val="Hyperlink"/>
                <w:noProof/>
                <w:lang w:val="en-GB"/>
              </w:rPr>
              <w:t>Question 2</w:t>
            </w:r>
            <w:r>
              <w:rPr>
                <w:noProof/>
                <w:webHidden/>
              </w:rPr>
              <w:tab/>
            </w:r>
            <w:r>
              <w:rPr>
                <w:noProof/>
                <w:webHidden/>
              </w:rPr>
              <w:fldChar w:fldCharType="begin"/>
            </w:r>
            <w:r>
              <w:rPr>
                <w:noProof/>
                <w:webHidden/>
              </w:rPr>
              <w:instrText xml:space="preserve"> PAGEREF _Toc153707751 \h </w:instrText>
            </w:r>
            <w:r>
              <w:rPr>
                <w:noProof/>
                <w:webHidden/>
              </w:rPr>
            </w:r>
            <w:r>
              <w:rPr>
                <w:noProof/>
                <w:webHidden/>
              </w:rPr>
              <w:fldChar w:fldCharType="separate"/>
            </w:r>
            <w:r>
              <w:rPr>
                <w:noProof/>
                <w:webHidden/>
              </w:rPr>
              <w:t>4</w:t>
            </w:r>
            <w:r>
              <w:rPr>
                <w:noProof/>
                <w:webHidden/>
              </w:rPr>
              <w:fldChar w:fldCharType="end"/>
            </w:r>
          </w:hyperlink>
        </w:p>
        <w:p w14:paraId="41EC90C6" w14:textId="0A888369" w:rsidR="000B7615" w:rsidRDefault="000B7615">
          <w:pPr>
            <w:pStyle w:val="TOC3"/>
            <w:tabs>
              <w:tab w:val="right" w:leader="dot" w:pos="9350"/>
            </w:tabs>
            <w:rPr>
              <w:noProof/>
            </w:rPr>
          </w:pPr>
          <w:hyperlink w:anchor="_Toc153707752" w:history="1">
            <w:r w:rsidRPr="00240C6B">
              <w:rPr>
                <w:rStyle w:val="Hyperlink"/>
                <w:noProof/>
                <w:lang w:val="en-GB"/>
              </w:rPr>
              <w:t>Depreciation on Equipment for 2022:</w:t>
            </w:r>
            <w:r>
              <w:rPr>
                <w:noProof/>
                <w:webHidden/>
              </w:rPr>
              <w:tab/>
            </w:r>
            <w:r>
              <w:rPr>
                <w:noProof/>
                <w:webHidden/>
              </w:rPr>
              <w:fldChar w:fldCharType="begin"/>
            </w:r>
            <w:r>
              <w:rPr>
                <w:noProof/>
                <w:webHidden/>
              </w:rPr>
              <w:instrText xml:space="preserve"> PAGEREF _Toc153707752 \h </w:instrText>
            </w:r>
            <w:r>
              <w:rPr>
                <w:noProof/>
                <w:webHidden/>
              </w:rPr>
            </w:r>
            <w:r>
              <w:rPr>
                <w:noProof/>
                <w:webHidden/>
              </w:rPr>
              <w:fldChar w:fldCharType="separate"/>
            </w:r>
            <w:r>
              <w:rPr>
                <w:noProof/>
                <w:webHidden/>
              </w:rPr>
              <w:t>4</w:t>
            </w:r>
            <w:r>
              <w:rPr>
                <w:noProof/>
                <w:webHidden/>
              </w:rPr>
              <w:fldChar w:fldCharType="end"/>
            </w:r>
          </w:hyperlink>
        </w:p>
        <w:p w14:paraId="2B7AD565" w14:textId="2A70B8C5" w:rsidR="000B7615" w:rsidRDefault="000B7615">
          <w:pPr>
            <w:pStyle w:val="TOC3"/>
            <w:tabs>
              <w:tab w:val="right" w:leader="dot" w:pos="9350"/>
            </w:tabs>
            <w:rPr>
              <w:noProof/>
            </w:rPr>
          </w:pPr>
          <w:hyperlink w:anchor="_Toc153707753" w:history="1">
            <w:r w:rsidRPr="00240C6B">
              <w:rPr>
                <w:rStyle w:val="Hyperlink"/>
                <w:noProof/>
                <w:lang w:val="en-GB"/>
              </w:rPr>
              <w:t>Unpaid Salaries for December 2022:</w:t>
            </w:r>
            <w:r>
              <w:rPr>
                <w:noProof/>
                <w:webHidden/>
              </w:rPr>
              <w:tab/>
            </w:r>
            <w:r>
              <w:rPr>
                <w:noProof/>
                <w:webHidden/>
              </w:rPr>
              <w:fldChar w:fldCharType="begin"/>
            </w:r>
            <w:r>
              <w:rPr>
                <w:noProof/>
                <w:webHidden/>
              </w:rPr>
              <w:instrText xml:space="preserve"> PAGEREF _Toc153707753 \h </w:instrText>
            </w:r>
            <w:r>
              <w:rPr>
                <w:noProof/>
                <w:webHidden/>
              </w:rPr>
            </w:r>
            <w:r>
              <w:rPr>
                <w:noProof/>
                <w:webHidden/>
              </w:rPr>
              <w:fldChar w:fldCharType="separate"/>
            </w:r>
            <w:r>
              <w:rPr>
                <w:noProof/>
                <w:webHidden/>
              </w:rPr>
              <w:t>4</w:t>
            </w:r>
            <w:r>
              <w:rPr>
                <w:noProof/>
                <w:webHidden/>
              </w:rPr>
              <w:fldChar w:fldCharType="end"/>
            </w:r>
          </w:hyperlink>
        </w:p>
        <w:p w14:paraId="225958E3" w14:textId="05FA16B8" w:rsidR="000B7615" w:rsidRDefault="000B7615">
          <w:pPr>
            <w:pStyle w:val="TOC3"/>
            <w:tabs>
              <w:tab w:val="right" w:leader="dot" w:pos="9350"/>
            </w:tabs>
            <w:rPr>
              <w:noProof/>
            </w:rPr>
          </w:pPr>
          <w:hyperlink w:anchor="_Toc153707754" w:history="1">
            <w:r w:rsidRPr="00240C6B">
              <w:rPr>
                <w:rStyle w:val="Hyperlink"/>
                <w:noProof/>
                <w:lang w:val="en-GB"/>
              </w:rPr>
              <w:t>Corporation Tax:</w:t>
            </w:r>
            <w:r>
              <w:rPr>
                <w:noProof/>
                <w:webHidden/>
              </w:rPr>
              <w:tab/>
            </w:r>
            <w:r>
              <w:rPr>
                <w:noProof/>
                <w:webHidden/>
              </w:rPr>
              <w:fldChar w:fldCharType="begin"/>
            </w:r>
            <w:r>
              <w:rPr>
                <w:noProof/>
                <w:webHidden/>
              </w:rPr>
              <w:instrText xml:space="preserve"> PAGEREF _Toc153707754 \h </w:instrText>
            </w:r>
            <w:r>
              <w:rPr>
                <w:noProof/>
                <w:webHidden/>
              </w:rPr>
            </w:r>
            <w:r>
              <w:rPr>
                <w:noProof/>
                <w:webHidden/>
              </w:rPr>
              <w:fldChar w:fldCharType="separate"/>
            </w:r>
            <w:r>
              <w:rPr>
                <w:noProof/>
                <w:webHidden/>
              </w:rPr>
              <w:t>4</w:t>
            </w:r>
            <w:r>
              <w:rPr>
                <w:noProof/>
                <w:webHidden/>
              </w:rPr>
              <w:fldChar w:fldCharType="end"/>
            </w:r>
          </w:hyperlink>
        </w:p>
        <w:p w14:paraId="58B3C418" w14:textId="734AAC24" w:rsidR="000B7615" w:rsidRDefault="000B7615">
          <w:pPr>
            <w:pStyle w:val="TOC3"/>
            <w:tabs>
              <w:tab w:val="right" w:leader="dot" w:pos="9350"/>
            </w:tabs>
            <w:rPr>
              <w:noProof/>
            </w:rPr>
          </w:pPr>
          <w:hyperlink w:anchor="_Toc153707755" w:history="1">
            <w:r w:rsidRPr="00240C6B">
              <w:rPr>
                <w:rStyle w:val="Hyperlink"/>
                <w:noProof/>
                <w:lang w:val="en-GB"/>
              </w:rPr>
              <w:t>Salesmen Commission:</w:t>
            </w:r>
            <w:r>
              <w:rPr>
                <w:noProof/>
                <w:webHidden/>
              </w:rPr>
              <w:tab/>
            </w:r>
            <w:r>
              <w:rPr>
                <w:noProof/>
                <w:webHidden/>
              </w:rPr>
              <w:fldChar w:fldCharType="begin"/>
            </w:r>
            <w:r>
              <w:rPr>
                <w:noProof/>
                <w:webHidden/>
              </w:rPr>
              <w:instrText xml:space="preserve"> PAGEREF _Toc153707755 \h </w:instrText>
            </w:r>
            <w:r>
              <w:rPr>
                <w:noProof/>
                <w:webHidden/>
              </w:rPr>
            </w:r>
            <w:r>
              <w:rPr>
                <w:noProof/>
                <w:webHidden/>
              </w:rPr>
              <w:fldChar w:fldCharType="separate"/>
            </w:r>
            <w:r>
              <w:rPr>
                <w:noProof/>
                <w:webHidden/>
              </w:rPr>
              <w:t>4</w:t>
            </w:r>
            <w:r>
              <w:rPr>
                <w:noProof/>
                <w:webHidden/>
              </w:rPr>
              <w:fldChar w:fldCharType="end"/>
            </w:r>
          </w:hyperlink>
        </w:p>
        <w:p w14:paraId="0376BF70" w14:textId="1729D5B0" w:rsidR="000B7615" w:rsidRDefault="000B7615">
          <w:pPr>
            <w:pStyle w:val="TOC3"/>
            <w:tabs>
              <w:tab w:val="right" w:leader="dot" w:pos="9350"/>
            </w:tabs>
            <w:rPr>
              <w:noProof/>
            </w:rPr>
          </w:pPr>
          <w:hyperlink w:anchor="_Toc153707756" w:history="1">
            <w:r w:rsidRPr="00240C6B">
              <w:rPr>
                <w:rStyle w:val="Hyperlink"/>
                <w:noProof/>
                <w:lang w:val="en-GB"/>
              </w:rPr>
              <w:t>Goods Sent to Customers:</w:t>
            </w:r>
            <w:r>
              <w:rPr>
                <w:noProof/>
                <w:webHidden/>
              </w:rPr>
              <w:tab/>
            </w:r>
            <w:r>
              <w:rPr>
                <w:noProof/>
                <w:webHidden/>
              </w:rPr>
              <w:fldChar w:fldCharType="begin"/>
            </w:r>
            <w:r>
              <w:rPr>
                <w:noProof/>
                <w:webHidden/>
              </w:rPr>
              <w:instrText xml:space="preserve"> PAGEREF _Toc153707756 \h </w:instrText>
            </w:r>
            <w:r>
              <w:rPr>
                <w:noProof/>
                <w:webHidden/>
              </w:rPr>
            </w:r>
            <w:r>
              <w:rPr>
                <w:noProof/>
                <w:webHidden/>
              </w:rPr>
              <w:fldChar w:fldCharType="separate"/>
            </w:r>
            <w:r>
              <w:rPr>
                <w:noProof/>
                <w:webHidden/>
              </w:rPr>
              <w:t>4</w:t>
            </w:r>
            <w:r>
              <w:rPr>
                <w:noProof/>
                <w:webHidden/>
              </w:rPr>
              <w:fldChar w:fldCharType="end"/>
            </w:r>
          </w:hyperlink>
        </w:p>
        <w:p w14:paraId="7D9AE2AE" w14:textId="4027361A" w:rsidR="000B7615" w:rsidRDefault="000B7615">
          <w:pPr>
            <w:pStyle w:val="TOC3"/>
            <w:tabs>
              <w:tab w:val="right" w:leader="dot" w:pos="9350"/>
            </w:tabs>
            <w:rPr>
              <w:noProof/>
            </w:rPr>
          </w:pPr>
          <w:hyperlink w:anchor="_Toc153707757" w:history="1">
            <w:r w:rsidRPr="00240C6B">
              <w:rPr>
                <w:rStyle w:val="Hyperlink"/>
                <w:noProof/>
                <w:lang w:val="en-GB"/>
              </w:rPr>
              <w:t>Income Statement for Wales plc</w:t>
            </w:r>
            <w:r>
              <w:rPr>
                <w:noProof/>
                <w:webHidden/>
              </w:rPr>
              <w:tab/>
            </w:r>
            <w:r>
              <w:rPr>
                <w:noProof/>
                <w:webHidden/>
              </w:rPr>
              <w:fldChar w:fldCharType="begin"/>
            </w:r>
            <w:r>
              <w:rPr>
                <w:noProof/>
                <w:webHidden/>
              </w:rPr>
              <w:instrText xml:space="preserve"> PAGEREF _Toc153707757 \h </w:instrText>
            </w:r>
            <w:r>
              <w:rPr>
                <w:noProof/>
                <w:webHidden/>
              </w:rPr>
            </w:r>
            <w:r>
              <w:rPr>
                <w:noProof/>
                <w:webHidden/>
              </w:rPr>
              <w:fldChar w:fldCharType="separate"/>
            </w:r>
            <w:r>
              <w:rPr>
                <w:noProof/>
                <w:webHidden/>
              </w:rPr>
              <w:t>4</w:t>
            </w:r>
            <w:r>
              <w:rPr>
                <w:noProof/>
                <w:webHidden/>
              </w:rPr>
              <w:fldChar w:fldCharType="end"/>
            </w:r>
          </w:hyperlink>
        </w:p>
        <w:p w14:paraId="39F739DA" w14:textId="37FC9323" w:rsidR="000B7615" w:rsidRDefault="000B7615">
          <w:pPr>
            <w:pStyle w:val="TOC3"/>
            <w:tabs>
              <w:tab w:val="right" w:leader="dot" w:pos="9350"/>
            </w:tabs>
            <w:rPr>
              <w:noProof/>
            </w:rPr>
          </w:pPr>
          <w:hyperlink w:anchor="_Toc153707758" w:history="1">
            <w:r w:rsidRPr="00240C6B">
              <w:rPr>
                <w:rStyle w:val="Hyperlink"/>
                <w:noProof/>
                <w:lang w:val="en-GB"/>
              </w:rPr>
              <w:t>Operating Expenses:</w:t>
            </w:r>
            <w:r>
              <w:rPr>
                <w:noProof/>
                <w:webHidden/>
              </w:rPr>
              <w:tab/>
            </w:r>
            <w:r>
              <w:rPr>
                <w:noProof/>
                <w:webHidden/>
              </w:rPr>
              <w:fldChar w:fldCharType="begin"/>
            </w:r>
            <w:r>
              <w:rPr>
                <w:noProof/>
                <w:webHidden/>
              </w:rPr>
              <w:instrText xml:space="preserve"> PAGEREF _Toc153707758 \h </w:instrText>
            </w:r>
            <w:r>
              <w:rPr>
                <w:noProof/>
                <w:webHidden/>
              </w:rPr>
            </w:r>
            <w:r>
              <w:rPr>
                <w:noProof/>
                <w:webHidden/>
              </w:rPr>
              <w:fldChar w:fldCharType="separate"/>
            </w:r>
            <w:r>
              <w:rPr>
                <w:noProof/>
                <w:webHidden/>
              </w:rPr>
              <w:t>5</w:t>
            </w:r>
            <w:r>
              <w:rPr>
                <w:noProof/>
                <w:webHidden/>
              </w:rPr>
              <w:fldChar w:fldCharType="end"/>
            </w:r>
          </w:hyperlink>
        </w:p>
        <w:p w14:paraId="5C7337C9" w14:textId="1CBE6B17" w:rsidR="000B7615" w:rsidRDefault="000B7615">
          <w:pPr>
            <w:pStyle w:val="TOC1"/>
            <w:tabs>
              <w:tab w:val="right" w:leader="dot" w:pos="9350"/>
            </w:tabs>
            <w:rPr>
              <w:noProof/>
            </w:rPr>
          </w:pPr>
          <w:hyperlink w:anchor="_Toc153707759" w:history="1">
            <w:r w:rsidRPr="00240C6B">
              <w:rPr>
                <w:rStyle w:val="Hyperlink"/>
                <w:noProof/>
              </w:rPr>
              <w:t>Question 3</w:t>
            </w:r>
            <w:r>
              <w:rPr>
                <w:noProof/>
                <w:webHidden/>
              </w:rPr>
              <w:tab/>
            </w:r>
            <w:r>
              <w:rPr>
                <w:noProof/>
                <w:webHidden/>
              </w:rPr>
              <w:fldChar w:fldCharType="begin"/>
            </w:r>
            <w:r>
              <w:rPr>
                <w:noProof/>
                <w:webHidden/>
              </w:rPr>
              <w:instrText xml:space="preserve"> PAGEREF _Toc153707759 \h </w:instrText>
            </w:r>
            <w:r>
              <w:rPr>
                <w:noProof/>
                <w:webHidden/>
              </w:rPr>
            </w:r>
            <w:r>
              <w:rPr>
                <w:noProof/>
                <w:webHidden/>
              </w:rPr>
              <w:fldChar w:fldCharType="separate"/>
            </w:r>
            <w:r>
              <w:rPr>
                <w:noProof/>
                <w:webHidden/>
              </w:rPr>
              <w:t>5</w:t>
            </w:r>
            <w:r>
              <w:rPr>
                <w:noProof/>
                <w:webHidden/>
              </w:rPr>
              <w:fldChar w:fldCharType="end"/>
            </w:r>
          </w:hyperlink>
        </w:p>
        <w:p w14:paraId="4B3000D2" w14:textId="194FE4AC" w:rsidR="000B7615" w:rsidRDefault="000B7615">
          <w:pPr>
            <w:pStyle w:val="TOC1"/>
            <w:tabs>
              <w:tab w:val="right" w:leader="dot" w:pos="9350"/>
            </w:tabs>
            <w:rPr>
              <w:noProof/>
            </w:rPr>
          </w:pPr>
          <w:hyperlink w:anchor="_Toc153707760" w:history="1">
            <w:r w:rsidRPr="00240C6B">
              <w:rPr>
                <w:rStyle w:val="Hyperlink"/>
                <w:noProof/>
              </w:rPr>
              <w:t>Conclusion</w:t>
            </w:r>
            <w:r>
              <w:rPr>
                <w:noProof/>
                <w:webHidden/>
              </w:rPr>
              <w:tab/>
            </w:r>
            <w:r>
              <w:rPr>
                <w:noProof/>
                <w:webHidden/>
              </w:rPr>
              <w:fldChar w:fldCharType="begin"/>
            </w:r>
            <w:r>
              <w:rPr>
                <w:noProof/>
                <w:webHidden/>
              </w:rPr>
              <w:instrText xml:space="preserve"> PAGEREF _Toc153707760 \h </w:instrText>
            </w:r>
            <w:r>
              <w:rPr>
                <w:noProof/>
                <w:webHidden/>
              </w:rPr>
            </w:r>
            <w:r>
              <w:rPr>
                <w:noProof/>
                <w:webHidden/>
              </w:rPr>
              <w:fldChar w:fldCharType="separate"/>
            </w:r>
            <w:r>
              <w:rPr>
                <w:noProof/>
                <w:webHidden/>
              </w:rPr>
              <w:t>7</w:t>
            </w:r>
            <w:r>
              <w:rPr>
                <w:noProof/>
                <w:webHidden/>
              </w:rPr>
              <w:fldChar w:fldCharType="end"/>
            </w:r>
          </w:hyperlink>
        </w:p>
        <w:p w14:paraId="0B9C5A39" w14:textId="453A2DBA" w:rsidR="000B7615" w:rsidRDefault="000B7615">
          <w:pPr>
            <w:pStyle w:val="TOC1"/>
            <w:tabs>
              <w:tab w:val="right" w:leader="dot" w:pos="9350"/>
            </w:tabs>
            <w:rPr>
              <w:noProof/>
            </w:rPr>
          </w:pPr>
          <w:hyperlink w:anchor="_Toc153707761" w:history="1">
            <w:r w:rsidRPr="00240C6B">
              <w:rPr>
                <w:rStyle w:val="Hyperlink"/>
                <w:noProof/>
              </w:rPr>
              <w:t>References</w:t>
            </w:r>
            <w:r>
              <w:rPr>
                <w:noProof/>
                <w:webHidden/>
              </w:rPr>
              <w:tab/>
            </w:r>
            <w:r>
              <w:rPr>
                <w:noProof/>
                <w:webHidden/>
              </w:rPr>
              <w:fldChar w:fldCharType="begin"/>
            </w:r>
            <w:r>
              <w:rPr>
                <w:noProof/>
                <w:webHidden/>
              </w:rPr>
              <w:instrText xml:space="preserve"> PAGEREF _Toc153707761 \h </w:instrText>
            </w:r>
            <w:r>
              <w:rPr>
                <w:noProof/>
                <w:webHidden/>
              </w:rPr>
            </w:r>
            <w:r>
              <w:rPr>
                <w:noProof/>
                <w:webHidden/>
              </w:rPr>
              <w:fldChar w:fldCharType="separate"/>
            </w:r>
            <w:r>
              <w:rPr>
                <w:noProof/>
                <w:webHidden/>
              </w:rPr>
              <w:t>7</w:t>
            </w:r>
            <w:r>
              <w:rPr>
                <w:noProof/>
                <w:webHidden/>
              </w:rPr>
              <w:fldChar w:fldCharType="end"/>
            </w:r>
          </w:hyperlink>
        </w:p>
        <w:p w14:paraId="5438D8AE" w14:textId="63F901B3" w:rsidR="000B7615" w:rsidRDefault="000B7615">
          <w:r>
            <w:rPr>
              <w:b/>
              <w:bCs/>
              <w:noProof/>
            </w:rPr>
            <w:fldChar w:fldCharType="end"/>
          </w:r>
        </w:p>
      </w:sdtContent>
    </w:sdt>
    <w:p w14:paraId="1D536789" w14:textId="77777777" w:rsidR="000B7615" w:rsidRDefault="000B7615" w:rsidP="000B7615">
      <w:pPr>
        <w:rPr>
          <w:lang w:val="en-GB"/>
        </w:rPr>
      </w:pPr>
    </w:p>
    <w:p w14:paraId="5799CEBF" w14:textId="77777777" w:rsidR="000B7615" w:rsidRDefault="000B7615" w:rsidP="000B7615">
      <w:pPr>
        <w:rPr>
          <w:lang w:val="en-GB"/>
        </w:rPr>
      </w:pPr>
    </w:p>
    <w:p w14:paraId="2ABE15AC" w14:textId="77777777" w:rsidR="000B7615" w:rsidRDefault="000B7615" w:rsidP="000B7615">
      <w:pPr>
        <w:rPr>
          <w:lang w:val="en-GB"/>
        </w:rPr>
      </w:pPr>
    </w:p>
    <w:p w14:paraId="3FE0CA05" w14:textId="77777777" w:rsidR="000B7615" w:rsidRDefault="000B7615" w:rsidP="000B7615">
      <w:pPr>
        <w:rPr>
          <w:lang w:val="en-GB"/>
        </w:rPr>
      </w:pPr>
    </w:p>
    <w:p w14:paraId="45A9B67F" w14:textId="77777777" w:rsidR="000B7615" w:rsidRDefault="000B7615" w:rsidP="000B7615">
      <w:pPr>
        <w:rPr>
          <w:lang w:val="en-GB"/>
        </w:rPr>
      </w:pPr>
    </w:p>
    <w:p w14:paraId="7A7A1817" w14:textId="77777777" w:rsidR="000B7615" w:rsidRDefault="000B7615" w:rsidP="000B7615">
      <w:pPr>
        <w:rPr>
          <w:lang w:val="en-GB"/>
        </w:rPr>
      </w:pPr>
    </w:p>
    <w:p w14:paraId="12B3F938" w14:textId="77777777" w:rsidR="009556AC" w:rsidRDefault="009556AC" w:rsidP="000B7615">
      <w:pPr>
        <w:rPr>
          <w:lang w:val="en-GB"/>
        </w:rPr>
      </w:pPr>
    </w:p>
    <w:p w14:paraId="6A308CB4" w14:textId="77777777" w:rsidR="009556AC" w:rsidRDefault="009556AC" w:rsidP="000B7615">
      <w:pPr>
        <w:rPr>
          <w:lang w:val="en-GB"/>
        </w:rPr>
      </w:pPr>
    </w:p>
    <w:p w14:paraId="10F6D277" w14:textId="77777777" w:rsidR="009556AC" w:rsidRDefault="009556AC" w:rsidP="000B7615">
      <w:pPr>
        <w:rPr>
          <w:lang w:val="en-GB"/>
        </w:rPr>
      </w:pPr>
    </w:p>
    <w:p w14:paraId="388EA10B" w14:textId="77777777" w:rsidR="009556AC" w:rsidRDefault="009556AC" w:rsidP="000B7615">
      <w:pPr>
        <w:rPr>
          <w:lang w:val="en-GB"/>
        </w:rPr>
      </w:pPr>
    </w:p>
    <w:p w14:paraId="6A91AA7F" w14:textId="77777777" w:rsidR="009556AC" w:rsidRDefault="009556AC" w:rsidP="000B7615">
      <w:pPr>
        <w:rPr>
          <w:lang w:val="en-GB"/>
        </w:rPr>
      </w:pPr>
    </w:p>
    <w:p w14:paraId="15E489FA" w14:textId="77777777" w:rsidR="000B7615" w:rsidRPr="000B7615" w:rsidRDefault="000B7615" w:rsidP="000B7615">
      <w:pPr>
        <w:rPr>
          <w:lang w:val="en-GB"/>
        </w:rPr>
      </w:pPr>
    </w:p>
    <w:p w14:paraId="6FF6ECB5" w14:textId="124BED85" w:rsidR="00C7083A" w:rsidRDefault="004D33A5" w:rsidP="00BA5896">
      <w:pPr>
        <w:pStyle w:val="Heading1"/>
        <w:rPr>
          <w:lang w:val="en-GB"/>
        </w:rPr>
      </w:pPr>
      <w:bookmarkStart w:id="0" w:name="_Toc153707749"/>
      <w:r>
        <w:rPr>
          <w:lang w:val="en-GB"/>
        </w:rPr>
        <w:lastRenderedPageBreak/>
        <w:t>Introduction</w:t>
      </w:r>
      <w:bookmarkEnd w:id="0"/>
      <w:r>
        <w:rPr>
          <w:lang w:val="en-GB"/>
        </w:rPr>
        <w:t xml:space="preserve"> </w:t>
      </w:r>
    </w:p>
    <w:p w14:paraId="3BAB094B" w14:textId="7DEE619C" w:rsidR="004D33A5" w:rsidRPr="004D33A5" w:rsidRDefault="004D33A5" w:rsidP="000B7615">
      <w:pPr>
        <w:spacing w:line="360" w:lineRule="auto"/>
        <w:rPr>
          <w:sz w:val="24"/>
          <w:szCs w:val="24"/>
          <w:lang w:val="en-GB"/>
        </w:rPr>
      </w:pPr>
      <w:r w:rsidRPr="004D33A5">
        <w:rPr>
          <w:sz w:val="24"/>
          <w:szCs w:val="24"/>
          <w:lang w:val="en-GB"/>
        </w:rPr>
        <w:t xml:space="preserve">This comprehensive project is devoted to </w:t>
      </w:r>
      <w:r w:rsidRPr="004D33A5">
        <w:rPr>
          <w:sz w:val="24"/>
          <w:szCs w:val="24"/>
          <w:lang w:val="en-GB"/>
        </w:rPr>
        <w:t>unravelling</w:t>
      </w:r>
      <w:r w:rsidRPr="004D33A5">
        <w:rPr>
          <w:sz w:val="24"/>
          <w:szCs w:val="24"/>
          <w:lang w:val="en-GB"/>
        </w:rPr>
        <w:t xml:space="preserve"> the intricacies of financial accounting, a cornerstone of corporate management and investor relations. At its heart, the study of financial accounting is about understanding how businesses communicate their financial health and strategies through standardized reports. These reports, or financial statements, are essential not only for internal decision-making but also for external stakeholders, including investors, regulators, and the broader financial community.</w:t>
      </w:r>
    </w:p>
    <w:p w14:paraId="2B9054BE" w14:textId="77777777" w:rsidR="004D33A5" w:rsidRPr="004D33A5" w:rsidRDefault="004D33A5" w:rsidP="000B7615">
      <w:pPr>
        <w:spacing w:line="360" w:lineRule="auto"/>
        <w:rPr>
          <w:sz w:val="24"/>
          <w:szCs w:val="24"/>
          <w:lang w:val="en-GB"/>
        </w:rPr>
      </w:pPr>
      <w:r w:rsidRPr="004D33A5">
        <w:rPr>
          <w:sz w:val="24"/>
          <w:szCs w:val="24"/>
          <w:lang w:val="en-GB"/>
        </w:rPr>
        <w:t>The project will delve into several key aspects of financial accounting, each aimed at demystifying the complex world of financial reporting and analysis. We begin by examining the nature and purpose of various financial statements, primarily focusing on the Statement of Financial Position, the Income Statement, and the Cash Flow Statement. Each of these statements serves a distinct purpose: the Statement of Financial Position (or Balance Sheet) provides a snapshot of a company's assets, liabilities, and equity at a specific point in time, offering insights into what the company owns and owes; the Income Statement details the company's revenues and expenses over a period, highlighting its profitability; and the Cash Flow Statement reveals how changes in the Balance Sheet and Income Statement affect cash and cash equivalents, shedding light on the company's liquidity and financial flexibility.</w:t>
      </w:r>
    </w:p>
    <w:p w14:paraId="0C3432EA" w14:textId="77777777" w:rsidR="004D33A5" w:rsidRPr="004D33A5" w:rsidRDefault="004D33A5" w:rsidP="004D33A5">
      <w:pPr>
        <w:rPr>
          <w:lang w:val="en-GB"/>
        </w:rPr>
      </w:pPr>
    </w:p>
    <w:p w14:paraId="3346DCAF" w14:textId="12B6989A" w:rsidR="00C7083A" w:rsidRDefault="00C7083A" w:rsidP="00BA5896">
      <w:pPr>
        <w:pStyle w:val="Heading1"/>
        <w:rPr>
          <w:lang w:val="en-GB"/>
        </w:rPr>
      </w:pPr>
      <w:bookmarkStart w:id="1" w:name="_Toc153707750"/>
      <w:r>
        <w:rPr>
          <w:lang w:val="en-GB"/>
        </w:rPr>
        <w:t>Question 1</w:t>
      </w:r>
      <w:bookmarkEnd w:id="1"/>
    </w:p>
    <w:p w14:paraId="66DCB462" w14:textId="77777777" w:rsidR="00D41CDA" w:rsidRPr="000B7615" w:rsidRDefault="00D41CDA" w:rsidP="000B7615">
      <w:pPr>
        <w:spacing w:line="360" w:lineRule="auto"/>
        <w:rPr>
          <w:sz w:val="24"/>
          <w:szCs w:val="24"/>
          <w:lang w:val="en-GB"/>
        </w:rPr>
      </w:pPr>
    </w:p>
    <w:p w14:paraId="42641BC8" w14:textId="77777777" w:rsidR="00D41CDA" w:rsidRPr="00D41CDA" w:rsidRDefault="00D41CDA" w:rsidP="000B7615">
      <w:pPr>
        <w:numPr>
          <w:ilvl w:val="0"/>
          <w:numId w:val="8"/>
        </w:numPr>
        <w:spacing w:line="360" w:lineRule="auto"/>
        <w:rPr>
          <w:sz w:val="24"/>
          <w:szCs w:val="24"/>
          <w:lang w:val="en-GB"/>
        </w:rPr>
      </w:pPr>
      <w:r w:rsidRPr="00D41CDA">
        <w:rPr>
          <w:b/>
          <w:bCs/>
          <w:sz w:val="24"/>
          <w:szCs w:val="24"/>
          <w:lang w:val="en-GB"/>
        </w:rPr>
        <w:t>Statement of Financial Position</w:t>
      </w:r>
      <w:r w:rsidRPr="00D41CDA">
        <w:rPr>
          <w:sz w:val="24"/>
          <w:szCs w:val="24"/>
          <w:lang w:val="en-GB"/>
        </w:rPr>
        <w:t>:</w:t>
      </w:r>
    </w:p>
    <w:p w14:paraId="158A96B5"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Incorrect Understanding: It shows cash inflows and outflows.</w:t>
      </w:r>
    </w:p>
    <w:p w14:paraId="00C46970"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 xml:space="preserve">Corrected View: The Statement of Financial Position, commonly known as the Balance Sheet, </w:t>
      </w:r>
      <w:proofErr w:type="gramStart"/>
      <w:r w:rsidRPr="00D41CDA">
        <w:rPr>
          <w:sz w:val="24"/>
          <w:szCs w:val="24"/>
          <w:lang w:val="en-GB"/>
        </w:rPr>
        <w:t>actually shows</w:t>
      </w:r>
      <w:proofErr w:type="gramEnd"/>
      <w:r w:rsidRPr="00D41CDA">
        <w:rPr>
          <w:sz w:val="24"/>
          <w:szCs w:val="24"/>
          <w:lang w:val="en-GB"/>
        </w:rPr>
        <w:t xml:space="preserve"> a company's assets, liabilities, and equity at a specific point in time. It does not detail cash flows. The statement that tracks cash inflows and outflows is the Cash Flow Statement (Kimmel, Weygandt, and </w:t>
      </w:r>
      <w:proofErr w:type="spellStart"/>
      <w:r w:rsidRPr="00D41CDA">
        <w:rPr>
          <w:sz w:val="24"/>
          <w:szCs w:val="24"/>
          <w:lang w:val="en-GB"/>
        </w:rPr>
        <w:t>Kieso</w:t>
      </w:r>
      <w:proofErr w:type="spellEnd"/>
      <w:r w:rsidRPr="00D41CDA">
        <w:rPr>
          <w:sz w:val="24"/>
          <w:szCs w:val="24"/>
          <w:lang w:val="en-GB"/>
        </w:rPr>
        <w:t>, 2018).</w:t>
      </w:r>
    </w:p>
    <w:p w14:paraId="0A0D8C56" w14:textId="77777777" w:rsidR="00D41CDA" w:rsidRPr="00D41CDA" w:rsidRDefault="00D41CDA" w:rsidP="000B7615">
      <w:pPr>
        <w:numPr>
          <w:ilvl w:val="0"/>
          <w:numId w:val="8"/>
        </w:numPr>
        <w:spacing w:line="360" w:lineRule="auto"/>
        <w:rPr>
          <w:sz w:val="24"/>
          <w:szCs w:val="24"/>
          <w:lang w:val="en-GB"/>
        </w:rPr>
      </w:pPr>
      <w:r w:rsidRPr="00D41CDA">
        <w:rPr>
          <w:b/>
          <w:bCs/>
          <w:sz w:val="24"/>
          <w:szCs w:val="24"/>
          <w:lang w:val="en-GB"/>
        </w:rPr>
        <w:lastRenderedPageBreak/>
        <w:t>Non-current Assets</w:t>
      </w:r>
      <w:r w:rsidRPr="00D41CDA">
        <w:rPr>
          <w:sz w:val="24"/>
          <w:szCs w:val="24"/>
          <w:lang w:val="en-GB"/>
        </w:rPr>
        <w:t>:</w:t>
      </w:r>
    </w:p>
    <w:p w14:paraId="44CD7DE2"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Incorrect Understanding: They are assets that cannot be moved.</w:t>
      </w:r>
    </w:p>
    <w:p w14:paraId="1A6326C0"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Corrected View: Non-current assets are long-term assets not expected to be converted into cash within a year. They include both tangible assets (like property and equipment, which may or may not be movable) and intangible assets (like patents and trademarks) (Bragg, 2021).</w:t>
      </w:r>
    </w:p>
    <w:p w14:paraId="68D2553C" w14:textId="77777777" w:rsidR="00D41CDA" w:rsidRPr="00D41CDA" w:rsidRDefault="00D41CDA" w:rsidP="000B7615">
      <w:pPr>
        <w:numPr>
          <w:ilvl w:val="0"/>
          <w:numId w:val="8"/>
        </w:numPr>
        <w:spacing w:line="360" w:lineRule="auto"/>
        <w:rPr>
          <w:sz w:val="24"/>
          <w:szCs w:val="24"/>
          <w:lang w:val="en-GB"/>
        </w:rPr>
      </w:pPr>
      <w:r w:rsidRPr="00D41CDA">
        <w:rPr>
          <w:b/>
          <w:bCs/>
          <w:sz w:val="24"/>
          <w:szCs w:val="24"/>
          <w:lang w:val="en-GB"/>
        </w:rPr>
        <w:t>Supply of Financial Information</w:t>
      </w:r>
      <w:r w:rsidRPr="00D41CDA">
        <w:rPr>
          <w:sz w:val="24"/>
          <w:szCs w:val="24"/>
          <w:lang w:val="en-GB"/>
        </w:rPr>
        <w:t>:</w:t>
      </w:r>
    </w:p>
    <w:p w14:paraId="681CD58E"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Incorrect Understanding: Only current shareholders should receive financial information.</w:t>
      </w:r>
    </w:p>
    <w:p w14:paraId="3539A4F8"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Corrected View: Financial information is typically available to a variety of stakeholders, including potential investors, creditors, and regulatory bodies, not just current shareholders (Palepu and Healy, 2020).</w:t>
      </w:r>
    </w:p>
    <w:p w14:paraId="7F7A85A6" w14:textId="77777777" w:rsidR="00D41CDA" w:rsidRPr="00D41CDA" w:rsidRDefault="00D41CDA" w:rsidP="000B7615">
      <w:pPr>
        <w:numPr>
          <w:ilvl w:val="0"/>
          <w:numId w:val="8"/>
        </w:numPr>
        <w:spacing w:line="360" w:lineRule="auto"/>
        <w:rPr>
          <w:sz w:val="24"/>
          <w:szCs w:val="24"/>
          <w:lang w:val="en-GB"/>
        </w:rPr>
      </w:pPr>
      <w:r w:rsidRPr="00D41CDA">
        <w:rPr>
          <w:b/>
          <w:bCs/>
          <w:sz w:val="24"/>
          <w:szCs w:val="24"/>
          <w:lang w:val="en-GB"/>
        </w:rPr>
        <w:t>Prepayments and Accruals</w:t>
      </w:r>
      <w:r w:rsidRPr="00D41CDA">
        <w:rPr>
          <w:sz w:val="24"/>
          <w:szCs w:val="24"/>
          <w:lang w:val="en-GB"/>
        </w:rPr>
        <w:t>:</w:t>
      </w:r>
    </w:p>
    <w:p w14:paraId="1A661D0E"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Incorrect Understanding: They are not included on the Statement of Financial Position.</w:t>
      </w:r>
    </w:p>
    <w:p w14:paraId="5A755D5A"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Corrected View: Prepayments and accruals are included in the financial statements. Prepayments are recorded as assets, and accruals are recognized as liabilities, reflecting future obligations or expenses (Warren, Reeve, and Duchac, 2018).</w:t>
      </w:r>
    </w:p>
    <w:p w14:paraId="638B3988" w14:textId="77777777" w:rsidR="00D41CDA" w:rsidRPr="00D41CDA" w:rsidRDefault="00D41CDA" w:rsidP="000B7615">
      <w:pPr>
        <w:numPr>
          <w:ilvl w:val="0"/>
          <w:numId w:val="8"/>
        </w:numPr>
        <w:spacing w:line="360" w:lineRule="auto"/>
        <w:rPr>
          <w:sz w:val="24"/>
          <w:szCs w:val="24"/>
          <w:lang w:val="en-GB"/>
        </w:rPr>
      </w:pPr>
      <w:r w:rsidRPr="00D41CDA">
        <w:rPr>
          <w:b/>
          <w:bCs/>
          <w:sz w:val="24"/>
          <w:szCs w:val="24"/>
          <w:lang w:val="en-GB"/>
        </w:rPr>
        <w:t>Regulation Over Financial Accounts</w:t>
      </w:r>
      <w:r w:rsidRPr="00D41CDA">
        <w:rPr>
          <w:sz w:val="24"/>
          <w:szCs w:val="24"/>
          <w:lang w:val="en-GB"/>
        </w:rPr>
        <w:t>:</w:t>
      </w:r>
    </w:p>
    <w:p w14:paraId="6F2B0F90"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Incorrect Understanding: There's no need for regulation.</w:t>
      </w:r>
    </w:p>
    <w:p w14:paraId="6200FC80"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 xml:space="preserve">Corrected View: Regulation is essential in financial accounting to ensure accuracy, transparency, and consistency in financial reporting, which is important for investor protection and market efficiency (Epstein and </w:t>
      </w:r>
      <w:proofErr w:type="spellStart"/>
      <w:r w:rsidRPr="00D41CDA">
        <w:rPr>
          <w:sz w:val="24"/>
          <w:szCs w:val="24"/>
          <w:lang w:val="en-GB"/>
        </w:rPr>
        <w:t>Jermakowicz</w:t>
      </w:r>
      <w:proofErr w:type="spellEnd"/>
      <w:r w:rsidRPr="00D41CDA">
        <w:rPr>
          <w:sz w:val="24"/>
          <w:szCs w:val="24"/>
          <w:lang w:val="en-GB"/>
        </w:rPr>
        <w:t>, 2017).</w:t>
      </w:r>
    </w:p>
    <w:p w14:paraId="5AE397A2" w14:textId="77777777" w:rsidR="00D41CDA" w:rsidRPr="00D41CDA" w:rsidRDefault="00D41CDA" w:rsidP="000B7615">
      <w:pPr>
        <w:numPr>
          <w:ilvl w:val="0"/>
          <w:numId w:val="8"/>
        </w:numPr>
        <w:spacing w:line="360" w:lineRule="auto"/>
        <w:rPr>
          <w:sz w:val="24"/>
          <w:szCs w:val="24"/>
          <w:lang w:val="en-GB"/>
        </w:rPr>
      </w:pPr>
      <w:r w:rsidRPr="00D41CDA">
        <w:rPr>
          <w:b/>
          <w:bCs/>
          <w:sz w:val="24"/>
          <w:szCs w:val="24"/>
          <w:lang w:val="en-GB"/>
        </w:rPr>
        <w:lastRenderedPageBreak/>
        <w:t>Balancing Ledger and Trial Balance</w:t>
      </w:r>
      <w:r w:rsidRPr="00D41CDA">
        <w:rPr>
          <w:sz w:val="24"/>
          <w:szCs w:val="24"/>
          <w:lang w:val="en-GB"/>
        </w:rPr>
        <w:t>:</w:t>
      </w:r>
    </w:p>
    <w:p w14:paraId="683D1996" w14:textId="77777777" w:rsidR="00D41CDA" w:rsidRPr="00D41CDA" w:rsidRDefault="00D41CDA" w:rsidP="000B7615">
      <w:pPr>
        <w:numPr>
          <w:ilvl w:val="1"/>
          <w:numId w:val="8"/>
        </w:numPr>
        <w:spacing w:line="360" w:lineRule="auto"/>
        <w:rPr>
          <w:sz w:val="24"/>
          <w:szCs w:val="24"/>
          <w:lang w:val="en-GB"/>
        </w:rPr>
      </w:pPr>
      <w:r w:rsidRPr="00D41CDA">
        <w:rPr>
          <w:sz w:val="24"/>
          <w:szCs w:val="24"/>
          <w:lang w:val="en-GB"/>
        </w:rPr>
        <w:t xml:space="preserve">Correct Understanding: It is crucial to balance ledger accounts and the trial balance before preparing financial statements. This ensures the accuracy of financial information and that every transaction is accounted for correctly (Weygandt, Kimmel, and </w:t>
      </w:r>
      <w:proofErr w:type="spellStart"/>
      <w:r w:rsidRPr="00D41CDA">
        <w:rPr>
          <w:sz w:val="24"/>
          <w:szCs w:val="24"/>
          <w:lang w:val="en-GB"/>
        </w:rPr>
        <w:t>Kieso</w:t>
      </w:r>
      <w:proofErr w:type="spellEnd"/>
      <w:r w:rsidRPr="00D41CDA">
        <w:rPr>
          <w:sz w:val="24"/>
          <w:szCs w:val="24"/>
          <w:lang w:val="en-GB"/>
        </w:rPr>
        <w:t>, 2019).</w:t>
      </w:r>
    </w:p>
    <w:p w14:paraId="7C01593F" w14:textId="77777777" w:rsidR="00C7083A" w:rsidRDefault="00C7083A" w:rsidP="00D41CDA">
      <w:pPr>
        <w:rPr>
          <w:lang w:val="en-GB"/>
        </w:rPr>
      </w:pPr>
    </w:p>
    <w:p w14:paraId="08120581" w14:textId="77777777" w:rsidR="00C7083A" w:rsidRDefault="00C7083A" w:rsidP="00BA5896">
      <w:pPr>
        <w:pStyle w:val="Heading1"/>
        <w:rPr>
          <w:lang w:val="en-GB"/>
        </w:rPr>
      </w:pPr>
    </w:p>
    <w:p w14:paraId="17647D87" w14:textId="77777777" w:rsidR="00C7083A" w:rsidRDefault="00C7083A" w:rsidP="00BA5896">
      <w:pPr>
        <w:pStyle w:val="Heading1"/>
        <w:rPr>
          <w:lang w:val="en-GB"/>
        </w:rPr>
      </w:pPr>
    </w:p>
    <w:p w14:paraId="2CF8DFB4" w14:textId="77777777" w:rsidR="00C7083A" w:rsidRDefault="00C7083A" w:rsidP="00BA5896">
      <w:pPr>
        <w:pStyle w:val="Heading1"/>
        <w:rPr>
          <w:lang w:val="en-GB"/>
        </w:rPr>
      </w:pPr>
    </w:p>
    <w:p w14:paraId="746FCFED" w14:textId="05306755" w:rsidR="00BA5896" w:rsidRDefault="00BA5896" w:rsidP="00BA5896">
      <w:pPr>
        <w:pStyle w:val="Heading1"/>
        <w:rPr>
          <w:lang w:val="en-GB"/>
        </w:rPr>
      </w:pPr>
      <w:bookmarkStart w:id="2" w:name="_Toc153707751"/>
      <w:r>
        <w:rPr>
          <w:lang w:val="en-GB"/>
        </w:rPr>
        <w:t xml:space="preserve">Question </w:t>
      </w:r>
      <w:r w:rsidR="0052101F">
        <w:rPr>
          <w:lang w:val="en-GB"/>
        </w:rPr>
        <w:t>2</w:t>
      </w:r>
      <w:bookmarkEnd w:id="2"/>
    </w:p>
    <w:p w14:paraId="51531C87" w14:textId="77777777" w:rsidR="0052101F" w:rsidRPr="0052101F" w:rsidRDefault="0052101F" w:rsidP="00C7083A">
      <w:pPr>
        <w:pStyle w:val="Heading2"/>
        <w:rPr>
          <w:lang w:val="en-GB"/>
        </w:rPr>
      </w:pPr>
    </w:p>
    <w:p w14:paraId="3B5FBAA4" w14:textId="2DFA3FD6" w:rsidR="00D54E26" w:rsidRPr="00D54E26" w:rsidRDefault="00D54E26" w:rsidP="00C7083A">
      <w:pPr>
        <w:pStyle w:val="Heading3"/>
        <w:rPr>
          <w:lang w:val="en-GB"/>
        </w:rPr>
      </w:pPr>
      <w:bookmarkStart w:id="3" w:name="_Toc153707752"/>
      <w:r w:rsidRPr="00D54E26">
        <w:rPr>
          <w:lang w:val="en-GB"/>
        </w:rPr>
        <w:t>Depreciation on Equipment for 2022:</w:t>
      </w:r>
      <w:bookmarkEnd w:id="3"/>
    </w:p>
    <w:p w14:paraId="6287F42D" w14:textId="77777777" w:rsidR="00D54E26" w:rsidRPr="00D54E26" w:rsidRDefault="00D54E26" w:rsidP="00D54E26">
      <w:pPr>
        <w:numPr>
          <w:ilvl w:val="1"/>
          <w:numId w:val="1"/>
        </w:numPr>
        <w:spacing w:line="276" w:lineRule="auto"/>
        <w:rPr>
          <w:lang w:val="en-GB"/>
        </w:rPr>
      </w:pPr>
      <w:r w:rsidRPr="00D54E26">
        <w:rPr>
          <w:lang w:val="en-GB"/>
        </w:rPr>
        <w:t>Annual Depreciation = 10% of Equipment Cost = 10% of £650,000 = £65,000.</w:t>
      </w:r>
    </w:p>
    <w:p w14:paraId="14AF50F2" w14:textId="77777777" w:rsidR="00D54E26" w:rsidRPr="00D54E26" w:rsidRDefault="00D54E26" w:rsidP="00D54E26">
      <w:pPr>
        <w:numPr>
          <w:ilvl w:val="1"/>
          <w:numId w:val="1"/>
        </w:numPr>
        <w:spacing w:line="276" w:lineRule="auto"/>
        <w:rPr>
          <w:lang w:val="en-GB"/>
        </w:rPr>
      </w:pPr>
      <w:r w:rsidRPr="00D54E26">
        <w:rPr>
          <w:lang w:val="en-GB"/>
        </w:rPr>
        <w:t>This amount will be added to the cost of sales.</w:t>
      </w:r>
    </w:p>
    <w:p w14:paraId="24C10B4A" w14:textId="77777777" w:rsidR="00D54E26" w:rsidRPr="00D54E26" w:rsidRDefault="00D54E26" w:rsidP="00C7083A">
      <w:pPr>
        <w:pStyle w:val="Heading3"/>
        <w:rPr>
          <w:lang w:val="en-GB"/>
        </w:rPr>
      </w:pPr>
      <w:bookmarkStart w:id="4" w:name="_Toc153707753"/>
      <w:r w:rsidRPr="00D54E26">
        <w:rPr>
          <w:lang w:val="en-GB"/>
        </w:rPr>
        <w:t>Unpaid Salaries for December 2022:</w:t>
      </w:r>
      <w:bookmarkEnd w:id="4"/>
    </w:p>
    <w:p w14:paraId="1CDAD247" w14:textId="77777777" w:rsidR="00D54E26" w:rsidRPr="00D54E26" w:rsidRDefault="00D54E26" w:rsidP="00D54E26">
      <w:pPr>
        <w:numPr>
          <w:ilvl w:val="1"/>
          <w:numId w:val="1"/>
        </w:numPr>
        <w:spacing w:line="276" w:lineRule="auto"/>
        <w:rPr>
          <w:lang w:val="en-GB"/>
        </w:rPr>
      </w:pPr>
      <w:r w:rsidRPr="00D54E26">
        <w:rPr>
          <w:lang w:val="en-GB"/>
        </w:rPr>
        <w:t>The unpaid salary of £10,000 will be added to the administrative expenses.</w:t>
      </w:r>
    </w:p>
    <w:p w14:paraId="11C1B0B5" w14:textId="77777777" w:rsidR="00D54E26" w:rsidRPr="00D54E26" w:rsidRDefault="00D54E26" w:rsidP="00C7083A">
      <w:pPr>
        <w:pStyle w:val="Heading3"/>
        <w:rPr>
          <w:lang w:val="en-GB"/>
        </w:rPr>
      </w:pPr>
      <w:bookmarkStart w:id="5" w:name="_Toc153707754"/>
      <w:r w:rsidRPr="00D54E26">
        <w:rPr>
          <w:lang w:val="en-GB"/>
        </w:rPr>
        <w:t>Corporation Tax:</w:t>
      </w:r>
      <w:bookmarkEnd w:id="5"/>
    </w:p>
    <w:p w14:paraId="4EA4CB19" w14:textId="77777777" w:rsidR="00D54E26" w:rsidRPr="00D54E26" w:rsidRDefault="00D54E26" w:rsidP="00D54E26">
      <w:pPr>
        <w:numPr>
          <w:ilvl w:val="1"/>
          <w:numId w:val="1"/>
        </w:numPr>
        <w:spacing w:line="276" w:lineRule="auto"/>
        <w:rPr>
          <w:lang w:val="en-GB"/>
        </w:rPr>
      </w:pPr>
      <w:r w:rsidRPr="00D54E26">
        <w:rPr>
          <w:lang w:val="en-GB"/>
        </w:rPr>
        <w:t>Estimated at £15,000 for the year.</w:t>
      </w:r>
    </w:p>
    <w:p w14:paraId="23105287" w14:textId="77777777" w:rsidR="00D54E26" w:rsidRPr="00D54E26" w:rsidRDefault="00D54E26" w:rsidP="00C7083A">
      <w:pPr>
        <w:pStyle w:val="Heading3"/>
        <w:rPr>
          <w:lang w:val="en-GB"/>
        </w:rPr>
      </w:pPr>
      <w:bookmarkStart w:id="6" w:name="_Toc153707755"/>
      <w:r w:rsidRPr="00D54E26">
        <w:rPr>
          <w:lang w:val="en-GB"/>
        </w:rPr>
        <w:t>Salesmen Commission:</w:t>
      </w:r>
      <w:bookmarkEnd w:id="6"/>
    </w:p>
    <w:p w14:paraId="443AD3B8" w14:textId="77777777" w:rsidR="00D54E26" w:rsidRPr="00D54E26" w:rsidRDefault="00D54E26" w:rsidP="00D54E26">
      <w:pPr>
        <w:numPr>
          <w:ilvl w:val="1"/>
          <w:numId w:val="1"/>
        </w:numPr>
        <w:spacing w:line="276" w:lineRule="auto"/>
        <w:rPr>
          <w:lang w:val="en-GB"/>
        </w:rPr>
      </w:pPr>
      <w:r w:rsidRPr="00D54E26">
        <w:rPr>
          <w:lang w:val="en-GB"/>
        </w:rPr>
        <w:t>Owed commission of £2,000 will be added to the distribution costs.</w:t>
      </w:r>
    </w:p>
    <w:p w14:paraId="1FD9090C" w14:textId="77777777" w:rsidR="00D54E26" w:rsidRPr="00D54E26" w:rsidRDefault="00D54E26" w:rsidP="00C7083A">
      <w:pPr>
        <w:pStyle w:val="Heading3"/>
        <w:rPr>
          <w:lang w:val="en-GB"/>
        </w:rPr>
      </w:pPr>
      <w:bookmarkStart w:id="7" w:name="_Toc153707756"/>
      <w:r w:rsidRPr="00D54E26">
        <w:rPr>
          <w:lang w:val="en-GB"/>
        </w:rPr>
        <w:t>Goods Sent to Customers:</w:t>
      </w:r>
      <w:bookmarkEnd w:id="7"/>
    </w:p>
    <w:p w14:paraId="643CC49C" w14:textId="77777777" w:rsidR="00D54E26" w:rsidRPr="00D54E26" w:rsidRDefault="00D54E26" w:rsidP="00D54E26">
      <w:pPr>
        <w:numPr>
          <w:ilvl w:val="1"/>
          <w:numId w:val="1"/>
        </w:numPr>
        <w:spacing w:line="276" w:lineRule="auto"/>
        <w:rPr>
          <w:lang w:val="en-GB"/>
        </w:rPr>
      </w:pPr>
      <w:r w:rsidRPr="00D54E26">
        <w:rPr>
          <w:lang w:val="en-GB"/>
        </w:rPr>
        <w:t>An increase in sales (revenue) by £1,000.</w:t>
      </w:r>
    </w:p>
    <w:p w14:paraId="0A4F77CE" w14:textId="77777777" w:rsidR="00D54E26" w:rsidRPr="00D54E26" w:rsidRDefault="00D54E26" w:rsidP="00D54E26">
      <w:pPr>
        <w:spacing w:line="276" w:lineRule="auto"/>
        <w:rPr>
          <w:lang w:val="en-GB"/>
        </w:rPr>
      </w:pPr>
      <w:r w:rsidRPr="00D54E26">
        <w:rPr>
          <w:lang w:val="en-GB"/>
        </w:rPr>
        <w:t>Let's calculate the adjusted figures:</w:t>
      </w:r>
    </w:p>
    <w:p w14:paraId="25B3D93A" w14:textId="77777777" w:rsidR="00D54E26" w:rsidRPr="00D54E26" w:rsidRDefault="00D54E26" w:rsidP="00D54E26">
      <w:pPr>
        <w:numPr>
          <w:ilvl w:val="0"/>
          <w:numId w:val="2"/>
        </w:numPr>
        <w:spacing w:line="276" w:lineRule="auto"/>
        <w:rPr>
          <w:lang w:val="en-GB"/>
        </w:rPr>
      </w:pPr>
      <w:r w:rsidRPr="00D54E26">
        <w:rPr>
          <w:b/>
          <w:bCs/>
          <w:lang w:val="en-GB"/>
        </w:rPr>
        <w:t>Adjusted Sales (Revenue)</w:t>
      </w:r>
      <w:r w:rsidRPr="00D54E26">
        <w:rPr>
          <w:lang w:val="en-GB"/>
        </w:rPr>
        <w:t>: £900,000 + £1,000 = £901,000.</w:t>
      </w:r>
    </w:p>
    <w:p w14:paraId="7FA1532B" w14:textId="77777777" w:rsidR="00D54E26" w:rsidRPr="00D54E26" w:rsidRDefault="00D54E26" w:rsidP="00D54E26">
      <w:pPr>
        <w:numPr>
          <w:ilvl w:val="0"/>
          <w:numId w:val="2"/>
        </w:numPr>
        <w:spacing w:line="276" w:lineRule="auto"/>
        <w:rPr>
          <w:lang w:val="en-GB"/>
        </w:rPr>
      </w:pPr>
      <w:r w:rsidRPr="00D54E26">
        <w:rPr>
          <w:b/>
          <w:bCs/>
          <w:lang w:val="en-GB"/>
        </w:rPr>
        <w:t>Adjusted Cost of Sales</w:t>
      </w:r>
      <w:r w:rsidRPr="00D54E26">
        <w:rPr>
          <w:lang w:val="en-GB"/>
        </w:rPr>
        <w:t>: £578,650 + £65,000 = £643,650.</w:t>
      </w:r>
    </w:p>
    <w:p w14:paraId="6B00954D" w14:textId="77777777" w:rsidR="00D54E26" w:rsidRPr="00D54E26" w:rsidRDefault="00D54E26" w:rsidP="00D54E26">
      <w:pPr>
        <w:numPr>
          <w:ilvl w:val="0"/>
          <w:numId w:val="2"/>
        </w:numPr>
        <w:spacing w:line="276" w:lineRule="auto"/>
        <w:rPr>
          <w:lang w:val="en-GB"/>
        </w:rPr>
      </w:pPr>
      <w:r w:rsidRPr="00D54E26">
        <w:rPr>
          <w:b/>
          <w:bCs/>
          <w:lang w:val="en-GB"/>
        </w:rPr>
        <w:t>Adjusted Administrative Expenses</w:t>
      </w:r>
      <w:r w:rsidRPr="00D54E26">
        <w:rPr>
          <w:lang w:val="en-GB"/>
        </w:rPr>
        <w:t>: £160,000 + £10,000 = £170,000.</w:t>
      </w:r>
    </w:p>
    <w:p w14:paraId="106C8E68" w14:textId="77777777" w:rsidR="00D54E26" w:rsidRPr="00D54E26" w:rsidRDefault="00D54E26" w:rsidP="00D54E26">
      <w:pPr>
        <w:numPr>
          <w:ilvl w:val="0"/>
          <w:numId w:val="2"/>
        </w:numPr>
        <w:spacing w:line="276" w:lineRule="auto"/>
        <w:rPr>
          <w:lang w:val="en-GB"/>
        </w:rPr>
      </w:pPr>
      <w:r w:rsidRPr="00D54E26">
        <w:rPr>
          <w:b/>
          <w:bCs/>
          <w:lang w:val="en-GB"/>
        </w:rPr>
        <w:lastRenderedPageBreak/>
        <w:t>Adjusted Distribution Costs</w:t>
      </w:r>
      <w:r w:rsidRPr="00D54E26">
        <w:rPr>
          <w:lang w:val="en-GB"/>
        </w:rPr>
        <w:t>: £28,000 + £2,000 = £30,000.</w:t>
      </w:r>
    </w:p>
    <w:p w14:paraId="37875680" w14:textId="77777777" w:rsidR="00D54E26" w:rsidRPr="00D54E26" w:rsidRDefault="00D54E26" w:rsidP="00C7083A">
      <w:pPr>
        <w:pStyle w:val="Heading3"/>
        <w:rPr>
          <w:lang w:val="en-GB"/>
        </w:rPr>
      </w:pPr>
      <w:bookmarkStart w:id="8" w:name="_Toc153707757"/>
      <w:r w:rsidRPr="00D54E26">
        <w:rPr>
          <w:lang w:val="en-GB"/>
        </w:rPr>
        <w:t>Income Statement for Wales plc</w:t>
      </w:r>
      <w:bookmarkEnd w:id="8"/>
    </w:p>
    <w:p w14:paraId="5E0E3E05" w14:textId="77777777" w:rsidR="00D54E26" w:rsidRPr="00D54E26" w:rsidRDefault="00D54E26" w:rsidP="00D54E26">
      <w:pPr>
        <w:spacing w:line="276" w:lineRule="auto"/>
        <w:rPr>
          <w:lang w:val="en-GB"/>
        </w:rPr>
      </w:pPr>
      <w:r w:rsidRPr="00D54E26">
        <w:rPr>
          <w:b/>
          <w:bCs/>
          <w:lang w:val="en-GB"/>
        </w:rPr>
        <w:t>For the Year Ended 31st December 2022 (All figures in £)</w:t>
      </w:r>
    </w:p>
    <w:p w14:paraId="636E37A1" w14:textId="77777777" w:rsidR="00D54E26" w:rsidRPr="00D54E26" w:rsidRDefault="00D54E26" w:rsidP="00D54E26">
      <w:pPr>
        <w:numPr>
          <w:ilvl w:val="0"/>
          <w:numId w:val="3"/>
        </w:numPr>
        <w:spacing w:line="276" w:lineRule="auto"/>
        <w:rPr>
          <w:lang w:val="en-GB"/>
        </w:rPr>
      </w:pPr>
      <w:r w:rsidRPr="00D54E26">
        <w:rPr>
          <w:b/>
          <w:bCs/>
          <w:lang w:val="en-GB"/>
        </w:rPr>
        <w:t>Sales (Revenue)</w:t>
      </w:r>
      <w:r w:rsidRPr="00D54E26">
        <w:rPr>
          <w:lang w:val="en-GB"/>
        </w:rPr>
        <w:t>: £901,000</w:t>
      </w:r>
    </w:p>
    <w:p w14:paraId="16591852" w14:textId="77777777" w:rsidR="00D54E26" w:rsidRPr="00D54E26" w:rsidRDefault="00D54E26" w:rsidP="00D54E26">
      <w:pPr>
        <w:numPr>
          <w:ilvl w:val="0"/>
          <w:numId w:val="3"/>
        </w:numPr>
        <w:spacing w:line="276" w:lineRule="auto"/>
        <w:rPr>
          <w:lang w:val="en-GB"/>
        </w:rPr>
      </w:pPr>
      <w:r w:rsidRPr="00D54E26">
        <w:rPr>
          <w:b/>
          <w:bCs/>
          <w:lang w:val="en-GB"/>
        </w:rPr>
        <w:t>Cost of Sales</w:t>
      </w:r>
      <w:r w:rsidRPr="00D54E26">
        <w:rPr>
          <w:lang w:val="en-GB"/>
        </w:rPr>
        <w:t>: £643,650</w:t>
      </w:r>
    </w:p>
    <w:p w14:paraId="7306CCCA" w14:textId="77777777" w:rsidR="00D54E26" w:rsidRPr="00D54E26" w:rsidRDefault="00D54E26" w:rsidP="00D54E26">
      <w:pPr>
        <w:numPr>
          <w:ilvl w:val="0"/>
          <w:numId w:val="3"/>
        </w:numPr>
        <w:spacing w:line="276" w:lineRule="auto"/>
        <w:rPr>
          <w:lang w:val="en-GB"/>
        </w:rPr>
      </w:pPr>
      <w:r w:rsidRPr="00D54E26">
        <w:rPr>
          <w:b/>
          <w:bCs/>
          <w:lang w:val="en-GB"/>
        </w:rPr>
        <w:t>Gross Profit</w:t>
      </w:r>
      <w:r w:rsidRPr="00D54E26">
        <w:rPr>
          <w:lang w:val="en-GB"/>
        </w:rPr>
        <w:t>: £257,350</w:t>
      </w:r>
    </w:p>
    <w:p w14:paraId="66EB5AC4" w14:textId="77777777" w:rsidR="00D54E26" w:rsidRPr="00D54E26" w:rsidRDefault="00D54E26" w:rsidP="00C7083A">
      <w:pPr>
        <w:pStyle w:val="Heading3"/>
        <w:rPr>
          <w:lang w:val="en-GB"/>
        </w:rPr>
      </w:pPr>
      <w:bookmarkStart w:id="9" w:name="_Toc153707758"/>
      <w:r w:rsidRPr="00D54E26">
        <w:rPr>
          <w:lang w:val="en-GB"/>
        </w:rPr>
        <w:t>Operating Expenses:</w:t>
      </w:r>
      <w:bookmarkEnd w:id="9"/>
    </w:p>
    <w:p w14:paraId="6E05F4EE" w14:textId="77777777" w:rsidR="00D54E26" w:rsidRPr="00D54E26" w:rsidRDefault="00D54E26" w:rsidP="00D54E26">
      <w:pPr>
        <w:numPr>
          <w:ilvl w:val="0"/>
          <w:numId w:val="4"/>
        </w:numPr>
        <w:spacing w:line="276" w:lineRule="auto"/>
        <w:rPr>
          <w:lang w:val="en-GB"/>
        </w:rPr>
      </w:pPr>
      <w:r w:rsidRPr="00D54E26">
        <w:rPr>
          <w:lang w:val="en-GB"/>
        </w:rPr>
        <w:t>Administrative Expenses: £170,000</w:t>
      </w:r>
    </w:p>
    <w:p w14:paraId="75924598" w14:textId="77777777" w:rsidR="00D54E26" w:rsidRPr="00D54E26" w:rsidRDefault="00D54E26" w:rsidP="00D54E26">
      <w:pPr>
        <w:numPr>
          <w:ilvl w:val="0"/>
          <w:numId w:val="4"/>
        </w:numPr>
        <w:spacing w:line="276" w:lineRule="auto"/>
        <w:rPr>
          <w:lang w:val="en-GB"/>
        </w:rPr>
      </w:pPr>
      <w:r w:rsidRPr="00D54E26">
        <w:rPr>
          <w:lang w:val="en-GB"/>
        </w:rPr>
        <w:t>Interest Paid: £2,000</w:t>
      </w:r>
    </w:p>
    <w:p w14:paraId="0784D13B" w14:textId="77777777" w:rsidR="00D54E26" w:rsidRPr="00D54E26" w:rsidRDefault="00D54E26" w:rsidP="00D54E26">
      <w:pPr>
        <w:numPr>
          <w:ilvl w:val="0"/>
          <w:numId w:val="4"/>
        </w:numPr>
        <w:spacing w:line="276" w:lineRule="auto"/>
        <w:rPr>
          <w:lang w:val="en-GB"/>
        </w:rPr>
      </w:pPr>
      <w:r w:rsidRPr="00D54E26">
        <w:rPr>
          <w:lang w:val="en-GB"/>
        </w:rPr>
        <w:t>Directors’ Remuneration: £5,000</w:t>
      </w:r>
    </w:p>
    <w:p w14:paraId="0D5B8566" w14:textId="77777777" w:rsidR="00D54E26" w:rsidRPr="00D54E26" w:rsidRDefault="00D54E26" w:rsidP="00D54E26">
      <w:pPr>
        <w:numPr>
          <w:ilvl w:val="0"/>
          <w:numId w:val="4"/>
        </w:numPr>
        <w:spacing w:line="276" w:lineRule="auto"/>
        <w:rPr>
          <w:lang w:val="en-GB"/>
        </w:rPr>
      </w:pPr>
      <w:r w:rsidRPr="00D54E26">
        <w:rPr>
          <w:lang w:val="en-GB"/>
        </w:rPr>
        <w:t>Distribution Costs: £30,000</w:t>
      </w:r>
    </w:p>
    <w:p w14:paraId="0B19600B" w14:textId="77777777" w:rsidR="00D54E26" w:rsidRPr="00D54E26" w:rsidRDefault="00D54E26" w:rsidP="00D54E26">
      <w:pPr>
        <w:numPr>
          <w:ilvl w:val="0"/>
          <w:numId w:val="4"/>
        </w:numPr>
        <w:spacing w:line="276" w:lineRule="auto"/>
        <w:rPr>
          <w:lang w:val="en-GB"/>
        </w:rPr>
      </w:pPr>
      <w:r w:rsidRPr="00D54E26">
        <w:rPr>
          <w:b/>
          <w:bCs/>
          <w:lang w:val="en-GB"/>
        </w:rPr>
        <w:t>Total Operating Expenses</w:t>
      </w:r>
      <w:r w:rsidRPr="00D54E26">
        <w:rPr>
          <w:lang w:val="en-GB"/>
        </w:rPr>
        <w:t>: £207,000</w:t>
      </w:r>
    </w:p>
    <w:p w14:paraId="67862C22" w14:textId="77777777" w:rsidR="00D54E26" w:rsidRPr="00D54E26" w:rsidRDefault="00D54E26" w:rsidP="00D54E26">
      <w:pPr>
        <w:spacing w:line="276" w:lineRule="auto"/>
        <w:rPr>
          <w:lang w:val="en-GB"/>
        </w:rPr>
      </w:pPr>
      <w:r w:rsidRPr="00D54E26">
        <w:rPr>
          <w:b/>
          <w:bCs/>
          <w:lang w:val="en-GB"/>
        </w:rPr>
        <w:t>Operating Profit</w:t>
      </w:r>
      <w:r w:rsidRPr="00D54E26">
        <w:rPr>
          <w:lang w:val="en-GB"/>
        </w:rPr>
        <w:t>: £50,350</w:t>
      </w:r>
    </w:p>
    <w:p w14:paraId="2157FFA7" w14:textId="77777777" w:rsidR="00D54E26" w:rsidRPr="00D54E26" w:rsidRDefault="00D54E26" w:rsidP="00D54E26">
      <w:pPr>
        <w:spacing w:line="276" w:lineRule="auto"/>
        <w:rPr>
          <w:lang w:val="en-GB"/>
        </w:rPr>
      </w:pPr>
      <w:r w:rsidRPr="00D54E26">
        <w:rPr>
          <w:b/>
          <w:bCs/>
          <w:lang w:val="en-GB"/>
        </w:rPr>
        <w:t>Corporation Tax</w:t>
      </w:r>
      <w:r w:rsidRPr="00D54E26">
        <w:rPr>
          <w:lang w:val="en-GB"/>
        </w:rPr>
        <w:t>: £15,000</w:t>
      </w:r>
    </w:p>
    <w:p w14:paraId="47F76157" w14:textId="77777777" w:rsidR="00D54E26" w:rsidRPr="00D54E26" w:rsidRDefault="00D54E26" w:rsidP="00D54E26">
      <w:pPr>
        <w:spacing w:line="276" w:lineRule="auto"/>
        <w:rPr>
          <w:lang w:val="en-GB"/>
        </w:rPr>
      </w:pPr>
      <w:r w:rsidRPr="00D54E26">
        <w:rPr>
          <w:b/>
          <w:bCs/>
          <w:lang w:val="en-GB"/>
        </w:rPr>
        <w:t>Net Profit</w:t>
      </w:r>
      <w:r w:rsidRPr="00D54E26">
        <w:rPr>
          <w:lang w:val="en-GB"/>
        </w:rPr>
        <w:t>: £35,350</w:t>
      </w:r>
    </w:p>
    <w:p w14:paraId="785E1EDE" w14:textId="77777777" w:rsidR="00D54E26" w:rsidRPr="00D54E26" w:rsidRDefault="00D54E26" w:rsidP="000B7615">
      <w:pPr>
        <w:spacing w:line="360" w:lineRule="auto"/>
        <w:rPr>
          <w:lang w:val="en-GB"/>
        </w:rPr>
      </w:pPr>
      <w:r w:rsidRPr="00D54E26">
        <w:rPr>
          <w:sz w:val="24"/>
          <w:szCs w:val="24"/>
          <w:lang w:val="en-GB"/>
        </w:rPr>
        <w:t xml:space="preserve">This statement provides a comprehensive view of the financial performance of Wales plc, incorporating adjustments such as equipment depreciation, unpaid salaries, salesmen commission, and additional sales revenue. The Net Profit of £35,350 reflects the company's profitability after accounting for all expenses and taxes. </w:t>
      </w:r>
      <w:r w:rsidRPr="00D54E26">
        <w:rPr>
          <w:lang w:val="en-GB"/>
        </w:rPr>
        <w:t>​</w:t>
      </w:r>
    </w:p>
    <w:p w14:paraId="5795ECCE" w14:textId="5237F6B2" w:rsidR="00810DD9" w:rsidRDefault="00992731" w:rsidP="00992731">
      <w:pPr>
        <w:pStyle w:val="Heading1"/>
      </w:pPr>
      <w:bookmarkStart w:id="10" w:name="_Toc153707759"/>
      <w:r>
        <w:t>Question 3</w:t>
      </w:r>
      <w:bookmarkEnd w:id="10"/>
    </w:p>
    <w:p w14:paraId="4BC9F452" w14:textId="77777777" w:rsidR="00992731" w:rsidRPr="00992731" w:rsidRDefault="00992731" w:rsidP="00992731">
      <w:pPr>
        <w:spacing w:line="276" w:lineRule="auto"/>
        <w:rPr>
          <w:b/>
          <w:bCs/>
          <w:lang w:val="en-GB"/>
        </w:rPr>
      </w:pPr>
      <w:r w:rsidRPr="00992731">
        <w:rPr>
          <w:b/>
          <w:bCs/>
          <w:lang w:val="en-GB"/>
        </w:rPr>
        <w:t>2022 Ratios:</w:t>
      </w:r>
    </w:p>
    <w:p w14:paraId="1DAECFCC" w14:textId="77777777" w:rsidR="00992731" w:rsidRPr="00992731" w:rsidRDefault="00992731" w:rsidP="00992731">
      <w:pPr>
        <w:numPr>
          <w:ilvl w:val="0"/>
          <w:numId w:val="5"/>
        </w:numPr>
        <w:spacing w:line="276" w:lineRule="auto"/>
        <w:rPr>
          <w:lang w:val="en-GB"/>
        </w:rPr>
      </w:pPr>
      <w:r w:rsidRPr="00992731">
        <w:rPr>
          <w:b/>
          <w:bCs/>
          <w:lang w:val="en-GB"/>
        </w:rPr>
        <w:t>ROCE (Return on Capital Employed)</w:t>
      </w:r>
      <w:r w:rsidRPr="00992731">
        <w:rPr>
          <w:lang w:val="en-GB"/>
        </w:rPr>
        <w:t>: 11.14%</w:t>
      </w:r>
    </w:p>
    <w:p w14:paraId="56668F10" w14:textId="77777777" w:rsidR="00992731" w:rsidRPr="00992731" w:rsidRDefault="00992731" w:rsidP="00992731">
      <w:pPr>
        <w:numPr>
          <w:ilvl w:val="1"/>
          <w:numId w:val="5"/>
        </w:numPr>
        <w:spacing w:line="276" w:lineRule="auto"/>
        <w:rPr>
          <w:lang w:val="en-GB"/>
        </w:rPr>
      </w:pPr>
      <w:r w:rsidRPr="00992731">
        <w:rPr>
          <w:lang w:val="en-GB"/>
        </w:rPr>
        <w:t>Formula: Operating Profit / (Total Assets - Current Liabilities)</w:t>
      </w:r>
    </w:p>
    <w:p w14:paraId="378B3D5E" w14:textId="77777777" w:rsidR="00992731" w:rsidRPr="00992731" w:rsidRDefault="00992731" w:rsidP="00992731">
      <w:pPr>
        <w:numPr>
          <w:ilvl w:val="0"/>
          <w:numId w:val="5"/>
        </w:numPr>
        <w:spacing w:line="276" w:lineRule="auto"/>
        <w:rPr>
          <w:lang w:val="en-GB"/>
        </w:rPr>
      </w:pPr>
      <w:r w:rsidRPr="00992731">
        <w:rPr>
          <w:b/>
          <w:bCs/>
          <w:lang w:val="en-GB"/>
        </w:rPr>
        <w:t>ROE (Return on Equity)</w:t>
      </w:r>
      <w:r w:rsidRPr="00992731">
        <w:rPr>
          <w:lang w:val="en-GB"/>
        </w:rPr>
        <w:t>: 13.96%</w:t>
      </w:r>
    </w:p>
    <w:p w14:paraId="73BE0FD8" w14:textId="77777777" w:rsidR="00992731" w:rsidRPr="00992731" w:rsidRDefault="00992731" w:rsidP="00992731">
      <w:pPr>
        <w:numPr>
          <w:ilvl w:val="1"/>
          <w:numId w:val="5"/>
        </w:numPr>
        <w:spacing w:line="276" w:lineRule="auto"/>
        <w:rPr>
          <w:lang w:val="en-GB"/>
        </w:rPr>
      </w:pPr>
      <w:r w:rsidRPr="00992731">
        <w:rPr>
          <w:lang w:val="en-GB"/>
        </w:rPr>
        <w:t>Formula: Net Profit / Equity</w:t>
      </w:r>
    </w:p>
    <w:p w14:paraId="5D72C35C" w14:textId="77777777" w:rsidR="00992731" w:rsidRPr="00992731" w:rsidRDefault="00992731" w:rsidP="00992731">
      <w:pPr>
        <w:numPr>
          <w:ilvl w:val="0"/>
          <w:numId w:val="5"/>
        </w:numPr>
        <w:spacing w:line="276" w:lineRule="auto"/>
        <w:rPr>
          <w:lang w:val="en-GB"/>
        </w:rPr>
      </w:pPr>
      <w:r w:rsidRPr="00992731">
        <w:rPr>
          <w:b/>
          <w:bCs/>
          <w:lang w:val="en-GB"/>
        </w:rPr>
        <w:t>EPS (Earnings Per Share)</w:t>
      </w:r>
      <w:r w:rsidRPr="00992731">
        <w:rPr>
          <w:lang w:val="en-GB"/>
        </w:rPr>
        <w:t>: £0.72</w:t>
      </w:r>
    </w:p>
    <w:p w14:paraId="16BD7DDC" w14:textId="77777777" w:rsidR="00992731" w:rsidRPr="00992731" w:rsidRDefault="00992731" w:rsidP="00992731">
      <w:pPr>
        <w:numPr>
          <w:ilvl w:val="1"/>
          <w:numId w:val="5"/>
        </w:numPr>
        <w:spacing w:line="276" w:lineRule="auto"/>
        <w:rPr>
          <w:lang w:val="en-GB"/>
        </w:rPr>
      </w:pPr>
      <w:r w:rsidRPr="00992731">
        <w:rPr>
          <w:lang w:val="en-GB"/>
        </w:rPr>
        <w:lastRenderedPageBreak/>
        <w:t>Formula: Net Profit / Number of Shares</w:t>
      </w:r>
    </w:p>
    <w:p w14:paraId="7E9227CD" w14:textId="77777777" w:rsidR="00992731" w:rsidRPr="00992731" w:rsidRDefault="00992731" w:rsidP="00992731">
      <w:pPr>
        <w:numPr>
          <w:ilvl w:val="0"/>
          <w:numId w:val="5"/>
        </w:numPr>
        <w:spacing w:line="276" w:lineRule="auto"/>
        <w:rPr>
          <w:lang w:val="en-GB"/>
        </w:rPr>
      </w:pPr>
      <w:r w:rsidRPr="00992731">
        <w:rPr>
          <w:b/>
          <w:bCs/>
          <w:lang w:val="en-GB"/>
        </w:rPr>
        <w:t>Net Profit Margin</w:t>
      </w:r>
      <w:r w:rsidRPr="00992731">
        <w:rPr>
          <w:lang w:val="en-GB"/>
        </w:rPr>
        <w:t>: 6.40%</w:t>
      </w:r>
    </w:p>
    <w:p w14:paraId="480DDD3B" w14:textId="77777777" w:rsidR="00992731" w:rsidRPr="00992731" w:rsidRDefault="00992731" w:rsidP="00992731">
      <w:pPr>
        <w:numPr>
          <w:ilvl w:val="1"/>
          <w:numId w:val="5"/>
        </w:numPr>
        <w:spacing w:line="276" w:lineRule="auto"/>
        <w:rPr>
          <w:lang w:val="en-GB"/>
        </w:rPr>
      </w:pPr>
      <w:r w:rsidRPr="00992731">
        <w:rPr>
          <w:lang w:val="en-GB"/>
        </w:rPr>
        <w:t>Formula: Net Profit / Revenue</w:t>
      </w:r>
    </w:p>
    <w:p w14:paraId="56ED00B7" w14:textId="77777777" w:rsidR="00992731" w:rsidRPr="00992731" w:rsidRDefault="00992731" w:rsidP="00992731">
      <w:pPr>
        <w:numPr>
          <w:ilvl w:val="0"/>
          <w:numId w:val="5"/>
        </w:numPr>
        <w:spacing w:line="276" w:lineRule="auto"/>
        <w:rPr>
          <w:lang w:val="en-GB"/>
        </w:rPr>
      </w:pPr>
      <w:r w:rsidRPr="00992731">
        <w:rPr>
          <w:b/>
          <w:bCs/>
          <w:lang w:val="en-GB"/>
        </w:rPr>
        <w:t>Asset Turnover</w:t>
      </w:r>
      <w:r w:rsidRPr="00992731">
        <w:rPr>
          <w:lang w:val="en-GB"/>
        </w:rPr>
        <w:t>: 0.69</w:t>
      </w:r>
    </w:p>
    <w:p w14:paraId="5D4155FA" w14:textId="77777777" w:rsidR="00992731" w:rsidRPr="00992731" w:rsidRDefault="00992731" w:rsidP="00992731">
      <w:pPr>
        <w:numPr>
          <w:ilvl w:val="1"/>
          <w:numId w:val="5"/>
        </w:numPr>
        <w:spacing w:line="276" w:lineRule="auto"/>
        <w:rPr>
          <w:lang w:val="en-GB"/>
        </w:rPr>
      </w:pPr>
      <w:r w:rsidRPr="00992731">
        <w:rPr>
          <w:lang w:val="en-GB"/>
        </w:rPr>
        <w:t>Formula: Revenue / Total Assets</w:t>
      </w:r>
    </w:p>
    <w:p w14:paraId="2E8C4E6F" w14:textId="77777777" w:rsidR="00992731" w:rsidRPr="00992731" w:rsidRDefault="00992731" w:rsidP="00992731">
      <w:pPr>
        <w:numPr>
          <w:ilvl w:val="0"/>
          <w:numId w:val="5"/>
        </w:numPr>
        <w:spacing w:line="276" w:lineRule="auto"/>
        <w:rPr>
          <w:lang w:val="en-GB"/>
        </w:rPr>
      </w:pPr>
      <w:r w:rsidRPr="00992731">
        <w:rPr>
          <w:b/>
          <w:bCs/>
          <w:lang w:val="en-GB"/>
        </w:rPr>
        <w:t>Stock Holding Days</w:t>
      </w:r>
      <w:r w:rsidRPr="00992731">
        <w:rPr>
          <w:lang w:val="en-GB"/>
        </w:rPr>
        <w:t xml:space="preserve">: 79.88 </w:t>
      </w:r>
      <w:proofErr w:type="gramStart"/>
      <w:r w:rsidRPr="00992731">
        <w:rPr>
          <w:lang w:val="en-GB"/>
        </w:rPr>
        <w:t>days</w:t>
      </w:r>
      <w:proofErr w:type="gramEnd"/>
    </w:p>
    <w:p w14:paraId="57A9C067" w14:textId="77777777" w:rsidR="00992731" w:rsidRPr="00992731" w:rsidRDefault="00992731" w:rsidP="00992731">
      <w:pPr>
        <w:numPr>
          <w:ilvl w:val="1"/>
          <w:numId w:val="5"/>
        </w:numPr>
        <w:spacing w:line="276" w:lineRule="auto"/>
        <w:rPr>
          <w:lang w:val="en-GB"/>
        </w:rPr>
      </w:pPr>
      <w:r w:rsidRPr="00992731">
        <w:rPr>
          <w:lang w:val="en-GB"/>
        </w:rPr>
        <w:t>Formula: (Inventory / Cost of Sales) × 365</w:t>
      </w:r>
    </w:p>
    <w:p w14:paraId="26472595" w14:textId="77777777" w:rsidR="00992731" w:rsidRPr="00992731" w:rsidRDefault="00992731" w:rsidP="00992731">
      <w:pPr>
        <w:numPr>
          <w:ilvl w:val="0"/>
          <w:numId w:val="5"/>
        </w:numPr>
        <w:spacing w:line="276" w:lineRule="auto"/>
        <w:rPr>
          <w:lang w:val="en-GB"/>
        </w:rPr>
      </w:pPr>
      <w:r w:rsidRPr="00992731">
        <w:rPr>
          <w:b/>
          <w:bCs/>
          <w:lang w:val="en-GB"/>
        </w:rPr>
        <w:t>Debtors Collection Period</w:t>
      </w:r>
      <w:r w:rsidRPr="00992731">
        <w:rPr>
          <w:lang w:val="en-GB"/>
        </w:rPr>
        <w:t>: 67.66 days</w:t>
      </w:r>
    </w:p>
    <w:p w14:paraId="127989C4" w14:textId="77777777" w:rsidR="00992731" w:rsidRPr="00992731" w:rsidRDefault="00992731" w:rsidP="00992731">
      <w:pPr>
        <w:numPr>
          <w:ilvl w:val="1"/>
          <w:numId w:val="5"/>
        </w:numPr>
        <w:spacing w:line="276" w:lineRule="auto"/>
        <w:rPr>
          <w:lang w:val="en-GB"/>
        </w:rPr>
      </w:pPr>
      <w:r w:rsidRPr="00992731">
        <w:rPr>
          <w:lang w:val="en-GB"/>
        </w:rPr>
        <w:t>Formula: (Trade Receivables / Revenue) × 365</w:t>
      </w:r>
    </w:p>
    <w:p w14:paraId="5BA6E65D" w14:textId="77777777" w:rsidR="00992731" w:rsidRPr="00992731" w:rsidRDefault="00992731" w:rsidP="00992731">
      <w:pPr>
        <w:numPr>
          <w:ilvl w:val="0"/>
          <w:numId w:val="5"/>
        </w:numPr>
        <w:spacing w:line="276" w:lineRule="auto"/>
        <w:rPr>
          <w:lang w:val="en-GB"/>
        </w:rPr>
      </w:pPr>
      <w:r w:rsidRPr="00992731">
        <w:rPr>
          <w:b/>
          <w:bCs/>
          <w:lang w:val="en-GB"/>
        </w:rPr>
        <w:t>Current Ratio</w:t>
      </w:r>
      <w:r w:rsidRPr="00992731">
        <w:rPr>
          <w:lang w:val="en-GB"/>
        </w:rPr>
        <w:t>: 0.92</w:t>
      </w:r>
    </w:p>
    <w:p w14:paraId="2CE06689" w14:textId="77777777" w:rsidR="00992731" w:rsidRPr="00992731" w:rsidRDefault="00992731" w:rsidP="00992731">
      <w:pPr>
        <w:numPr>
          <w:ilvl w:val="1"/>
          <w:numId w:val="5"/>
        </w:numPr>
        <w:spacing w:line="276" w:lineRule="auto"/>
        <w:rPr>
          <w:lang w:val="en-GB"/>
        </w:rPr>
      </w:pPr>
      <w:r w:rsidRPr="00992731">
        <w:rPr>
          <w:lang w:val="en-GB"/>
        </w:rPr>
        <w:t>Formula: Current Assets / Current Liabilities</w:t>
      </w:r>
    </w:p>
    <w:p w14:paraId="37CA6D10" w14:textId="77777777" w:rsidR="00992731" w:rsidRPr="00992731" w:rsidRDefault="00992731" w:rsidP="00992731">
      <w:pPr>
        <w:numPr>
          <w:ilvl w:val="0"/>
          <w:numId w:val="5"/>
        </w:numPr>
        <w:spacing w:line="276" w:lineRule="auto"/>
        <w:rPr>
          <w:lang w:val="en-GB"/>
        </w:rPr>
      </w:pPr>
      <w:r w:rsidRPr="00992731">
        <w:rPr>
          <w:b/>
          <w:bCs/>
          <w:lang w:val="en-GB"/>
        </w:rPr>
        <w:t>Gearing Ratio</w:t>
      </w:r>
      <w:r w:rsidRPr="00992731">
        <w:rPr>
          <w:lang w:val="en-GB"/>
        </w:rPr>
        <w:t>: 133.97%</w:t>
      </w:r>
    </w:p>
    <w:p w14:paraId="6BC6C9BD" w14:textId="77777777" w:rsidR="00992731" w:rsidRPr="00992731" w:rsidRDefault="00992731" w:rsidP="00992731">
      <w:pPr>
        <w:numPr>
          <w:ilvl w:val="1"/>
          <w:numId w:val="5"/>
        </w:numPr>
        <w:spacing w:line="276" w:lineRule="auto"/>
        <w:rPr>
          <w:lang w:val="en-GB"/>
        </w:rPr>
      </w:pPr>
      <w:r w:rsidRPr="00992731">
        <w:rPr>
          <w:lang w:val="en-GB"/>
        </w:rPr>
        <w:t>Formula: Long-Term Liabilities / Equity</w:t>
      </w:r>
    </w:p>
    <w:p w14:paraId="44364A13" w14:textId="77777777" w:rsidR="00992731" w:rsidRPr="00992731" w:rsidRDefault="00992731" w:rsidP="00992731">
      <w:pPr>
        <w:numPr>
          <w:ilvl w:val="0"/>
          <w:numId w:val="5"/>
        </w:numPr>
        <w:spacing w:line="276" w:lineRule="auto"/>
        <w:rPr>
          <w:lang w:val="en-GB"/>
        </w:rPr>
      </w:pPr>
      <w:r w:rsidRPr="00992731">
        <w:rPr>
          <w:b/>
          <w:bCs/>
          <w:lang w:val="en-GB"/>
        </w:rPr>
        <w:t>Interest Cover</w:t>
      </w:r>
      <w:r w:rsidRPr="00992731">
        <w:rPr>
          <w:lang w:val="en-GB"/>
        </w:rPr>
        <w:t>: 3.56</w:t>
      </w:r>
    </w:p>
    <w:p w14:paraId="71C4A2D3" w14:textId="77777777" w:rsidR="00992731" w:rsidRPr="00992731" w:rsidRDefault="00992731" w:rsidP="00992731">
      <w:pPr>
        <w:numPr>
          <w:ilvl w:val="1"/>
          <w:numId w:val="5"/>
        </w:numPr>
        <w:spacing w:line="276" w:lineRule="auto"/>
        <w:rPr>
          <w:lang w:val="en-GB"/>
        </w:rPr>
      </w:pPr>
      <w:r w:rsidRPr="00992731">
        <w:rPr>
          <w:lang w:val="en-GB"/>
        </w:rPr>
        <w:t>Formula: Operating Profit / Interest Payable</w:t>
      </w:r>
    </w:p>
    <w:p w14:paraId="1FA77662" w14:textId="77777777" w:rsidR="00992731" w:rsidRPr="00992731" w:rsidRDefault="00992731" w:rsidP="00992731">
      <w:pPr>
        <w:spacing w:line="276" w:lineRule="auto"/>
        <w:rPr>
          <w:b/>
          <w:bCs/>
          <w:lang w:val="en-GB"/>
        </w:rPr>
      </w:pPr>
      <w:r w:rsidRPr="00992731">
        <w:rPr>
          <w:b/>
          <w:bCs/>
          <w:lang w:val="en-GB"/>
        </w:rPr>
        <w:t>2021 Ratios:</w:t>
      </w:r>
    </w:p>
    <w:p w14:paraId="76755FA5" w14:textId="77777777" w:rsidR="00992731" w:rsidRPr="00992731" w:rsidRDefault="00992731" w:rsidP="00992731">
      <w:pPr>
        <w:numPr>
          <w:ilvl w:val="0"/>
          <w:numId w:val="6"/>
        </w:numPr>
        <w:spacing w:line="276" w:lineRule="auto"/>
        <w:rPr>
          <w:lang w:val="en-GB"/>
        </w:rPr>
      </w:pPr>
      <w:r w:rsidRPr="00992731">
        <w:rPr>
          <w:b/>
          <w:bCs/>
          <w:lang w:val="en-GB"/>
        </w:rPr>
        <w:t>ROCE</w:t>
      </w:r>
      <w:r w:rsidRPr="00992731">
        <w:rPr>
          <w:lang w:val="en-GB"/>
        </w:rPr>
        <w:t>: 9.93%</w:t>
      </w:r>
    </w:p>
    <w:p w14:paraId="0FE3392D" w14:textId="77777777" w:rsidR="00992731" w:rsidRPr="00992731" w:rsidRDefault="00992731" w:rsidP="00992731">
      <w:pPr>
        <w:numPr>
          <w:ilvl w:val="0"/>
          <w:numId w:val="6"/>
        </w:numPr>
        <w:spacing w:line="276" w:lineRule="auto"/>
        <w:rPr>
          <w:lang w:val="en-GB"/>
        </w:rPr>
      </w:pPr>
      <w:r w:rsidRPr="00992731">
        <w:rPr>
          <w:b/>
          <w:bCs/>
          <w:lang w:val="en-GB"/>
        </w:rPr>
        <w:t>ROE</w:t>
      </w:r>
      <w:r w:rsidRPr="00992731">
        <w:rPr>
          <w:lang w:val="en-GB"/>
        </w:rPr>
        <w:t>: 12.57%</w:t>
      </w:r>
    </w:p>
    <w:p w14:paraId="1B152D1F" w14:textId="77777777" w:rsidR="00992731" w:rsidRPr="00992731" w:rsidRDefault="00992731" w:rsidP="00992731">
      <w:pPr>
        <w:numPr>
          <w:ilvl w:val="0"/>
          <w:numId w:val="6"/>
        </w:numPr>
        <w:spacing w:line="276" w:lineRule="auto"/>
        <w:rPr>
          <w:lang w:val="en-GB"/>
        </w:rPr>
      </w:pPr>
      <w:r w:rsidRPr="00992731">
        <w:rPr>
          <w:b/>
          <w:bCs/>
          <w:lang w:val="en-GB"/>
        </w:rPr>
        <w:t>EPS</w:t>
      </w:r>
      <w:r w:rsidRPr="00992731">
        <w:rPr>
          <w:lang w:val="en-GB"/>
        </w:rPr>
        <w:t>: £0.61</w:t>
      </w:r>
    </w:p>
    <w:p w14:paraId="1670B377" w14:textId="77777777" w:rsidR="00992731" w:rsidRPr="00992731" w:rsidRDefault="00992731" w:rsidP="00992731">
      <w:pPr>
        <w:numPr>
          <w:ilvl w:val="0"/>
          <w:numId w:val="6"/>
        </w:numPr>
        <w:spacing w:line="276" w:lineRule="auto"/>
        <w:rPr>
          <w:lang w:val="en-GB"/>
        </w:rPr>
      </w:pPr>
      <w:r w:rsidRPr="00992731">
        <w:rPr>
          <w:b/>
          <w:bCs/>
          <w:lang w:val="en-GB"/>
        </w:rPr>
        <w:t>Net Profit Margin</w:t>
      </w:r>
      <w:r w:rsidRPr="00992731">
        <w:rPr>
          <w:lang w:val="en-GB"/>
        </w:rPr>
        <w:t>: 5.68%</w:t>
      </w:r>
    </w:p>
    <w:p w14:paraId="7CA18E5B" w14:textId="77777777" w:rsidR="00992731" w:rsidRPr="00992731" w:rsidRDefault="00992731" w:rsidP="00992731">
      <w:pPr>
        <w:numPr>
          <w:ilvl w:val="0"/>
          <w:numId w:val="6"/>
        </w:numPr>
        <w:spacing w:line="276" w:lineRule="auto"/>
        <w:rPr>
          <w:lang w:val="en-GB"/>
        </w:rPr>
      </w:pPr>
      <w:r w:rsidRPr="00992731">
        <w:rPr>
          <w:b/>
          <w:bCs/>
          <w:lang w:val="en-GB"/>
        </w:rPr>
        <w:t>Asset Turnover</w:t>
      </w:r>
      <w:r w:rsidRPr="00992731">
        <w:rPr>
          <w:lang w:val="en-GB"/>
        </w:rPr>
        <w:t>: 0.64</w:t>
      </w:r>
    </w:p>
    <w:p w14:paraId="5CDF26C1" w14:textId="77777777" w:rsidR="00992731" w:rsidRPr="00992731" w:rsidRDefault="00992731" w:rsidP="00992731">
      <w:pPr>
        <w:numPr>
          <w:ilvl w:val="0"/>
          <w:numId w:val="6"/>
        </w:numPr>
        <w:spacing w:line="276" w:lineRule="auto"/>
        <w:rPr>
          <w:lang w:val="en-GB"/>
        </w:rPr>
      </w:pPr>
      <w:r w:rsidRPr="00992731">
        <w:rPr>
          <w:b/>
          <w:bCs/>
          <w:lang w:val="en-GB"/>
        </w:rPr>
        <w:t>Stock Holding Days</w:t>
      </w:r>
      <w:r w:rsidRPr="00992731">
        <w:rPr>
          <w:lang w:val="en-GB"/>
        </w:rPr>
        <w:t xml:space="preserve">: 77.69 </w:t>
      </w:r>
      <w:proofErr w:type="gramStart"/>
      <w:r w:rsidRPr="00992731">
        <w:rPr>
          <w:lang w:val="en-GB"/>
        </w:rPr>
        <w:t>days</w:t>
      </w:r>
      <w:proofErr w:type="gramEnd"/>
    </w:p>
    <w:p w14:paraId="77DE90F4" w14:textId="77777777" w:rsidR="00992731" w:rsidRPr="00992731" w:rsidRDefault="00992731" w:rsidP="00992731">
      <w:pPr>
        <w:numPr>
          <w:ilvl w:val="0"/>
          <w:numId w:val="6"/>
        </w:numPr>
        <w:spacing w:line="276" w:lineRule="auto"/>
        <w:rPr>
          <w:lang w:val="en-GB"/>
        </w:rPr>
      </w:pPr>
      <w:r w:rsidRPr="00992731">
        <w:rPr>
          <w:b/>
          <w:bCs/>
          <w:lang w:val="en-GB"/>
        </w:rPr>
        <w:t>Debtors Collection Period</w:t>
      </w:r>
      <w:r w:rsidRPr="00992731">
        <w:rPr>
          <w:lang w:val="en-GB"/>
        </w:rPr>
        <w:t>: 72.93 days</w:t>
      </w:r>
    </w:p>
    <w:p w14:paraId="306BCE7D" w14:textId="77777777" w:rsidR="00992731" w:rsidRPr="00992731" w:rsidRDefault="00992731" w:rsidP="00992731">
      <w:pPr>
        <w:numPr>
          <w:ilvl w:val="0"/>
          <w:numId w:val="6"/>
        </w:numPr>
        <w:spacing w:line="276" w:lineRule="auto"/>
        <w:rPr>
          <w:lang w:val="en-GB"/>
        </w:rPr>
      </w:pPr>
      <w:r w:rsidRPr="00992731">
        <w:rPr>
          <w:b/>
          <w:bCs/>
          <w:lang w:val="en-GB"/>
        </w:rPr>
        <w:t>Current Ratio</w:t>
      </w:r>
      <w:r w:rsidRPr="00992731">
        <w:rPr>
          <w:lang w:val="en-GB"/>
        </w:rPr>
        <w:t>: 0.77</w:t>
      </w:r>
    </w:p>
    <w:p w14:paraId="32DD4FFA" w14:textId="77777777" w:rsidR="00992731" w:rsidRPr="00992731" w:rsidRDefault="00992731" w:rsidP="00992731">
      <w:pPr>
        <w:numPr>
          <w:ilvl w:val="0"/>
          <w:numId w:val="6"/>
        </w:numPr>
        <w:spacing w:line="276" w:lineRule="auto"/>
        <w:rPr>
          <w:lang w:val="en-GB"/>
        </w:rPr>
      </w:pPr>
      <w:r w:rsidRPr="00992731">
        <w:rPr>
          <w:b/>
          <w:bCs/>
          <w:lang w:val="en-GB"/>
        </w:rPr>
        <w:t>Gearing Ratio</w:t>
      </w:r>
      <w:r w:rsidRPr="00992731">
        <w:rPr>
          <w:lang w:val="en-GB"/>
        </w:rPr>
        <w:t>: 141.79%</w:t>
      </w:r>
    </w:p>
    <w:p w14:paraId="6F51F6FE" w14:textId="77777777" w:rsidR="00992731" w:rsidRPr="00992731" w:rsidRDefault="00992731" w:rsidP="00992731">
      <w:pPr>
        <w:numPr>
          <w:ilvl w:val="0"/>
          <w:numId w:val="6"/>
        </w:numPr>
        <w:spacing w:line="276" w:lineRule="auto"/>
        <w:rPr>
          <w:lang w:val="en-GB"/>
        </w:rPr>
      </w:pPr>
      <w:r w:rsidRPr="00992731">
        <w:rPr>
          <w:b/>
          <w:bCs/>
          <w:lang w:val="en-GB"/>
        </w:rPr>
        <w:lastRenderedPageBreak/>
        <w:t>Interest Cover</w:t>
      </w:r>
      <w:r w:rsidRPr="00992731">
        <w:rPr>
          <w:lang w:val="en-GB"/>
        </w:rPr>
        <w:t>: 3.86</w:t>
      </w:r>
    </w:p>
    <w:p w14:paraId="367D71EC" w14:textId="77777777" w:rsidR="00992731" w:rsidRPr="00992731" w:rsidRDefault="00992731" w:rsidP="000B7615">
      <w:pPr>
        <w:spacing w:line="360" w:lineRule="auto"/>
        <w:rPr>
          <w:lang w:val="en-GB"/>
        </w:rPr>
      </w:pPr>
      <w:r w:rsidRPr="00992731">
        <w:rPr>
          <w:sz w:val="24"/>
          <w:szCs w:val="24"/>
          <w:lang w:val="en-GB"/>
        </w:rPr>
        <w:t xml:space="preserve">These ratios provide a comprehensive picture of </w:t>
      </w:r>
      <w:proofErr w:type="gramStart"/>
      <w:r w:rsidRPr="00992731">
        <w:rPr>
          <w:sz w:val="24"/>
          <w:szCs w:val="24"/>
          <w:lang w:val="en-GB"/>
        </w:rPr>
        <w:t>Sweets</w:t>
      </w:r>
      <w:proofErr w:type="gramEnd"/>
      <w:r w:rsidRPr="00992731">
        <w:rPr>
          <w:sz w:val="24"/>
          <w:szCs w:val="24"/>
          <w:lang w:val="en-GB"/>
        </w:rPr>
        <w:t xml:space="preserve"> plc's financial health and performance. The analysis shows improvements in profitability (ROCE, ROE, Net Profit Margin), efficiency (Asset Turnover, Stock Holding Days), and liquidity (Current Ratio) from 2021 to 2022. The EPS increase suggests higher returns for shareholders. However, the slight decrease in Interest Cover and a high Gearing Ratio </w:t>
      </w:r>
      <w:proofErr w:type="gramStart"/>
      <w:r w:rsidRPr="00992731">
        <w:rPr>
          <w:sz w:val="24"/>
          <w:szCs w:val="24"/>
          <w:lang w:val="en-GB"/>
        </w:rPr>
        <w:t>indicate</w:t>
      </w:r>
      <w:proofErr w:type="gramEnd"/>
      <w:r w:rsidRPr="00992731">
        <w:rPr>
          <w:sz w:val="24"/>
          <w:szCs w:val="24"/>
          <w:lang w:val="en-GB"/>
        </w:rPr>
        <w:t xml:space="preserve"> areas of potential financial risk. </w:t>
      </w:r>
      <w:r w:rsidRPr="00992731">
        <w:rPr>
          <w:lang w:val="en-GB"/>
        </w:rPr>
        <w:t>​</w:t>
      </w:r>
    </w:p>
    <w:p w14:paraId="1095B275" w14:textId="4EC0E4F5" w:rsidR="00992731" w:rsidRDefault="00992731" w:rsidP="00992731">
      <w:pPr>
        <w:pStyle w:val="Heading1"/>
      </w:pPr>
      <w:bookmarkStart w:id="11" w:name="_Toc153707760"/>
      <w:r>
        <w:t>Conclusion</w:t>
      </w:r>
      <w:bookmarkEnd w:id="11"/>
      <w:r>
        <w:t xml:space="preserve"> </w:t>
      </w:r>
    </w:p>
    <w:p w14:paraId="19965BAE" w14:textId="77777777" w:rsidR="000B7615" w:rsidRPr="000B7615" w:rsidRDefault="000B7615" w:rsidP="000B7615">
      <w:pPr>
        <w:spacing w:line="360" w:lineRule="auto"/>
        <w:rPr>
          <w:sz w:val="24"/>
          <w:szCs w:val="24"/>
          <w:lang w:val="en-GB"/>
        </w:rPr>
      </w:pPr>
      <w:r w:rsidRPr="000B7615">
        <w:rPr>
          <w:lang w:val="en-GB"/>
        </w:rPr>
        <w:br/>
      </w:r>
      <w:r w:rsidRPr="000B7615">
        <w:rPr>
          <w:sz w:val="24"/>
          <w:szCs w:val="24"/>
          <w:lang w:val="en-GB"/>
        </w:rPr>
        <w:t xml:space="preserve">In conclusion, this project has provided a comprehensive exploration of financial accounting, </w:t>
      </w:r>
      <w:proofErr w:type="gramStart"/>
      <w:r w:rsidRPr="000B7615">
        <w:rPr>
          <w:sz w:val="24"/>
          <w:szCs w:val="24"/>
          <w:lang w:val="en-GB"/>
        </w:rPr>
        <w:t>demystifying</w:t>
      </w:r>
      <w:proofErr w:type="gramEnd"/>
      <w:r w:rsidRPr="000B7615">
        <w:rPr>
          <w:sz w:val="24"/>
          <w:szCs w:val="24"/>
          <w:lang w:val="en-GB"/>
        </w:rPr>
        <w:t xml:space="preserve"> the complexities of financial statements and addressing common misconceptions in the field. Through detailed analysis and clarification of various aspects of financial reporting, the project has illuminated the crucial role of financial statements in conveying a company's financial health and operational efficiency.</w:t>
      </w:r>
    </w:p>
    <w:p w14:paraId="3847D8E9" w14:textId="77777777" w:rsidR="000B7615" w:rsidRPr="000B7615" w:rsidRDefault="000B7615" w:rsidP="000B7615">
      <w:pPr>
        <w:spacing w:line="360" w:lineRule="auto"/>
        <w:rPr>
          <w:sz w:val="24"/>
          <w:szCs w:val="24"/>
          <w:lang w:val="en-GB"/>
        </w:rPr>
      </w:pPr>
      <w:r w:rsidRPr="000B7615">
        <w:rPr>
          <w:sz w:val="24"/>
          <w:szCs w:val="24"/>
          <w:lang w:val="en-GB"/>
        </w:rPr>
        <w:t xml:space="preserve">We have seen that financial statements are much more than mere numerical records; they </w:t>
      </w:r>
      <w:proofErr w:type="gramStart"/>
      <w:r w:rsidRPr="000B7615">
        <w:rPr>
          <w:sz w:val="24"/>
          <w:szCs w:val="24"/>
          <w:lang w:val="en-GB"/>
        </w:rPr>
        <w:t>are a reflection of</w:t>
      </w:r>
      <w:proofErr w:type="gramEnd"/>
      <w:r w:rsidRPr="000B7615">
        <w:rPr>
          <w:sz w:val="24"/>
          <w:szCs w:val="24"/>
          <w:lang w:val="en-GB"/>
        </w:rPr>
        <w:t xml:space="preserve"> a company's strategic decisions, operational capabilities, and market position. The Statement of Financial Position, Income Statement, and Cash Flow Statement each serve unique and vital roles in providing a holistic view of a company's financial status. By debunking common misconceptions, such as the nature of non-current assets and the significance of cash flow reporting, we have clarified the true purpose and interpretation of these financial documents.</w:t>
      </w:r>
    </w:p>
    <w:p w14:paraId="37592D0D" w14:textId="77777777" w:rsidR="000B7615" w:rsidRPr="000B7615" w:rsidRDefault="000B7615" w:rsidP="000B7615">
      <w:pPr>
        <w:spacing w:line="360" w:lineRule="auto"/>
        <w:rPr>
          <w:sz w:val="24"/>
          <w:szCs w:val="24"/>
          <w:lang w:val="en-GB"/>
        </w:rPr>
      </w:pPr>
      <w:r w:rsidRPr="000B7615">
        <w:rPr>
          <w:sz w:val="24"/>
          <w:szCs w:val="24"/>
          <w:lang w:val="en-GB"/>
        </w:rPr>
        <w:t>The project's foray into the realm of financial ratios has underscored their importance as analytical tools. Ratios like ROCE, ROE, and EPS offer invaluable insights into a company's profitability, efficiency, and shareholder value. They serve as key indicators for investors and stakeholders to assess a company's performance and make informed decisions.</w:t>
      </w:r>
    </w:p>
    <w:p w14:paraId="417545F9" w14:textId="77777777" w:rsidR="004D5665" w:rsidRPr="004D5665" w:rsidRDefault="004D5665" w:rsidP="004D5665"/>
    <w:p w14:paraId="2B7C2899" w14:textId="2FCBDEE2" w:rsidR="004D5665" w:rsidRDefault="004D5665" w:rsidP="004D5665">
      <w:pPr>
        <w:pStyle w:val="Heading1"/>
      </w:pPr>
      <w:bookmarkStart w:id="12" w:name="_Toc153707761"/>
      <w:r>
        <w:lastRenderedPageBreak/>
        <w:t>References</w:t>
      </w:r>
      <w:bookmarkEnd w:id="12"/>
      <w:r>
        <w:t xml:space="preserve"> </w:t>
      </w:r>
    </w:p>
    <w:p w14:paraId="0A86226C" w14:textId="77777777" w:rsidR="00C7083A" w:rsidRPr="00C7083A" w:rsidRDefault="00C7083A" w:rsidP="00C7083A">
      <w:pPr>
        <w:spacing w:line="276" w:lineRule="auto"/>
        <w:rPr>
          <w:lang w:val="en-GB"/>
        </w:rPr>
      </w:pPr>
      <w:r w:rsidRPr="00C7083A">
        <w:rPr>
          <w:lang w:val="en-GB"/>
        </w:rPr>
        <w:t xml:space="preserve">Kimmel, P.D., Weygandt, J.J., and </w:t>
      </w:r>
      <w:proofErr w:type="spellStart"/>
      <w:r w:rsidRPr="00C7083A">
        <w:rPr>
          <w:lang w:val="en-GB"/>
        </w:rPr>
        <w:t>Kieso</w:t>
      </w:r>
      <w:proofErr w:type="spellEnd"/>
      <w:r w:rsidRPr="00C7083A">
        <w:rPr>
          <w:lang w:val="en-GB"/>
        </w:rPr>
        <w:t>, D.E., 2018. Financial Accounting: Tools for Business Decision Making. John Wiley &amp; Sons.</w:t>
      </w:r>
    </w:p>
    <w:p w14:paraId="56E33E35" w14:textId="77777777" w:rsidR="00C7083A" w:rsidRPr="00C7083A" w:rsidRDefault="00C7083A" w:rsidP="00C7083A">
      <w:pPr>
        <w:spacing w:line="276" w:lineRule="auto"/>
        <w:rPr>
          <w:lang w:val="en-GB"/>
        </w:rPr>
      </w:pPr>
      <w:r w:rsidRPr="00C7083A">
        <w:rPr>
          <w:lang w:val="en-GB"/>
        </w:rPr>
        <w:t xml:space="preserve">Bragg, S., 2021. Accounting Best Practices. </w:t>
      </w:r>
      <w:proofErr w:type="spellStart"/>
      <w:r w:rsidRPr="00C7083A">
        <w:rPr>
          <w:lang w:val="en-GB"/>
        </w:rPr>
        <w:t>AccountingTools</w:t>
      </w:r>
      <w:proofErr w:type="spellEnd"/>
      <w:r w:rsidRPr="00C7083A">
        <w:rPr>
          <w:lang w:val="en-GB"/>
        </w:rPr>
        <w:t>, Inc.</w:t>
      </w:r>
    </w:p>
    <w:p w14:paraId="66D66133" w14:textId="77777777" w:rsidR="00C7083A" w:rsidRPr="00C7083A" w:rsidRDefault="00C7083A" w:rsidP="00C7083A">
      <w:pPr>
        <w:spacing w:line="276" w:lineRule="auto"/>
        <w:rPr>
          <w:lang w:val="en-GB"/>
        </w:rPr>
      </w:pPr>
      <w:r w:rsidRPr="00C7083A">
        <w:rPr>
          <w:lang w:val="en-GB"/>
        </w:rPr>
        <w:t>Palepu, K.G., and Healy, P.M., 2020. Business Analysis and Valuation: Using Financial Statements. Cengage Learning.</w:t>
      </w:r>
    </w:p>
    <w:p w14:paraId="495BDB96" w14:textId="77777777" w:rsidR="00C7083A" w:rsidRPr="00C7083A" w:rsidRDefault="00C7083A" w:rsidP="00C7083A">
      <w:pPr>
        <w:spacing w:line="276" w:lineRule="auto"/>
        <w:rPr>
          <w:lang w:val="en-GB"/>
        </w:rPr>
      </w:pPr>
      <w:r w:rsidRPr="00C7083A">
        <w:rPr>
          <w:lang w:val="en-GB"/>
        </w:rPr>
        <w:t>Warren, C.S., Reeve, J.M., and Duchac, J.E., 2018. Corporate Financial Accounting. Cengage Learning.</w:t>
      </w:r>
    </w:p>
    <w:p w14:paraId="6403DF35" w14:textId="77777777" w:rsidR="00C7083A" w:rsidRPr="00C7083A" w:rsidRDefault="00C7083A" w:rsidP="00C7083A">
      <w:pPr>
        <w:spacing w:line="276" w:lineRule="auto"/>
        <w:rPr>
          <w:lang w:val="en-GB"/>
        </w:rPr>
      </w:pPr>
      <w:r w:rsidRPr="00C7083A">
        <w:rPr>
          <w:lang w:val="en-GB"/>
        </w:rPr>
        <w:t xml:space="preserve">Epstein, L., and </w:t>
      </w:r>
      <w:proofErr w:type="spellStart"/>
      <w:r w:rsidRPr="00C7083A">
        <w:rPr>
          <w:lang w:val="en-GB"/>
        </w:rPr>
        <w:t>Jermakowicz</w:t>
      </w:r>
      <w:proofErr w:type="spellEnd"/>
      <w:r w:rsidRPr="00C7083A">
        <w:rPr>
          <w:lang w:val="en-GB"/>
        </w:rPr>
        <w:t>, E.K., 2017. IFRS: Interpretation and Application of International Financial Reporting Standards. John Wiley &amp; Sons.</w:t>
      </w:r>
    </w:p>
    <w:p w14:paraId="0396ECAB" w14:textId="77777777" w:rsidR="00C7083A" w:rsidRPr="00C7083A" w:rsidRDefault="00C7083A" w:rsidP="00C7083A">
      <w:pPr>
        <w:spacing w:line="276" w:lineRule="auto"/>
        <w:rPr>
          <w:lang w:val="en-GB"/>
        </w:rPr>
      </w:pPr>
      <w:r w:rsidRPr="00C7083A">
        <w:rPr>
          <w:lang w:val="en-GB"/>
        </w:rPr>
        <w:t xml:space="preserve">Weygandt, J.J., Kimmel, P.D., and </w:t>
      </w:r>
      <w:proofErr w:type="spellStart"/>
      <w:r w:rsidRPr="00C7083A">
        <w:rPr>
          <w:lang w:val="en-GB"/>
        </w:rPr>
        <w:t>Kieso</w:t>
      </w:r>
      <w:proofErr w:type="spellEnd"/>
      <w:r w:rsidRPr="00C7083A">
        <w:rPr>
          <w:lang w:val="en-GB"/>
        </w:rPr>
        <w:t>, D.E., 2019. Financial and Managerial Accounting. John Wiley &amp; Sons.</w:t>
      </w:r>
    </w:p>
    <w:p w14:paraId="45D2F754" w14:textId="77777777" w:rsidR="00C7083A" w:rsidRPr="00C7083A" w:rsidRDefault="00C7083A" w:rsidP="00C7083A"/>
    <w:sectPr w:rsidR="00C7083A" w:rsidRPr="00C7083A">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41CA7" w14:textId="77777777" w:rsidR="000B7615" w:rsidRDefault="000B7615" w:rsidP="000B7615">
      <w:pPr>
        <w:spacing w:after="0" w:line="240" w:lineRule="auto"/>
      </w:pPr>
      <w:r>
        <w:separator/>
      </w:r>
    </w:p>
  </w:endnote>
  <w:endnote w:type="continuationSeparator" w:id="0">
    <w:p w14:paraId="753DBD2E" w14:textId="77777777" w:rsidR="000B7615" w:rsidRDefault="000B7615" w:rsidP="000B7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A238F" w14:textId="77777777" w:rsidR="000B7615" w:rsidRDefault="000B7615" w:rsidP="000B7615">
      <w:pPr>
        <w:spacing w:after="0" w:line="240" w:lineRule="auto"/>
      </w:pPr>
      <w:r>
        <w:separator/>
      </w:r>
    </w:p>
  </w:footnote>
  <w:footnote w:type="continuationSeparator" w:id="0">
    <w:p w14:paraId="370CAF9C" w14:textId="77777777" w:rsidR="000B7615" w:rsidRDefault="000B7615" w:rsidP="000B76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494368"/>
      <w:docPartObj>
        <w:docPartGallery w:val="Page Numbers (Top of Page)"/>
        <w:docPartUnique/>
      </w:docPartObj>
    </w:sdtPr>
    <w:sdtEndPr>
      <w:rPr>
        <w:noProof/>
      </w:rPr>
    </w:sdtEndPr>
    <w:sdtContent>
      <w:p w14:paraId="34B46C86" w14:textId="026B32B9" w:rsidR="000B7615" w:rsidRDefault="000B761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9802715" w14:textId="77777777" w:rsidR="000B7615" w:rsidRDefault="000B76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F1152"/>
    <w:multiLevelType w:val="multilevel"/>
    <w:tmpl w:val="7632B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3473AC"/>
    <w:multiLevelType w:val="multilevel"/>
    <w:tmpl w:val="C734D1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7A7C74"/>
    <w:multiLevelType w:val="multilevel"/>
    <w:tmpl w:val="826033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712CF9"/>
    <w:multiLevelType w:val="multilevel"/>
    <w:tmpl w:val="08482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301FBF"/>
    <w:multiLevelType w:val="multilevel"/>
    <w:tmpl w:val="56625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E5160F"/>
    <w:multiLevelType w:val="multilevel"/>
    <w:tmpl w:val="06E00A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4558EC"/>
    <w:multiLevelType w:val="multilevel"/>
    <w:tmpl w:val="5804F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556EF2"/>
    <w:multiLevelType w:val="multilevel"/>
    <w:tmpl w:val="09682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51901882">
    <w:abstractNumId w:val="2"/>
  </w:num>
  <w:num w:numId="2" w16cid:durableId="1246258060">
    <w:abstractNumId w:val="7"/>
  </w:num>
  <w:num w:numId="3" w16cid:durableId="49113272">
    <w:abstractNumId w:val="3"/>
  </w:num>
  <w:num w:numId="4" w16cid:durableId="2133479865">
    <w:abstractNumId w:val="4"/>
  </w:num>
  <w:num w:numId="5" w16cid:durableId="1434744879">
    <w:abstractNumId w:val="5"/>
  </w:num>
  <w:num w:numId="6" w16cid:durableId="900411141">
    <w:abstractNumId w:val="0"/>
  </w:num>
  <w:num w:numId="7" w16cid:durableId="1142960492">
    <w:abstractNumId w:val="6"/>
  </w:num>
  <w:num w:numId="8" w16cid:durableId="16112814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1F1"/>
    <w:rsid w:val="000B7615"/>
    <w:rsid w:val="004C67E3"/>
    <w:rsid w:val="004D33A5"/>
    <w:rsid w:val="004D5665"/>
    <w:rsid w:val="0052101F"/>
    <w:rsid w:val="00810DD9"/>
    <w:rsid w:val="008E65ED"/>
    <w:rsid w:val="009556AC"/>
    <w:rsid w:val="00992731"/>
    <w:rsid w:val="00AA01F1"/>
    <w:rsid w:val="00AD74B4"/>
    <w:rsid w:val="00BA5896"/>
    <w:rsid w:val="00C64EE4"/>
    <w:rsid w:val="00C7083A"/>
    <w:rsid w:val="00D41CDA"/>
    <w:rsid w:val="00D54E26"/>
    <w:rsid w:val="00DE14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81E06"/>
  <w15:chartTrackingRefBased/>
  <w15:docId w15:val="{61457D1D-9533-44D1-85B3-F10336826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6AC"/>
    <w:rPr>
      <w:i/>
      <w:iCs/>
      <w:sz w:val="20"/>
      <w:szCs w:val="20"/>
    </w:rPr>
  </w:style>
  <w:style w:type="paragraph" w:styleId="Heading1">
    <w:name w:val="heading 1"/>
    <w:basedOn w:val="Normal"/>
    <w:next w:val="Normal"/>
    <w:link w:val="Heading1Char"/>
    <w:uiPriority w:val="9"/>
    <w:qFormat/>
    <w:rsid w:val="009556AC"/>
    <w:pPr>
      <w:pBdr>
        <w:top w:val="single" w:sz="8" w:space="0" w:color="C0504D" w:themeColor="accent2"/>
        <w:left w:val="single" w:sz="8" w:space="0" w:color="C0504D" w:themeColor="accent2"/>
        <w:bottom w:val="single" w:sz="8" w:space="0" w:color="C0504D" w:themeColor="accent2"/>
        <w:right w:val="single" w:sz="8" w:space="0" w:color="C0504D" w:themeColor="accent2"/>
      </w:pBdr>
      <w:shd w:val="clear" w:color="auto" w:fill="F2DBDB" w:themeFill="accent2" w:themeFillTint="33"/>
      <w:spacing w:before="480" w:after="100" w:line="269" w:lineRule="auto"/>
      <w:contextualSpacing/>
      <w:outlineLvl w:val="0"/>
    </w:pPr>
    <w:rPr>
      <w:rFonts w:asciiTheme="majorHAnsi" w:eastAsiaTheme="majorEastAsia" w:hAnsiTheme="majorHAnsi" w:cstheme="majorBidi"/>
      <w:b/>
      <w:bCs/>
      <w:color w:val="622423" w:themeColor="accent2" w:themeShade="7F"/>
      <w:sz w:val="22"/>
      <w:szCs w:val="22"/>
      <w:lang w:bidi="en-US"/>
    </w:rPr>
  </w:style>
  <w:style w:type="paragraph" w:styleId="Heading2">
    <w:name w:val="heading 2"/>
    <w:basedOn w:val="Normal"/>
    <w:next w:val="Normal"/>
    <w:link w:val="Heading2Char"/>
    <w:uiPriority w:val="9"/>
    <w:unhideWhenUsed/>
    <w:qFormat/>
    <w:rsid w:val="009556AC"/>
    <w:pPr>
      <w:pBdr>
        <w:top w:val="single" w:sz="4" w:space="0" w:color="C0504D" w:themeColor="accent2"/>
        <w:left w:val="single" w:sz="48" w:space="2" w:color="C0504D" w:themeColor="accent2"/>
        <w:bottom w:val="single" w:sz="4" w:space="0" w:color="C0504D" w:themeColor="accent2"/>
        <w:right w:val="single" w:sz="4" w:space="4" w:color="C0504D" w:themeColor="accent2"/>
      </w:pBdr>
      <w:spacing w:before="200" w:after="100" w:line="269" w:lineRule="auto"/>
      <w:ind w:left="144"/>
      <w:contextualSpacing/>
      <w:outlineLvl w:val="1"/>
    </w:pPr>
    <w:rPr>
      <w:rFonts w:asciiTheme="majorHAnsi" w:eastAsiaTheme="majorEastAsia" w:hAnsiTheme="majorHAnsi" w:cstheme="majorBidi"/>
      <w:b/>
      <w:bCs/>
      <w:color w:val="943634" w:themeColor="accent2" w:themeShade="BF"/>
      <w:sz w:val="22"/>
      <w:szCs w:val="22"/>
      <w:lang w:bidi="en-US"/>
    </w:rPr>
  </w:style>
  <w:style w:type="paragraph" w:styleId="Heading3">
    <w:name w:val="heading 3"/>
    <w:basedOn w:val="Normal"/>
    <w:next w:val="Normal"/>
    <w:link w:val="Heading3Char"/>
    <w:uiPriority w:val="9"/>
    <w:unhideWhenUsed/>
    <w:qFormat/>
    <w:rsid w:val="009556AC"/>
    <w:pPr>
      <w:pBdr>
        <w:left w:val="single" w:sz="48" w:space="2" w:color="C0504D" w:themeColor="accent2"/>
        <w:bottom w:val="single" w:sz="4" w:space="0" w:color="C0504D" w:themeColor="accent2"/>
      </w:pBdr>
      <w:spacing w:before="200" w:after="100" w:line="240" w:lineRule="auto"/>
      <w:ind w:left="144"/>
      <w:contextualSpacing/>
      <w:outlineLvl w:val="2"/>
    </w:pPr>
    <w:rPr>
      <w:rFonts w:asciiTheme="majorHAnsi" w:eastAsiaTheme="majorEastAsia" w:hAnsiTheme="majorHAnsi" w:cstheme="majorBidi"/>
      <w:b/>
      <w:bCs/>
      <w:color w:val="943634" w:themeColor="accent2" w:themeShade="BF"/>
      <w:sz w:val="22"/>
      <w:szCs w:val="22"/>
      <w:lang w:bidi="en-US"/>
    </w:rPr>
  </w:style>
  <w:style w:type="paragraph" w:styleId="Heading4">
    <w:name w:val="heading 4"/>
    <w:basedOn w:val="Normal"/>
    <w:next w:val="Normal"/>
    <w:link w:val="Heading4Char"/>
    <w:uiPriority w:val="9"/>
    <w:semiHidden/>
    <w:unhideWhenUsed/>
    <w:qFormat/>
    <w:rsid w:val="009556AC"/>
    <w:pPr>
      <w:pBdr>
        <w:left w:val="single" w:sz="4" w:space="2" w:color="C0504D" w:themeColor="accent2"/>
        <w:bottom w:val="single" w:sz="4" w:space="2" w:color="C0504D" w:themeColor="accent2"/>
      </w:pBdr>
      <w:spacing w:before="200" w:after="100" w:line="240" w:lineRule="auto"/>
      <w:ind w:left="86"/>
      <w:contextualSpacing/>
      <w:outlineLvl w:val="3"/>
    </w:pPr>
    <w:rPr>
      <w:rFonts w:asciiTheme="majorHAnsi" w:eastAsiaTheme="majorEastAsia" w:hAnsiTheme="majorHAnsi" w:cstheme="majorBidi"/>
      <w:b/>
      <w:bCs/>
      <w:color w:val="943634" w:themeColor="accent2" w:themeShade="BF"/>
      <w:sz w:val="22"/>
      <w:szCs w:val="22"/>
      <w:lang w:bidi="en-US"/>
    </w:rPr>
  </w:style>
  <w:style w:type="paragraph" w:styleId="Heading5">
    <w:name w:val="heading 5"/>
    <w:basedOn w:val="Normal"/>
    <w:next w:val="Normal"/>
    <w:link w:val="Heading5Char"/>
    <w:uiPriority w:val="9"/>
    <w:semiHidden/>
    <w:unhideWhenUsed/>
    <w:qFormat/>
    <w:rsid w:val="009556AC"/>
    <w:pPr>
      <w:pBdr>
        <w:left w:val="dotted" w:sz="4" w:space="2" w:color="C0504D" w:themeColor="accent2"/>
        <w:bottom w:val="dotted" w:sz="4" w:space="2" w:color="C0504D" w:themeColor="accent2"/>
      </w:pBdr>
      <w:spacing w:before="200" w:after="100" w:line="240" w:lineRule="auto"/>
      <w:ind w:left="86"/>
      <w:contextualSpacing/>
      <w:outlineLvl w:val="4"/>
    </w:pPr>
    <w:rPr>
      <w:rFonts w:asciiTheme="majorHAnsi" w:eastAsiaTheme="majorEastAsia" w:hAnsiTheme="majorHAnsi" w:cstheme="majorBidi"/>
      <w:b/>
      <w:bCs/>
      <w:color w:val="943634" w:themeColor="accent2" w:themeShade="BF"/>
      <w:sz w:val="22"/>
      <w:szCs w:val="22"/>
      <w:lang w:bidi="en-US"/>
    </w:rPr>
  </w:style>
  <w:style w:type="paragraph" w:styleId="Heading6">
    <w:name w:val="heading 6"/>
    <w:basedOn w:val="Normal"/>
    <w:next w:val="Normal"/>
    <w:link w:val="Heading6Char"/>
    <w:uiPriority w:val="9"/>
    <w:semiHidden/>
    <w:unhideWhenUsed/>
    <w:qFormat/>
    <w:rsid w:val="009556AC"/>
    <w:pPr>
      <w:pBdr>
        <w:bottom w:val="single" w:sz="4" w:space="2" w:color="E5B8B7" w:themeColor="accent2" w:themeTint="66"/>
      </w:pBdr>
      <w:spacing w:before="200" w:after="100" w:line="240" w:lineRule="auto"/>
      <w:contextualSpacing/>
      <w:outlineLvl w:val="5"/>
    </w:pPr>
    <w:rPr>
      <w:rFonts w:asciiTheme="majorHAnsi" w:eastAsiaTheme="majorEastAsia" w:hAnsiTheme="majorHAnsi" w:cstheme="majorBidi"/>
      <w:color w:val="943634" w:themeColor="accent2" w:themeShade="BF"/>
      <w:sz w:val="22"/>
      <w:szCs w:val="22"/>
      <w:lang w:bidi="en-US"/>
    </w:rPr>
  </w:style>
  <w:style w:type="paragraph" w:styleId="Heading7">
    <w:name w:val="heading 7"/>
    <w:basedOn w:val="Normal"/>
    <w:next w:val="Normal"/>
    <w:link w:val="Heading7Char"/>
    <w:uiPriority w:val="9"/>
    <w:semiHidden/>
    <w:unhideWhenUsed/>
    <w:qFormat/>
    <w:rsid w:val="009556AC"/>
    <w:pPr>
      <w:pBdr>
        <w:bottom w:val="dotted" w:sz="4" w:space="2" w:color="D99594" w:themeColor="accent2" w:themeTint="99"/>
      </w:pBdr>
      <w:spacing w:before="200" w:after="100" w:line="240" w:lineRule="auto"/>
      <w:contextualSpacing/>
      <w:outlineLvl w:val="6"/>
    </w:pPr>
    <w:rPr>
      <w:rFonts w:asciiTheme="majorHAnsi" w:eastAsiaTheme="majorEastAsia" w:hAnsiTheme="majorHAnsi" w:cstheme="majorBidi"/>
      <w:color w:val="943634" w:themeColor="accent2" w:themeShade="BF"/>
      <w:sz w:val="22"/>
      <w:szCs w:val="22"/>
      <w:lang w:bidi="en-US"/>
    </w:rPr>
  </w:style>
  <w:style w:type="paragraph" w:styleId="Heading8">
    <w:name w:val="heading 8"/>
    <w:basedOn w:val="Normal"/>
    <w:next w:val="Normal"/>
    <w:link w:val="Heading8Char"/>
    <w:uiPriority w:val="9"/>
    <w:semiHidden/>
    <w:unhideWhenUsed/>
    <w:qFormat/>
    <w:rsid w:val="009556AC"/>
    <w:pPr>
      <w:spacing w:before="200" w:after="100" w:line="240" w:lineRule="auto"/>
      <w:contextualSpacing/>
      <w:outlineLvl w:val="7"/>
    </w:pPr>
    <w:rPr>
      <w:rFonts w:asciiTheme="majorHAnsi" w:eastAsiaTheme="majorEastAsia" w:hAnsiTheme="majorHAnsi" w:cstheme="majorBidi"/>
      <w:color w:val="C0504D" w:themeColor="accent2"/>
      <w:sz w:val="22"/>
      <w:szCs w:val="22"/>
      <w:lang w:bidi="en-US"/>
    </w:rPr>
  </w:style>
  <w:style w:type="paragraph" w:styleId="Heading9">
    <w:name w:val="heading 9"/>
    <w:basedOn w:val="Normal"/>
    <w:next w:val="Normal"/>
    <w:link w:val="Heading9Char"/>
    <w:uiPriority w:val="9"/>
    <w:semiHidden/>
    <w:unhideWhenUsed/>
    <w:qFormat/>
    <w:rsid w:val="009556AC"/>
    <w:pPr>
      <w:spacing w:before="200" w:after="100" w:line="240" w:lineRule="auto"/>
      <w:contextualSpacing/>
      <w:outlineLvl w:val="8"/>
    </w:pPr>
    <w:rPr>
      <w:rFonts w:asciiTheme="majorHAnsi" w:eastAsiaTheme="majorEastAsia" w:hAnsiTheme="majorHAnsi" w:cstheme="majorBidi"/>
      <w:color w:val="C0504D" w:themeColor="accent2"/>
      <w:lang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6AC"/>
    <w:rPr>
      <w:rFonts w:asciiTheme="majorHAnsi" w:eastAsiaTheme="majorEastAsia" w:hAnsiTheme="majorHAnsi" w:cstheme="majorBidi"/>
      <w:b/>
      <w:bCs/>
      <w:i/>
      <w:iCs/>
      <w:color w:val="622423" w:themeColor="accent2" w:themeShade="7F"/>
      <w:shd w:val="clear" w:color="auto" w:fill="F2DBDB" w:themeFill="accent2" w:themeFillTint="33"/>
      <w:lang w:bidi="en-US"/>
    </w:rPr>
  </w:style>
  <w:style w:type="character" w:customStyle="1" w:styleId="Heading3Char">
    <w:name w:val="Heading 3 Char"/>
    <w:basedOn w:val="DefaultParagraphFont"/>
    <w:link w:val="Heading3"/>
    <w:uiPriority w:val="9"/>
    <w:rsid w:val="009556AC"/>
    <w:rPr>
      <w:rFonts w:asciiTheme="majorHAnsi" w:eastAsiaTheme="majorEastAsia" w:hAnsiTheme="majorHAnsi" w:cstheme="majorBidi"/>
      <w:b/>
      <w:bCs/>
      <w:i/>
      <w:iCs/>
      <w:color w:val="943634" w:themeColor="accent2" w:themeShade="BF"/>
      <w:lang w:bidi="en-US"/>
    </w:rPr>
  </w:style>
  <w:style w:type="character" w:customStyle="1" w:styleId="Heading2Char">
    <w:name w:val="Heading 2 Char"/>
    <w:basedOn w:val="DefaultParagraphFont"/>
    <w:link w:val="Heading2"/>
    <w:uiPriority w:val="9"/>
    <w:rsid w:val="009556AC"/>
    <w:rPr>
      <w:rFonts w:asciiTheme="majorHAnsi" w:eastAsiaTheme="majorEastAsia" w:hAnsiTheme="majorHAnsi" w:cstheme="majorBidi"/>
      <w:b/>
      <w:bCs/>
      <w:i/>
      <w:iCs/>
      <w:color w:val="943634" w:themeColor="accent2" w:themeShade="BF"/>
      <w:lang w:bidi="en-US"/>
    </w:rPr>
  </w:style>
  <w:style w:type="paragraph" w:styleId="Header">
    <w:name w:val="header"/>
    <w:basedOn w:val="Normal"/>
    <w:link w:val="HeaderChar"/>
    <w:uiPriority w:val="99"/>
    <w:unhideWhenUsed/>
    <w:rsid w:val="000B76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7615"/>
  </w:style>
  <w:style w:type="paragraph" w:styleId="Footer">
    <w:name w:val="footer"/>
    <w:basedOn w:val="Normal"/>
    <w:link w:val="FooterChar"/>
    <w:uiPriority w:val="99"/>
    <w:unhideWhenUsed/>
    <w:rsid w:val="000B76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7615"/>
  </w:style>
  <w:style w:type="paragraph" w:styleId="TOCHeading">
    <w:name w:val="TOC Heading"/>
    <w:basedOn w:val="Heading1"/>
    <w:next w:val="Normal"/>
    <w:uiPriority w:val="39"/>
    <w:unhideWhenUsed/>
    <w:qFormat/>
    <w:rsid w:val="009556AC"/>
    <w:pPr>
      <w:outlineLvl w:val="9"/>
    </w:pPr>
  </w:style>
  <w:style w:type="paragraph" w:styleId="TOC1">
    <w:name w:val="toc 1"/>
    <w:basedOn w:val="Normal"/>
    <w:next w:val="Normal"/>
    <w:autoRedefine/>
    <w:uiPriority w:val="39"/>
    <w:unhideWhenUsed/>
    <w:rsid w:val="000B7615"/>
    <w:pPr>
      <w:spacing w:after="100"/>
    </w:pPr>
  </w:style>
  <w:style w:type="paragraph" w:styleId="TOC3">
    <w:name w:val="toc 3"/>
    <w:basedOn w:val="Normal"/>
    <w:next w:val="Normal"/>
    <w:autoRedefine/>
    <w:uiPriority w:val="39"/>
    <w:unhideWhenUsed/>
    <w:rsid w:val="000B7615"/>
    <w:pPr>
      <w:spacing w:after="100"/>
      <w:ind w:left="440"/>
    </w:pPr>
  </w:style>
  <w:style w:type="character" w:styleId="Hyperlink">
    <w:name w:val="Hyperlink"/>
    <w:basedOn w:val="DefaultParagraphFont"/>
    <w:uiPriority w:val="99"/>
    <w:unhideWhenUsed/>
    <w:rsid w:val="000B7615"/>
    <w:rPr>
      <w:color w:val="0000FF" w:themeColor="hyperlink"/>
      <w:u w:val="single"/>
    </w:rPr>
  </w:style>
  <w:style w:type="character" w:customStyle="1" w:styleId="Heading4Char">
    <w:name w:val="Heading 4 Char"/>
    <w:basedOn w:val="DefaultParagraphFont"/>
    <w:link w:val="Heading4"/>
    <w:uiPriority w:val="9"/>
    <w:semiHidden/>
    <w:rsid w:val="009556AC"/>
    <w:rPr>
      <w:rFonts w:asciiTheme="majorHAnsi" w:eastAsiaTheme="majorEastAsia" w:hAnsiTheme="majorHAnsi" w:cstheme="majorBidi"/>
      <w:b/>
      <w:bCs/>
      <w:i/>
      <w:iCs/>
      <w:color w:val="943634" w:themeColor="accent2" w:themeShade="BF"/>
      <w:lang w:bidi="en-US"/>
    </w:rPr>
  </w:style>
  <w:style w:type="character" w:customStyle="1" w:styleId="Heading5Char">
    <w:name w:val="Heading 5 Char"/>
    <w:basedOn w:val="DefaultParagraphFont"/>
    <w:link w:val="Heading5"/>
    <w:uiPriority w:val="9"/>
    <w:semiHidden/>
    <w:rsid w:val="009556AC"/>
    <w:rPr>
      <w:rFonts w:asciiTheme="majorHAnsi" w:eastAsiaTheme="majorEastAsia" w:hAnsiTheme="majorHAnsi" w:cstheme="majorBidi"/>
      <w:b/>
      <w:bCs/>
      <w:i/>
      <w:iCs/>
      <w:color w:val="943634" w:themeColor="accent2" w:themeShade="BF"/>
      <w:lang w:bidi="en-US"/>
    </w:rPr>
  </w:style>
  <w:style w:type="character" w:customStyle="1" w:styleId="Heading6Char">
    <w:name w:val="Heading 6 Char"/>
    <w:basedOn w:val="DefaultParagraphFont"/>
    <w:link w:val="Heading6"/>
    <w:uiPriority w:val="9"/>
    <w:semiHidden/>
    <w:rsid w:val="009556AC"/>
    <w:rPr>
      <w:rFonts w:asciiTheme="majorHAnsi" w:eastAsiaTheme="majorEastAsia" w:hAnsiTheme="majorHAnsi" w:cstheme="majorBidi"/>
      <w:i/>
      <w:iCs/>
      <w:color w:val="943634" w:themeColor="accent2" w:themeShade="BF"/>
      <w:lang w:bidi="en-US"/>
    </w:rPr>
  </w:style>
  <w:style w:type="character" w:customStyle="1" w:styleId="Heading7Char">
    <w:name w:val="Heading 7 Char"/>
    <w:basedOn w:val="DefaultParagraphFont"/>
    <w:link w:val="Heading7"/>
    <w:uiPriority w:val="9"/>
    <w:semiHidden/>
    <w:rsid w:val="009556AC"/>
    <w:rPr>
      <w:rFonts w:asciiTheme="majorHAnsi" w:eastAsiaTheme="majorEastAsia" w:hAnsiTheme="majorHAnsi" w:cstheme="majorBidi"/>
      <w:i/>
      <w:iCs/>
      <w:color w:val="943634" w:themeColor="accent2" w:themeShade="BF"/>
      <w:lang w:bidi="en-US"/>
    </w:rPr>
  </w:style>
  <w:style w:type="character" w:customStyle="1" w:styleId="Heading8Char">
    <w:name w:val="Heading 8 Char"/>
    <w:basedOn w:val="DefaultParagraphFont"/>
    <w:link w:val="Heading8"/>
    <w:uiPriority w:val="9"/>
    <w:semiHidden/>
    <w:rsid w:val="009556AC"/>
    <w:rPr>
      <w:rFonts w:asciiTheme="majorHAnsi" w:eastAsiaTheme="majorEastAsia" w:hAnsiTheme="majorHAnsi" w:cstheme="majorBidi"/>
      <w:i/>
      <w:iCs/>
      <w:color w:val="C0504D" w:themeColor="accent2"/>
      <w:lang w:bidi="en-US"/>
    </w:rPr>
  </w:style>
  <w:style w:type="character" w:customStyle="1" w:styleId="Heading9Char">
    <w:name w:val="Heading 9 Char"/>
    <w:basedOn w:val="DefaultParagraphFont"/>
    <w:link w:val="Heading9"/>
    <w:uiPriority w:val="9"/>
    <w:semiHidden/>
    <w:rsid w:val="009556AC"/>
    <w:rPr>
      <w:rFonts w:asciiTheme="majorHAnsi" w:eastAsiaTheme="majorEastAsia" w:hAnsiTheme="majorHAnsi" w:cstheme="majorBidi"/>
      <w:i/>
      <w:iCs/>
      <w:color w:val="C0504D" w:themeColor="accent2"/>
      <w:sz w:val="20"/>
      <w:szCs w:val="20"/>
      <w:lang w:bidi="en-US"/>
    </w:rPr>
  </w:style>
  <w:style w:type="paragraph" w:styleId="Caption">
    <w:name w:val="caption"/>
    <w:basedOn w:val="Normal"/>
    <w:next w:val="Normal"/>
    <w:uiPriority w:val="35"/>
    <w:semiHidden/>
    <w:unhideWhenUsed/>
    <w:qFormat/>
    <w:rsid w:val="009556AC"/>
    <w:rPr>
      <w:b/>
      <w:bCs/>
      <w:color w:val="943634" w:themeColor="accent2" w:themeShade="BF"/>
      <w:sz w:val="18"/>
      <w:szCs w:val="18"/>
    </w:rPr>
  </w:style>
  <w:style w:type="paragraph" w:styleId="Title">
    <w:name w:val="Title"/>
    <w:basedOn w:val="Normal"/>
    <w:next w:val="Normal"/>
    <w:link w:val="TitleChar"/>
    <w:uiPriority w:val="10"/>
    <w:qFormat/>
    <w:rsid w:val="009556AC"/>
    <w:pPr>
      <w:pBdr>
        <w:top w:val="single" w:sz="48" w:space="0" w:color="C0504D" w:themeColor="accent2"/>
        <w:bottom w:val="single" w:sz="48" w:space="0" w:color="C0504D" w:themeColor="accent2"/>
      </w:pBdr>
      <w:shd w:val="clear" w:color="auto" w:fill="C0504D" w:themeFill="accent2"/>
      <w:spacing w:after="0" w:line="240" w:lineRule="auto"/>
      <w:jc w:val="center"/>
    </w:pPr>
    <w:rPr>
      <w:rFonts w:asciiTheme="majorHAnsi" w:eastAsiaTheme="majorEastAsia" w:hAnsiTheme="majorHAnsi" w:cstheme="majorBidi"/>
      <w:color w:val="FFFFFF" w:themeColor="background1"/>
      <w:spacing w:val="10"/>
      <w:sz w:val="48"/>
      <w:szCs w:val="48"/>
      <w:lang w:bidi="en-US"/>
    </w:rPr>
  </w:style>
  <w:style w:type="character" w:customStyle="1" w:styleId="TitleChar">
    <w:name w:val="Title Char"/>
    <w:basedOn w:val="DefaultParagraphFont"/>
    <w:link w:val="Title"/>
    <w:uiPriority w:val="10"/>
    <w:rsid w:val="009556AC"/>
    <w:rPr>
      <w:rFonts w:asciiTheme="majorHAnsi" w:eastAsiaTheme="majorEastAsia" w:hAnsiTheme="majorHAnsi" w:cstheme="majorBidi"/>
      <w:i/>
      <w:iCs/>
      <w:color w:val="FFFFFF" w:themeColor="background1"/>
      <w:spacing w:val="10"/>
      <w:sz w:val="48"/>
      <w:szCs w:val="48"/>
      <w:shd w:val="clear" w:color="auto" w:fill="C0504D" w:themeFill="accent2"/>
      <w:lang w:bidi="en-US"/>
    </w:rPr>
  </w:style>
  <w:style w:type="paragraph" w:styleId="Subtitle">
    <w:name w:val="Subtitle"/>
    <w:basedOn w:val="Normal"/>
    <w:next w:val="Normal"/>
    <w:link w:val="SubtitleChar"/>
    <w:uiPriority w:val="11"/>
    <w:qFormat/>
    <w:rsid w:val="009556AC"/>
    <w:pPr>
      <w:pBdr>
        <w:bottom w:val="dotted" w:sz="8" w:space="10" w:color="C0504D" w:themeColor="accent2"/>
      </w:pBdr>
      <w:spacing w:before="200" w:after="900" w:line="240" w:lineRule="auto"/>
      <w:jc w:val="center"/>
    </w:pPr>
    <w:rPr>
      <w:rFonts w:asciiTheme="majorHAnsi" w:eastAsiaTheme="majorEastAsia" w:hAnsiTheme="majorHAnsi" w:cstheme="majorBidi"/>
      <w:color w:val="622423" w:themeColor="accent2" w:themeShade="7F"/>
      <w:sz w:val="24"/>
      <w:szCs w:val="24"/>
      <w:lang w:bidi="en-US"/>
    </w:rPr>
  </w:style>
  <w:style w:type="character" w:customStyle="1" w:styleId="SubtitleChar">
    <w:name w:val="Subtitle Char"/>
    <w:basedOn w:val="DefaultParagraphFont"/>
    <w:link w:val="Subtitle"/>
    <w:uiPriority w:val="11"/>
    <w:rsid w:val="009556AC"/>
    <w:rPr>
      <w:rFonts w:asciiTheme="majorHAnsi" w:eastAsiaTheme="majorEastAsia" w:hAnsiTheme="majorHAnsi" w:cstheme="majorBidi"/>
      <w:i/>
      <w:iCs/>
      <w:color w:val="622423" w:themeColor="accent2" w:themeShade="7F"/>
      <w:sz w:val="24"/>
      <w:szCs w:val="24"/>
      <w:lang w:bidi="en-US"/>
    </w:rPr>
  </w:style>
  <w:style w:type="character" w:styleId="Strong">
    <w:name w:val="Strong"/>
    <w:uiPriority w:val="22"/>
    <w:qFormat/>
    <w:rsid w:val="009556AC"/>
    <w:rPr>
      <w:b/>
      <w:bCs/>
      <w:spacing w:val="0"/>
    </w:rPr>
  </w:style>
  <w:style w:type="character" w:styleId="Emphasis">
    <w:name w:val="Emphasis"/>
    <w:uiPriority w:val="20"/>
    <w:qFormat/>
    <w:rsid w:val="009556AC"/>
    <w:rPr>
      <w:rFonts w:asciiTheme="majorHAnsi" w:eastAsiaTheme="majorEastAsia" w:hAnsiTheme="majorHAnsi" w:cstheme="majorBidi"/>
      <w:b/>
      <w:bCs/>
      <w:i/>
      <w:iCs/>
      <w:color w:val="C0504D" w:themeColor="accent2"/>
      <w:bdr w:val="single" w:sz="18" w:space="0" w:color="F2DBDB" w:themeColor="accent2" w:themeTint="33"/>
      <w:shd w:val="clear" w:color="auto" w:fill="F2DBDB" w:themeFill="accent2" w:themeFillTint="33"/>
    </w:rPr>
  </w:style>
  <w:style w:type="paragraph" w:styleId="NoSpacing">
    <w:name w:val="No Spacing"/>
    <w:basedOn w:val="Normal"/>
    <w:uiPriority w:val="1"/>
    <w:qFormat/>
    <w:rsid w:val="009556AC"/>
    <w:pPr>
      <w:spacing w:after="0" w:line="240" w:lineRule="auto"/>
    </w:pPr>
  </w:style>
  <w:style w:type="paragraph" w:styleId="ListParagraph">
    <w:name w:val="List Paragraph"/>
    <w:basedOn w:val="Normal"/>
    <w:uiPriority w:val="34"/>
    <w:qFormat/>
    <w:rsid w:val="009556AC"/>
    <w:pPr>
      <w:ind w:left="720"/>
      <w:contextualSpacing/>
    </w:pPr>
  </w:style>
  <w:style w:type="paragraph" w:styleId="Quote">
    <w:name w:val="Quote"/>
    <w:basedOn w:val="Normal"/>
    <w:next w:val="Normal"/>
    <w:link w:val="QuoteChar"/>
    <w:uiPriority w:val="29"/>
    <w:qFormat/>
    <w:rsid w:val="009556AC"/>
    <w:rPr>
      <w:i w:val="0"/>
      <w:iCs w:val="0"/>
      <w:color w:val="943634" w:themeColor="accent2" w:themeShade="BF"/>
      <w:lang w:bidi="en-US"/>
    </w:rPr>
  </w:style>
  <w:style w:type="character" w:customStyle="1" w:styleId="QuoteChar">
    <w:name w:val="Quote Char"/>
    <w:basedOn w:val="DefaultParagraphFont"/>
    <w:link w:val="Quote"/>
    <w:uiPriority w:val="29"/>
    <w:rsid w:val="009556AC"/>
    <w:rPr>
      <w:color w:val="943634" w:themeColor="accent2" w:themeShade="BF"/>
      <w:sz w:val="20"/>
      <w:szCs w:val="20"/>
      <w:lang w:bidi="en-US"/>
    </w:rPr>
  </w:style>
  <w:style w:type="paragraph" w:styleId="IntenseQuote">
    <w:name w:val="Intense Quote"/>
    <w:basedOn w:val="Normal"/>
    <w:next w:val="Normal"/>
    <w:link w:val="IntenseQuoteChar"/>
    <w:uiPriority w:val="30"/>
    <w:qFormat/>
    <w:rsid w:val="009556AC"/>
    <w:pPr>
      <w:pBdr>
        <w:top w:val="dotted" w:sz="8" w:space="10" w:color="C0504D" w:themeColor="accent2"/>
        <w:bottom w:val="dotted" w:sz="8" w:space="10" w:color="C0504D" w:themeColor="accent2"/>
      </w:pBdr>
      <w:spacing w:line="300" w:lineRule="auto"/>
      <w:ind w:left="2160" w:right="2160"/>
      <w:jc w:val="center"/>
    </w:pPr>
    <w:rPr>
      <w:rFonts w:asciiTheme="majorHAnsi" w:eastAsiaTheme="majorEastAsia" w:hAnsiTheme="majorHAnsi" w:cstheme="majorBidi"/>
      <w:b/>
      <w:bCs/>
      <w:color w:val="C0504D" w:themeColor="accent2"/>
      <w:lang w:bidi="en-US"/>
    </w:rPr>
  </w:style>
  <w:style w:type="character" w:customStyle="1" w:styleId="IntenseQuoteChar">
    <w:name w:val="Intense Quote Char"/>
    <w:basedOn w:val="DefaultParagraphFont"/>
    <w:link w:val="IntenseQuote"/>
    <w:uiPriority w:val="30"/>
    <w:rsid w:val="009556AC"/>
    <w:rPr>
      <w:rFonts w:asciiTheme="majorHAnsi" w:eastAsiaTheme="majorEastAsia" w:hAnsiTheme="majorHAnsi" w:cstheme="majorBidi"/>
      <w:b/>
      <w:bCs/>
      <w:i/>
      <w:iCs/>
      <w:color w:val="C0504D" w:themeColor="accent2"/>
      <w:sz w:val="20"/>
      <w:szCs w:val="20"/>
      <w:lang w:bidi="en-US"/>
    </w:rPr>
  </w:style>
  <w:style w:type="character" w:styleId="SubtleEmphasis">
    <w:name w:val="Subtle Emphasis"/>
    <w:uiPriority w:val="19"/>
    <w:qFormat/>
    <w:rsid w:val="009556AC"/>
    <w:rPr>
      <w:rFonts w:asciiTheme="majorHAnsi" w:eastAsiaTheme="majorEastAsia" w:hAnsiTheme="majorHAnsi" w:cstheme="majorBidi"/>
      <w:i/>
      <w:iCs/>
      <w:color w:val="C0504D" w:themeColor="accent2"/>
    </w:rPr>
  </w:style>
  <w:style w:type="character" w:styleId="IntenseEmphasis">
    <w:name w:val="Intense Emphasis"/>
    <w:uiPriority w:val="21"/>
    <w:qFormat/>
    <w:rsid w:val="009556AC"/>
    <w:rPr>
      <w:rFonts w:asciiTheme="majorHAnsi" w:eastAsiaTheme="majorEastAsia" w:hAnsiTheme="majorHAnsi" w:cstheme="majorBidi"/>
      <w:b/>
      <w:bCs/>
      <w:i/>
      <w:iCs/>
      <w:dstrike w:val="0"/>
      <w:color w:val="FFFFFF" w:themeColor="background1"/>
      <w:bdr w:val="single" w:sz="18" w:space="0" w:color="C0504D" w:themeColor="accent2"/>
      <w:shd w:val="clear" w:color="auto" w:fill="C0504D" w:themeFill="accent2"/>
      <w:vertAlign w:val="baseline"/>
    </w:rPr>
  </w:style>
  <w:style w:type="character" w:styleId="SubtleReference">
    <w:name w:val="Subtle Reference"/>
    <w:uiPriority w:val="31"/>
    <w:qFormat/>
    <w:rsid w:val="009556AC"/>
    <w:rPr>
      <w:i/>
      <w:iCs/>
      <w:smallCaps/>
      <w:color w:val="C0504D" w:themeColor="accent2"/>
      <w:u w:color="C0504D" w:themeColor="accent2"/>
    </w:rPr>
  </w:style>
  <w:style w:type="character" w:styleId="IntenseReference">
    <w:name w:val="Intense Reference"/>
    <w:uiPriority w:val="32"/>
    <w:qFormat/>
    <w:rsid w:val="009556AC"/>
    <w:rPr>
      <w:b/>
      <w:bCs/>
      <w:i/>
      <w:iCs/>
      <w:smallCaps/>
      <w:color w:val="C0504D" w:themeColor="accent2"/>
      <w:u w:color="C0504D" w:themeColor="accent2"/>
    </w:rPr>
  </w:style>
  <w:style w:type="character" w:styleId="BookTitle">
    <w:name w:val="Book Title"/>
    <w:uiPriority w:val="33"/>
    <w:qFormat/>
    <w:rsid w:val="009556AC"/>
    <w:rPr>
      <w:rFonts w:asciiTheme="majorHAnsi" w:eastAsiaTheme="majorEastAsia" w:hAnsiTheme="majorHAnsi" w:cstheme="majorBidi"/>
      <w:b/>
      <w:bCs/>
      <w:i/>
      <w:iCs/>
      <w:smallCaps/>
      <w:color w:val="943634" w:themeColor="accent2" w:themeShade="B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84097">
      <w:bodyDiv w:val="1"/>
      <w:marLeft w:val="0"/>
      <w:marRight w:val="0"/>
      <w:marTop w:val="0"/>
      <w:marBottom w:val="0"/>
      <w:divBdr>
        <w:top w:val="none" w:sz="0" w:space="0" w:color="auto"/>
        <w:left w:val="none" w:sz="0" w:space="0" w:color="auto"/>
        <w:bottom w:val="none" w:sz="0" w:space="0" w:color="auto"/>
        <w:right w:val="none" w:sz="0" w:space="0" w:color="auto"/>
      </w:divBdr>
    </w:div>
    <w:div w:id="159194850">
      <w:bodyDiv w:val="1"/>
      <w:marLeft w:val="0"/>
      <w:marRight w:val="0"/>
      <w:marTop w:val="0"/>
      <w:marBottom w:val="0"/>
      <w:divBdr>
        <w:top w:val="none" w:sz="0" w:space="0" w:color="auto"/>
        <w:left w:val="none" w:sz="0" w:space="0" w:color="auto"/>
        <w:bottom w:val="none" w:sz="0" w:space="0" w:color="auto"/>
        <w:right w:val="none" w:sz="0" w:space="0" w:color="auto"/>
      </w:divBdr>
    </w:div>
    <w:div w:id="592473230">
      <w:bodyDiv w:val="1"/>
      <w:marLeft w:val="0"/>
      <w:marRight w:val="0"/>
      <w:marTop w:val="0"/>
      <w:marBottom w:val="0"/>
      <w:divBdr>
        <w:top w:val="none" w:sz="0" w:space="0" w:color="auto"/>
        <w:left w:val="none" w:sz="0" w:space="0" w:color="auto"/>
        <w:bottom w:val="none" w:sz="0" w:space="0" w:color="auto"/>
        <w:right w:val="none" w:sz="0" w:space="0" w:color="auto"/>
      </w:divBdr>
    </w:div>
    <w:div w:id="679352191">
      <w:bodyDiv w:val="1"/>
      <w:marLeft w:val="0"/>
      <w:marRight w:val="0"/>
      <w:marTop w:val="0"/>
      <w:marBottom w:val="0"/>
      <w:divBdr>
        <w:top w:val="none" w:sz="0" w:space="0" w:color="auto"/>
        <w:left w:val="none" w:sz="0" w:space="0" w:color="auto"/>
        <w:bottom w:val="none" w:sz="0" w:space="0" w:color="auto"/>
        <w:right w:val="none" w:sz="0" w:space="0" w:color="auto"/>
      </w:divBdr>
    </w:div>
    <w:div w:id="818109688">
      <w:bodyDiv w:val="1"/>
      <w:marLeft w:val="0"/>
      <w:marRight w:val="0"/>
      <w:marTop w:val="0"/>
      <w:marBottom w:val="0"/>
      <w:divBdr>
        <w:top w:val="none" w:sz="0" w:space="0" w:color="auto"/>
        <w:left w:val="none" w:sz="0" w:space="0" w:color="auto"/>
        <w:bottom w:val="none" w:sz="0" w:space="0" w:color="auto"/>
        <w:right w:val="none" w:sz="0" w:space="0" w:color="auto"/>
      </w:divBdr>
    </w:div>
    <w:div w:id="938952379">
      <w:bodyDiv w:val="1"/>
      <w:marLeft w:val="0"/>
      <w:marRight w:val="0"/>
      <w:marTop w:val="0"/>
      <w:marBottom w:val="0"/>
      <w:divBdr>
        <w:top w:val="none" w:sz="0" w:space="0" w:color="auto"/>
        <w:left w:val="none" w:sz="0" w:space="0" w:color="auto"/>
        <w:bottom w:val="none" w:sz="0" w:space="0" w:color="auto"/>
        <w:right w:val="none" w:sz="0" w:space="0" w:color="auto"/>
      </w:divBdr>
    </w:div>
    <w:div w:id="1955014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E3D4E8-67CD-4E3D-B341-540A54687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1456</Words>
  <Characters>8303</Characters>
  <Application>Microsoft Office Word</Application>
  <DocSecurity>0</DocSecurity>
  <Lines>69</Lines>
  <Paragraphs>19</Paragraphs>
  <ScaleCrop>false</ScaleCrop>
  <Company>Grizli777</Company>
  <LinksUpToDate>false</LinksUpToDate>
  <CharactersWithSpaces>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Florin Fizesan</cp:lastModifiedBy>
  <cp:revision>2</cp:revision>
  <dcterms:created xsi:type="dcterms:W3CDTF">2023-12-17T12:18:00Z</dcterms:created>
  <dcterms:modified xsi:type="dcterms:W3CDTF">2023-12-17T12:18:00Z</dcterms:modified>
</cp:coreProperties>
</file>