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5C7E2" w14:textId="218F869C" w:rsidR="00362CD1" w:rsidRDefault="009210C0" w:rsidP="009210C0">
      <w:pPr>
        <w:jc w:val="center"/>
        <w:rPr>
          <w:rFonts w:ascii="Times New Roman" w:hAnsi="Times New Roman" w:cs="Times New Roman"/>
          <w:u w:val="single"/>
        </w:rPr>
      </w:pPr>
      <w:r w:rsidRPr="009210C0">
        <w:rPr>
          <w:rFonts w:ascii="Times New Roman" w:hAnsi="Times New Roman" w:cs="Times New Roman"/>
          <w:u w:val="single"/>
        </w:rPr>
        <w:t>What does Heraclitus mean in saying that we never step in the same river twice?</w:t>
      </w:r>
    </w:p>
    <w:p w14:paraId="1A2BC4B3" w14:textId="1C25B915" w:rsidR="009210C0" w:rsidRDefault="009210C0" w:rsidP="009210C0">
      <w:pPr>
        <w:jc w:val="both"/>
        <w:rPr>
          <w:rFonts w:ascii="Times New Roman" w:hAnsi="Times New Roman" w:cs="Times New Roman"/>
        </w:rPr>
      </w:pPr>
    </w:p>
    <w:p w14:paraId="6AB3B089" w14:textId="7186DAD5" w:rsidR="00621F76" w:rsidRDefault="009210C0" w:rsidP="009210C0">
      <w:pPr>
        <w:jc w:val="both"/>
        <w:rPr>
          <w:rFonts w:ascii="Times New Roman" w:hAnsi="Times New Roman" w:cs="Times New Roman"/>
        </w:rPr>
      </w:pPr>
      <w:r>
        <w:rPr>
          <w:rFonts w:ascii="Times New Roman" w:hAnsi="Times New Roman" w:cs="Times New Roman"/>
        </w:rPr>
        <w:t>I would like to first consider the outlying context of the claim by Heraclitus that we cannot step twice in the same river</w:t>
      </w:r>
      <w:r w:rsidR="00D17F8F">
        <w:rPr>
          <w:rFonts w:ascii="Times New Roman" w:hAnsi="Times New Roman" w:cs="Times New Roman"/>
        </w:rPr>
        <w:t>,</w:t>
      </w:r>
      <w:r w:rsidR="00621F76">
        <w:rPr>
          <w:rFonts w:ascii="Times New Roman" w:hAnsi="Times New Roman" w:cs="Times New Roman"/>
        </w:rPr>
        <w:t xml:space="preserve"> by agreeing with the assumption that</w:t>
      </w:r>
      <w:r>
        <w:rPr>
          <w:rFonts w:ascii="Times New Roman" w:hAnsi="Times New Roman" w:cs="Times New Roman"/>
        </w:rPr>
        <w:t xml:space="preserve"> </w:t>
      </w:r>
      <w:r w:rsidR="00621F76">
        <w:rPr>
          <w:rFonts w:ascii="Times New Roman" w:hAnsi="Times New Roman" w:cs="Times New Roman"/>
        </w:rPr>
        <w:t>‘</w:t>
      </w:r>
      <w:r>
        <w:rPr>
          <w:rFonts w:ascii="Times New Roman" w:hAnsi="Times New Roman" w:cs="Times New Roman"/>
        </w:rPr>
        <w:t>Heraclitus moves within the Parmenidean dialectic of being and non-being.</w:t>
      </w:r>
      <w:r w:rsidR="00621F76">
        <w:rPr>
          <w:rFonts w:ascii="Times New Roman" w:hAnsi="Times New Roman" w:cs="Times New Roman"/>
        </w:rPr>
        <w:t>’</w:t>
      </w:r>
      <w:r>
        <w:rPr>
          <w:rStyle w:val="FootnoteReference"/>
          <w:rFonts w:ascii="Times New Roman" w:hAnsi="Times New Roman" w:cs="Times New Roman"/>
        </w:rPr>
        <w:footnoteReference w:id="1"/>
      </w:r>
      <w:r>
        <w:rPr>
          <w:rFonts w:ascii="Times New Roman" w:hAnsi="Times New Roman" w:cs="Times New Roman"/>
        </w:rPr>
        <w:t xml:space="preserve"> There is an intuitive sense of contradiction in Heraclitus’ assertion</w:t>
      </w:r>
      <w:r w:rsidR="00D17F8F">
        <w:rPr>
          <w:rFonts w:ascii="Times New Roman" w:hAnsi="Times New Roman" w:cs="Times New Roman"/>
        </w:rPr>
        <w:t>, as in Parmenides’ ideas on ‘Is’ and ‘Is Not’</w:t>
      </w:r>
      <w:r>
        <w:rPr>
          <w:rFonts w:ascii="Times New Roman" w:hAnsi="Times New Roman" w:cs="Times New Roman"/>
        </w:rPr>
        <w:t xml:space="preserve">; namely, we may all feel that in fact we </w:t>
      </w:r>
      <w:r>
        <w:rPr>
          <w:rFonts w:ascii="Times New Roman" w:hAnsi="Times New Roman" w:cs="Times New Roman"/>
          <w:i/>
        </w:rPr>
        <w:t>can</w:t>
      </w:r>
      <w:r>
        <w:rPr>
          <w:rFonts w:ascii="Times New Roman" w:hAnsi="Times New Roman" w:cs="Times New Roman"/>
        </w:rPr>
        <w:t xml:space="preserve">, and indeed </w:t>
      </w:r>
      <w:r>
        <w:rPr>
          <w:rFonts w:ascii="Times New Roman" w:hAnsi="Times New Roman" w:cs="Times New Roman"/>
          <w:i/>
        </w:rPr>
        <w:t>have</w:t>
      </w:r>
      <w:r w:rsidR="00621F76" w:rsidRPr="00621F76">
        <w:rPr>
          <w:rFonts w:ascii="Times New Roman" w:hAnsi="Times New Roman" w:cs="Times New Roman"/>
        </w:rPr>
        <w:t>,</w:t>
      </w:r>
      <w:r w:rsidRPr="00621F76">
        <w:rPr>
          <w:rFonts w:ascii="Times New Roman" w:hAnsi="Times New Roman" w:cs="Times New Roman"/>
        </w:rPr>
        <w:t xml:space="preserve"> </w:t>
      </w:r>
      <w:r>
        <w:rPr>
          <w:rFonts w:ascii="Times New Roman" w:hAnsi="Times New Roman" w:cs="Times New Roman"/>
        </w:rPr>
        <w:t>at times, stepped in the same river twice. Prima facie, what Heraclitus seems to be inferring is that we should consider the river as an idea (the</w:t>
      </w:r>
      <w:r w:rsidR="00621F76">
        <w:rPr>
          <w:rFonts w:ascii="Times New Roman" w:hAnsi="Times New Roman" w:cs="Times New Roman"/>
        </w:rPr>
        <w:t xml:space="preserve"> idea of the river being that</w:t>
      </w:r>
      <w:r>
        <w:rPr>
          <w:rFonts w:ascii="Times New Roman" w:hAnsi="Times New Roman" w:cs="Times New Roman"/>
        </w:rPr>
        <w:t xml:space="preserve"> which we feel is consistent</w:t>
      </w:r>
      <w:r w:rsidR="00621F76">
        <w:rPr>
          <w:rFonts w:ascii="Times New Roman" w:hAnsi="Times New Roman" w:cs="Times New Roman"/>
        </w:rPr>
        <w:t>ly existent)</w:t>
      </w:r>
      <w:r>
        <w:rPr>
          <w:rFonts w:ascii="Times New Roman" w:hAnsi="Times New Roman" w:cs="Times New Roman"/>
        </w:rPr>
        <w:t xml:space="preserve">, </w:t>
      </w:r>
      <w:proofErr w:type="gramStart"/>
      <w:r>
        <w:rPr>
          <w:rFonts w:ascii="Times New Roman" w:hAnsi="Times New Roman" w:cs="Times New Roman"/>
        </w:rPr>
        <w:t>and also</w:t>
      </w:r>
      <w:proofErr w:type="gramEnd"/>
      <w:r>
        <w:rPr>
          <w:rFonts w:ascii="Times New Roman" w:hAnsi="Times New Roman" w:cs="Times New Roman"/>
        </w:rPr>
        <w:t xml:space="preserve"> as a</w:t>
      </w:r>
      <w:r w:rsidR="00621F76">
        <w:rPr>
          <w:rFonts w:ascii="Times New Roman" w:hAnsi="Times New Roman" w:cs="Times New Roman"/>
        </w:rPr>
        <w:t xml:space="preserve">n entity dispossessed of continuous numerical identity (surviving as an idea despite the constant dissemination of its constituent water); that which we </w:t>
      </w:r>
      <w:r w:rsidR="00D7516E">
        <w:rPr>
          <w:rFonts w:ascii="Times New Roman" w:hAnsi="Times New Roman" w:cs="Times New Roman"/>
        </w:rPr>
        <w:t xml:space="preserve">never </w:t>
      </w:r>
      <w:r w:rsidR="00621F76">
        <w:rPr>
          <w:rFonts w:ascii="Times New Roman" w:hAnsi="Times New Roman" w:cs="Times New Roman"/>
        </w:rPr>
        <w:t xml:space="preserve">step in twice. </w:t>
      </w:r>
    </w:p>
    <w:p w14:paraId="53381CC4" w14:textId="70D3A74D" w:rsidR="00550F5C" w:rsidRDefault="00621F76" w:rsidP="009210C0">
      <w:pPr>
        <w:jc w:val="both"/>
        <w:rPr>
          <w:rFonts w:ascii="Times New Roman" w:hAnsi="Times New Roman" w:cs="Times New Roman"/>
        </w:rPr>
      </w:pPr>
      <w:r>
        <w:rPr>
          <w:rFonts w:ascii="Times New Roman" w:hAnsi="Times New Roman" w:cs="Times New Roman"/>
        </w:rPr>
        <w:tab/>
        <w:t>This relates to the dialectic of being and non-being, as I see it, to the extent that it supports the idea of two worlds: the world of appearances</w:t>
      </w:r>
      <w:r w:rsidR="0031235B">
        <w:rPr>
          <w:rFonts w:ascii="Times New Roman" w:hAnsi="Times New Roman" w:cs="Times New Roman"/>
        </w:rPr>
        <w:t>,</w:t>
      </w:r>
      <w:r>
        <w:rPr>
          <w:rFonts w:ascii="Times New Roman" w:hAnsi="Times New Roman" w:cs="Times New Roman"/>
        </w:rPr>
        <w:t xml:space="preserve"> and the ‘real’ world</w:t>
      </w:r>
      <w:r w:rsidR="00E55903">
        <w:rPr>
          <w:rFonts w:ascii="Times New Roman" w:hAnsi="Times New Roman" w:cs="Times New Roman"/>
        </w:rPr>
        <w:t xml:space="preserve"> underlying these appearances</w:t>
      </w:r>
      <w:r>
        <w:rPr>
          <w:rFonts w:ascii="Times New Roman" w:hAnsi="Times New Roman" w:cs="Times New Roman"/>
        </w:rPr>
        <w:t>. The world of appearances comes to us through the senses; it ‘is false when taken as true reality’</w:t>
      </w:r>
      <w:r>
        <w:rPr>
          <w:rStyle w:val="FootnoteReference"/>
          <w:rFonts w:ascii="Times New Roman" w:hAnsi="Times New Roman" w:cs="Times New Roman"/>
        </w:rPr>
        <w:footnoteReference w:id="2"/>
      </w:r>
      <w:r>
        <w:rPr>
          <w:rFonts w:ascii="Times New Roman" w:hAnsi="Times New Roman" w:cs="Times New Roman"/>
        </w:rPr>
        <w:t xml:space="preserve">, which is to say that it is true when </w:t>
      </w:r>
      <w:r w:rsidR="00D7516E">
        <w:rPr>
          <w:rFonts w:ascii="Times New Roman" w:hAnsi="Times New Roman" w:cs="Times New Roman"/>
        </w:rPr>
        <w:t xml:space="preserve">taken as false reality. It is, then, simultaneously </w:t>
      </w:r>
      <w:proofErr w:type="gramStart"/>
      <w:r w:rsidR="00D7516E">
        <w:rPr>
          <w:rFonts w:ascii="Times New Roman" w:hAnsi="Times New Roman" w:cs="Times New Roman"/>
        </w:rPr>
        <w:t>real</w:t>
      </w:r>
      <w:proofErr w:type="gramEnd"/>
      <w:r w:rsidR="00D7516E">
        <w:rPr>
          <w:rFonts w:ascii="Times New Roman" w:hAnsi="Times New Roman" w:cs="Times New Roman"/>
        </w:rPr>
        <w:t xml:space="preserve"> </w:t>
      </w:r>
      <w:r w:rsidR="00D7516E" w:rsidRPr="0031235B">
        <w:rPr>
          <w:rFonts w:ascii="Times New Roman" w:hAnsi="Times New Roman" w:cs="Times New Roman"/>
          <w:i/>
        </w:rPr>
        <w:t>and</w:t>
      </w:r>
      <w:r w:rsidR="00D7516E">
        <w:rPr>
          <w:rFonts w:ascii="Times New Roman" w:hAnsi="Times New Roman" w:cs="Times New Roman"/>
        </w:rPr>
        <w:t xml:space="preserve"> not real, and thus participates in the dialectic of being and non-being (the larger Parmenidean context). </w:t>
      </w:r>
    </w:p>
    <w:p w14:paraId="7DBF16AE" w14:textId="7552D231" w:rsidR="00D604E2" w:rsidRDefault="00E55903" w:rsidP="00D604E2">
      <w:pPr>
        <w:jc w:val="both"/>
        <w:rPr>
          <w:rFonts w:ascii="Times New Roman" w:hAnsi="Times New Roman" w:cs="Times New Roman"/>
        </w:rPr>
      </w:pPr>
      <w:r>
        <w:rPr>
          <w:rFonts w:ascii="Times New Roman" w:hAnsi="Times New Roman" w:cs="Times New Roman"/>
        </w:rPr>
        <w:tab/>
        <w:t xml:space="preserve">The world not of the senses is capable of being understood via the mind, or </w:t>
      </w:r>
      <w:r w:rsidRPr="00D7516E">
        <w:rPr>
          <w:rFonts w:ascii="Times New Roman" w:hAnsi="Times New Roman" w:cs="Times New Roman"/>
          <w:i/>
        </w:rPr>
        <w:t>nou</w:t>
      </w:r>
      <w:r>
        <w:rPr>
          <w:rFonts w:ascii="Times New Roman" w:hAnsi="Times New Roman" w:cs="Times New Roman"/>
          <w:i/>
        </w:rPr>
        <w:t xml:space="preserve">s </w:t>
      </w:r>
      <w:r>
        <w:rPr>
          <w:rFonts w:ascii="Times New Roman" w:hAnsi="Times New Roman" w:cs="Times New Roman"/>
        </w:rPr>
        <w:t>(though</w:t>
      </w:r>
      <w:bookmarkStart w:id="0" w:name="_GoBack"/>
      <w:r>
        <w:rPr>
          <w:rFonts w:ascii="Times New Roman" w:hAnsi="Times New Roman" w:cs="Times New Roman"/>
        </w:rPr>
        <w:t xml:space="preserve">, </w:t>
      </w:r>
      <w:bookmarkEnd w:id="0"/>
      <w:r>
        <w:rPr>
          <w:rFonts w:ascii="Times New Roman" w:hAnsi="Times New Roman" w:cs="Times New Roman"/>
        </w:rPr>
        <w:t>according to Heraclitus, few people understand th</w:t>
      </w:r>
      <w:r w:rsidR="00D604E2">
        <w:rPr>
          <w:rFonts w:ascii="Times New Roman" w:hAnsi="Times New Roman" w:cs="Times New Roman"/>
        </w:rPr>
        <w:t>is</w:t>
      </w:r>
      <w:r>
        <w:rPr>
          <w:rFonts w:ascii="Times New Roman" w:hAnsi="Times New Roman" w:cs="Times New Roman"/>
        </w:rPr>
        <w:t xml:space="preserve"> underlying nature of things). This underlying reality, that of the </w:t>
      </w:r>
      <w:r>
        <w:rPr>
          <w:rFonts w:ascii="Times New Roman" w:hAnsi="Times New Roman" w:cs="Times New Roman"/>
          <w:i/>
        </w:rPr>
        <w:t>logos</w:t>
      </w:r>
      <w:r>
        <w:rPr>
          <w:rFonts w:ascii="Times New Roman" w:hAnsi="Times New Roman" w:cs="Times New Roman"/>
        </w:rPr>
        <w:t xml:space="preserve">, is not possible without the </w:t>
      </w:r>
      <w:proofErr w:type="gramStart"/>
      <w:r>
        <w:rPr>
          <w:rFonts w:ascii="Times New Roman" w:hAnsi="Times New Roman" w:cs="Times New Roman"/>
        </w:rPr>
        <w:t>particular components</w:t>
      </w:r>
      <w:proofErr w:type="gramEnd"/>
      <w:r>
        <w:rPr>
          <w:rFonts w:ascii="Times New Roman" w:hAnsi="Times New Roman" w:cs="Times New Roman"/>
        </w:rPr>
        <w:t xml:space="preserve"> of the river’s appearance: its wetness, its particular movements. The </w:t>
      </w:r>
      <w:r>
        <w:rPr>
          <w:rFonts w:ascii="Times New Roman" w:hAnsi="Times New Roman" w:cs="Times New Roman"/>
          <w:i/>
        </w:rPr>
        <w:t>logos</w:t>
      </w:r>
      <w:r>
        <w:rPr>
          <w:rFonts w:ascii="Times New Roman" w:hAnsi="Times New Roman" w:cs="Times New Roman"/>
        </w:rPr>
        <w:t xml:space="preserve"> </w:t>
      </w:r>
      <w:proofErr w:type="gramStart"/>
      <w:r>
        <w:rPr>
          <w:rFonts w:ascii="Times New Roman" w:hAnsi="Times New Roman" w:cs="Times New Roman"/>
        </w:rPr>
        <w:t>is</w:t>
      </w:r>
      <w:proofErr w:type="gramEnd"/>
      <w:r>
        <w:rPr>
          <w:rFonts w:ascii="Times New Roman" w:hAnsi="Times New Roman" w:cs="Times New Roman"/>
        </w:rPr>
        <w:t xml:space="preserve"> eternal, and all action occurs in relation to it; it is alike to ‘a system of measured proportion’</w:t>
      </w:r>
      <w:r>
        <w:rPr>
          <w:rStyle w:val="FootnoteReference"/>
          <w:rFonts w:ascii="Times New Roman" w:hAnsi="Times New Roman" w:cs="Times New Roman"/>
        </w:rPr>
        <w:footnoteReference w:id="3"/>
      </w:r>
      <w:r>
        <w:rPr>
          <w:rFonts w:ascii="Times New Roman" w:hAnsi="Times New Roman" w:cs="Times New Roman"/>
        </w:rPr>
        <w:t xml:space="preserve">. </w:t>
      </w:r>
      <w:proofErr w:type="gramStart"/>
      <w:r w:rsidR="00D604E2">
        <w:rPr>
          <w:rFonts w:ascii="Times New Roman" w:hAnsi="Times New Roman" w:cs="Times New Roman"/>
        </w:rPr>
        <w:t>Thus</w:t>
      </w:r>
      <w:proofErr w:type="gramEnd"/>
      <w:r w:rsidR="00D604E2">
        <w:rPr>
          <w:rFonts w:ascii="Times New Roman" w:hAnsi="Times New Roman" w:cs="Times New Roman"/>
        </w:rPr>
        <w:t xml:space="preserve"> neither of the ‘false’ and ‘real’ realities takes precedence, is </w:t>
      </w:r>
      <w:r w:rsidR="00D604E2">
        <w:rPr>
          <w:rFonts w:ascii="Times New Roman" w:hAnsi="Times New Roman" w:cs="Times New Roman"/>
          <w:i/>
        </w:rPr>
        <w:t>more</w:t>
      </w:r>
      <w:r w:rsidR="00D604E2">
        <w:rPr>
          <w:rFonts w:ascii="Times New Roman" w:hAnsi="Times New Roman" w:cs="Times New Roman"/>
        </w:rPr>
        <w:t xml:space="preserve"> necessary, to the river’s existence – we are led, via the conception of the possibility of being and non-being, to appreciation of the symbiotic relationship of falsity and reality, to a seeming resolution of the contradiction; it is a nuanced resolution. This notion of being is crucial in understanding the river in its two realities, as entity and as appearance, and thus being able to assert that we both can and cannot step in the same river twice.</w:t>
      </w:r>
    </w:p>
    <w:p w14:paraId="21FAE8F6" w14:textId="688EC6BA" w:rsidR="00217C64" w:rsidRDefault="00D604E2" w:rsidP="009210C0">
      <w:pPr>
        <w:jc w:val="both"/>
        <w:rPr>
          <w:rFonts w:ascii="Times New Roman" w:hAnsi="Times New Roman" w:cs="Times New Roman"/>
        </w:rPr>
      </w:pPr>
      <w:r>
        <w:rPr>
          <w:rFonts w:ascii="Times New Roman" w:hAnsi="Times New Roman" w:cs="Times New Roman"/>
        </w:rPr>
        <w:tab/>
      </w:r>
      <w:r w:rsidR="00217C64">
        <w:rPr>
          <w:rFonts w:ascii="Times New Roman" w:hAnsi="Times New Roman" w:cs="Times New Roman"/>
        </w:rPr>
        <w:t xml:space="preserve">The </w:t>
      </w:r>
      <w:r w:rsidR="00217C64" w:rsidRPr="008C03C6">
        <w:rPr>
          <w:rFonts w:ascii="Times New Roman" w:hAnsi="Times New Roman" w:cs="Times New Roman"/>
          <w:i/>
        </w:rPr>
        <w:t>word</w:t>
      </w:r>
      <w:r w:rsidR="00217C64">
        <w:rPr>
          <w:rFonts w:ascii="Times New Roman" w:hAnsi="Times New Roman" w:cs="Times New Roman"/>
        </w:rPr>
        <w:t xml:space="preserve"> ‘river’</w:t>
      </w:r>
      <w:r w:rsidR="005C607C">
        <w:rPr>
          <w:rFonts w:ascii="Times New Roman" w:hAnsi="Times New Roman" w:cs="Times New Roman"/>
        </w:rPr>
        <w:t xml:space="preserve"> </w:t>
      </w:r>
      <w:r w:rsidR="00217C64">
        <w:rPr>
          <w:rFonts w:ascii="Times New Roman" w:hAnsi="Times New Roman" w:cs="Times New Roman"/>
        </w:rPr>
        <w:t xml:space="preserve">is possessed of dual identity, the ability to simultaneously (paradoxically) be and not-be a certain thing; and Heraclitus, by positing his seemingly self-contradictory statement, raises to our consciousness the ambiguity of language – we can no longer, in light of the previous points I have made in this essay, assume that language is not context dependent; </w:t>
      </w:r>
      <w:r w:rsidR="00AA3D91">
        <w:rPr>
          <w:rFonts w:ascii="Times New Roman" w:hAnsi="Times New Roman" w:cs="Times New Roman"/>
        </w:rPr>
        <w:t xml:space="preserve">that to which a word refers becomes that which defines the meaning of that word. </w:t>
      </w:r>
      <w:r w:rsidR="00CC70D2">
        <w:rPr>
          <w:rFonts w:ascii="Times New Roman" w:hAnsi="Times New Roman" w:cs="Times New Roman"/>
        </w:rPr>
        <w:t xml:space="preserve">The relationship between language and reality comes into play. </w:t>
      </w:r>
    </w:p>
    <w:p w14:paraId="23BD830E" w14:textId="05B24C0D" w:rsidR="00E55903" w:rsidRDefault="00881A0F" w:rsidP="009210C0">
      <w:pPr>
        <w:jc w:val="both"/>
        <w:rPr>
          <w:rFonts w:ascii="Times New Roman" w:hAnsi="Times New Roman" w:cs="Times New Roman"/>
        </w:rPr>
      </w:pPr>
      <w:r>
        <w:rPr>
          <w:rFonts w:ascii="Times New Roman" w:hAnsi="Times New Roman" w:cs="Times New Roman"/>
        </w:rPr>
        <w:tab/>
        <w:t xml:space="preserve">It is interesting that this noticing of the variability of semantic values according to context occurs so early in the history of philosophy; it echoes, more than faintly, Foucauldian </w:t>
      </w:r>
      <w:r w:rsidR="00122BE9">
        <w:rPr>
          <w:rFonts w:ascii="Times New Roman" w:hAnsi="Times New Roman" w:cs="Times New Roman"/>
        </w:rPr>
        <w:t>discourse analysis</w:t>
      </w:r>
      <w:r w:rsidR="00D17F8F">
        <w:rPr>
          <w:rFonts w:ascii="Times New Roman" w:hAnsi="Times New Roman" w:cs="Times New Roman"/>
        </w:rPr>
        <w:t xml:space="preserve"> (a 20</w:t>
      </w:r>
      <w:r w:rsidR="00D17F8F" w:rsidRPr="00D17F8F">
        <w:rPr>
          <w:rFonts w:ascii="Times New Roman" w:hAnsi="Times New Roman" w:cs="Times New Roman"/>
          <w:vertAlign w:val="superscript"/>
        </w:rPr>
        <w:t>th</w:t>
      </w:r>
      <w:r w:rsidR="00D17F8F">
        <w:rPr>
          <w:rFonts w:ascii="Times New Roman" w:hAnsi="Times New Roman" w:cs="Times New Roman"/>
        </w:rPr>
        <w:t xml:space="preserve"> century idea)</w:t>
      </w:r>
      <w:r w:rsidR="008E3D2F">
        <w:rPr>
          <w:rFonts w:ascii="Times New Roman" w:hAnsi="Times New Roman" w:cs="Times New Roman"/>
        </w:rPr>
        <w:t>, according to which, for example,</w:t>
      </w:r>
      <w:r w:rsidR="00D17F8F">
        <w:rPr>
          <w:rFonts w:ascii="Times New Roman" w:hAnsi="Times New Roman" w:cs="Times New Roman"/>
        </w:rPr>
        <w:t xml:space="preserve"> language is both used to create a context of imbalanced power between participants in discourse, and is itself created as a result of these</w:t>
      </w:r>
      <w:r w:rsidR="00DF3C39">
        <w:rPr>
          <w:rFonts w:ascii="Times New Roman" w:hAnsi="Times New Roman" w:cs="Times New Roman"/>
        </w:rPr>
        <w:t xml:space="preserve"> pre-existent</w:t>
      </w:r>
      <w:r w:rsidR="00D17F8F">
        <w:rPr>
          <w:rFonts w:ascii="Times New Roman" w:hAnsi="Times New Roman" w:cs="Times New Roman"/>
        </w:rPr>
        <w:t xml:space="preserve"> imbalanced power dynamics; there is no sense in which the meaning of a word or phrase is absolute outside of any given context – that to which a word refers is flexible (in flux), and so we may not speak the same sentence twice, even if we speak the same words. </w:t>
      </w:r>
    </w:p>
    <w:p w14:paraId="45A50DB0" w14:textId="058A47C8" w:rsidR="00BE678E" w:rsidRDefault="00CC70D2" w:rsidP="00275E71">
      <w:pPr>
        <w:jc w:val="both"/>
        <w:rPr>
          <w:rFonts w:ascii="Times New Roman" w:hAnsi="Times New Roman" w:cs="Times New Roman"/>
        </w:rPr>
      </w:pPr>
      <w:r>
        <w:rPr>
          <w:rFonts w:ascii="Times New Roman" w:hAnsi="Times New Roman" w:cs="Times New Roman"/>
        </w:rPr>
        <w:tab/>
        <w:t xml:space="preserve"> </w:t>
      </w:r>
      <w:r w:rsidR="00AE7E14">
        <w:rPr>
          <w:rFonts w:ascii="Times New Roman" w:hAnsi="Times New Roman" w:cs="Times New Roman"/>
        </w:rPr>
        <w:t xml:space="preserve">In Aristotle’s writings can be found a counterargument to these ideas. </w:t>
      </w:r>
      <w:r w:rsidR="00241DF0">
        <w:rPr>
          <w:rFonts w:ascii="Times New Roman" w:hAnsi="Times New Roman" w:cs="Times New Roman"/>
        </w:rPr>
        <w:t xml:space="preserve">The first of Aristotle’s principles of non-contradiction, that </w:t>
      </w:r>
      <w:r w:rsidR="00D17F8F">
        <w:rPr>
          <w:rFonts w:ascii="Times New Roman" w:hAnsi="Times New Roman" w:cs="Times New Roman"/>
          <w:color w:val="1A1A1A"/>
          <w:shd w:val="clear" w:color="auto" w:fill="FFFFFF"/>
        </w:rPr>
        <w:t>‘</w:t>
      </w:r>
      <w:r w:rsidR="00241DF0">
        <w:rPr>
          <w:rFonts w:ascii="Times New Roman" w:hAnsi="Times New Roman" w:cs="Times New Roman"/>
          <w:color w:val="1A1A1A"/>
          <w:shd w:val="clear" w:color="auto" w:fill="FFFFFF"/>
        </w:rPr>
        <w:t>i</w:t>
      </w:r>
      <w:r w:rsidR="00241DF0" w:rsidRPr="00241DF0">
        <w:rPr>
          <w:rFonts w:ascii="Times New Roman" w:hAnsi="Times New Roman" w:cs="Times New Roman"/>
          <w:color w:val="1A1A1A"/>
          <w:shd w:val="clear" w:color="auto" w:fill="FFFFFF"/>
        </w:rPr>
        <w:t xml:space="preserve">t is impossible for the same thing to belong and not to belong at </w:t>
      </w:r>
      <w:r w:rsidR="00241DF0" w:rsidRPr="00241DF0">
        <w:rPr>
          <w:rFonts w:ascii="Times New Roman" w:hAnsi="Times New Roman" w:cs="Times New Roman"/>
          <w:color w:val="1A1A1A"/>
          <w:shd w:val="clear" w:color="auto" w:fill="FFFFFF"/>
        </w:rPr>
        <w:lastRenderedPageBreak/>
        <w:t>the same time to the same thing and in the same respect</w:t>
      </w:r>
      <w:r w:rsidR="00D17F8F">
        <w:rPr>
          <w:rFonts w:ascii="Times New Roman" w:hAnsi="Times New Roman" w:cs="Times New Roman"/>
          <w:color w:val="1A1A1A"/>
          <w:shd w:val="clear" w:color="auto" w:fill="FFFFFF"/>
        </w:rPr>
        <w:t>’</w:t>
      </w:r>
      <w:r w:rsidR="00241DF0">
        <w:rPr>
          <w:rStyle w:val="FootnoteReference"/>
          <w:rFonts w:ascii="Times New Roman" w:hAnsi="Times New Roman" w:cs="Times New Roman"/>
          <w:color w:val="1A1A1A"/>
          <w:shd w:val="clear" w:color="auto" w:fill="FFFFFF"/>
        </w:rPr>
        <w:footnoteReference w:id="4"/>
      </w:r>
      <w:r w:rsidR="00241DF0">
        <w:rPr>
          <w:rFonts w:ascii="Times New Roman" w:hAnsi="Times New Roman" w:cs="Times New Roman"/>
          <w:color w:val="1A1A1A"/>
          <w:shd w:val="clear" w:color="auto" w:fill="FFFFFF"/>
        </w:rPr>
        <w:t>, seems t</w:t>
      </w:r>
      <w:r w:rsidR="00D17F8F">
        <w:rPr>
          <w:rFonts w:ascii="Times New Roman" w:hAnsi="Times New Roman" w:cs="Times New Roman"/>
          <w:color w:val="1A1A1A"/>
          <w:shd w:val="clear" w:color="auto" w:fill="FFFFFF"/>
        </w:rPr>
        <w:t>o</w:t>
      </w:r>
      <w:r w:rsidR="00241DF0">
        <w:rPr>
          <w:rFonts w:ascii="Times New Roman" w:hAnsi="Times New Roman" w:cs="Times New Roman"/>
          <w:color w:val="1A1A1A"/>
          <w:shd w:val="clear" w:color="auto" w:fill="FFFFFF"/>
        </w:rPr>
        <w:t xml:space="preserve"> </w:t>
      </w:r>
      <w:r w:rsidR="00446CFE">
        <w:rPr>
          <w:rFonts w:ascii="Times New Roman" w:hAnsi="Times New Roman" w:cs="Times New Roman"/>
          <w:color w:val="1A1A1A"/>
          <w:shd w:val="clear" w:color="auto" w:fill="FFFFFF"/>
        </w:rPr>
        <w:t>prevent</w:t>
      </w:r>
      <w:r w:rsidR="00241DF0">
        <w:rPr>
          <w:rFonts w:ascii="Times New Roman" w:hAnsi="Times New Roman" w:cs="Times New Roman"/>
          <w:color w:val="1A1A1A"/>
          <w:shd w:val="clear" w:color="auto" w:fill="FFFFFF"/>
        </w:rPr>
        <w:t xml:space="preserve"> the possibility of Heraclitus’ fragment making </w:t>
      </w:r>
      <w:r w:rsidR="00241DF0" w:rsidRPr="00D17F8F">
        <w:rPr>
          <w:rFonts w:ascii="Times New Roman" w:hAnsi="Times New Roman" w:cs="Times New Roman"/>
          <w:i/>
          <w:color w:val="1A1A1A"/>
          <w:shd w:val="clear" w:color="auto" w:fill="FFFFFF"/>
        </w:rPr>
        <w:t>sense</w:t>
      </w:r>
      <w:r w:rsidR="00DF3C39">
        <w:rPr>
          <w:rFonts w:ascii="Times New Roman" w:hAnsi="Times New Roman" w:cs="Times New Roman"/>
          <w:color w:val="1A1A1A"/>
          <w:shd w:val="clear" w:color="auto" w:fill="FFFFFF"/>
        </w:rPr>
        <w:t>; Heraclitus claims: ‘Into the same rivers we step and do not step’</w:t>
      </w:r>
      <w:r w:rsidR="00D17F8F">
        <w:rPr>
          <w:rFonts w:ascii="Times New Roman" w:hAnsi="Times New Roman" w:cs="Times New Roman"/>
          <w:color w:val="1A1A1A"/>
          <w:shd w:val="clear" w:color="auto" w:fill="FFFFFF"/>
        </w:rPr>
        <w:t xml:space="preserve">. </w:t>
      </w:r>
      <w:r w:rsidR="00446CFE">
        <w:rPr>
          <w:rFonts w:ascii="Times New Roman" w:hAnsi="Times New Roman" w:cs="Times New Roman"/>
          <w:color w:val="1A1A1A"/>
          <w:shd w:val="clear" w:color="auto" w:fill="FFFFFF"/>
        </w:rPr>
        <w:t xml:space="preserve">We must consider that Aristotle is not claiming that </w:t>
      </w:r>
      <w:r w:rsidR="000D15A0">
        <w:rPr>
          <w:rFonts w:ascii="Times New Roman" w:hAnsi="Times New Roman" w:cs="Times New Roman"/>
          <w:color w:val="1A1A1A"/>
          <w:shd w:val="clear" w:color="auto" w:fill="FFFFFF"/>
        </w:rPr>
        <w:t>on ‘</w:t>
      </w:r>
      <w:r w:rsidR="00446CFE" w:rsidRPr="000D15A0">
        <w:rPr>
          <w:rFonts w:ascii="Times New Roman" w:hAnsi="Times New Roman" w:cs="Times New Roman"/>
          <w:color w:val="1A1A1A"/>
          <w:shd w:val="clear" w:color="auto" w:fill="FFFFFF"/>
        </w:rPr>
        <w:t>this view, it is not that one cannot believe that </w:t>
      </w:r>
      <w:r w:rsidR="00446CFE" w:rsidRPr="000D15A0">
        <w:rPr>
          <w:rStyle w:val="Emphasis"/>
          <w:rFonts w:ascii="Times New Roman" w:hAnsi="Times New Roman" w:cs="Times New Roman"/>
          <w:color w:val="1A1A1A"/>
          <w:shd w:val="clear" w:color="auto" w:fill="FFFFFF"/>
        </w:rPr>
        <w:t>x</w:t>
      </w:r>
      <w:r w:rsidR="00446CFE" w:rsidRPr="000D15A0">
        <w:rPr>
          <w:rFonts w:ascii="Times New Roman" w:hAnsi="Times New Roman" w:cs="Times New Roman"/>
          <w:color w:val="1A1A1A"/>
          <w:shd w:val="clear" w:color="auto" w:fill="FFFFFF"/>
        </w:rPr>
        <w:t> is </w:t>
      </w:r>
      <w:r w:rsidR="00446CFE" w:rsidRPr="000D15A0">
        <w:rPr>
          <w:rStyle w:val="Emphasis"/>
          <w:rFonts w:ascii="Times New Roman" w:hAnsi="Times New Roman" w:cs="Times New Roman"/>
          <w:color w:val="1A1A1A"/>
          <w:shd w:val="clear" w:color="auto" w:fill="FFFFFF"/>
        </w:rPr>
        <w:t>F</w:t>
      </w:r>
      <w:r w:rsidR="00446CFE" w:rsidRPr="000D15A0">
        <w:rPr>
          <w:rFonts w:ascii="Times New Roman" w:hAnsi="Times New Roman" w:cs="Times New Roman"/>
          <w:color w:val="1A1A1A"/>
          <w:shd w:val="clear" w:color="auto" w:fill="FFFFFF"/>
        </w:rPr>
        <w:t> and not </w:t>
      </w:r>
      <w:r w:rsidR="00446CFE" w:rsidRPr="000D15A0">
        <w:rPr>
          <w:rStyle w:val="Emphasis"/>
          <w:rFonts w:ascii="Times New Roman" w:hAnsi="Times New Roman" w:cs="Times New Roman"/>
          <w:color w:val="1A1A1A"/>
          <w:shd w:val="clear" w:color="auto" w:fill="FFFFFF"/>
        </w:rPr>
        <w:t>F</w:t>
      </w:r>
      <w:r w:rsidR="00D17F8F">
        <w:rPr>
          <w:rFonts w:ascii="Times New Roman" w:hAnsi="Times New Roman" w:cs="Times New Roman"/>
          <w:color w:val="1A1A1A"/>
          <w:shd w:val="clear" w:color="auto" w:fill="FFFFFF"/>
        </w:rPr>
        <w:t>’; he is instead claiming</w:t>
      </w:r>
      <w:r w:rsidR="00446CFE" w:rsidRPr="000D15A0">
        <w:rPr>
          <w:rFonts w:ascii="Times New Roman" w:hAnsi="Times New Roman" w:cs="Times New Roman"/>
          <w:color w:val="1A1A1A"/>
          <w:shd w:val="clear" w:color="auto" w:fill="FFFFFF"/>
        </w:rPr>
        <w:t xml:space="preserve"> that </w:t>
      </w:r>
      <w:r w:rsidR="00D17F8F">
        <w:rPr>
          <w:rFonts w:ascii="Times New Roman" w:hAnsi="Times New Roman" w:cs="Times New Roman"/>
          <w:color w:val="1A1A1A"/>
          <w:shd w:val="clear" w:color="auto" w:fill="FFFFFF"/>
        </w:rPr>
        <w:t>‘</w:t>
      </w:r>
      <w:r w:rsidR="00446CFE" w:rsidRPr="000D15A0">
        <w:rPr>
          <w:rFonts w:ascii="Times New Roman" w:hAnsi="Times New Roman" w:cs="Times New Roman"/>
          <w:color w:val="1A1A1A"/>
          <w:shd w:val="clear" w:color="auto" w:fill="FFFFFF"/>
        </w:rPr>
        <w:t>one cannot rationally do so</w:t>
      </w:r>
      <w:r w:rsidR="00275E71">
        <w:rPr>
          <w:rFonts w:ascii="Times New Roman" w:hAnsi="Times New Roman" w:cs="Times New Roman"/>
          <w:color w:val="1A1A1A"/>
          <w:shd w:val="clear" w:color="auto" w:fill="FFFFFF"/>
        </w:rPr>
        <w:t>’</w:t>
      </w:r>
      <w:r w:rsidR="00275E71">
        <w:rPr>
          <w:rStyle w:val="FootnoteReference"/>
          <w:rFonts w:ascii="Times New Roman" w:hAnsi="Times New Roman" w:cs="Times New Roman"/>
          <w:color w:val="1A1A1A"/>
          <w:shd w:val="clear" w:color="auto" w:fill="FFFFFF"/>
        </w:rPr>
        <w:footnoteReference w:id="5"/>
      </w:r>
      <w:r w:rsidR="00275E71">
        <w:rPr>
          <w:rFonts w:ascii="Times New Roman" w:hAnsi="Times New Roman" w:cs="Times New Roman"/>
          <w:color w:val="1A1A1A"/>
          <w:shd w:val="clear" w:color="auto" w:fill="FFFFFF"/>
        </w:rPr>
        <w:t xml:space="preserve">. </w:t>
      </w:r>
      <w:r w:rsidR="00DF3C39">
        <w:rPr>
          <w:rFonts w:ascii="Times New Roman" w:hAnsi="Times New Roman" w:cs="Times New Roman"/>
          <w:color w:val="1A1A1A"/>
          <w:shd w:val="clear" w:color="auto" w:fill="FFFFFF"/>
        </w:rPr>
        <w:t xml:space="preserve">If we believe Heraclitus speaking of the river, we are believing that what we step into, </w:t>
      </w:r>
      <w:r w:rsidR="00DF3C39">
        <w:rPr>
          <w:rFonts w:ascii="Times New Roman" w:hAnsi="Times New Roman" w:cs="Times New Roman"/>
          <w:i/>
          <w:color w:val="1A1A1A"/>
          <w:shd w:val="clear" w:color="auto" w:fill="FFFFFF"/>
        </w:rPr>
        <w:t>x</w:t>
      </w:r>
      <w:r w:rsidR="00DF3C39">
        <w:rPr>
          <w:rFonts w:ascii="Times New Roman" w:hAnsi="Times New Roman" w:cs="Times New Roman"/>
          <w:color w:val="1A1A1A"/>
          <w:shd w:val="clear" w:color="auto" w:fill="FFFFFF"/>
        </w:rPr>
        <w:t xml:space="preserve">, is both </w:t>
      </w:r>
      <w:r w:rsidR="00DF3C39">
        <w:rPr>
          <w:rFonts w:ascii="Times New Roman" w:hAnsi="Times New Roman" w:cs="Times New Roman"/>
          <w:i/>
          <w:color w:val="1A1A1A"/>
          <w:shd w:val="clear" w:color="auto" w:fill="FFFFFF"/>
        </w:rPr>
        <w:t>F</w:t>
      </w:r>
      <w:r w:rsidR="00DF3C39">
        <w:rPr>
          <w:rFonts w:ascii="Times New Roman" w:hAnsi="Times New Roman" w:cs="Times New Roman"/>
          <w:color w:val="1A1A1A"/>
          <w:shd w:val="clear" w:color="auto" w:fill="FFFFFF"/>
        </w:rPr>
        <w:t xml:space="preserve"> and not </w:t>
      </w:r>
      <w:r w:rsidR="00DF3C39">
        <w:rPr>
          <w:rFonts w:ascii="Times New Roman" w:hAnsi="Times New Roman" w:cs="Times New Roman"/>
          <w:i/>
          <w:color w:val="1A1A1A"/>
          <w:shd w:val="clear" w:color="auto" w:fill="FFFFFF"/>
        </w:rPr>
        <w:t>F.</w:t>
      </w:r>
      <w:r w:rsidR="00DF3C39">
        <w:rPr>
          <w:rFonts w:ascii="Times New Roman" w:hAnsi="Times New Roman" w:cs="Times New Roman"/>
          <w:color w:val="1A1A1A"/>
          <w:shd w:val="clear" w:color="auto" w:fill="FFFFFF"/>
        </w:rPr>
        <w:t xml:space="preserve"> </w:t>
      </w:r>
      <w:r w:rsidR="00275E71">
        <w:rPr>
          <w:rFonts w:ascii="Times New Roman" w:hAnsi="Times New Roman" w:cs="Times New Roman"/>
          <w:color w:val="1A1A1A"/>
          <w:shd w:val="clear" w:color="auto" w:fill="FFFFFF"/>
        </w:rPr>
        <w:t xml:space="preserve">What Heraclitus invites us to do is consider that in his fragments, </w:t>
      </w:r>
      <w:r w:rsidR="00275E71">
        <w:rPr>
          <w:rFonts w:ascii="Times New Roman" w:hAnsi="Times New Roman" w:cs="Times New Roman"/>
        </w:rPr>
        <w:t>‘the rational linguistic structure or form of life in which his discourse belongs, and [that which] it implicitly expresses</w:t>
      </w:r>
      <w:r w:rsidR="000A0422">
        <w:rPr>
          <w:rFonts w:ascii="Times New Roman" w:hAnsi="Times New Roman" w:cs="Times New Roman"/>
        </w:rPr>
        <w:t xml:space="preserve"> [the </w:t>
      </w:r>
      <w:r w:rsidR="000A0422">
        <w:rPr>
          <w:rFonts w:ascii="Times New Roman" w:hAnsi="Times New Roman" w:cs="Times New Roman"/>
          <w:i/>
        </w:rPr>
        <w:t>logos</w:t>
      </w:r>
      <w:r w:rsidR="000A0422">
        <w:rPr>
          <w:rFonts w:ascii="Times New Roman" w:hAnsi="Times New Roman" w:cs="Times New Roman"/>
        </w:rPr>
        <w:t>]</w:t>
      </w:r>
      <w:r w:rsidR="00275E71">
        <w:rPr>
          <w:rFonts w:ascii="Times New Roman" w:hAnsi="Times New Roman" w:cs="Times New Roman"/>
        </w:rPr>
        <w:t>, can be ‘heard’’.</w:t>
      </w:r>
      <w:r w:rsidR="00275E71">
        <w:rPr>
          <w:rStyle w:val="FootnoteReference"/>
          <w:rFonts w:ascii="Times New Roman" w:hAnsi="Times New Roman" w:cs="Times New Roman"/>
        </w:rPr>
        <w:footnoteReference w:id="6"/>
      </w:r>
      <w:r w:rsidR="004F58D3">
        <w:rPr>
          <w:rFonts w:ascii="Times New Roman" w:hAnsi="Times New Roman" w:cs="Times New Roman"/>
        </w:rPr>
        <w:t xml:space="preserve"> The fact that the semantic content of the fragments is seemingly self-contradictory raise</w:t>
      </w:r>
      <w:r w:rsidR="00122BE9">
        <w:rPr>
          <w:rFonts w:ascii="Times New Roman" w:hAnsi="Times New Roman" w:cs="Times New Roman"/>
        </w:rPr>
        <w:t>s</w:t>
      </w:r>
      <w:r w:rsidR="004F58D3">
        <w:rPr>
          <w:rFonts w:ascii="Times New Roman" w:hAnsi="Times New Roman" w:cs="Times New Roman"/>
        </w:rPr>
        <w:t xml:space="preserve"> our awareness </w:t>
      </w:r>
      <w:r w:rsidR="00122BE9">
        <w:rPr>
          <w:rFonts w:ascii="Times New Roman" w:hAnsi="Times New Roman" w:cs="Times New Roman"/>
        </w:rPr>
        <w:t>to</w:t>
      </w:r>
      <w:r w:rsidR="004F58D3">
        <w:rPr>
          <w:rFonts w:ascii="Times New Roman" w:hAnsi="Times New Roman" w:cs="Times New Roman"/>
        </w:rPr>
        <w:t xml:space="preserve"> the fact that the prepositional truth of the statements is not their sole purpose</w:t>
      </w:r>
      <w:r w:rsidR="00BE678E">
        <w:rPr>
          <w:rFonts w:ascii="Times New Roman" w:hAnsi="Times New Roman" w:cs="Times New Roman"/>
        </w:rPr>
        <w:t xml:space="preserve">; they are to point us towards the </w:t>
      </w:r>
      <w:r w:rsidR="00BE678E">
        <w:rPr>
          <w:rFonts w:ascii="Times New Roman" w:hAnsi="Times New Roman" w:cs="Times New Roman"/>
          <w:i/>
        </w:rPr>
        <w:t>logos</w:t>
      </w:r>
      <w:r w:rsidR="00D17F8F">
        <w:rPr>
          <w:rFonts w:ascii="Times New Roman" w:hAnsi="Times New Roman" w:cs="Times New Roman"/>
        </w:rPr>
        <w:t>, which is the truth more worth knowing</w:t>
      </w:r>
      <w:r w:rsidR="00DF3C39">
        <w:rPr>
          <w:rFonts w:ascii="Times New Roman" w:hAnsi="Times New Roman" w:cs="Times New Roman"/>
        </w:rPr>
        <w:t xml:space="preserve"> (and which it is rational to know)</w:t>
      </w:r>
      <w:r w:rsidR="00D17F8F">
        <w:rPr>
          <w:rFonts w:ascii="Times New Roman" w:hAnsi="Times New Roman" w:cs="Times New Roman"/>
        </w:rPr>
        <w:t xml:space="preserve">. </w:t>
      </w:r>
    </w:p>
    <w:p w14:paraId="529A251F" w14:textId="782BD506" w:rsidR="008E3D2F" w:rsidRPr="00DF3C39" w:rsidRDefault="008E3D2F" w:rsidP="00275E71">
      <w:pPr>
        <w:jc w:val="both"/>
        <w:rPr>
          <w:rFonts w:ascii="Times New Roman" w:hAnsi="Times New Roman" w:cs="Times New Roman"/>
        </w:rPr>
      </w:pPr>
      <w:r>
        <w:rPr>
          <w:rFonts w:ascii="Times New Roman" w:hAnsi="Times New Roman" w:cs="Times New Roman"/>
        </w:rPr>
        <w:tab/>
        <w:t xml:space="preserve">Heraclitus seemingly means - and does not mean - many things, by saying we cannot step in the same river twice. He is at once inviting us to reflect on the permeability of semantic value according to situational dynamic, </w:t>
      </w:r>
      <w:r w:rsidR="00195D42">
        <w:rPr>
          <w:rFonts w:ascii="Times New Roman" w:hAnsi="Times New Roman" w:cs="Times New Roman"/>
        </w:rPr>
        <w:t>as well as possibly inferring (in pre-emptive riposte to Aristotle) that a belief, whilst necessarily adhering to the principle of non-contradiction</w:t>
      </w:r>
      <w:r w:rsidR="00D17F8F">
        <w:rPr>
          <w:rFonts w:ascii="Times New Roman" w:hAnsi="Times New Roman" w:cs="Times New Roman"/>
        </w:rPr>
        <w:t xml:space="preserve"> (if it is to be held as truth, or knowledge)</w:t>
      </w:r>
      <w:r w:rsidR="00195D42">
        <w:rPr>
          <w:rFonts w:ascii="Times New Roman" w:hAnsi="Times New Roman" w:cs="Times New Roman"/>
        </w:rPr>
        <w:t>, may appear contradictory</w:t>
      </w:r>
      <w:r w:rsidR="001A5B29">
        <w:rPr>
          <w:rFonts w:ascii="Times New Roman" w:hAnsi="Times New Roman" w:cs="Times New Roman"/>
        </w:rPr>
        <w:t xml:space="preserve"> and</w:t>
      </w:r>
      <w:r w:rsidR="00D17F8F">
        <w:rPr>
          <w:rFonts w:ascii="Times New Roman" w:hAnsi="Times New Roman" w:cs="Times New Roman"/>
        </w:rPr>
        <w:t xml:space="preserve"> yet</w:t>
      </w:r>
      <w:r w:rsidR="001A5B29">
        <w:rPr>
          <w:rFonts w:ascii="Times New Roman" w:hAnsi="Times New Roman" w:cs="Times New Roman"/>
        </w:rPr>
        <w:t xml:space="preserve"> still be </w:t>
      </w:r>
      <w:r w:rsidR="00D17F8F">
        <w:rPr>
          <w:rFonts w:ascii="Times New Roman" w:hAnsi="Times New Roman" w:cs="Times New Roman"/>
        </w:rPr>
        <w:t>rationally held</w:t>
      </w:r>
      <w:r w:rsidR="00195D42">
        <w:rPr>
          <w:rFonts w:ascii="Times New Roman" w:hAnsi="Times New Roman" w:cs="Times New Roman"/>
        </w:rPr>
        <w:t xml:space="preserve">; </w:t>
      </w:r>
      <w:r w:rsidR="00D17F8F">
        <w:rPr>
          <w:rFonts w:ascii="Times New Roman" w:hAnsi="Times New Roman" w:cs="Times New Roman"/>
        </w:rPr>
        <w:t>prepositional truths</w:t>
      </w:r>
      <w:r w:rsidR="00195D42">
        <w:rPr>
          <w:rFonts w:ascii="Times New Roman" w:hAnsi="Times New Roman" w:cs="Times New Roman"/>
        </w:rPr>
        <w:t xml:space="preserve"> must</w:t>
      </w:r>
      <w:r w:rsidR="001A5B29">
        <w:rPr>
          <w:rFonts w:ascii="Times New Roman" w:hAnsi="Times New Roman" w:cs="Times New Roman"/>
        </w:rPr>
        <w:t xml:space="preserve"> merely </w:t>
      </w:r>
      <w:r w:rsidR="00195D42">
        <w:rPr>
          <w:rFonts w:ascii="Times New Roman" w:hAnsi="Times New Roman" w:cs="Times New Roman"/>
        </w:rPr>
        <w:t xml:space="preserve">be considered </w:t>
      </w:r>
      <w:r w:rsidR="00A47F99">
        <w:rPr>
          <w:rFonts w:ascii="Times New Roman" w:hAnsi="Times New Roman" w:cs="Times New Roman"/>
        </w:rPr>
        <w:t>in accordance with</w:t>
      </w:r>
      <w:r w:rsidR="00195D42">
        <w:rPr>
          <w:rFonts w:ascii="Times New Roman" w:hAnsi="Times New Roman" w:cs="Times New Roman"/>
        </w:rPr>
        <w:t xml:space="preserve"> the variable contexts in which it may occur. </w:t>
      </w:r>
      <w:r w:rsidR="00D17F8F">
        <w:rPr>
          <w:rFonts w:ascii="Times New Roman" w:hAnsi="Times New Roman" w:cs="Times New Roman"/>
        </w:rPr>
        <w:t>Their truth is in potentially constant flux</w:t>
      </w:r>
      <w:r w:rsidR="00DF3C39">
        <w:rPr>
          <w:rFonts w:ascii="Times New Roman" w:hAnsi="Times New Roman" w:cs="Times New Roman"/>
        </w:rPr>
        <w:t xml:space="preserve">, alike to the </w:t>
      </w:r>
      <w:r w:rsidR="00DF3C39">
        <w:rPr>
          <w:rFonts w:ascii="Times New Roman" w:hAnsi="Times New Roman" w:cs="Times New Roman"/>
          <w:i/>
        </w:rPr>
        <w:t>logos</w:t>
      </w:r>
      <w:r w:rsidR="00DF3C39">
        <w:rPr>
          <w:rFonts w:ascii="Times New Roman" w:hAnsi="Times New Roman" w:cs="Times New Roman"/>
        </w:rPr>
        <w:t xml:space="preserve">; strictly held prepositional truths might be the domain of ‘mere mortals’. His writings remain only in fragments and are impossible to consider without the lacquer of bias they have accrued from subsequent analysis; they are themselves subject to the context dependence they (might) have intended to make us aware of. </w:t>
      </w:r>
    </w:p>
    <w:p w14:paraId="1D4FAE3F" w14:textId="77777777" w:rsidR="00BE678E" w:rsidRPr="00BE678E" w:rsidRDefault="00BE678E" w:rsidP="00275E71">
      <w:pPr>
        <w:jc w:val="both"/>
        <w:rPr>
          <w:rFonts w:ascii="Times New Roman" w:hAnsi="Times New Roman" w:cs="Times New Roman"/>
        </w:rPr>
      </w:pPr>
    </w:p>
    <w:p w14:paraId="69420C8E" w14:textId="51FA0F1B" w:rsidR="00E50A2D" w:rsidRDefault="00E50A2D" w:rsidP="009210C0">
      <w:pPr>
        <w:jc w:val="both"/>
        <w:rPr>
          <w:rFonts w:ascii="Times New Roman" w:hAnsi="Times New Roman" w:cs="Times New Roman"/>
          <w:color w:val="1A1A1A"/>
          <w:shd w:val="clear" w:color="auto" w:fill="FFFFFF"/>
        </w:rPr>
      </w:pPr>
    </w:p>
    <w:p w14:paraId="01225714" w14:textId="44983A0B" w:rsidR="00275E71" w:rsidRDefault="00275E71">
      <w:pPr>
        <w:jc w:val="both"/>
        <w:rPr>
          <w:rFonts w:ascii="Times New Roman" w:hAnsi="Times New Roman" w:cs="Times New Roman"/>
        </w:rPr>
      </w:pPr>
    </w:p>
    <w:p w14:paraId="1EF7A35F" w14:textId="1D433227" w:rsidR="00DF3C39" w:rsidRDefault="00DF3C39">
      <w:pPr>
        <w:jc w:val="both"/>
        <w:rPr>
          <w:rFonts w:ascii="Times New Roman" w:hAnsi="Times New Roman" w:cs="Times New Roman"/>
        </w:rPr>
      </w:pPr>
    </w:p>
    <w:p w14:paraId="35E7D650" w14:textId="1A15943B" w:rsidR="00DF3C39" w:rsidRDefault="00DF3C39">
      <w:pPr>
        <w:jc w:val="both"/>
        <w:rPr>
          <w:rFonts w:ascii="Times New Roman" w:hAnsi="Times New Roman" w:cs="Times New Roman"/>
        </w:rPr>
      </w:pPr>
    </w:p>
    <w:p w14:paraId="48E454C1" w14:textId="7A94483A" w:rsidR="00DF3C39" w:rsidRDefault="00DF3C39">
      <w:pPr>
        <w:jc w:val="both"/>
        <w:rPr>
          <w:rFonts w:ascii="Times New Roman" w:hAnsi="Times New Roman" w:cs="Times New Roman"/>
        </w:rPr>
      </w:pPr>
    </w:p>
    <w:p w14:paraId="25A3CA4A" w14:textId="17943E0B" w:rsidR="00DF3C39" w:rsidRDefault="00DF3C39">
      <w:pPr>
        <w:jc w:val="both"/>
        <w:rPr>
          <w:rFonts w:ascii="Times New Roman" w:hAnsi="Times New Roman" w:cs="Times New Roman"/>
        </w:rPr>
      </w:pPr>
    </w:p>
    <w:p w14:paraId="2D1CF893" w14:textId="4B78EB4E" w:rsidR="00DF3C39" w:rsidRDefault="00DF3C39">
      <w:pPr>
        <w:jc w:val="both"/>
        <w:rPr>
          <w:rFonts w:ascii="Times New Roman" w:hAnsi="Times New Roman" w:cs="Times New Roman"/>
        </w:rPr>
      </w:pPr>
    </w:p>
    <w:p w14:paraId="78E7E93F" w14:textId="73EC14E3" w:rsidR="00DF3C39" w:rsidRDefault="00DF3C39">
      <w:pPr>
        <w:jc w:val="both"/>
        <w:rPr>
          <w:rFonts w:ascii="Times New Roman" w:hAnsi="Times New Roman" w:cs="Times New Roman"/>
        </w:rPr>
      </w:pPr>
    </w:p>
    <w:p w14:paraId="42EA442C" w14:textId="304621A1" w:rsidR="00DF3C39" w:rsidRDefault="00DF3C39">
      <w:pPr>
        <w:jc w:val="both"/>
        <w:rPr>
          <w:rFonts w:ascii="Times New Roman" w:hAnsi="Times New Roman" w:cs="Times New Roman"/>
        </w:rPr>
      </w:pPr>
    </w:p>
    <w:p w14:paraId="0D84E892" w14:textId="3EDADCAA" w:rsidR="00DF3C39" w:rsidRDefault="00DF3C39">
      <w:pPr>
        <w:jc w:val="both"/>
        <w:rPr>
          <w:rFonts w:ascii="Times New Roman" w:hAnsi="Times New Roman" w:cs="Times New Roman"/>
        </w:rPr>
      </w:pPr>
    </w:p>
    <w:p w14:paraId="6D50455D" w14:textId="3B81F84C" w:rsidR="00DF3C39" w:rsidRDefault="00DF3C39">
      <w:pPr>
        <w:jc w:val="both"/>
        <w:rPr>
          <w:rFonts w:ascii="Times New Roman" w:hAnsi="Times New Roman" w:cs="Times New Roman"/>
        </w:rPr>
      </w:pPr>
    </w:p>
    <w:p w14:paraId="041F4AAA" w14:textId="3F800113" w:rsidR="00DF3C39" w:rsidRDefault="00DF3C39">
      <w:pPr>
        <w:jc w:val="both"/>
        <w:rPr>
          <w:rFonts w:ascii="Times New Roman" w:hAnsi="Times New Roman" w:cs="Times New Roman"/>
        </w:rPr>
      </w:pPr>
    </w:p>
    <w:p w14:paraId="2CB5FAEA" w14:textId="5C67A1A5" w:rsidR="00DF3C39" w:rsidRDefault="00DF3C39">
      <w:pPr>
        <w:jc w:val="both"/>
        <w:rPr>
          <w:rFonts w:ascii="Times New Roman" w:hAnsi="Times New Roman" w:cs="Times New Roman"/>
        </w:rPr>
      </w:pPr>
    </w:p>
    <w:p w14:paraId="0EB13174" w14:textId="3EC2E1F1" w:rsidR="00DF3C39" w:rsidRDefault="00DF3C39">
      <w:pPr>
        <w:jc w:val="both"/>
        <w:rPr>
          <w:rFonts w:ascii="Times New Roman" w:hAnsi="Times New Roman" w:cs="Times New Roman"/>
        </w:rPr>
      </w:pPr>
    </w:p>
    <w:p w14:paraId="5562BA3C" w14:textId="1C6FAB51" w:rsidR="00DF3C39" w:rsidRDefault="00DF3C39">
      <w:pPr>
        <w:jc w:val="both"/>
        <w:rPr>
          <w:rFonts w:ascii="Times New Roman" w:hAnsi="Times New Roman" w:cs="Times New Roman"/>
        </w:rPr>
      </w:pPr>
      <w:r>
        <w:rPr>
          <w:rFonts w:ascii="Times New Roman" w:hAnsi="Times New Roman" w:cs="Times New Roman"/>
          <w:b/>
        </w:rPr>
        <w:lastRenderedPageBreak/>
        <w:t>Bibliography:</w:t>
      </w:r>
    </w:p>
    <w:p w14:paraId="109A60DE" w14:textId="0D82EBE9" w:rsidR="00DF3C39" w:rsidRDefault="00DF3C39" w:rsidP="00DF3C39">
      <w:pPr>
        <w:rPr>
          <w:rFonts w:ascii="Times New Roman" w:hAnsi="Times New Roman" w:cs="Times New Roman"/>
        </w:rPr>
      </w:pPr>
      <w:r>
        <w:rPr>
          <w:rFonts w:ascii="Times New Roman" w:hAnsi="Times New Roman" w:cs="Times New Roman"/>
          <w:color w:val="1A1A1A"/>
        </w:rPr>
        <w:t>Paula Gottlieb</w:t>
      </w:r>
      <w:r w:rsidRPr="00241DF0">
        <w:rPr>
          <w:rFonts w:ascii="Times New Roman" w:hAnsi="Times New Roman" w:cs="Times New Roman"/>
          <w:color w:val="1A1A1A"/>
        </w:rPr>
        <w:t>, "Aristotle on Non-contradiction", </w:t>
      </w:r>
      <w:r w:rsidRPr="00241DF0">
        <w:rPr>
          <w:rStyle w:val="Emphasis"/>
          <w:rFonts w:ascii="Times New Roman" w:hAnsi="Times New Roman" w:cs="Times New Roman"/>
          <w:color w:val="1A1A1A"/>
        </w:rPr>
        <w:t xml:space="preserve">The Stanford </w:t>
      </w:r>
      <w:proofErr w:type="spellStart"/>
      <w:r w:rsidRPr="00241DF0">
        <w:rPr>
          <w:rStyle w:val="Emphasis"/>
          <w:rFonts w:ascii="Times New Roman" w:hAnsi="Times New Roman" w:cs="Times New Roman"/>
          <w:color w:val="1A1A1A"/>
        </w:rPr>
        <w:t>Encyclopedia</w:t>
      </w:r>
      <w:proofErr w:type="spellEnd"/>
      <w:r w:rsidRPr="00241DF0">
        <w:rPr>
          <w:rStyle w:val="Emphasis"/>
          <w:rFonts w:ascii="Times New Roman" w:hAnsi="Times New Roman" w:cs="Times New Roman"/>
          <w:color w:val="1A1A1A"/>
        </w:rPr>
        <w:t xml:space="preserve"> of Philosophy </w:t>
      </w:r>
      <w:r w:rsidRPr="00241DF0">
        <w:rPr>
          <w:rFonts w:ascii="Times New Roman" w:hAnsi="Times New Roman" w:cs="Times New Roman"/>
          <w:color w:val="1A1A1A"/>
        </w:rPr>
        <w:t xml:space="preserve">(Summer 2015 Edition), Edward N. </w:t>
      </w:r>
      <w:proofErr w:type="spellStart"/>
      <w:r w:rsidRPr="00241DF0">
        <w:rPr>
          <w:rFonts w:ascii="Times New Roman" w:hAnsi="Times New Roman" w:cs="Times New Roman"/>
          <w:color w:val="1A1A1A"/>
        </w:rPr>
        <w:t>Zalta</w:t>
      </w:r>
      <w:proofErr w:type="spellEnd"/>
      <w:r w:rsidRPr="00241DF0">
        <w:rPr>
          <w:rFonts w:ascii="Times New Roman" w:hAnsi="Times New Roman" w:cs="Times New Roman"/>
          <w:color w:val="1A1A1A"/>
        </w:rPr>
        <w:t> (ed.), URL = &lt;https://plato.stanford.edu/archives/sum2015/entries/aristotle-noncontradiction/&gt;.</w:t>
      </w:r>
    </w:p>
    <w:p w14:paraId="239D1123" w14:textId="77777777" w:rsidR="00DF3C39" w:rsidRDefault="00DF3C39">
      <w:pPr>
        <w:jc w:val="both"/>
        <w:rPr>
          <w:rFonts w:ascii="Times New Roman" w:hAnsi="Times New Roman" w:cs="Times New Roman"/>
        </w:rPr>
      </w:pPr>
    </w:p>
    <w:p w14:paraId="030C04D1" w14:textId="5BA729D4" w:rsidR="00DF3C39" w:rsidRDefault="00DF3C39">
      <w:pPr>
        <w:jc w:val="both"/>
        <w:rPr>
          <w:rFonts w:ascii="Times New Roman" w:hAnsi="Times New Roman" w:cs="Times New Roman"/>
        </w:rPr>
      </w:pPr>
      <w:r w:rsidRPr="00550F5C">
        <w:rPr>
          <w:rFonts w:ascii="Times New Roman" w:hAnsi="Times New Roman" w:cs="Times New Roman"/>
        </w:rPr>
        <w:t>Marias,</w:t>
      </w:r>
      <w:r w:rsidRPr="00DF3C39">
        <w:rPr>
          <w:rFonts w:ascii="Times New Roman" w:hAnsi="Times New Roman" w:cs="Times New Roman"/>
        </w:rPr>
        <w:t xml:space="preserve"> </w:t>
      </w:r>
      <w:r w:rsidRPr="00550F5C">
        <w:rPr>
          <w:rFonts w:ascii="Times New Roman" w:hAnsi="Times New Roman" w:cs="Times New Roman"/>
        </w:rPr>
        <w:t>Julian</w:t>
      </w:r>
      <w:r>
        <w:rPr>
          <w:rFonts w:ascii="Times New Roman" w:hAnsi="Times New Roman" w:cs="Times New Roman"/>
        </w:rPr>
        <w:t>,</w:t>
      </w:r>
      <w:r w:rsidRPr="00550F5C">
        <w:rPr>
          <w:rFonts w:ascii="Times New Roman" w:hAnsi="Times New Roman" w:cs="Times New Roman"/>
        </w:rPr>
        <w:t xml:space="preserve"> </w:t>
      </w:r>
      <w:r w:rsidRPr="00550F5C">
        <w:rPr>
          <w:rFonts w:ascii="Times New Roman" w:hAnsi="Times New Roman" w:cs="Times New Roman"/>
          <w:i/>
        </w:rPr>
        <w:t>History of Philosophy</w:t>
      </w:r>
      <w:r w:rsidRPr="00550F5C">
        <w:rPr>
          <w:rFonts w:ascii="Times New Roman" w:hAnsi="Times New Roman" w:cs="Times New Roman"/>
        </w:rPr>
        <w:t>, 1967, Dover Publications, New York</w:t>
      </w:r>
    </w:p>
    <w:p w14:paraId="36FC9A1C" w14:textId="77777777" w:rsidR="00DF3C39" w:rsidRDefault="00DF3C39">
      <w:pPr>
        <w:jc w:val="both"/>
        <w:rPr>
          <w:rFonts w:ascii="Times New Roman" w:hAnsi="Times New Roman" w:cs="Times New Roman"/>
        </w:rPr>
      </w:pPr>
    </w:p>
    <w:p w14:paraId="3A9F14D4" w14:textId="5171F50E" w:rsidR="00DF3C39" w:rsidRPr="00DF3C39" w:rsidRDefault="00DF3C39">
      <w:pPr>
        <w:jc w:val="both"/>
        <w:rPr>
          <w:rFonts w:ascii="Times New Roman" w:hAnsi="Times New Roman" w:cs="Times New Roman"/>
        </w:rPr>
      </w:pPr>
      <w:r w:rsidRPr="00E55903">
        <w:rPr>
          <w:rFonts w:ascii="Times New Roman" w:hAnsi="Times New Roman" w:cs="Times New Roman"/>
        </w:rPr>
        <w:t>Taylor,</w:t>
      </w:r>
      <w:r>
        <w:rPr>
          <w:rFonts w:ascii="Times New Roman" w:hAnsi="Times New Roman" w:cs="Times New Roman"/>
        </w:rPr>
        <w:t xml:space="preserve"> </w:t>
      </w:r>
      <w:r w:rsidRPr="00E55903">
        <w:rPr>
          <w:rFonts w:ascii="Times New Roman" w:hAnsi="Times New Roman" w:cs="Times New Roman"/>
        </w:rPr>
        <w:t>C. C. W.</w:t>
      </w:r>
      <w:r>
        <w:rPr>
          <w:rFonts w:ascii="Times New Roman" w:hAnsi="Times New Roman" w:cs="Times New Roman"/>
        </w:rPr>
        <w:t>,</w:t>
      </w:r>
      <w:r w:rsidRPr="00E55903">
        <w:rPr>
          <w:rFonts w:ascii="Times New Roman" w:hAnsi="Times New Roman" w:cs="Times New Roman"/>
        </w:rPr>
        <w:t xml:space="preserve"> </w:t>
      </w:r>
      <w:r w:rsidRPr="00E55903">
        <w:rPr>
          <w:rFonts w:ascii="Times New Roman" w:hAnsi="Times New Roman" w:cs="Times New Roman"/>
          <w:i/>
        </w:rPr>
        <w:t xml:space="preserve">Routledge History of Philosophy Vol. 1, </w:t>
      </w:r>
      <w:r w:rsidRPr="00E55903">
        <w:rPr>
          <w:rFonts w:ascii="Times New Roman" w:hAnsi="Times New Roman" w:cs="Times New Roman"/>
        </w:rPr>
        <w:t>2002, Routledge Publications, London</w:t>
      </w:r>
    </w:p>
    <w:sectPr w:rsidR="00DF3C39" w:rsidRPr="00DF3C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5572B" w14:textId="77777777" w:rsidR="00C84AC9" w:rsidRDefault="00C84AC9" w:rsidP="009210C0">
      <w:pPr>
        <w:spacing w:after="0" w:line="240" w:lineRule="auto"/>
      </w:pPr>
      <w:r>
        <w:separator/>
      </w:r>
    </w:p>
  </w:endnote>
  <w:endnote w:type="continuationSeparator" w:id="0">
    <w:p w14:paraId="40242C8B" w14:textId="77777777" w:rsidR="00C84AC9" w:rsidRDefault="00C84AC9" w:rsidP="00921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0475B" w14:textId="77777777" w:rsidR="00C84AC9" w:rsidRDefault="00C84AC9" w:rsidP="009210C0">
      <w:pPr>
        <w:spacing w:after="0" w:line="240" w:lineRule="auto"/>
      </w:pPr>
      <w:r>
        <w:separator/>
      </w:r>
    </w:p>
  </w:footnote>
  <w:footnote w:type="continuationSeparator" w:id="0">
    <w:p w14:paraId="1EE5A76D" w14:textId="77777777" w:rsidR="00C84AC9" w:rsidRDefault="00C84AC9" w:rsidP="009210C0">
      <w:pPr>
        <w:spacing w:after="0" w:line="240" w:lineRule="auto"/>
      </w:pPr>
      <w:r>
        <w:continuationSeparator/>
      </w:r>
    </w:p>
  </w:footnote>
  <w:footnote w:id="1">
    <w:p w14:paraId="73D43DCE" w14:textId="78611EB2" w:rsidR="008D2F7D" w:rsidRPr="00550F5C" w:rsidRDefault="008D2F7D">
      <w:pPr>
        <w:pStyle w:val="FootnoteText"/>
        <w:rPr>
          <w:rFonts w:ascii="Times New Roman" w:hAnsi="Times New Roman" w:cs="Times New Roman"/>
        </w:rPr>
      </w:pPr>
      <w:r w:rsidRPr="00550F5C">
        <w:rPr>
          <w:rStyle w:val="FootnoteReference"/>
          <w:rFonts w:ascii="Times New Roman" w:hAnsi="Times New Roman" w:cs="Times New Roman"/>
        </w:rPr>
        <w:footnoteRef/>
      </w:r>
      <w:r w:rsidRPr="00550F5C">
        <w:rPr>
          <w:rFonts w:ascii="Times New Roman" w:hAnsi="Times New Roman" w:cs="Times New Roman"/>
        </w:rPr>
        <w:t xml:space="preserve"> Julian Marias, </w:t>
      </w:r>
      <w:r w:rsidRPr="00550F5C">
        <w:rPr>
          <w:rFonts w:ascii="Times New Roman" w:hAnsi="Times New Roman" w:cs="Times New Roman"/>
          <w:i/>
        </w:rPr>
        <w:t>History of Philosophy</w:t>
      </w:r>
      <w:r w:rsidRPr="00550F5C">
        <w:rPr>
          <w:rFonts w:ascii="Times New Roman" w:hAnsi="Times New Roman" w:cs="Times New Roman"/>
        </w:rPr>
        <w:t>, 1967, Dover Publications, New York, pg. 27</w:t>
      </w:r>
    </w:p>
  </w:footnote>
  <w:footnote w:id="2">
    <w:p w14:paraId="086AE0DB" w14:textId="45D65BDA" w:rsidR="008D2F7D" w:rsidRDefault="008D2F7D">
      <w:pPr>
        <w:pStyle w:val="FootnoteText"/>
      </w:pPr>
      <w:r w:rsidRPr="00550F5C">
        <w:rPr>
          <w:rStyle w:val="FootnoteReference"/>
          <w:rFonts w:ascii="Times New Roman" w:hAnsi="Times New Roman" w:cs="Times New Roman"/>
        </w:rPr>
        <w:footnoteRef/>
      </w:r>
      <w:r w:rsidRPr="00550F5C">
        <w:rPr>
          <w:rFonts w:ascii="Times New Roman" w:hAnsi="Times New Roman" w:cs="Times New Roman"/>
        </w:rPr>
        <w:t xml:space="preserve"> Ibid., pg.27</w:t>
      </w:r>
    </w:p>
  </w:footnote>
  <w:footnote w:id="3">
    <w:p w14:paraId="5B622D6E" w14:textId="25FD668F" w:rsidR="008D2F7D" w:rsidRPr="00E55903" w:rsidRDefault="008D2F7D" w:rsidP="00E55903">
      <w:pPr>
        <w:pStyle w:val="FootnoteText"/>
        <w:rPr>
          <w:rFonts w:ascii="Times New Roman" w:hAnsi="Times New Roman" w:cs="Times New Roman"/>
        </w:rPr>
      </w:pPr>
      <w:r w:rsidRPr="00E55903">
        <w:rPr>
          <w:rStyle w:val="FootnoteReference"/>
          <w:rFonts w:ascii="Times New Roman" w:hAnsi="Times New Roman" w:cs="Times New Roman"/>
        </w:rPr>
        <w:footnoteRef/>
      </w:r>
      <w:r w:rsidRPr="00E55903">
        <w:rPr>
          <w:rFonts w:ascii="Times New Roman" w:hAnsi="Times New Roman" w:cs="Times New Roman"/>
        </w:rPr>
        <w:t xml:space="preserve"> C. C. W. Taylor, </w:t>
      </w:r>
      <w:r w:rsidRPr="00E55903">
        <w:rPr>
          <w:rFonts w:ascii="Times New Roman" w:hAnsi="Times New Roman" w:cs="Times New Roman"/>
          <w:i/>
        </w:rPr>
        <w:t xml:space="preserve">Routledge History of Philosophy Vol. 1, </w:t>
      </w:r>
      <w:r w:rsidRPr="00E55903">
        <w:rPr>
          <w:rFonts w:ascii="Times New Roman" w:hAnsi="Times New Roman" w:cs="Times New Roman"/>
        </w:rPr>
        <w:t>2002, Routledge Publications, London, pg. 93</w:t>
      </w:r>
    </w:p>
  </w:footnote>
  <w:footnote w:id="4">
    <w:p w14:paraId="79D73A78" w14:textId="570A2CBD" w:rsidR="008D2F7D" w:rsidRPr="00241DF0" w:rsidRDefault="008D2F7D">
      <w:pPr>
        <w:pStyle w:val="FootnoteText"/>
        <w:rPr>
          <w:rFonts w:ascii="Times New Roman" w:hAnsi="Times New Roman" w:cs="Times New Roman"/>
        </w:rPr>
      </w:pPr>
      <w:r>
        <w:rPr>
          <w:rStyle w:val="FootnoteReference"/>
        </w:rPr>
        <w:footnoteRef/>
      </w:r>
      <w:r w:rsidRPr="00241DF0">
        <w:rPr>
          <w:rFonts w:ascii="Times New Roman" w:hAnsi="Times New Roman" w:cs="Times New Roman"/>
        </w:rPr>
        <w:t xml:space="preserve"> </w:t>
      </w:r>
      <w:r w:rsidR="00DF3C39">
        <w:rPr>
          <w:rFonts w:ascii="Times New Roman" w:hAnsi="Times New Roman" w:cs="Times New Roman"/>
          <w:color w:val="1A1A1A"/>
        </w:rPr>
        <w:t>Paula Gottlieb</w:t>
      </w:r>
      <w:r w:rsidRPr="00241DF0">
        <w:rPr>
          <w:rFonts w:ascii="Times New Roman" w:hAnsi="Times New Roman" w:cs="Times New Roman"/>
          <w:color w:val="1A1A1A"/>
        </w:rPr>
        <w:t>, "Aristotle on Non-contradiction", </w:t>
      </w:r>
      <w:r w:rsidRPr="00241DF0">
        <w:rPr>
          <w:rStyle w:val="Emphasis"/>
          <w:rFonts w:ascii="Times New Roman" w:hAnsi="Times New Roman" w:cs="Times New Roman"/>
          <w:color w:val="1A1A1A"/>
        </w:rPr>
        <w:t xml:space="preserve">The Stanford </w:t>
      </w:r>
      <w:proofErr w:type="spellStart"/>
      <w:r w:rsidRPr="00241DF0">
        <w:rPr>
          <w:rStyle w:val="Emphasis"/>
          <w:rFonts w:ascii="Times New Roman" w:hAnsi="Times New Roman" w:cs="Times New Roman"/>
          <w:color w:val="1A1A1A"/>
        </w:rPr>
        <w:t>Encyclopedia</w:t>
      </w:r>
      <w:proofErr w:type="spellEnd"/>
      <w:r w:rsidRPr="00241DF0">
        <w:rPr>
          <w:rStyle w:val="Emphasis"/>
          <w:rFonts w:ascii="Times New Roman" w:hAnsi="Times New Roman" w:cs="Times New Roman"/>
          <w:color w:val="1A1A1A"/>
        </w:rPr>
        <w:t xml:space="preserve"> of Philosophy </w:t>
      </w:r>
      <w:r w:rsidRPr="00241DF0">
        <w:rPr>
          <w:rFonts w:ascii="Times New Roman" w:hAnsi="Times New Roman" w:cs="Times New Roman"/>
          <w:color w:val="1A1A1A"/>
        </w:rPr>
        <w:t xml:space="preserve">(Summer 2015 Edition), Edward N. </w:t>
      </w:r>
      <w:proofErr w:type="spellStart"/>
      <w:r w:rsidRPr="00241DF0">
        <w:rPr>
          <w:rFonts w:ascii="Times New Roman" w:hAnsi="Times New Roman" w:cs="Times New Roman"/>
          <w:color w:val="1A1A1A"/>
        </w:rPr>
        <w:t>Zalta</w:t>
      </w:r>
      <w:proofErr w:type="spellEnd"/>
      <w:r w:rsidRPr="00241DF0">
        <w:rPr>
          <w:rFonts w:ascii="Times New Roman" w:hAnsi="Times New Roman" w:cs="Times New Roman"/>
          <w:color w:val="1A1A1A"/>
        </w:rPr>
        <w:t> (ed.), URL = &lt;https://plato.stanford.edu/archives/sum2015/entries/aristotle-noncontradiction/&gt;.</w:t>
      </w:r>
    </w:p>
  </w:footnote>
  <w:footnote w:id="5">
    <w:p w14:paraId="05868C45" w14:textId="706F10EA" w:rsidR="00275E71" w:rsidRPr="00275E71" w:rsidRDefault="00275E71">
      <w:pPr>
        <w:pStyle w:val="FootnoteText"/>
        <w:rPr>
          <w:rFonts w:ascii="Times New Roman" w:hAnsi="Times New Roman" w:cs="Times New Roman"/>
        </w:rPr>
      </w:pPr>
      <w:r w:rsidRPr="00275E71">
        <w:rPr>
          <w:rStyle w:val="FootnoteReference"/>
          <w:rFonts w:ascii="Times New Roman" w:hAnsi="Times New Roman" w:cs="Times New Roman"/>
        </w:rPr>
        <w:footnoteRef/>
      </w:r>
      <w:r w:rsidRPr="00275E71">
        <w:rPr>
          <w:rFonts w:ascii="Times New Roman" w:hAnsi="Times New Roman" w:cs="Times New Roman"/>
        </w:rPr>
        <w:t xml:space="preserve"> Ibid. </w:t>
      </w:r>
    </w:p>
  </w:footnote>
  <w:footnote w:id="6">
    <w:p w14:paraId="2EC8607E" w14:textId="77777777" w:rsidR="00275E71" w:rsidRDefault="00275E71" w:rsidP="00275E71">
      <w:pPr>
        <w:pStyle w:val="FootnoteText"/>
      </w:pPr>
      <w:r>
        <w:rPr>
          <w:rStyle w:val="FootnoteReference"/>
        </w:rPr>
        <w:footnoteRef/>
      </w:r>
      <w:r>
        <w:t xml:space="preserve"> </w:t>
      </w:r>
      <w:r w:rsidRPr="00E55903">
        <w:rPr>
          <w:rFonts w:ascii="Times New Roman" w:hAnsi="Times New Roman" w:cs="Times New Roman"/>
        </w:rPr>
        <w:t xml:space="preserve">C. C. W. Taylor, </w:t>
      </w:r>
      <w:r w:rsidRPr="00E55903">
        <w:rPr>
          <w:rFonts w:ascii="Times New Roman" w:hAnsi="Times New Roman" w:cs="Times New Roman"/>
          <w:i/>
        </w:rPr>
        <w:t xml:space="preserve">Routledge History of Philosophy Vol. 1, </w:t>
      </w:r>
      <w:r w:rsidRPr="00E55903">
        <w:rPr>
          <w:rFonts w:ascii="Times New Roman" w:hAnsi="Times New Roman" w:cs="Times New Roman"/>
        </w:rPr>
        <w:t>2002, Routledge Publications, London, pg.</w:t>
      </w:r>
      <w:r>
        <w:rPr>
          <w:rFonts w:ascii="Times New Roman" w:hAnsi="Times New Roman" w:cs="Times New Roman"/>
        </w:rPr>
        <w:t xml:space="preserve"> 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0C0"/>
    <w:rsid w:val="000A0422"/>
    <w:rsid w:val="000D15A0"/>
    <w:rsid w:val="00122BE9"/>
    <w:rsid w:val="001819BA"/>
    <w:rsid w:val="00195D42"/>
    <w:rsid w:val="001A5B29"/>
    <w:rsid w:val="001C2231"/>
    <w:rsid w:val="001C7A02"/>
    <w:rsid w:val="00217C64"/>
    <w:rsid w:val="00241DF0"/>
    <w:rsid w:val="00275E71"/>
    <w:rsid w:val="0031235B"/>
    <w:rsid w:val="0033396E"/>
    <w:rsid w:val="00362CD1"/>
    <w:rsid w:val="00381FE1"/>
    <w:rsid w:val="003A5282"/>
    <w:rsid w:val="00446CFE"/>
    <w:rsid w:val="00446E45"/>
    <w:rsid w:val="00481BCB"/>
    <w:rsid w:val="004F58D3"/>
    <w:rsid w:val="00550F5C"/>
    <w:rsid w:val="005C607C"/>
    <w:rsid w:val="00621F76"/>
    <w:rsid w:val="006E37DA"/>
    <w:rsid w:val="00850D4A"/>
    <w:rsid w:val="00881A0F"/>
    <w:rsid w:val="008C03C6"/>
    <w:rsid w:val="008D2F7D"/>
    <w:rsid w:val="008E3D2F"/>
    <w:rsid w:val="009210C0"/>
    <w:rsid w:val="00A47F99"/>
    <w:rsid w:val="00A665EF"/>
    <w:rsid w:val="00AA3D91"/>
    <w:rsid w:val="00AE7E14"/>
    <w:rsid w:val="00BE678E"/>
    <w:rsid w:val="00C84AC9"/>
    <w:rsid w:val="00CC70D2"/>
    <w:rsid w:val="00D17F8F"/>
    <w:rsid w:val="00D604E2"/>
    <w:rsid w:val="00D7516E"/>
    <w:rsid w:val="00D85C86"/>
    <w:rsid w:val="00DF3C39"/>
    <w:rsid w:val="00E1284E"/>
    <w:rsid w:val="00E50A2D"/>
    <w:rsid w:val="00E55903"/>
    <w:rsid w:val="00E574B6"/>
    <w:rsid w:val="00E83C15"/>
    <w:rsid w:val="00EB1F3A"/>
    <w:rsid w:val="00EE07AD"/>
    <w:rsid w:val="00F87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CE66F"/>
  <w15:chartTrackingRefBased/>
  <w15:docId w15:val="{790CF064-C473-4068-AEA5-BE1AF02EC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21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10C0"/>
    <w:rPr>
      <w:sz w:val="20"/>
      <w:szCs w:val="20"/>
    </w:rPr>
  </w:style>
  <w:style w:type="character" w:styleId="FootnoteReference">
    <w:name w:val="footnote reference"/>
    <w:basedOn w:val="DefaultParagraphFont"/>
    <w:uiPriority w:val="99"/>
    <w:semiHidden/>
    <w:unhideWhenUsed/>
    <w:rsid w:val="009210C0"/>
    <w:rPr>
      <w:vertAlign w:val="superscript"/>
    </w:rPr>
  </w:style>
  <w:style w:type="character" w:styleId="CommentReference">
    <w:name w:val="annotation reference"/>
    <w:basedOn w:val="DefaultParagraphFont"/>
    <w:uiPriority w:val="99"/>
    <w:semiHidden/>
    <w:unhideWhenUsed/>
    <w:rsid w:val="008C03C6"/>
    <w:rPr>
      <w:sz w:val="16"/>
      <w:szCs w:val="16"/>
    </w:rPr>
  </w:style>
  <w:style w:type="paragraph" w:styleId="CommentText">
    <w:name w:val="annotation text"/>
    <w:basedOn w:val="Normal"/>
    <w:link w:val="CommentTextChar"/>
    <w:uiPriority w:val="99"/>
    <w:semiHidden/>
    <w:unhideWhenUsed/>
    <w:rsid w:val="008C03C6"/>
    <w:pPr>
      <w:spacing w:line="240" w:lineRule="auto"/>
    </w:pPr>
    <w:rPr>
      <w:sz w:val="20"/>
      <w:szCs w:val="20"/>
    </w:rPr>
  </w:style>
  <w:style w:type="character" w:customStyle="1" w:styleId="CommentTextChar">
    <w:name w:val="Comment Text Char"/>
    <w:basedOn w:val="DefaultParagraphFont"/>
    <w:link w:val="CommentText"/>
    <w:uiPriority w:val="99"/>
    <w:semiHidden/>
    <w:rsid w:val="008C03C6"/>
    <w:rPr>
      <w:sz w:val="20"/>
      <w:szCs w:val="20"/>
    </w:rPr>
  </w:style>
  <w:style w:type="paragraph" w:styleId="CommentSubject">
    <w:name w:val="annotation subject"/>
    <w:basedOn w:val="CommentText"/>
    <w:next w:val="CommentText"/>
    <w:link w:val="CommentSubjectChar"/>
    <w:uiPriority w:val="99"/>
    <w:semiHidden/>
    <w:unhideWhenUsed/>
    <w:rsid w:val="008C03C6"/>
    <w:rPr>
      <w:b/>
      <w:bCs/>
    </w:rPr>
  </w:style>
  <w:style w:type="character" w:customStyle="1" w:styleId="CommentSubjectChar">
    <w:name w:val="Comment Subject Char"/>
    <w:basedOn w:val="CommentTextChar"/>
    <w:link w:val="CommentSubject"/>
    <w:uiPriority w:val="99"/>
    <w:semiHidden/>
    <w:rsid w:val="008C03C6"/>
    <w:rPr>
      <w:b/>
      <w:bCs/>
      <w:sz w:val="20"/>
      <w:szCs w:val="20"/>
    </w:rPr>
  </w:style>
  <w:style w:type="paragraph" w:styleId="BalloonText">
    <w:name w:val="Balloon Text"/>
    <w:basedOn w:val="Normal"/>
    <w:link w:val="BalloonTextChar"/>
    <w:uiPriority w:val="99"/>
    <w:semiHidden/>
    <w:unhideWhenUsed/>
    <w:rsid w:val="008C0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3C6"/>
    <w:rPr>
      <w:rFonts w:ascii="Segoe UI" w:hAnsi="Segoe UI" w:cs="Segoe UI"/>
      <w:sz w:val="18"/>
      <w:szCs w:val="18"/>
    </w:rPr>
  </w:style>
  <w:style w:type="character" w:styleId="Emphasis">
    <w:name w:val="Emphasis"/>
    <w:basedOn w:val="DefaultParagraphFont"/>
    <w:uiPriority w:val="20"/>
    <w:qFormat/>
    <w:rsid w:val="00241D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F388F-1506-44C6-9FB6-C5843BF66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3</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c:creator>
  <cp:keywords/>
  <dc:description/>
  <cp:lastModifiedBy>Fred</cp:lastModifiedBy>
  <cp:revision>3</cp:revision>
  <dcterms:created xsi:type="dcterms:W3CDTF">2018-02-13T15:35:00Z</dcterms:created>
  <dcterms:modified xsi:type="dcterms:W3CDTF">2018-02-20T12:07:00Z</dcterms:modified>
</cp:coreProperties>
</file>