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1815F4C2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72923DE1" w14:textId="4036B8A6" w:rsidR="004B7E44" w:rsidRDefault="004B7E44" w:rsidP="004B7E44">
            <w:r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0575D7B7" wp14:editId="292EB2C1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515F011" w14:textId="77777777" w:rsidR="00C31069" w:rsidRPr="00C31069" w:rsidRDefault="00C31069" w:rsidP="00C31069">
                                  <w:pPr>
                                    <w:pStyle w:val="Title"/>
                                    <w:jc w:val="left"/>
                                    <w:rPr>
                                      <w:color w:val="FFFFFF" w:themeColor="background1"/>
                                      <w:sz w:val="60"/>
                                      <w:szCs w:val="60"/>
                                    </w:rPr>
                                  </w:pPr>
                                  <w:r w:rsidRPr="00C31069">
                                    <w:rPr>
                                      <w:color w:val="FFFFFF" w:themeColor="background1"/>
                                      <w:sz w:val="60"/>
                                      <w:szCs w:val="60"/>
                                    </w:rPr>
                                    <w:t>The Role of Management Accounting Tools in Financial Decision-Making:</w:t>
                                  </w:r>
                                </w:p>
                                <w:p w14:paraId="2540849B" w14:textId="7F1A7560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rPr>
                                      <w:lang w:bidi="en-GB"/>
                                    </w:rPr>
                                    <w:t>AND MARKETING PLAN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0575D7B7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" filled="f" stroked="f" strokeweight=".5pt">
                      <v:textbox>
                        <w:txbxContent>
                          <w:p w14:paraId="3515F011" w14:textId="77777777" w:rsidR="00C31069" w:rsidRPr="00C31069" w:rsidRDefault="00C31069" w:rsidP="00C31069">
                            <w:pPr>
                              <w:pStyle w:val="Title"/>
                              <w:jc w:val="left"/>
                              <w:rPr>
                                <w:color w:val="FFFFFF" w:themeColor="background1"/>
                                <w:sz w:val="60"/>
                                <w:szCs w:val="60"/>
                              </w:rPr>
                            </w:pPr>
                            <w:r w:rsidRPr="00C31069">
                              <w:rPr>
                                <w:color w:val="FFFFFF" w:themeColor="background1"/>
                                <w:sz w:val="60"/>
                                <w:szCs w:val="60"/>
                              </w:rPr>
                              <w:t>The Role of Management Accounting Tools in Financial Decision-Making:</w:t>
                            </w:r>
                          </w:p>
                          <w:p w14:paraId="2540849B" w14:textId="7F1A7560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rPr>
                                <w:lang w:bidi="en-GB"/>
                              </w:rPr>
                              <w:t>AND MARKETING PLAN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6F5CD4CD" w14:textId="77777777" w:rsidR="004B7E44" w:rsidRDefault="004B7E44" w:rsidP="004B7E44">
            <w:r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202C7457" wp14:editId="6477FCE1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AAA52EF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575CA43F" w14:textId="5F2BBEC5" w:rsidR="004B7E44" w:rsidRDefault="004B7E44" w:rsidP="004B7E44">
            <w:r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6A2D2452" wp14:editId="0B9208F0">
                      <wp:extent cx="5138670" cy="746975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74697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AFA3CC0" w14:textId="5C8139E0" w:rsidR="004B7E44" w:rsidRPr="00C31069" w:rsidRDefault="00C31069" w:rsidP="004B7E44">
                                  <w:pPr>
                                    <w:pStyle w:val="Subtitle"/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C31069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Domino’s Pizza Group PLC (UK &amp; Ireland)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6A2D2452" id="Text Box 3" o:spid="_x0000_s1027" type="#_x0000_t202" style="width:404.6pt;height:58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" filled="f" stroked="f" strokeweight=".5pt">
                      <v:textbox>
                        <w:txbxContent>
                          <w:p w14:paraId="2AFA3CC0" w14:textId="5C8139E0" w:rsidR="004B7E44" w:rsidRPr="00C31069" w:rsidRDefault="00C31069" w:rsidP="004B7E44">
                            <w:pPr>
                              <w:pStyle w:val="Subtitle"/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C31069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Domino’s Pizza Group PLC (UK &amp; Ireland)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798E00D8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D5B7139" w14:textId="0406A5B7" w:rsidR="004B7E44" w:rsidRDefault="00C31069" w:rsidP="004B7E44">
            <w:r>
              <w:rPr>
                <w:noProof/>
                <w:lang w:bidi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34D3D054" wp14:editId="173F7182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32385</wp:posOffset>
                      </wp:positionV>
                      <wp:extent cx="4355318" cy="469557"/>
                      <wp:effectExtent l="0" t="0" r="0" b="6985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55318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4B3D6DE" w14:textId="77777777" w:rsidR="00C31069" w:rsidRPr="00C31069" w:rsidRDefault="00C31069" w:rsidP="00C31069">
                                  <w:pPr>
                                    <w:pStyle w:val="Heading1"/>
                                    <w:rPr>
                                      <w:color w:val="FFFFFF" w:themeColor="background1"/>
                                    </w:rPr>
                                  </w:pPr>
                                  <w:bookmarkStart w:id="0" w:name="_Toc214710570"/>
                                  <w:bookmarkStart w:id="1" w:name="_Toc214710619"/>
                                  <w:r w:rsidRPr="00C31069">
                                    <w:rPr>
                                      <w:color w:val="FFFFFF" w:themeColor="background1"/>
                                      <w:lang w:bidi="en-GB"/>
                                    </w:rPr>
                                    <w:t>Klaudia Budzinska 2323029</w:t>
                                  </w:r>
                                  <w:bookmarkEnd w:id="0"/>
                                  <w:bookmarkEnd w:id="1"/>
                                </w:p>
                                <w:p w14:paraId="0246C198" w14:textId="77777777" w:rsidR="00C31069" w:rsidRDefault="00C31069" w:rsidP="00C31069"/>
                                <w:p w14:paraId="6F7D8782" w14:textId="77777777" w:rsidR="00C31069" w:rsidRPr="004B7E44" w:rsidRDefault="00C31069" w:rsidP="00C31069">
                                  <w:pPr>
                                    <w:pStyle w:val="Heading1"/>
                                  </w:pPr>
                                  <w:bookmarkStart w:id="2" w:name="_Toc214700424"/>
                                  <w:bookmarkStart w:id="3" w:name="_Toc214700511"/>
                                  <w:bookmarkStart w:id="4" w:name="_Toc214710571"/>
                                  <w:bookmarkStart w:id="5" w:name="_Toc214710620"/>
                                  <w:r w:rsidRPr="004B7E44">
                                    <w:rPr>
                                      <w:lang w:bidi="en-GB"/>
                                    </w:rPr>
                                    <w:t>Company Name</w:t>
                                  </w:r>
                                  <w:bookmarkEnd w:id="2"/>
                                  <w:bookmarkEnd w:id="3"/>
                                  <w:bookmarkEnd w:id="4"/>
                                  <w:bookmarkEnd w:id="5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D3D054" id="Text Box 6" o:spid="_x0000_s1028" type="#_x0000_t202" style="position:absolute;left:0;text-align:left;margin-left:0;margin-top:2.55pt;width:342.95pt;height:36.9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" filled="f" stroked="f" strokeweight=".5pt">
                      <v:textbox>
                        <w:txbxContent>
                          <w:p w14:paraId="04B3D6DE" w14:textId="77777777" w:rsidR="00C31069" w:rsidRPr="00C31069" w:rsidRDefault="00C31069" w:rsidP="00C31069">
                            <w:pPr>
                              <w:pStyle w:val="Heading1"/>
                              <w:rPr>
                                <w:color w:val="FFFFFF" w:themeColor="background1"/>
                              </w:rPr>
                            </w:pPr>
                            <w:bookmarkStart w:id="6" w:name="_Toc214710570"/>
                            <w:bookmarkStart w:id="7" w:name="_Toc214710619"/>
                            <w:r w:rsidRPr="00C31069">
                              <w:rPr>
                                <w:color w:val="FFFFFF" w:themeColor="background1"/>
                                <w:lang w:bidi="en-GB"/>
                              </w:rPr>
                              <w:t>Klaudia Budzinska 2323029</w:t>
                            </w:r>
                            <w:bookmarkEnd w:id="6"/>
                            <w:bookmarkEnd w:id="7"/>
                          </w:p>
                          <w:p w14:paraId="0246C198" w14:textId="77777777" w:rsidR="00C31069" w:rsidRDefault="00C31069" w:rsidP="00C31069"/>
                          <w:p w14:paraId="6F7D8782" w14:textId="77777777" w:rsidR="00C31069" w:rsidRPr="004B7E44" w:rsidRDefault="00C31069" w:rsidP="00C31069">
                            <w:pPr>
                              <w:pStyle w:val="Heading1"/>
                            </w:pPr>
                            <w:bookmarkStart w:id="8" w:name="_Toc214700424"/>
                            <w:bookmarkStart w:id="9" w:name="_Toc214700511"/>
                            <w:bookmarkStart w:id="10" w:name="_Toc214710571"/>
                            <w:bookmarkStart w:id="11" w:name="_Toc214710620"/>
                            <w:r w:rsidRPr="004B7E44">
                              <w:rPr>
                                <w:lang w:bidi="en-GB"/>
                              </w:rPr>
                              <w:t>Company Name</w:t>
                            </w:r>
                            <w:bookmarkEnd w:id="8"/>
                            <w:bookmarkEnd w:id="9"/>
                            <w:bookmarkEnd w:id="10"/>
                            <w:bookmarkEnd w:id="11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8135AC4" w14:textId="35D03864" w:rsidR="004B7E44" w:rsidRDefault="00C31069" w:rsidP="004B7E44">
            <w:r>
              <w:rPr>
                <w:noProof/>
                <w:lang w:bidi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1FF0005A" wp14:editId="09BC6359">
                      <wp:simplePos x="0" y="0"/>
                      <wp:positionH relativeFrom="column">
                        <wp:posOffset>3163570</wp:posOffset>
                      </wp:positionH>
                      <wp:positionV relativeFrom="paragraph">
                        <wp:posOffset>669925</wp:posOffset>
                      </wp:positionV>
                      <wp:extent cx="3093720" cy="1445260"/>
                      <wp:effectExtent l="0" t="0" r="0" b="2540"/>
                      <wp:wrapNone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093720" cy="14452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B61AA11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b/>
                                      <w:bCs/>
                                      <w:color w:val="FFFFFF" w:themeColor="background1"/>
                                    </w:rPr>
                                  </w:pPr>
                                  <w:r w:rsidRPr="00C31069">
                                    <w:rPr>
                                      <w:b/>
                                      <w:bCs/>
                                      <w:color w:val="FFFFFF" w:themeColor="background1"/>
                                    </w:rPr>
                                    <w:t>Lecturer/Module Leader:</w:t>
                                  </w:r>
                                </w:p>
                                <w:p w14:paraId="0CC60913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</w:pP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  <w:t>Dr Rita Ukachi-Lois</w:t>
                                  </w:r>
                                </w:p>
                                <w:p w14:paraId="2456C88A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</w:pP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  <w:t>Zainab Atta</w:t>
                                  </w:r>
                                </w:p>
                                <w:p w14:paraId="3058172C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b/>
                                      <w:bCs/>
                                      <w:color w:val="FFFFFF" w:themeColor="background1"/>
                                    </w:rPr>
                                  </w:pPr>
                                  <w:r w:rsidRPr="00C31069">
                                    <w:rPr>
                                      <w:b/>
                                      <w:bCs/>
                                      <w:color w:val="FFFFFF" w:themeColor="background1"/>
                                    </w:rPr>
                                    <w:t>Assignment Title:</w:t>
                                  </w:r>
                                </w:p>
                                <w:p w14:paraId="3E7DBFF0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</w:pP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  <w:t xml:space="preserve">Component 1: Coursework: </w:t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  <w:br/>
                                    <w:t>Individual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F0005A" id="Text Box 10" o:spid="_x0000_s1029" type="#_x0000_t202" style="position:absolute;left:0;text-align:left;margin-left:249.1pt;margin-top:52.75pt;width:243.6pt;height:113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" filled="f" stroked="f" strokeweight=".5pt">
                      <v:textbox>
                        <w:txbxContent>
                          <w:p w14:paraId="1B61AA11" w14:textId="77777777" w:rsidR="00C31069" w:rsidRPr="00C31069" w:rsidRDefault="00C31069" w:rsidP="00C31069">
                            <w:pPr>
                              <w:jc w:val="left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C3106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Lecturer/Module Leader:</w:t>
                            </w:r>
                          </w:p>
                          <w:p w14:paraId="0CC60913" w14:textId="77777777" w:rsidR="00C31069" w:rsidRPr="00C31069" w:rsidRDefault="00C31069" w:rsidP="00C31069">
                            <w:pPr>
                              <w:jc w:val="left"/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</w:pP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  <w:t>Dr Rita Ukachi-Lois</w:t>
                            </w:r>
                          </w:p>
                          <w:p w14:paraId="2456C88A" w14:textId="77777777" w:rsidR="00C31069" w:rsidRPr="00C31069" w:rsidRDefault="00C31069" w:rsidP="00C31069">
                            <w:pPr>
                              <w:jc w:val="left"/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</w:pP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  <w:t>Zainab Atta</w:t>
                            </w:r>
                          </w:p>
                          <w:p w14:paraId="3058172C" w14:textId="77777777" w:rsidR="00C31069" w:rsidRPr="00C31069" w:rsidRDefault="00C31069" w:rsidP="00C31069">
                            <w:pPr>
                              <w:jc w:val="left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C3106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Assignment Title:</w:t>
                            </w:r>
                          </w:p>
                          <w:p w14:paraId="3E7DBFF0" w14:textId="77777777" w:rsidR="00C31069" w:rsidRPr="00C31069" w:rsidRDefault="00C31069" w:rsidP="00C31069">
                            <w:pPr>
                              <w:jc w:val="left"/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</w:pP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Component 1: Coursework: </w:t>
                            </w: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  <w:br/>
                              <w:t>Individual Report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bidi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10C23ACB" wp14:editId="2267C703">
                      <wp:simplePos x="0" y="0"/>
                      <wp:positionH relativeFrom="column">
                        <wp:posOffset>-1898</wp:posOffset>
                      </wp:positionH>
                      <wp:positionV relativeFrom="paragraph">
                        <wp:posOffset>677357</wp:posOffset>
                      </wp:positionV>
                      <wp:extent cx="3115894" cy="1499442"/>
                      <wp:effectExtent l="0" t="0" r="0" b="5715"/>
                      <wp:wrapNone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115894" cy="149944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43C581A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b/>
                                      <w:bCs/>
                                      <w:color w:val="FFFFFF" w:themeColor="background1"/>
                                      <w:lang w:bidi="en-GB"/>
                                    </w:rPr>
                                  </w:pPr>
                                  <w:r w:rsidRPr="00C31069">
                                    <w:rPr>
                                      <w:b/>
                                      <w:bCs/>
                                      <w:color w:val="FFFFFF" w:themeColor="background1"/>
                                      <w:lang w:bidi="en-GB"/>
                                    </w:rPr>
                                    <w:t>Programme:</w:t>
                                  </w:r>
                                </w:p>
                                <w:p w14:paraId="0A0CA0A9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color w:val="FFFFFF" w:themeColor="background1"/>
                                      <w:lang w:bidi="en-GB"/>
                                    </w:rPr>
                                  </w:pP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  <w:lang w:bidi="en-GB"/>
                                    </w:rPr>
                                    <w:t>BA (Hons) Business Management</w:t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lang w:bidi="en-GB"/>
                                    </w:rPr>
                                    <w:t xml:space="preserve"> </w:t>
                                  </w:r>
                                  <w:r w:rsidRPr="00C31069">
                                    <w:rPr>
                                      <w:b/>
                                      <w:bCs/>
                                      <w:color w:val="FFFFFF" w:themeColor="background1"/>
                                      <w:lang w:bidi="en-GB"/>
                                    </w:rPr>
                                    <w:t>Module:</w:t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lang w:bidi="en-GB"/>
                                    </w:rPr>
                                    <w:t xml:space="preserve"> </w:t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lang w:bidi="en-GB"/>
                                    </w:rPr>
                                    <w:br/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  <w:lang w:bidi="en-GB"/>
                                    </w:rPr>
                                    <w:t>Management Accounting for Managers</w:t>
                                  </w:r>
                                </w:p>
                                <w:p w14:paraId="217C2440" w14:textId="77777777" w:rsidR="00C31069" w:rsidRPr="00C31069" w:rsidRDefault="00C31069" w:rsidP="00C31069">
                                  <w:pPr>
                                    <w:jc w:val="left"/>
                                    <w:rPr>
                                      <w:color w:val="FFFFFF" w:themeColor="background1"/>
                                    </w:rPr>
                                  </w:pPr>
                                  <w:r w:rsidRPr="00C31069">
                                    <w:rPr>
                                      <w:b/>
                                      <w:bCs/>
                                      <w:color w:val="FFFFFF" w:themeColor="background1"/>
                                      <w:lang w:bidi="en-GB"/>
                                    </w:rPr>
                                    <w:t>Module code:</w:t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  <w:lang w:bidi="en-GB"/>
                                    </w:rPr>
                                    <w:t xml:space="preserve"> </w:t>
                                  </w:r>
                                  <w:r w:rsidRPr="00C31069"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  <w:lang w:bidi="en-GB"/>
                                    </w:rPr>
                                    <w:br/>
                                    <w:t>LCBB5010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0C23ACB" id="Text Box 7" o:spid="_x0000_s1030" type="#_x0000_t202" style="position:absolute;left:0;text-align:left;margin-left:-.15pt;margin-top:53.35pt;width:245.35pt;height:118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" filled="f" stroked="f" strokeweight=".5pt">
                      <v:textbox>
                        <w:txbxContent>
                          <w:p w14:paraId="343C581A" w14:textId="77777777" w:rsidR="00C31069" w:rsidRPr="00C31069" w:rsidRDefault="00C31069" w:rsidP="00C31069">
                            <w:pPr>
                              <w:jc w:val="left"/>
                              <w:rPr>
                                <w:b/>
                                <w:bCs/>
                                <w:color w:val="FFFFFF" w:themeColor="background1"/>
                                <w:lang w:bidi="en-GB"/>
                              </w:rPr>
                            </w:pPr>
                            <w:r w:rsidRPr="00C31069">
                              <w:rPr>
                                <w:b/>
                                <w:bCs/>
                                <w:color w:val="FFFFFF" w:themeColor="background1"/>
                                <w:lang w:bidi="en-GB"/>
                              </w:rPr>
                              <w:t>Programme:</w:t>
                            </w:r>
                          </w:p>
                          <w:p w14:paraId="0A0CA0A9" w14:textId="77777777" w:rsidR="00C31069" w:rsidRPr="00C31069" w:rsidRDefault="00C31069" w:rsidP="00C31069">
                            <w:pPr>
                              <w:jc w:val="left"/>
                              <w:rPr>
                                <w:color w:val="FFFFFF" w:themeColor="background1"/>
                                <w:lang w:bidi="en-GB"/>
                              </w:rPr>
                            </w:pP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  <w:lang w:bidi="en-GB"/>
                              </w:rPr>
                              <w:t>BA (Hons) Business Management</w:t>
                            </w:r>
                            <w:r w:rsidRPr="00C31069">
                              <w:rPr>
                                <w:color w:val="FFFFFF" w:themeColor="background1"/>
                                <w:lang w:bidi="en-GB"/>
                              </w:rPr>
                              <w:t xml:space="preserve"> </w:t>
                            </w:r>
                            <w:r w:rsidRPr="00C31069">
                              <w:rPr>
                                <w:b/>
                                <w:bCs/>
                                <w:color w:val="FFFFFF" w:themeColor="background1"/>
                                <w:lang w:bidi="en-GB"/>
                              </w:rPr>
                              <w:t>Module:</w:t>
                            </w:r>
                            <w:r w:rsidRPr="00C31069">
                              <w:rPr>
                                <w:color w:val="FFFFFF" w:themeColor="background1"/>
                                <w:lang w:bidi="en-GB"/>
                              </w:rPr>
                              <w:t xml:space="preserve"> </w:t>
                            </w:r>
                            <w:r w:rsidRPr="00C31069">
                              <w:rPr>
                                <w:color w:val="FFFFFF" w:themeColor="background1"/>
                                <w:lang w:bidi="en-GB"/>
                              </w:rPr>
                              <w:br/>
                            </w: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  <w:lang w:bidi="en-GB"/>
                              </w:rPr>
                              <w:t>Management Accounting for Managers</w:t>
                            </w:r>
                          </w:p>
                          <w:p w14:paraId="217C2440" w14:textId="77777777" w:rsidR="00C31069" w:rsidRPr="00C31069" w:rsidRDefault="00C31069" w:rsidP="00C31069">
                            <w:pPr>
                              <w:jc w:val="left"/>
                              <w:rPr>
                                <w:color w:val="FFFFFF" w:themeColor="background1"/>
                              </w:rPr>
                            </w:pPr>
                            <w:r w:rsidRPr="00C31069">
                              <w:rPr>
                                <w:b/>
                                <w:bCs/>
                                <w:color w:val="FFFFFF" w:themeColor="background1"/>
                                <w:lang w:bidi="en-GB"/>
                              </w:rPr>
                              <w:t>Module code:</w:t>
                            </w: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  <w:lang w:bidi="en-GB"/>
                              </w:rPr>
                              <w:t xml:space="preserve"> </w:t>
                            </w:r>
                            <w:r w:rsidRPr="00C31069">
                              <w:rPr>
                                <w:color w:val="FFFFFF" w:themeColor="background1"/>
                                <w:sz w:val="26"/>
                                <w:szCs w:val="26"/>
                                <w:lang w:bidi="en-GB"/>
                              </w:rPr>
                              <w:br/>
                              <w:t>LCBB5010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14:paraId="57C35108" w14:textId="1D9FFE6A" w:rsidR="004B7E44" w:rsidRDefault="004B7E44" w:rsidP="004B7E44">
      <w:r>
        <w:rPr>
          <w:noProof/>
          <w:lang w:bidi="en-GB"/>
        </w:rPr>
        <w:drawing>
          <wp:anchor distT="0" distB="0" distL="114300" distR="114300" simplePos="0" relativeHeight="251658240" behindDoc="1" locked="0" layoutInCell="1" allowOverlap="1" wp14:anchorId="0A7EE82E" wp14:editId="2E37352D">
            <wp:simplePos x="0" y="0"/>
            <wp:positionH relativeFrom="column">
              <wp:posOffset>-720090</wp:posOffset>
            </wp:positionH>
            <wp:positionV relativeFrom="page">
              <wp:posOffset>-445</wp:posOffset>
            </wp:positionV>
            <wp:extent cx="7740015" cy="10842171"/>
            <wp:effectExtent l="0" t="0" r="0" b="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8421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bidi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371834B" wp14:editId="794567D3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u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30E0BE" id="Rectangle 2" o:spid="_x0000_s1026" alt="colou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7B0895C4" w14:textId="10102541" w:rsidR="004B7E44" w:rsidRDefault="00C31069">
      <w:pPr>
        <w:spacing w:after="200"/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315765FE" wp14:editId="16ED3C28">
            <wp:simplePos x="0" y="0"/>
            <wp:positionH relativeFrom="column">
              <wp:posOffset>185525</wp:posOffset>
            </wp:positionH>
            <wp:positionV relativeFrom="paragraph">
              <wp:posOffset>8671393</wp:posOffset>
            </wp:positionV>
            <wp:extent cx="2348865" cy="787400"/>
            <wp:effectExtent l="0" t="0" r="0" b="0"/>
            <wp:wrapNone/>
            <wp:docPr id="1044963519" name="Picture 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963519" name="Picture 1" descr="A black background with white tex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8865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rPr>
          <w:lang w:bidi="en-GB"/>
        </w:rPr>
        <w:br w:type="page"/>
      </w:r>
    </w:p>
    <w:sdt>
      <w:sdtPr>
        <w:rPr>
          <w:rFonts w:ascii="Arial Nova" w:eastAsiaTheme="minorEastAsia" w:hAnsi="Arial Nova" w:cstheme="minorBidi"/>
          <w:color w:val="auto"/>
          <w:sz w:val="24"/>
          <w:szCs w:val="22"/>
          <w:lang w:eastAsia="en-US"/>
        </w:rPr>
        <w:id w:val="14678756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E7DC060" w14:textId="53ABE43C" w:rsidR="000A2A84" w:rsidRDefault="000A2A84">
          <w:pPr>
            <w:pStyle w:val="TOCHeading"/>
          </w:pPr>
          <w:r>
            <w:t>Contents</w:t>
          </w:r>
        </w:p>
        <w:p w14:paraId="2A610199" w14:textId="1B94ED40" w:rsidR="00C31069" w:rsidRDefault="000A2A84" w:rsidP="00C31069">
          <w:pPr>
            <w:pStyle w:val="TOC1"/>
            <w:tabs>
              <w:tab w:val="right" w:leader="dot" w:pos="9592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710621" w:history="1">
            <w:r w:rsidR="00C31069" w:rsidRPr="00657F95">
              <w:rPr>
                <w:rStyle w:val="Hyperlink"/>
                <w:noProof/>
              </w:rPr>
              <w:t>Introduction</w:t>
            </w:r>
            <w:r w:rsidR="00C31069">
              <w:rPr>
                <w:noProof/>
                <w:webHidden/>
              </w:rPr>
              <w:tab/>
            </w:r>
            <w:r w:rsidR="00C31069">
              <w:rPr>
                <w:noProof/>
                <w:webHidden/>
              </w:rPr>
              <w:fldChar w:fldCharType="begin"/>
            </w:r>
            <w:r w:rsidR="00C31069">
              <w:rPr>
                <w:noProof/>
                <w:webHidden/>
              </w:rPr>
              <w:instrText xml:space="preserve"> PAGEREF _Toc214710621 \h </w:instrText>
            </w:r>
            <w:r w:rsidR="00C31069">
              <w:rPr>
                <w:noProof/>
                <w:webHidden/>
              </w:rPr>
            </w:r>
            <w:r w:rsidR="00C31069">
              <w:rPr>
                <w:noProof/>
                <w:webHidden/>
              </w:rPr>
              <w:fldChar w:fldCharType="separate"/>
            </w:r>
            <w:r w:rsidR="00C31069">
              <w:rPr>
                <w:noProof/>
                <w:webHidden/>
              </w:rPr>
              <w:t>3</w:t>
            </w:r>
            <w:r w:rsidR="00C31069">
              <w:rPr>
                <w:noProof/>
                <w:webHidden/>
              </w:rPr>
              <w:fldChar w:fldCharType="end"/>
            </w:r>
          </w:hyperlink>
        </w:p>
        <w:p w14:paraId="668718CE" w14:textId="0D2AC99A" w:rsidR="00C31069" w:rsidRDefault="00C31069" w:rsidP="00C31069">
          <w:pPr>
            <w:pStyle w:val="TOC2"/>
            <w:tabs>
              <w:tab w:val="right" w:leader="dot" w:pos="9592"/>
            </w:tabs>
            <w:ind w:left="0"/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2" w:history="1">
            <w:r w:rsidRPr="00657F95">
              <w:rPr>
                <w:rStyle w:val="Hyperlink"/>
                <w:noProof/>
              </w:rPr>
              <w:t>Cost Analysis and Business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F88F3" w14:textId="2CD6838F" w:rsidR="00C31069" w:rsidRDefault="00C31069" w:rsidP="00C31069">
          <w:pPr>
            <w:pStyle w:val="TOC2"/>
            <w:tabs>
              <w:tab w:val="right" w:leader="dot" w:pos="9592"/>
            </w:tabs>
            <w:ind w:left="0"/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3" w:history="1">
            <w:r w:rsidRPr="00657F95">
              <w:rPr>
                <w:rStyle w:val="Hyperlink"/>
                <w:noProof/>
              </w:rPr>
              <w:t>Budgeting and Financial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5C49F" w14:textId="5CEB0173" w:rsidR="00C31069" w:rsidRDefault="00C31069" w:rsidP="00C31069">
          <w:pPr>
            <w:pStyle w:val="TOC2"/>
            <w:tabs>
              <w:tab w:val="right" w:leader="dot" w:pos="9592"/>
            </w:tabs>
            <w:ind w:left="0"/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4" w:history="1">
            <w:r w:rsidRPr="00657F95">
              <w:rPr>
                <w:rStyle w:val="Hyperlink"/>
                <w:noProof/>
              </w:rPr>
              <w:t>Performance Measurement &amp;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14C249" w14:textId="231FBEA7" w:rsidR="00C31069" w:rsidRDefault="00C31069">
          <w:pPr>
            <w:pStyle w:val="TOC3"/>
            <w:tabs>
              <w:tab w:val="right" w:leader="dot" w:pos="9592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5" w:history="1">
            <w:r w:rsidRPr="00657F95">
              <w:rPr>
                <w:rStyle w:val="Hyperlink"/>
                <w:noProof/>
              </w:rPr>
              <w:t>Key Financial and Non-Financial KPIs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57A7E" w14:textId="505F826A" w:rsidR="00C31069" w:rsidRDefault="00C31069" w:rsidP="00C31069">
          <w:pPr>
            <w:pStyle w:val="TOC3"/>
            <w:tabs>
              <w:tab w:val="right" w:leader="dot" w:pos="9592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7" w:history="1">
            <w:r w:rsidRPr="00657F95">
              <w:rPr>
                <w:rStyle w:val="Hyperlink"/>
                <w:noProof/>
              </w:rPr>
              <w:t>Strategic Decisions Driven by KPI Insights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90A5A" w14:textId="36D2A4E3" w:rsidR="00C31069" w:rsidRDefault="00C31069">
          <w:pPr>
            <w:pStyle w:val="TOC3"/>
            <w:tabs>
              <w:tab w:val="right" w:leader="dot" w:pos="9592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8" w:history="1">
            <w:r w:rsidRPr="00657F95">
              <w:rPr>
                <w:rStyle w:val="Hyperlink"/>
                <w:noProof/>
              </w:rPr>
              <w:t>Critical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7F074D" w14:textId="597BB82A" w:rsidR="00C31069" w:rsidRDefault="00C31069" w:rsidP="00C31069">
          <w:pPr>
            <w:pStyle w:val="TOC2"/>
            <w:tabs>
              <w:tab w:val="right" w:leader="dot" w:pos="9592"/>
            </w:tabs>
            <w:ind w:left="0"/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29" w:history="1">
            <w:r w:rsidRPr="00657F95">
              <w:rPr>
                <w:rStyle w:val="Hyperlink"/>
                <w:noProof/>
              </w:rPr>
              <w:t>Sustainability and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47B7F8" w14:textId="29FCF411" w:rsidR="00C31069" w:rsidRDefault="00C31069" w:rsidP="00C31069">
          <w:pPr>
            <w:pStyle w:val="TOC2"/>
            <w:tabs>
              <w:tab w:val="right" w:leader="dot" w:pos="9592"/>
            </w:tabs>
            <w:ind w:left="0"/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30" w:history="1">
            <w:r w:rsidRPr="00657F95">
              <w:rPr>
                <w:rStyle w:val="Hyperlink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6951E7" w14:textId="78503DC0" w:rsidR="00C31069" w:rsidRDefault="00C31069">
          <w:pPr>
            <w:pStyle w:val="TOC3"/>
            <w:tabs>
              <w:tab w:val="right" w:leader="dot" w:pos="9592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31" w:history="1">
            <w:r w:rsidRPr="00657F95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7D63A" w14:textId="6012C183" w:rsidR="00C31069" w:rsidRDefault="00C31069" w:rsidP="00C31069">
          <w:pPr>
            <w:pStyle w:val="TOC2"/>
            <w:tabs>
              <w:tab w:val="right" w:leader="dot" w:pos="9592"/>
            </w:tabs>
            <w:ind w:left="0"/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14710632" w:history="1">
            <w:r w:rsidRPr="00657F9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_Toc214710632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9F465" w14:textId="6D62113C" w:rsidR="000A2A84" w:rsidRDefault="000A2A84">
          <w:r>
            <w:rPr>
              <w:b/>
              <w:bCs/>
            </w:rPr>
            <w:fldChar w:fldCharType="end"/>
          </w:r>
        </w:p>
      </w:sdtContent>
    </w:sdt>
    <w:p w14:paraId="2BD4EBCC" w14:textId="20D74458" w:rsidR="000A2A84" w:rsidRDefault="000A2A84">
      <w:pPr>
        <w:spacing w:after="200"/>
        <w:jc w:val="left"/>
        <w:rPr>
          <w:color w:val="52031F" w:themeColor="accent1" w:themeShade="80"/>
        </w:rPr>
      </w:pPr>
      <w:r>
        <w:rPr>
          <w:color w:val="52031F" w:themeColor="accent1" w:themeShade="80"/>
        </w:rPr>
        <w:br w:type="page"/>
      </w:r>
    </w:p>
    <w:p w14:paraId="7EFE00B9" w14:textId="3DF2EF59" w:rsidR="000A2A84" w:rsidRDefault="000A2A84" w:rsidP="000A2A84">
      <w:pPr>
        <w:pStyle w:val="Heading2"/>
      </w:pPr>
      <w:bookmarkStart w:id="12" w:name="_Toc214710621"/>
      <w:r w:rsidRPr="000A2A84">
        <w:lastRenderedPageBreak/>
        <w:t>Introduction</w:t>
      </w:r>
      <w:bookmarkEnd w:id="12"/>
    </w:p>
    <w:p w14:paraId="615A196B" w14:textId="77777777" w:rsidR="000A2A84" w:rsidRPr="000A2A84" w:rsidRDefault="000A2A84" w:rsidP="000A2A84">
      <w:pPr>
        <w:pStyle w:val="Heading2"/>
      </w:pPr>
    </w:p>
    <w:p w14:paraId="3DDBF90D" w14:textId="4772A906" w:rsidR="000A2A84" w:rsidRPr="00C31069" w:rsidRDefault="000A2A84" w:rsidP="000A2A84">
      <w:pPr>
        <w:rPr>
          <w:i/>
          <w:iCs/>
        </w:rPr>
      </w:pPr>
      <w:r w:rsidRPr="000A2A84">
        <w:t>The master franchise holder for Domino's in the UK and Ireland is Domino's Pizza Group</w:t>
      </w:r>
      <w:r>
        <w:t xml:space="preserve"> </w:t>
      </w:r>
      <w:r w:rsidRPr="000A2A84">
        <w:t>PLC (DPG), a FTSE 250 business that is listed on the London Stock Exchange. Domino's</w:t>
      </w:r>
      <w:r>
        <w:t xml:space="preserve"> </w:t>
      </w:r>
      <w:r w:rsidRPr="000A2A84">
        <w:t>Pizza International Franchising Inc., the NYSE-listed owner of the worldwide Domino's</w:t>
      </w:r>
      <w:r>
        <w:t xml:space="preserve"> </w:t>
      </w:r>
      <w:r w:rsidRPr="000A2A84">
        <w:t>brand, has awarded the company exclusive, long-term rights (DPG, 2025). Strong</w:t>
      </w:r>
      <w:r>
        <w:t xml:space="preserve"> </w:t>
      </w:r>
      <w:r w:rsidRPr="000A2A84">
        <w:t>management accounting systems that give internal users pertinent financial and operational</w:t>
      </w:r>
      <w:r>
        <w:t xml:space="preserve"> </w:t>
      </w:r>
      <w:r w:rsidRPr="000A2A84">
        <w:t>knowledge are essential to the running of this large, data-driven foodservice company</w:t>
      </w:r>
      <w:r>
        <w:t xml:space="preserve"> </w:t>
      </w:r>
      <w:r w:rsidRPr="000A2A84">
        <w:t xml:space="preserve">(Weygandt, Kimmel and Mitchell, 2020). </w:t>
      </w:r>
      <w:r w:rsidRPr="00C31069">
        <w:rPr>
          <w:i/>
          <w:iCs/>
        </w:rPr>
        <w:t>"To provide relevant information to organisational</w:t>
      </w:r>
    </w:p>
    <w:p w14:paraId="358DCA17" w14:textId="6727388E" w:rsidR="000A2A84" w:rsidRDefault="000A2A84" w:rsidP="000A2A84">
      <w:r w:rsidRPr="00C31069">
        <w:rPr>
          <w:i/>
          <w:iCs/>
        </w:rPr>
        <w:t>managers"</w:t>
      </w:r>
      <w:r w:rsidRPr="000A2A84">
        <w:t xml:space="preserve"> is its main goal (Simkin et al., 20</w:t>
      </w:r>
      <w:r w:rsidR="00C31069">
        <w:t>18</w:t>
      </w:r>
      <w:r w:rsidRPr="000A2A84">
        <w:t>, p. 9).</w:t>
      </w:r>
    </w:p>
    <w:p w14:paraId="4B30AC2C" w14:textId="77777777" w:rsidR="000A2A84" w:rsidRDefault="000A2A84" w:rsidP="000A2A84"/>
    <w:p w14:paraId="39A7CBB5" w14:textId="5A0D9CB3" w:rsidR="000A2A84" w:rsidRDefault="000A2A84" w:rsidP="000A2A84">
      <w:r w:rsidRPr="000A2A84">
        <w:t>Effective information systems enable these insights because an accounting information</w:t>
      </w:r>
      <w:r>
        <w:t xml:space="preserve"> </w:t>
      </w:r>
      <w:r w:rsidRPr="000A2A84">
        <w:t>system is a collection of data and processing methods that produce the information required</w:t>
      </w:r>
      <w:r>
        <w:t xml:space="preserve"> </w:t>
      </w:r>
      <w:r w:rsidRPr="000A2A84">
        <w:t>for its users (Simkin et al., 20</w:t>
      </w:r>
      <w:r w:rsidR="00C31069">
        <w:t>18</w:t>
      </w:r>
      <w:r w:rsidRPr="000A2A84">
        <w:t>). Long-term performance depends on methodical planning,</w:t>
      </w:r>
      <w:r>
        <w:t xml:space="preserve"> </w:t>
      </w:r>
      <w:r w:rsidRPr="000A2A84">
        <w:t>effective resource allocation, and well-informed decision-making, all of which are supported</w:t>
      </w:r>
      <w:r>
        <w:t xml:space="preserve"> </w:t>
      </w:r>
      <w:r w:rsidRPr="000A2A84">
        <w:t>by effective financial analysis (Atrill, 2019).</w:t>
      </w:r>
    </w:p>
    <w:p w14:paraId="6049A473" w14:textId="77777777" w:rsidR="000A2A84" w:rsidRPr="000A2A84" w:rsidRDefault="000A2A84" w:rsidP="000A2A84"/>
    <w:p w14:paraId="753EA99B" w14:textId="77777777" w:rsidR="000A2A84" w:rsidRDefault="000A2A84" w:rsidP="000A2A84">
      <w:pPr>
        <w:pStyle w:val="Heading2"/>
      </w:pPr>
      <w:bookmarkStart w:id="13" w:name="_Toc214710622"/>
      <w:r w:rsidRPr="000A2A84">
        <w:t>Cost Analysis and Business Model</w:t>
      </w:r>
      <w:bookmarkEnd w:id="13"/>
    </w:p>
    <w:p w14:paraId="4157D596" w14:textId="77777777" w:rsidR="000A2A84" w:rsidRPr="000A2A84" w:rsidRDefault="000A2A84" w:rsidP="000A2A84">
      <w:pPr>
        <w:pStyle w:val="Heading2"/>
      </w:pPr>
    </w:p>
    <w:p w14:paraId="70094FE0" w14:textId="690E85DD" w:rsidR="000A2A84" w:rsidRDefault="000A2A84" w:rsidP="000A2A84">
      <w:r w:rsidRPr="000A2A84">
        <w:t>In the UK and Ireland, DPG uses a capital-light master franchise model. Its vertically</w:t>
      </w:r>
      <w:r>
        <w:t xml:space="preserve"> </w:t>
      </w:r>
      <w:r w:rsidRPr="000A2A84">
        <w:t>integrated supply chain, royalties, internet ordering, and a small number of corporate outlets</w:t>
      </w:r>
      <w:r>
        <w:t xml:space="preserve"> </w:t>
      </w:r>
      <w:r w:rsidRPr="000A2A84">
        <w:t>are its primary sources of income. In addition to rents and marketing efforts, the company's</w:t>
      </w:r>
      <w:r>
        <w:t xml:space="preserve"> </w:t>
      </w:r>
      <w:r w:rsidRPr="000A2A84">
        <w:t>main source of revenue is the supply of dough, ingredients, and packaging to franchisees</w:t>
      </w:r>
      <w:r>
        <w:t xml:space="preserve"> </w:t>
      </w:r>
      <w:r w:rsidRPr="000A2A84">
        <w:t>(DPG, 2024). While franchisees oversee labour and local operations, this approach allows</w:t>
      </w:r>
      <w:r>
        <w:t xml:space="preserve"> </w:t>
      </w:r>
      <w:r w:rsidRPr="000A2A84">
        <w:t>for national scalability by separating corporate from store-level risk. From a</w:t>
      </w:r>
      <w:r>
        <w:t xml:space="preserve"> </w:t>
      </w:r>
      <w:r w:rsidRPr="000A2A84">
        <w:t>management accounting</w:t>
      </w:r>
      <w:r>
        <w:t xml:space="preserve"> </w:t>
      </w:r>
      <w:r w:rsidRPr="000A2A84">
        <w:t>perspective, efficient cost analysis is crucial as precise knowledge of the</w:t>
      </w:r>
      <w:r>
        <w:t xml:space="preserve"> </w:t>
      </w:r>
      <w:r w:rsidRPr="000A2A84">
        <w:t>industrial environment improves the interpretation of financial data. According to Pratt and</w:t>
      </w:r>
      <w:r>
        <w:t xml:space="preserve"> </w:t>
      </w:r>
      <w:r w:rsidRPr="000A2A84">
        <w:t>Peters (2021), managers may evaluate performance more successfully when accounting</w:t>
      </w:r>
      <w:r>
        <w:t xml:space="preserve"> </w:t>
      </w:r>
      <w:r w:rsidRPr="000A2A84">
        <w:t>data is connected to operational reality.</w:t>
      </w:r>
      <w:r>
        <w:t xml:space="preserve"> </w:t>
      </w:r>
    </w:p>
    <w:p w14:paraId="28DA3A1C" w14:textId="77777777" w:rsidR="000A2A84" w:rsidRDefault="000A2A84" w:rsidP="000A2A84"/>
    <w:p w14:paraId="236B7288" w14:textId="77777777" w:rsidR="000A2A84" w:rsidRDefault="000A2A84" w:rsidP="000A2A84">
      <w:r w:rsidRPr="000A2A84">
        <w:t xml:space="preserve">Cost behaviour, which Weetman (2013, p. 25) defines </w:t>
      </w:r>
      <w:r w:rsidRPr="00C31069">
        <w:rPr>
          <w:i/>
          <w:iCs/>
        </w:rPr>
        <w:t>as "the way in which costs respond to changes in activity levels,"</w:t>
      </w:r>
      <w:r w:rsidRPr="000A2A84">
        <w:t xml:space="preserve"> is the first step towards comprehending Domino's cost base.</w:t>
      </w:r>
      <w:r>
        <w:t xml:space="preserve"> </w:t>
      </w:r>
      <w:r w:rsidRPr="000A2A84">
        <w:t>This idea is essential to analysing performance in a delivery-based food business. While</w:t>
      </w:r>
      <w:r>
        <w:t xml:space="preserve"> </w:t>
      </w:r>
      <w:r w:rsidRPr="000A2A84">
        <w:t>fixed expenses include rents, rates, and wages, variable costs for Domino's franchisees</w:t>
      </w:r>
      <w:r>
        <w:t xml:space="preserve"> </w:t>
      </w:r>
      <w:r w:rsidRPr="000A2A84">
        <w:t>include ingredients, packaging, and hourly labour that increase with order numbers. Fixed</w:t>
      </w:r>
      <w:r>
        <w:t xml:space="preserve"> </w:t>
      </w:r>
      <w:r w:rsidRPr="000A2A84">
        <w:t>costs at the PLC level are associated with technical infrastructure, logistics, and national</w:t>
      </w:r>
      <w:r>
        <w:t xml:space="preserve"> </w:t>
      </w:r>
      <w:r w:rsidRPr="000A2A84">
        <w:t>marketing.</w:t>
      </w:r>
    </w:p>
    <w:p w14:paraId="1160A261" w14:textId="77777777" w:rsidR="000A2A84" w:rsidRDefault="000A2A84" w:rsidP="000A2A84"/>
    <w:p w14:paraId="64444E20" w14:textId="109972C9" w:rsidR="000A2A84" w:rsidRDefault="000A2A84" w:rsidP="000A2A84">
      <w:r w:rsidRPr="000A2A84">
        <w:t>Management can more precisely predict changes and efficiently allocate resources</w:t>
      </w:r>
      <w:r w:rsidR="00C31069">
        <w:br/>
      </w:r>
      <w:r w:rsidRPr="000A2A84">
        <w:t>by distinguishing between different cost categories. In Domino's vertically integrated supply</w:t>
      </w:r>
      <w:r>
        <w:t xml:space="preserve"> </w:t>
      </w:r>
      <w:r w:rsidRPr="000A2A84">
        <w:t>chain, fixed overheads are very significant</w:t>
      </w:r>
      <w:r w:rsidRPr="00C31069">
        <w:rPr>
          <w:i/>
          <w:iCs/>
        </w:rPr>
        <w:t>. "The predetermined overhead rate plays a major role in fixed overhead analysis,"</w:t>
      </w:r>
      <w:r w:rsidRPr="000A2A84">
        <w:t xml:space="preserve"> according to Seal et al. (2018, p. 530). This idea is clear</w:t>
      </w:r>
      <w:r w:rsidR="00C31069">
        <w:br/>
      </w:r>
      <w:r w:rsidRPr="000A2A84">
        <w:t>in Domino's distribution centres, where significant fixed expenses must be distributed</w:t>
      </w:r>
      <w:r>
        <w:t xml:space="preserve"> </w:t>
      </w:r>
      <w:r w:rsidRPr="000A2A84">
        <w:lastRenderedPageBreak/>
        <w:t>among</w:t>
      </w:r>
      <w:r>
        <w:t xml:space="preserve"> </w:t>
      </w:r>
      <w:r w:rsidRPr="000A2A84">
        <w:t>varying franchise orders. Overhead absorption directly affects margins and pricing</w:t>
      </w:r>
      <w:r>
        <w:t xml:space="preserve"> </w:t>
      </w:r>
      <w:r w:rsidRPr="000A2A84">
        <w:t>strategies during times of inflation or low demand, necessitating constant adjustments</w:t>
      </w:r>
      <w:r w:rsidR="00C31069">
        <w:br/>
      </w:r>
      <w:r w:rsidRPr="000A2A84">
        <w:t>to management's assumptions. Making decisions requires weighing financial options.</w:t>
      </w:r>
      <w:r>
        <w:t xml:space="preserve"> </w:t>
      </w:r>
      <w:r w:rsidRPr="000A2A84">
        <w:t>Weygandt, Kimmel and Kieso (20</w:t>
      </w:r>
      <w:r w:rsidR="00C31069">
        <w:t>18</w:t>
      </w:r>
      <w:r w:rsidRPr="000A2A84">
        <w:t xml:space="preserve">, p. 214) state that </w:t>
      </w:r>
      <w:r w:rsidRPr="00C31069">
        <w:rPr>
          <w:i/>
          <w:iCs/>
        </w:rPr>
        <w:t>“Financial decisions require managers to weigh potential benefits and resource trade-offs to achieve optimal outcomes.”</w:t>
      </w:r>
      <w:r>
        <w:t xml:space="preserve"> </w:t>
      </w:r>
      <w:r w:rsidRPr="000A2A84">
        <w:t>When comparing costs like electric delivery fleets to store development or menu</w:t>
      </w:r>
      <w:r>
        <w:t xml:space="preserve"> </w:t>
      </w:r>
      <w:r w:rsidRPr="000A2A84">
        <w:t>investments, this concept is consistent with Domino's strategy.</w:t>
      </w:r>
    </w:p>
    <w:p w14:paraId="6867F3F6" w14:textId="77777777" w:rsidR="000A2A84" w:rsidRDefault="000A2A84" w:rsidP="000A2A84"/>
    <w:p w14:paraId="5300248B" w14:textId="6824996D" w:rsidR="000A2A84" w:rsidRDefault="000A2A84" w:rsidP="000A2A84">
      <w:r w:rsidRPr="000A2A84">
        <w:t>These ideas serve as guidance for Domino's when weighing expenditures like electric</w:t>
      </w:r>
      <w:r>
        <w:t xml:space="preserve"> </w:t>
      </w:r>
      <w:r w:rsidRPr="000A2A84">
        <w:t>delivery fleets against the construction of additional stores or discount menu promotions</w:t>
      </w:r>
      <w:r>
        <w:t xml:space="preserve"> </w:t>
      </w:r>
      <w:r w:rsidRPr="000A2A84">
        <w:t>against the development of high-end products. Simkin et al. (20</w:t>
      </w:r>
      <w:r w:rsidR="00C31069">
        <w:t>18</w:t>
      </w:r>
      <w:r w:rsidRPr="000A2A84">
        <w:t>, p. 9) highlight that</w:t>
      </w:r>
      <w:r>
        <w:t xml:space="preserve"> </w:t>
      </w:r>
      <w:r w:rsidRPr="00C31069">
        <w:rPr>
          <w:i/>
          <w:iCs/>
        </w:rPr>
        <w:t>"companies must be more efficient and adept at controlling costs."</w:t>
      </w:r>
      <w:r w:rsidRPr="000A2A84">
        <w:t xml:space="preserve"> For Domino's, this entails</w:t>
      </w:r>
      <w:r>
        <w:t xml:space="preserve"> </w:t>
      </w:r>
      <w:r w:rsidRPr="000A2A84">
        <w:t>reducing supply-chain costs, maximising worker scheduling, and safeguarding franchisee</w:t>
      </w:r>
      <w:r>
        <w:t xml:space="preserve"> </w:t>
      </w:r>
      <w:r w:rsidRPr="000A2A84">
        <w:t>earnings. When combined, these management accounting solutions provide long-term</w:t>
      </w:r>
      <w:r>
        <w:t xml:space="preserve"> </w:t>
      </w:r>
      <w:r w:rsidRPr="000A2A84">
        <w:t>resilience, operational effectiveness, and scalability in a cutthroat food delivery industry.</w:t>
      </w:r>
    </w:p>
    <w:p w14:paraId="1791DC56" w14:textId="77777777" w:rsidR="000A2A84" w:rsidRPr="000A2A84" w:rsidRDefault="000A2A84" w:rsidP="000A2A84"/>
    <w:p w14:paraId="4786D6DE" w14:textId="77777777" w:rsidR="000A2A84" w:rsidRDefault="000A2A84" w:rsidP="000A2A84">
      <w:pPr>
        <w:pStyle w:val="Heading2"/>
      </w:pPr>
      <w:bookmarkStart w:id="14" w:name="_Toc214710623"/>
      <w:r w:rsidRPr="000A2A84">
        <w:t>Budgeting and Financial Planning</w:t>
      </w:r>
      <w:bookmarkEnd w:id="14"/>
    </w:p>
    <w:p w14:paraId="0AB97B98" w14:textId="77777777" w:rsidR="000A2A84" w:rsidRPr="000A2A84" w:rsidRDefault="000A2A84" w:rsidP="000A2A84">
      <w:pPr>
        <w:pStyle w:val="Heading2"/>
      </w:pPr>
    </w:p>
    <w:p w14:paraId="37B31DC4" w14:textId="1BEE4751" w:rsidR="000A2A84" w:rsidRDefault="000A2A84" w:rsidP="000A2A84">
      <w:r w:rsidRPr="000A2A84">
        <w:t>A key component of management accounting, budgeting enables businesses to plan,</w:t>
      </w:r>
      <w:r>
        <w:t xml:space="preserve"> </w:t>
      </w:r>
      <w:r w:rsidRPr="000A2A84">
        <w:t>monitor, and evaluate performance. According to Weygandt, Kimmel and Mitchell (2020),</w:t>
      </w:r>
      <w:r w:rsidR="00C31069">
        <w:br/>
      </w:r>
      <w:r w:rsidRPr="000A2A84">
        <w:t>a</w:t>
      </w:r>
      <w:r>
        <w:t xml:space="preserve"> </w:t>
      </w:r>
      <w:r w:rsidRPr="000A2A84">
        <w:t>budget is a comprehensive written statement of the company's plans for an upcoming period</w:t>
      </w:r>
      <w:r>
        <w:t xml:space="preserve"> </w:t>
      </w:r>
      <w:r w:rsidRPr="000A2A84">
        <w:t>that converts strategic goals into tangible financial targets. Budgets within Domino's</w:t>
      </w:r>
      <w:r>
        <w:t xml:space="preserve"> </w:t>
      </w:r>
      <w:r w:rsidRPr="000A2A84">
        <w:t>franchise network provide operational alignment by connecting national objectives with</w:t>
      </w:r>
      <w:r>
        <w:t xml:space="preserve"> </w:t>
      </w:r>
      <w:r w:rsidRPr="000A2A84">
        <w:t xml:space="preserve">store-level performance. Weetman (2013, p. 25) notes that </w:t>
      </w:r>
      <w:r w:rsidRPr="00C31069">
        <w:rPr>
          <w:i/>
          <w:iCs/>
        </w:rPr>
        <w:t>"cost behaviour is the way</w:t>
      </w:r>
      <w:r w:rsidR="00C31069" w:rsidRPr="00C31069">
        <w:rPr>
          <w:i/>
          <w:iCs/>
        </w:rPr>
        <w:br/>
      </w:r>
      <w:r w:rsidRPr="00C31069">
        <w:rPr>
          <w:i/>
          <w:iCs/>
        </w:rPr>
        <w:t>in which costs respond to changes in activity levels,"</w:t>
      </w:r>
      <w:r w:rsidRPr="000A2A84">
        <w:t xml:space="preserve"> which Domino's must consider when</w:t>
      </w:r>
      <w:r>
        <w:t xml:space="preserve"> </w:t>
      </w:r>
      <w:r w:rsidRPr="000A2A84">
        <w:t>projecting workforce hours, delivery capacity, and ingredient use to maintain profitability.</w:t>
      </w:r>
    </w:p>
    <w:p w14:paraId="5750A3E7" w14:textId="77777777" w:rsidR="000A2A84" w:rsidRDefault="000A2A84" w:rsidP="000A2A84"/>
    <w:p w14:paraId="08B0AF6C" w14:textId="77777777" w:rsidR="000A2A84" w:rsidRDefault="000A2A84" w:rsidP="000A2A84">
      <w:r w:rsidRPr="000A2A84">
        <w:t xml:space="preserve">Budgets are used as control tools as well as financial strategies. </w:t>
      </w:r>
      <w:r w:rsidRPr="00C31069">
        <w:rPr>
          <w:i/>
          <w:iCs/>
        </w:rPr>
        <w:t>"A budget is often thought of as a financial plan"</w:t>
      </w:r>
      <w:r w:rsidRPr="000A2A84">
        <w:t xml:space="preserve"> (Coombs et al., 2005, p. 90), which serves as the basis for Domino's</w:t>
      </w:r>
      <w:r>
        <w:t xml:space="preserve"> </w:t>
      </w:r>
      <w:r w:rsidRPr="000A2A84">
        <w:t>cash flow scheduling and performance forecasts. Butterfield (2016) highlights that effective</w:t>
      </w:r>
      <w:r>
        <w:t xml:space="preserve"> </w:t>
      </w:r>
      <w:r w:rsidRPr="000A2A84">
        <w:t>budgeting systems improve decision-making by providing managers with timely and</w:t>
      </w:r>
      <w:r>
        <w:t xml:space="preserve"> </w:t>
      </w:r>
      <w:r w:rsidRPr="000A2A84">
        <w:t>relevant performance information, enabling corrective actions and long-term alignment.</w:t>
      </w:r>
      <w:r>
        <w:t xml:space="preserve"> </w:t>
      </w:r>
      <w:r w:rsidRPr="000A2A84">
        <w:t>Domino's uses variance analysis and rolling forecasts to maintain performance discipline</w:t>
      </w:r>
      <w:r>
        <w:t xml:space="preserve"> </w:t>
      </w:r>
      <w:r w:rsidRPr="000A2A84">
        <w:t>and adaptability.</w:t>
      </w:r>
      <w:r>
        <w:t xml:space="preserve"> </w:t>
      </w:r>
    </w:p>
    <w:p w14:paraId="16465474" w14:textId="77777777" w:rsidR="000A2A84" w:rsidRDefault="000A2A84" w:rsidP="000A2A84"/>
    <w:p w14:paraId="7E65A4C4" w14:textId="78C9BAED" w:rsidR="000A2A84" w:rsidRDefault="000A2A84" w:rsidP="000A2A84">
      <w:r w:rsidRPr="000A2A84">
        <w:t>Budget categories also reflect operational dynamics. Coombs et al. (2005), p. 152, state that</w:t>
      </w:r>
      <w:r>
        <w:t xml:space="preserve"> </w:t>
      </w:r>
      <w:r w:rsidRPr="00C31069">
        <w:rPr>
          <w:i/>
          <w:iCs/>
        </w:rPr>
        <w:t xml:space="preserve">"a fixed budget is based on one level of output; it is not usually changed after it is agreed." </w:t>
      </w:r>
      <w:r w:rsidRPr="000A2A84">
        <w:t>For head office costs like rent or administration, this kind of budget is suitable. However,</w:t>
      </w:r>
      <w:r>
        <w:t xml:space="preserve"> </w:t>
      </w:r>
      <w:r w:rsidRPr="000A2A84">
        <w:t>the company's franchise operations need flexibility because a flexible budget is intended</w:t>
      </w:r>
      <w:r w:rsidR="00C31069">
        <w:br/>
      </w:r>
      <w:r w:rsidRPr="000A2A84">
        <w:t>to</w:t>
      </w:r>
      <w:r>
        <w:t xml:space="preserve"> </w:t>
      </w:r>
      <w:r w:rsidRPr="000A2A84">
        <w:t>adjust when the underlying volume of activity varies (Coombs, 2005). Thanks to flexible</w:t>
      </w:r>
      <w:r>
        <w:t xml:space="preserve"> </w:t>
      </w:r>
      <w:r w:rsidRPr="000A2A84">
        <w:t>budgeting, Domino's may adjust ingredient orders, driving schedules, and marketing</w:t>
      </w:r>
      <w:r>
        <w:t xml:space="preserve"> </w:t>
      </w:r>
      <w:r w:rsidRPr="000A2A84">
        <w:t>expenses in response to shifts in customer demand.</w:t>
      </w:r>
    </w:p>
    <w:p w14:paraId="67AAAC75" w14:textId="77777777" w:rsidR="000A2A84" w:rsidRDefault="000A2A84" w:rsidP="000A2A84"/>
    <w:p w14:paraId="4C215465" w14:textId="1E6FBBCA" w:rsidR="000A2A84" w:rsidRDefault="000A2A84" w:rsidP="000A2A84">
      <w:r w:rsidRPr="000A2A84">
        <w:lastRenderedPageBreak/>
        <w:t>Additionally, budgeting has a predictive role, providing information into the future that aids</w:t>
      </w:r>
      <w:r>
        <w:t xml:space="preserve"> </w:t>
      </w:r>
      <w:r w:rsidRPr="000A2A84">
        <w:t>in management control and planning. Effective budgets function as strategic forecasts,</w:t>
      </w:r>
      <w:r>
        <w:t xml:space="preserve"> </w:t>
      </w:r>
      <w:r w:rsidRPr="000A2A84">
        <w:t xml:space="preserve">coordinating operational strategies with long-term budgetary goals, as defined by </w:t>
      </w:r>
      <w:r>
        <w:t>Langfield-Smith</w:t>
      </w:r>
      <w:r w:rsidRPr="000A2A84">
        <w:t xml:space="preserve"> et al. (2021).</w:t>
      </w:r>
    </w:p>
    <w:p w14:paraId="26FA0911" w14:textId="77777777" w:rsidR="000A2A84" w:rsidRDefault="000A2A84" w:rsidP="000A2A84"/>
    <w:p w14:paraId="1C047325" w14:textId="38842B0D" w:rsidR="000A2A84" w:rsidRDefault="000A2A84" w:rsidP="000A2A84">
      <w:r w:rsidRPr="000A2A84">
        <w:t>By incorporating cost behaviour models, seasonal adjustments, and predictive sales data</w:t>
      </w:r>
      <w:r>
        <w:t xml:space="preserve"> </w:t>
      </w:r>
      <w:r w:rsidRPr="000A2A84">
        <w:t>into its planning cycle, Domino's puts this idea into practice. These forecasts reduce financial</w:t>
      </w:r>
      <w:r>
        <w:t xml:space="preserve"> </w:t>
      </w:r>
      <w:r w:rsidRPr="000A2A84">
        <w:t>risk and facilitate precise resource allocation. Google Finance data from June 2025 shows</w:t>
      </w:r>
      <w:r>
        <w:t xml:space="preserve"> </w:t>
      </w:r>
      <w:r w:rsidRPr="000A2A84">
        <w:t>how budgeting adjusts to shifting circumstances. Margin compression resulted from</w:t>
      </w:r>
      <w:r w:rsidR="00C31069">
        <w:br/>
      </w:r>
      <w:r w:rsidRPr="000A2A84">
        <w:t>a</w:t>
      </w:r>
      <w:r>
        <w:t xml:space="preserve"> </w:t>
      </w:r>
      <w:r w:rsidRPr="000A2A84">
        <w:t>0,83% increase in operating expenses and a 2,25% decrease in sales. Net income -21,57%,</w:t>
      </w:r>
      <w:r>
        <w:t xml:space="preserve"> </w:t>
      </w:r>
      <w:r w:rsidRPr="000A2A84">
        <w:t>suggesting that profitability assumptions need revision. Liquidity constraints were evident</w:t>
      </w:r>
      <w:r>
        <w:t xml:space="preserve"> </w:t>
      </w:r>
      <w:r w:rsidRPr="000A2A84">
        <w:t>as cash from operations decreased by 8,81% and free cash flow fell by 46,8%. Financing</w:t>
      </w:r>
      <w:r>
        <w:t xml:space="preserve"> </w:t>
      </w:r>
      <w:r w:rsidRPr="000A2A84">
        <w:t>outflows rose by 44,77%, indicating active debt or dividend management, whereas</w:t>
      </w:r>
      <w:r>
        <w:t xml:space="preserve"> </w:t>
      </w:r>
      <w:r w:rsidRPr="000A2A84">
        <w:t>investment cash outflows improved by 100,21% (-£0.2 m), reflecting reduced capital</w:t>
      </w:r>
      <w:r>
        <w:t xml:space="preserve"> </w:t>
      </w:r>
      <w:r w:rsidRPr="000A2A84">
        <w:t>expenditure.</w:t>
      </w:r>
    </w:p>
    <w:p w14:paraId="2D5D05BE" w14:textId="103143A9" w:rsidR="000A2A84" w:rsidRPr="000A2A84" w:rsidRDefault="000A2A84" w:rsidP="000A2A84">
      <w:r w:rsidRPr="00832B33">
        <w:rPr>
          <w:noProof/>
          <w:szCs w:val="24"/>
        </w:rPr>
        <w:drawing>
          <wp:anchor distT="0" distB="0" distL="114300" distR="114300" simplePos="0" relativeHeight="251662336" behindDoc="0" locked="0" layoutInCell="1" allowOverlap="1" wp14:anchorId="4CFD5E2B" wp14:editId="6CE04104">
            <wp:simplePos x="0" y="0"/>
            <wp:positionH relativeFrom="column">
              <wp:posOffset>2540</wp:posOffset>
            </wp:positionH>
            <wp:positionV relativeFrom="paragraph">
              <wp:posOffset>208915</wp:posOffset>
            </wp:positionV>
            <wp:extent cx="3876675" cy="3496310"/>
            <wp:effectExtent l="0" t="0" r="9525" b="8890"/>
            <wp:wrapTopAndBottom/>
            <wp:docPr id="247967072" name="Picture 1" descr="A screenshot of a repo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967072" name="Picture 1" descr="A screenshot of a report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C20B62" w14:textId="77777777" w:rsidR="000A2A84" w:rsidRPr="000A2A84" w:rsidRDefault="000A2A84" w:rsidP="000A2A84">
      <w:pPr>
        <w:rPr>
          <w:i/>
          <w:iCs/>
          <w:sz w:val="20"/>
          <w:szCs w:val="20"/>
        </w:rPr>
      </w:pPr>
      <w:r w:rsidRPr="000A2A84">
        <w:rPr>
          <w:i/>
          <w:iCs/>
          <w:sz w:val="20"/>
          <w:szCs w:val="20"/>
        </w:rPr>
        <w:t>Figure 1: DPG – Income Statement (Google Finance, 2025)</w:t>
      </w:r>
    </w:p>
    <w:p w14:paraId="3C3BB09A" w14:textId="18BDDF17" w:rsidR="000A2A84" w:rsidRDefault="000A2A84">
      <w:pPr>
        <w:spacing w:after="200"/>
        <w:jc w:val="left"/>
      </w:pPr>
      <w:r>
        <w:br w:type="page"/>
      </w:r>
    </w:p>
    <w:p w14:paraId="4724471A" w14:textId="604EBDF5" w:rsidR="000A2A84" w:rsidRPr="000A2A84" w:rsidRDefault="000A2A84" w:rsidP="000A2A84">
      <w:r w:rsidRPr="00337A9E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47DA580A" wp14:editId="0D6EC09F">
            <wp:simplePos x="0" y="0"/>
            <wp:positionH relativeFrom="column">
              <wp:posOffset>2771</wp:posOffset>
            </wp:positionH>
            <wp:positionV relativeFrom="paragraph">
              <wp:posOffset>1270</wp:posOffset>
            </wp:positionV>
            <wp:extent cx="3866361" cy="3336910"/>
            <wp:effectExtent l="0" t="0" r="1270" b="0"/>
            <wp:wrapTopAndBottom/>
            <wp:docPr id="1372467432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467432" name="Picture 1" descr="A screenshot of a graph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6361" cy="3336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F2E37A" w14:textId="77777777" w:rsidR="000A2A84" w:rsidRDefault="000A2A84" w:rsidP="000A2A84">
      <w:pPr>
        <w:rPr>
          <w:i/>
          <w:iCs/>
          <w:sz w:val="20"/>
          <w:szCs w:val="20"/>
        </w:rPr>
      </w:pPr>
      <w:r w:rsidRPr="000A2A84">
        <w:rPr>
          <w:i/>
          <w:iCs/>
          <w:sz w:val="20"/>
          <w:szCs w:val="20"/>
        </w:rPr>
        <w:t>Figure 2: DPG – Cash Flow Statement (Google Finance, 2025)</w:t>
      </w:r>
    </w:p>
    <w:p w14:paraId="47C5D8C1" w14:textId="77777777" w:rsidR="000A2A84" w:rsidRPr="000A2A84" w:rsidRDefault="000A2A84" w:rsidP="000A2A84">
      <w:pPr>
        <w:rPr>
          <w:i/>
          <w:iCs/>
          <w:sz w:val="20"/>
          <w:szCs w:val="20"/>
        </w:rPr>
      </w:pPr>
    </w:p>
    <w:p w14:paraId="7D15936A" w14:textId="27D121B2" w:rsidR="000A2A84" w:rsidRDefault="000A2A84" w:rsidP="000A2A84">
      <w:r w:rsidRPr="000A2A84">
        <w:t>Whilst internal initiatives, increasing delivery capacity, improving digital infrastructure,</w:t>
      </w:r>
      <w:r w:rsidR="00C31069">
        <w:br/>
      </w:r>
      <w:r w:rsidRPr="000A2A84">
        <w:t>and</w:t>
      </w:r>
      <w:r>
        <w:t xml:space="preserve"> </w:t>
      </w:r>
      <w:r w:rsidRPr="000A2A84">
        <w:t>scaling marketing boosted operating spend, external factors such as UK wage inflation,</w:t>
      </w:r>
      <w:r>
        <w:t xml:space="preserve"> </w:t>
      </w:r>
      <w:r w:rsidRPr="000A2A84">
        <w:t>energy costs, and rising ingredient prices exacerbated variable cost pressure. When taken</w:t>
      </w:r>
      <w:r>
        <w:t xml:space="preserve"> </w:t>
      </w:r>
      <w:r w:rsidRPr="000A2A84">
        <w:t>as a whole, these show how Domino's uses budgeting as a strategic management</w:t>
      </w:r>
      <w:r>
        <w:t xml:space="preserve"> </w:t>
      </w:r>
      <w:r w:rsidRPr="000A2A84">
        <w:t>mechanism as well as a planning tool to ensure profitability and resilience in a turbulent</w:t>
      </w:r>
      <w:r>
        <w:t xml:space="preserve"> </w:t>
      </w:r>
      <w:r w:rsidRPr="000A2A84">
        <w:t>market.</w:t>
      </w:r>
    </w:p>
    <w:p w14:paraId="7DE8F6F2" w14:textId="77777777" w:rsidR="000A2A84" w:rsidRPr="000A2A84" w:rsidRDefault="000A2A84" w:rsidP="000A2A84"/>
    <w:p w14:paraId="3FC55360" w14:textId="77777777" w:rsidR="000A2A84" w:rsidRDefault="000A2A84" w:rsidP="000A2A84">
      <w:pPr>
        <w:pStyle w:val="Heading2"/>
      </w:pPr>
      <w:bookmarkStart w:id="15" w:name="_Toc214710624"/>
      <w:r w:rsidRPr="000A2A84">
        <w:t>Performance Measurement &amp; Decision Making</w:t>
      </w:r>
      <w:bookmarkEnd w:id="15"/>
    </w:p>
    <w:p w14:paraId="7628CEC7" w14:textId="77777777" w:rsidR="000A2A84" w:rsidRPr="000A2A84" w:rsidRDefault="000A2A84" w:rsidP="000A2A84">
      <w:pPr>
        <w:pStyle w:val="Heading2"/>
      </w:pPr>
    </w:p>
    <w:p w14:paraId="17E2F03B" w14:textId="77777777" w:rsidR="000A2A84" w:rsidRDefault="000A2A84" w:rsidP="000A2A84">
      <w:proofErr w:type="spellStart"/>
      <w:r w:rsidRPr="000A2A84">
        <w:t>Domino's</w:t>
      </w:r>
      <w:proofErr w:type="spellEnd"/>
      <w:r w:rsidRPr="000A2A84">
        <w:t xml:space="preserve"> can evaluate outcomes, improve strategy, and allocate resources for long-term</w:t>
      </w:r>
      <w:r>
        <w:t xml:space="preserve"> </w:t>
      </w:r>
      <w:r w:rsidRPr="000A2A84">
        <w:t>growth with the help of efficient performance monitoring. According to Atrill and McLaney</w:t>
      </w:r>
      <w:r>
        <w:t xml:space="preserve"> </w:t>
      </w:r>
      <w:r w:rsidRPr="000A2A84">
        <w:t xml:space="preserve">(2021, p. 295), </w:t>
      </w:r>
      <w:r w:rsidRPr="00CF0848">
        <w:rPr>
          <w:i/>
          <w:iCs/>
        </w:rPr>
        <w:t>"performance measurement links planning and control,"</w:t>
      </w:r>
      <w:r w:rsidRPr="000A2A84">
        <w:t xml:space="preserve"> guaranteeing that</w:t>
      </w:r>
      <w:r>
        <w:t xml:space="preserve"> </w:t>
      </w:r>
      <w:r w:rsidRPr="000A2A84">
        <w:t xml:space="preserve">choices stay in line with organisational goals. </w:t>
      </w:r>
    </w:p>
    <w:p w14:paraId="0030D615" w14:textId="77777777" w:rsidR="000A2A84" w:rsidRDefault="000A2A84" w:rsidP="000A2A84"/>
    <w:p w14:paraId="2522DDBB" w14:textId="790D14DF" w:rsidR="000A2A84" w:rsidRDefault="000A2A84" w:rsidP="000A2A84">
      <w:r w:rsidRPr="000A2A84">
        <w:t>The balanced scorecard in contemporary</w:t>
      </w:r>
      <w:r>
        <w:t xml:space="preserve"> </w:t>
      </w:r>
      <w:r w:rsidRPr="000A2A84">
        <w:t>managerial accounting integrates nonfinancial and financial metrics into a cohesive</w:t>
      </w:r>
      <w:r>
        <w:t xml:space="preserve"> </w:t>
      </w:r>
      <w:r w:rsidRPr="000A2A84">
        <w:t>framework (Weygandt, Kimmel, and Mitchell, 2020).</w:t>
      </w:r>
      <w:r w:rsidR="00C31069">
        <w:br/>
      </w:r>
      <w:r w:rsidRPr="000A2A84">
        <w:t>To make data-driven decisions</w:t>
      </w:r>
      <w:r>
        <w:t xml:space="preserve"> </w:t>
      </w:r>
      <w:r w:rsidRPr="000A2A84">
        <w:t>throughout its franchise network,</w:t>
      </w:r>
      <w:r>
        <w:t xml:space="preserve"> </w:t>
      </w:r>
      <w:r w:rsidRPr="000A2A84">
        <w:t>Domino's employs this dual emphasis by keeping an eye on profitability, efficiency, and</w:t>
      </w:r>
      <w:r w:rsidR="00CF0848">
        <w:t xml:space="preserve"> </w:t>
      </w:r>
      <w:r w:rsidRPr="000A2A84">
        <w:t>customer experience metrics.</w:t>
      </w:r>
    </w:p>
    <w:p w14:paraId="2B83905F" w14:textId="77777777" w:rsidR="000A2A84" w:rsidRDefault="000A2A84">
      <w:pPr>
        <w:spacing w:after="200"/>
        <w:jc w:val="left"/>
      </w:pPr>
      <w:r>
        <w:br w:type="page"/>
      </w:r>
    </w:p>
    <w:p w14:paraId="322DBDB9" w14:textId="77777777" w:rsidR="000A2A84" w:rsidRPr="000A2A84" w:rsidRDefault="000A2A84" w:rsidP="000A2A84"/>
    <w:p w14:paraId="6876225A" w14:textId="77777777" w:rsidR="000A2A84" w:rsidRDefault="000A2A84" w:rsidP="00C31069">
      <w:pPr>
        <w:pStyle w:val="Heading3"/>
      </w:pPr>
      <w:bookmarkStart w:id="16" w:name="_Toc214710625"/>
      <w:r w:rsidRPr="000A2A84">
        <w:t>Key Financial and Non-Financial KPIs</w:t>
      </w:r>
      <w:bookmarkEnd w:id="16"/>
    </w:p>
    <w:p w14:paraId="31886D92" w14:textId="3ABBC70F" w:rsidR="000A2A84" w:rsidRPr="000A2A84" w:rsidRDefault="000A2A84" w:rsidP="000A2A84">
      <w:pPr>
        <w:pStyle w:val="Heading3"/>
      </w:pPr>
      <w:bookmarkStart w:id="17" w:name="_Toc214710626"/>
      <w:r w:rsidRPr="002B07AA">
        <w:rPr>
          <w:noProof/>
        </w:rPr>
        <w:drawing>
          <wp:anchor distT="0" distB="0" distL="114300" distR="114300" simplePos="0" relativeHeight="251665408" behindDoc="0" locked="0" layoutInCell="1" allowOverlap="1" wp14:anchorId="50D04AC6" wp14:editId="4BBC6EA3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5879465" cy="3361690"/>
            <wp:effectExtent l="0" t="0" r="6985" b="0"/>
            <wp:wrapTopAndBottom/>
            <wp:docPr id="591828076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828076" name="Picture 1" descr="A screenshot of a graph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9465" cy="33616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17"/>
    </w:p>
    <w:p w14:paraId="1710B675" w14:textId="77777777" w:rsidR="000A2A84" w:rsidRPr="00C31069" w:rsidRDefault="000A2A84" w:rsidP="000A2A84">
      <w:pPr>
        <w:rPr>
          <w:i/>
          <w:iCs/>
          <w:sz w:val="16"/>
          <w:szCs w:val="16"/>
        </w:rPr>
      </w:pPr>
      <w:r w:rsidRPr="00C31069">
        <w:rPr>
          <w:i/>
          <w:iCs/>
          <w:sz w:val="16"/>
          <w:szCs w:val="16"/>
        </w:rPr>
        <w:t>Table 1. Domino’s Pizza Group PLC – Key Financial and Non-Financial Performance Indicators (FY 2024)</w:t>
      </w:r>
    </w:p>
    <w:p w14:paraId="2A30F126" w14:textId="77777777" w:rsidR="000A2A84" w:rsidRPr="000A2A84" w:rsidRDefault="000A2A84" w:rsidP="000A2A84">
      <w:pPr>
        <w:rPr>
          <w:sz w:val="16"/>
          <w:szCs w:val="16"/>
        </w:rPr>
      </w:pPr>
    </w:p>
    <w:p w14:paraId="703C3E01" w14:textId="748D0ABA" w:rsidR="000A2A84" w:rsidRDefault="000A2A84" w:rsidP="000A2A84">
      <w:r w:rsidRPr="000A2A84">
        <w:t>The financial measures are supplemented by non-financial KPIs, including digital app</w:t>
      </w:r>
      <w:r>
        <w:t xml:space="preserve"> </w:t>
      </w:r>
      <w:r w:rsidRPr="000A2A84">
        <w:t>performance, customer ratings, and delivery timings. According to Simkin et al. (20</w:t>
      </w:r>
      <w:r w:rsidR="00C31069">
        <w:t>18</w:t>
      </w:r>
      <w:r w:rsidRPr="000A2A84">
        <w:t>),</w:t>
      </w:r>
      <w:r>
        <w:t xml:space="preserve"> </w:t>
      </w:r>
      <w:r w:rsidRPr="00CF0848">
        <w:rPr>
          <w:i/>
          <w:iCs/>
        </w:rPr>
        <w:t>"Data... mark the beginning of an audit trail, the path that data follow as they flow through</w:t>
      </w:r>
      <w:r w:rsidR="00C31069" w:rsidRPr="00CF0848">
        <w:rPr>
          <w:i/>
          <w:iCs/>
        </w:rPr>
        <w:br/>
      </w:r>
      <w:r w:rsidRPr="00CF0848">
        <w:rPr>
          <w:i/>
          <w:iCs/>
        </w:rPr>
        <w:t>an AIS"</w:t>
      </w:r>
      <w:r w:rsidRPr="000A2A84">
        <w:t xml:space="preserve"> (p.15). GPS monitoring, sales analytics, and franchise reporting are all linked into</w:t>
      </w:r>
      <w:r w:rsidR="00C31069">
        <w:br/>
      </w:r>
      <w:r w:rsidRPr="000A2A84">
        <w:t>a single dashboard that facilitates real-time decision-making by Domino's accounting</w:t>
      </w:r>
      <w:r w:rsidR="006B598E">
        <w:t xml:space="preserve"> </w:t>
      </w:r>
      <w:r w:rsidRPr="000A2A84">
        <w:t>information system.</w:t>
      </w:r>
    </w:p>
    <w:p w14:paraId="09AFAACA" w14:textId="77777777" w:rsidR="000A2A84" w:rsidRPr="000A2A84" w:rsidRDefault="000A2A84" w:rsidP="000A2A84"/>
    <w:p w14:paraId="52239E41" w14:textId="77777777" w:rsidR="000A2A84" w:rsidRPr="00C31069" w:rsidRDefault="000A2A84" w:rsidP="00C31069">
      <w:pPr>
        <w:pStyle w:val="Heading3"/>
      </w:pPr>
      <w:bookmarkStart w:id="18" w:name="_Toc214710627"/>
      <w:r w:rsidRPr="00C31069">
        <w:t>Strategic Decisions Driven by KPI Insights</w:t>
      </w:r>
      <w:bookmarkEnd w:id="18"/>
    </w:p>
    <w:p w14:paraId="79EED3C6" w14:textId="77777777" w:rsidR="000A2A84" w:rsidRPr="000A2A84" w:rsidRDefault="000A2A84" w:rsidP="000A2A84">
      <w:pPr>
        <w:pStyle w:val="Heading3"/>
      </w:pPr>
    </w:p>
    <w:p w14:paraId="7AA4BECB" w14:textId="21F4A96C" w:rsidR="000A2A84" w:rsidRDefault="000A2A84" w:rsidP="000A2A84">
      <w:proofErr w:type="gramStart"/>
      <w:r w:rsidRPr="000A2A84">
        <w:t>Domino's</w:t>
      </w:r>
      <w:proofErr w:type="gramEnd"/>
      <w:r w:rsidRPr="000A2A84">
        <w:t xml:space="preserve"> applies the idea that management decisions should concentrate on costs that</w:t>
      </w:r>
      <w:r>
        <w:t xml:space="preserve"> </w:t>
      </w:r>
      <w:r w:rsidRPr="000A2A84">
        <w:t>differ between alternatives when choosing between investing in digital infrastructure</w:t>
      </w:r>
      <w:r w:rsidR="00C31069">
        <w:br/>
      </w:r>
      <w:r w:rsidRPr="000A2A84">
        <w:t>and</w:t>
      </w:r>
      <w:r>
        <w:t xml:space="preserve"> </w:t>
      </w:r>
      <w:r w:rsidRPr="000A2A84">
        <w:t>growing regional stores, using standard costs as benchmarks for performance evaluation</w:t>
      </w:r>
      <w:r>
        <w:t xml:space="preserve"> </w:t>
      </w:r>
      <w:r w:rsidRPr="000A2A84">
        <w:t>(Weygandt, Kimmel &amp; Aly, 202</w:t>
      </w:r>
      <w:r w:rsidR="00C31069">
        <w:t>0</w:t>
      </w:r>
      <w:r w:rsidRPr="000A2A84">
        <w:t>, pp. 463–546). With this method, the business may evaluate</w:t>
      </w:r>
      <w:r>
        <w:t xml:space="preserve"> </w:t>
      </w:r>
      <w:r w:rsidRPr="000A2A84">
        <w:t xml:space="preserve">each option's financial effect and choose the </w:t>
      </w:r>
      <w:r w:rsidR="006B598E">
        <w:t>one</w:t>
      </w:r>
      <w:r w:rsidRPr="000A2A84">
        <w:t xml:space="preserve"> that offers the most operational value and</w:t>
      </w:r>
      <w:r>
        <w:t xml:space="preserve"> </w:t>
      </w:r>
      <w:r w:rsidRPr="000A2A84">
        <w:t>efficiency.</w:t>
      </w:r>
    </w:p>
    <w:p w14:paraId="68151FB8" w14:textId="77777777" w:rsidR="000A2A84" w:rsidRPr="000A2A84" w:rsidRDefault="000A2A84" w:rsidP="000A2A84"/>
    <w:p w14:paraId="09C130C5" w14:textId="2174273F" w:rsidR="006B598E" w:rsidRDefault="000A2A84" w:rsidP="000A2A84">
      <w:r w:rsidRPr="000A2A84">
        <w:t>Franchise-level variance analysis is supported by these standards, which enable Domino's</w:t>
      </w:r>
      <w:r w:rsidR="006B598E">
        <w:t xml:space="preserve"> </w:t>
      </w:r>
      <w:r w:rsidRPr="000A2A84">
        <w:t>to reward consistent operational performance and benchmark efficiency. The Company</w:t>
      </w:r>
      <w:r w:rsidR="006B598E">
        <w:t xml:space="preserve"> </w:t>
      </w:r>
      <w:r w:rsidRPr="000A2A84">
        <w:t>strategically uses KPI results to improve price architecture, bolster logistics, and give</w:t>
      </w:r>
      <w:r w:rsidR="006B598E">
        <w:t xml:space="preserve"> </w:t>
      </w:r>
      <w:r w:rsidRPr="000A2A84">
        <w:t>automation first priority. For instance, increasing order volumes through the app supports</w:t>
      </w:r>
      <w:r w:rsidR="006B598E">
        <w:t xml:space="preserve"> </w:t>
      </w:r>
      <w:r w:rsidRPr="000A2A84">
        <w:t>ongoing investments in digital capabilities, while marketing and delivery fee optimisation</w:t>
      </w:r>
      <w:r w:rsidR="00C31069">
        <w:br/>
      </w:r>
      <w:r w:rsidRPr="000A2A84">
        <w:t>are</w:t>
      </w:r>
      <w:r w:rsidR="006B598E">
        <w:t xml:space="preserve"> </w:t>
      </w:r>
      <w:r w:rsidRPr="000A2A84">
        <w:t>informed by EBITDA trends.</w:t>
      </w:r>
    </w:p>
    <w:p w14:paraId="1E7B8C55" w14:textId="77777777" w:rsidR="006B598E" w:rsidRDefault="006B598E">
      <w:pPr>
        <w:spacing w:after="200"/>
        <w:jc w:val="left"/>
      </w:pPr>
      <w:r>
        <w:br w:type="page"/>
      </w:r>
    </w:p>
    <w:p w14:paraId="2D5159EA" w14:textId="77777777" w:rsidR="006B598E" w:rsidRPr="000A2A84" w:rsidRDefault="006B598E" w:rsidP="000A2A84"/>
    <w:p w14:paraId="58C13A2E" w14:textId="77777777" w:rsidR="000A2A84" w:rsidRDefault="000A2A84" w:rsidP="006B598E">
      <w:pPr>
        <w:pStyle w:val="Heading3"/>
      </w:pPr>
      <w:bookmarkStart w:id="19" w:name="_Toc214710628"/>
      <w:r w:rsidRPr="000A2A84">
        <w:t>Critical Evaluation</w:t>
      </w:r>
      <w:bookmarkEnd w:id="19"/>
    </w:p>
    <w:p w14:paraId="5482E326" w14:textId="77777777" w:rsidR="006B598E" w:rsidRPr="000A2A84" w:rsidRDefault="006B598E" w:rsidP="006B598E">
      <w:pPr>
        <w:pStyle w:val="Heading3"/>
      </w:pPr>
    </w:p>
    <w:p w14:paraId="5CE6BD21" w14:textId="28E02E66" w:rsidR="006B598E" w:rsidRDefault="000A2A84" w:rsidP="000A2A84">
      <w:r w:rsidRPr="000A2A84">
        <w:t>Domino's KPI system integrates planning and control, but cybersecurity risk and inflationary</w:t>
      </w:r>
      <w:r w:rsidR="006B598E">
        <w:t xml:space="preserve"> </w:t>
      </w:r>
      <w:r w:rsidRPr="000A2A84">
        <w:t>costs are still present</w:t>
      </w:r>
      <w:r w:rsidRPr="00CF0848">
        <w:rPr>
          <w:i/>
          <w:iCs/>
        </w:rPr>
        <w:t>. "It is unlikely that organisational players will achieve objectives without</w:t>
      </w:r>
      <w:r w:rsidR="006B598E" w:rsidRPr="00CF0848">
        <w:rPr>
          <w:i/>
          <w:iCs/>
        </w:rPr>
        <w:t xml:space="preserve"> </w:t>
      </w:r>
      <w:r w:rsidRPr="00CF0848">
        <w:rPr>
          <w:i/>
          <w:iCs/>
        </w:rPr>
        <w:t>targets, deadlines, and specified levels of acceptable performance"</w:t>
      </w:r>
      <w:r w:rsidRPr="000A2A84">
        <w:t xml:space="preserve"> (Coombs et al., 2005</w:t>
      </w:r>
      <w:r w:rsidR="00C31069">
        <w:br/>
      </w:r>
      <w:r w:rsidRPr="000A2A84">
        <w:t>p.</w:t>
      </w:r>
      <w:r w:rsidR="006B598E">
        <w:t xml:space="preserve"> </w:t>
      </w:r>
      <w:r w:rsidRPr="000A2A84">
        <w:t>295). Through explicit ESG-linked goals and management of digital security,</w:t>
      </w:r>
      <w:r w:rsidR="00C31069">
        <w:t xml:space="preserve"> </w:t>
      </w:r>
      <w:r w:rsidRPr="000A2A84">
        <w:t>the</w:t>
      </w:r>
      <w:r w:rsidR="006B598E">
        <w:t xml:space="preserve"> </w:t>
      </w:r>
      <w:r w:rsidRPr="000A2A84">
        <w:t>organisation reduces such risks. Businesses should incorporate financial, social,</w:t>
      </w:r>
      <w:r w:rsidR="00C31069">
        <w:t xml:space="preserve"> </w:t>
      </w:r>
      <w:r w:rsidRPr="000A2A84">
        <w:t>and</w:t>
      </w:r>
      <w:r w:rsidR="006B598E">
        <w:t xml:space="preserve"> </w:t>
      </w:r>
      <w:r w:rsidRPr="000A2A84">
        <w:t>environmental indicators, as Weygandt, Kimmel, and Aly (202</w:t>
      </w:r>
      <w:r w:rsidR="00C31069">
        <w:t>0</w:t>
      </w:r>
      <w:r w:rsidRPr="000A2A84">
        <w:t>) stress. Domino's balanced</w:t>
      </w:r>
      <w:r w:rsidR="006B598E">
        <w:t xml:space="preserve"> </w:t>
      </w:r>
      <w:r w:rsidRPr="000A2A84">
        <w:t>KPI reporting and transparent disclosure are examples of this practice.</w:t>
      </w:r>
      <w:r w:rsidR="006B598E">
        <w:t xml:space="preserve"> </w:t>
      </w:r>
    </w:p>
    <w:p w14:paraId="61D4E20F" w14:textId="77777777" w:rsidR="006B598E" w:rsidRDefault="006B598E" w:rsidP="000A2A84"/>
    <w:p w14:paraId="5B5F6034" w14:textId="1AF2708F" w:rsidR="000A2A84" w:rsidRDefault="000A2A84" w:rsidP="006B598E">
      <w:pPr>
        <w:pStyle w:val="Heading2"/>
      </w:pPr>
      <w:bookmarkStart w:id="20" w:name="_Toc214710629"/>
      <w:r w:rsidRPr="000A2A84">
        <w:t>Sustainability and Ethical Considerations</w:t>
      </w:r>
      <w:bookmarkEnd w:id="20"/>
    </w:p>
    <w:p w14:paraId="359F638A" w14:textId="77777777" w:rsidR="006B598E" w:rsidRPr="000A2A84" w:rsidRDefault="006B598E" w:rsidP="006B598E">
      <w:pPr>
        <w:pStyle w:val="Heading2"/>
      </w:pPr>
    </w:p>
    <w:p w14:paraId="038F1ECF" w14:textId="209A46F5" w:rsidR="000A2A84" w:rsidRDefault="000A2A84" w:rsidP="000A2A84">
      <w:r w:rsidRPr="000A2A84">
        <w:t>In keeping with contemporary standards for responsible governance, DPG incorporates</w:t>
      </w:r>
      <w:r w:rsidR="006B598E">
        <w:t xml:space="preserve"> </w:t>
      </w:r>
      <w:r w:rsidRPr="000A2A84">
        <w:t>sustainability and ethics into its financial and strategic decision-making</w:t>
      </w:r>
      <w:r w:rsidRPr="00CF0848">
        <w:rPr>
          <w:i/>
          <w:iCs/>
        </w:rPr>
        <w:t>. "CSR and the triple</w:t>
      </w:r>
      <w:r w:rsidR="006B598E" w:rsidRPr="00CF0848">
        <w:rPr>
          <w:i/>
          <w:iCs/>
        </w:rPr>
        <w:t xml:space="preserve"> </w:t>
      </w:r>
      <w:r w:rsidRPr="00CF0848">
        <w:rPr>
          <w:i/>
          <w:iCs/>
        </w:rPr>
        <w:t xml:space="preserve">bottom line require companies to consider financial, social, and environmental </w:t>
      </w:r>
      <w:r w:rsidR="00CF0848">
        <w:rPr>
          <w:i/>
          <w:iCs/>
        </w:rPr>
        <w:t>outcomes</w:t>
      </w:r>
      <w:r w:rsidR="00C31069" w:rsidRPr="00CF0848">
        <w:rPr>
          <w:i/>
          <w:iCs/>
        </w:rPr>
        <w:br/>
      </w:r>
      <w:r w:rsidRPr="00CF0848">
        <w:rPr>
          <w:i/>
          <w:iCs/>
        </w:rPr>
        <w:t>in</w:t>
      </w:r>
      <w:r w:rsidR="006B598E" w:rsidRPr="00CF0848">
        <w:rPr>
          <w:i/>
          <w:iCs/>
        </w:rPr>
        <w:t xml:space="preserve"> </w:t>
      </w:r>
      <w:r w:rsidRPr="00CF0848">
        <w:rPr>
          <w:i/>
          <w:iCs/>
        </w:rPr>
        <w:t>their reporting and decision-making,"</w:t>
      </w:r>
      <w:r w:rsidRPr="000A2A84">
        <w:t xml:space="preserve"> as noted by Weygandt et al. (2020, p. 10). This idea</w:t>
      </w:r>
      <w:r w:rsidR="006B598E">
        <w:t xml:space="preserve"> </w:t>
      </w:r>
      <w:r w:rsidRPr="000A2A84">
        <w:t>serves as the foundation for Domino's long-term strategy, guaranteeing that social and</w:t>
      </w:r>
      <w:r w:rsidR="006B598E">
        <w:t xml:space="preserve"> </w:t>
      </w:r>
      <w:r w:rsidRPr="000A2A84">
        <w:t>environmental responsibility is pursued alongside revenue.</w:t>
      </w:r>
    </w:p>
    <w:p w14:paraId="3228F2E2" w14:textId="77777777" w:rsidR="006B598E" w:rsidRPr="000A2A84" w:rsidRDefault="006B598E" w:rsidP="000A2A84"/>
    <w:p w14:paraId="3AFB831F" w14:textId="1D5A580A" w:rsidR="006B598E" w:rsidRDefault="000A2A84" w:rsidP="000A2A84">
      <w:r w:rsidRPr="000A2A84">
        <w:t>Customers, People, Environment, Sourcing, and Communities are the five pillars of the</w:t>
      </w:r>
      <w:r w:rsidR="006B598E">
        <w:t xml:space="preserve"> </w:t>
      </w:r>
      <w:r w:rsidRPr="000A2A84">
        <w:t>company's Connect the Dots concept, which integrates sustainability into every aspect</w:t>
      </w:r>
      <w:r w:rsidR="00C31069">
        <w:br/>
      </w:r>
      <w:r w:rsidRPr="000A2A84">
        <w:t>of business operations (Domino's, 2024, p. 10). Energy-efficient distribution facilities, electric</w:t>
      </w:r>
      <w:r w:rsidR="006B598E">
        <w:t xml:space="preserve"> </w:t>
      </w:r>
      <w:r w:rsidRPr="000A2A84">
        <w:t>delivery trucks, and less packaging waste are some of the initiatives. The belief held by Seal</w:t>
      </w:r>
      <w:r w:rsidR="006B598E">
        <w:t xml:space="preserve"> </w:t>
      </w:r>
      <w:r w:rsidRPr="000A2A84">
        <w:t xml:space="preserve">et al. (2018, p. 15) that </w:t>
      </w:r>
      <w:r w:rsidRPr="00CF0848">
        <w:rPr>
          <w:i/>
          <w:iCs/>
        </w:rPr>
        <w:t>"environmental management accounting is not about reporting"</w:t>
      </w:r>
      <w:r w:rsidRPr="000A2A84">
        <w:t xml:space="preserve"> but</w:t>
      </w:r>
      <w:r w:rsidR="006B598E">
        <w:t xml:space="preserve"> </w:t>
      </w:r>
      <w:r w:rsidRPr="000A2A84">
        <w:t xml:space="preserve">rather about using data </w:t>
      </w:r>
      <w:r w:rsidRPr="00CF0848">
        <w:rPr>
          <w:i/>
          <w:iCs/>
        </w:rPr>
        <w:t>"to make environmentally sensitive decisions"</w:t>
      </w:r>
      <w:r w:rsidRPr="000A2A84">
        <w:t xml:space="preserve"> is reflected in these</w:t>
      </w:r>
      <w:r w:rsidR="006B598E">
        <w:t xml:space="preserve"> </w:t>
      </w:r>
      <w:r w:rsidRPr="000A2A84">
        <w:t>acts.</w:t>
      </w:r>
    </w:p>
    <w:p w14:paraId="41C21FCB" w14:textId="77777777" w:rsidR="006B598E" w:rsidRDefault="006B598E" w:rsidP="000A2A84"/>
    <w:p w14:paraId="6F0C0E28" w14:textId="4922897F" w:rsidR="000A2A84" w:rsidRDefault="000A2A84" w:rsidP="000A2A84">
      <w:r w:rsidRPr="000A2A84">
        <w:t>Domino's incorporates sustainability into its management accounting system by connecting</w:t>
      </w:r>
      <w:r w:rsidR="006B598E">
        <w:t xml:space="preserve"> </w:t>
      </w:r>
      <w:r w:rsidRPr="000A2A84">
        <w:t>data on energy consumption and carbon emissions to financial dashboards. The core of this</w:t>
      </w:r>
      <w:r w:rsidR="006B598E">
        <w:t xml:space="preserve"> </w:t>
      </w:r>
      <w:r w:rsidRPr="000A2A84">
        <w:t xml:space="preserve">strategy is still ethical cost management. </w:t>
      </w:r>
      <w:r w:rsidRPr="00CF0848">
        <w:rPr>
          <w:i/>
          <w:iCs/>
        </w:rPr>
        <w:t>"Businesses need to be more effective and skilled</w:t>
      </w:r>
      <w:r w:rsidR="006B598E" w:rsidRPr="00CF0848">
        <w:rPr>
          <w:i/>
          <w:iCs/>
        </w:rPr>
        <w:t xml:space="preserve"> </w:t>
      </w:r>
      <w:r w:rsidRPr="00CF0848">
        <w:rPr>
          <w:i/>
          <w:iCs/>
        </w:rPr>
        <w:t>at managing expenses”</w:t>
      </w:r>
      <w:r w:rsidRPr="000A2A84">
        <w:t xml:space="preserve"> (Simkin et al., 20</w:t>
      </w:r>
      <w:r w:rsidR="00C31069">
        <w:t>18</w:t>
      </w:r>
      <w:r w:rsidR="00CF0848">
        <w:t>,</w:t>
      </w:r>
      <w:r w:rsidRPr="000A2A84">
        <w:t xml:space="preserve"> p. 9). Cost accounting aids management</w:t>
      </w:r>
      <w:r w:rsidR="00C31069">
        <w:br/>
      </w:r>
      <w:r w:rsidRPr="000A2A84">
        <w:t>in</w:t>
      </w:r>
      <w:r w:rsidR="006B598E">
        <w:t xml:space="preserve"> </w:t>
      </w:r>
      <w:r w:rsidRPr="000A2A84">
        <w:t>tracking and controlling manufacturing, sales, and distribution costs. Domino's uses</w:t>
      </w:r>
      <w:r w:rsidR="006B598E">
        <w:t xml:space="preserve"> </w:t>
      </w:r>
      <w:r w:rsidRPr="000A2A84">
        <w:t>supplier engagement, waste reduction, and route optimisation to limit environmental impact</w:t>
      </w:r>
      <w:r w:rsidR="006B598E">
        <w:t xml:space="preserve"> </w:t>
      </w:r>
      <w:r w:rsidRPr="000A2A84">
        <w:t>while preserving operational effectiveness. These programs show how moral cost</w:t>
      </w:r>
      <w:r w:rsidR="006B598E">
        <w:t xml:space="preserve"> </w:t>
      </w:r>
      <w:r w:rsidRPr="000A2A84">
        <w:t>management can improve social and economic value.</w:t>
      </w:r>
    </w:p>
    <w:p w14:paraId="17F74EC1" w14:textId="77777777" w:rsidR="006B598E" w:rsidRPr="000A2A84" w:rsidRDefault="006B598E" w:rsidP="000A2A84"/>
    <w:p w14:paraId="31C6326A" w14:textId="77777777" w:rsidR="00C31069" w:rsidRDefault="000A2A84" w:rsidP="000A2A84">
      <w:r w:rsidRPr="000A2A84">
        <w:t xml:space="preserve">Additionally, we are reminded by Seal et al. (2018, p. 15) that </w:t>
      </w:r>
      <w:r w:rsidRPr="00CF0848">
        <w:rPr>
          <w:i/>
          <w:iCs/>
        </w:rPr>
        <w:t>"being a professional means</w:t>
      </w:r>
      <w:r w:rsidR="006B598E" w:rsidRPr="00CF0848">
        <w:rPr>
          <w:i/>
          <w:iCs/>
        </w:rPr>
        <w:t xml:space="preserve"> </w:t>
      </w:r>
      <w:r w:rsidRPr="00CF0848">
        <w:rPr>
          <w:i/>
          <w:iCs/>
        </w:rPr>
        <w:t>having responsibilities beyond the narrow pursuit of profit at any cost."</w:t>
      </w:r>
      <w:r w:rsidRPr="000A2A84">
        <w:t xml:space="preserve"> Domino's balances</w:t>
      </w:r>
      <w:r w:rsidR="006B598E">
        <w:t xml:space="preserve"> </w:t>
      </w:r>
      <w:r w:rsidRPr="000A2A84">
        <w:t>economic goals with stakeholder well-being in its supplier requirements and community</w:t>
      </w:r>
      <w:r w:rsidR="006B598E">
        <w:t xml:space="preserve"> </w:t>
      </w:r>
      <w:r w:rsidRPr="000A2A84">
        <w:t>assistance initiatives. Opportunity cost assessments also influence strategic decisions:</w:t>
      </w:r>
      <w:r w:rsidR="006B598E">
        <w:t xml:space="preserve"> </w:t>
      </w:r>
      <w:r w:rsidRPr="002013C3">
        <w:rPr>
          <w:i/>
          <w:iCs/>
        </w:rPr>
        <w:t>"Opportunity cost is the potential benefit obtained by following an alternative course</w:t>
      </w:r>
      <w:r w:rsidR="00C31069" w:rsidRPr="002013C3">
        <w:rPr>
          <w:i/>
          <w:iCs/>
        </w:rPr>
        <w:br/>
      </w:r>
      <w:r w:rsidRPr="002013C3">
        <w:rPr>
          <w:i/>
          <w:iCs/>
        </w:rPr>
        <w:t>of action"</w:t>
      </w:r>
      <w:r w:rsidRPr="000A2A84">
        <w:t xml:space="preserve"> (Weygandt, Kimmel and Mitchell, 2020, p. 546). Domino's uses this concept</w:t>
      </w:r>
      <w:r w:rsidR="00C31069">
        <w:br/>
      </w:r>
      <w:r w:rsidRPr="000A2A84">
        <w:t>to</w:t>
      </w:r>
      <w:r w:rsidR="006B598E">
        <w:t xml:space="preserve"> </w:t>
      </w:r>
      <w:r w:rsidRPr="000A2A84">
        <w:t>balance long-term social and environmental effects against investment profits.</w:t>
      </w:r>
    </w:p>
    <w:p w14:paraId="6BEBADAB" w14:textId="77777777" w:rsidR="00C31069" w:rsidRDefault="00C31069" w:rsidP="000A2A84"/>
    <w:p w14:paraId="1A9E2B21" w14:textId="7F9CEE61" w:rsidR="000A2A84" w:rsidRDefault="000A2A84" w:rsidP="000A2A84">
      <w:r w:rsidRPr="000A2A84">
        <w:t>In the end, Domino's demonstrates that sustainability and ethical accounting are</w:t>
      </w:r>
      <w:r w:rsidR="00C31069">
        <w:t xml:space="preserve"> </w:t>
      </w:r>
      <w:r w:rsidRPr="000A2A84">
        <w:t>complementary rather than antagonistic. Its incorporation of ESG concepts into</w:t>
      </w:r>
      <w:r w:rsidR="006B598E">
        <w:t xml:space="preserve"> </w:t>
      </w:r>
      <w:r w:rsidR="00C31069">
        <w:t>decision-making</w:t>
      </w:r>
      <w:r w:rsidR="006B598E">
        <w:t xml:space="preserve"> </w:t>
      </w:r>
      <w:r w:rsidRPr="000A2A84">
        <w:t>procedures shows how social and ecological responsibility and commercial success</w:t>
      </w:r>
      <w:r w:rsidR="006B598E">
        <w:t xml:space="preserve"> </w:t>
      </w:r>
      <w:r w:rsidRPr="000A2A84">
        <w:t>may coexist. Domino's exemplifies Seal et al.'s (2018) claim that adhering to moral principles</w:t>
      </w:r>
      <w:r w:rsidR="006B598E">
        <w:t xml:space="preserve"> </w:t>
      </w:r>
      <w:r w:rsidRPr="000A2A84">
        <w:t>is essential for an advanced market economy to function properly by striking</w:t>
      </w:r>
      <w:r w:rsidR="00C31069">
        <w:br/>
      </w:r>
      <w:r w:rsidRPr="000A2A84">
        <w:t>a</w:t>
      </w:r>
      <w:r w:rsidR="006B598E">
        <w:t xml:space="preserve"> </w:t>
      </w:r>
      <w:r w:rsidRPr="000A2A84">
        <w:t>balance</w:t>
      </w:r>
      <w:r w:rsidR="006B598E">
        <w:t xml:space="preserve"> </w:t>
      </w:r>
      <w:r w:rsidRPr="000A2A84">
        <w:t>between profitability and purpose.</w:t>
      </w:r>
    </w:p>
    <w:p w14:paraId="12FBFE5B" w14:textId="77777777" w:rsidR="006B598E" w:rsidRPr="000A2A84" w:rsidRDefault="006B598E" w:rsidP="000A2A84"/>
    <w:p w14:paraId="40E952B3" w14:textId="77777777" w:rsidR="000A2A84" w:rsidRDefault="000A2A84" w:rsidP="006B598E">
      <w:pPr>
        <w:pStyle w:val="Heading2"/>
      </w:pPr>
      <w:bookmarkStart w:id="21" w:name="_Toc214710630"/>
      <w:r w:rsidRPr="000A2A84">
        <w:t>Conclusion and recommendations</w:t>
      </w:r>
      <w:bookmarkEnd w:id="21"/>
    </w:p>
    <w:p w14:paraId="52AB905C" w14:textId="77777777" w:rsidR="006B598E" w:rsidRPr="000A2A84" w:rsidRDefault="006B598E" w:rsidP="006B598E">
      <w:pPr>
        <w:pStyle w:val="Heading2"/>
      </w:pPr>
    </w:p>
    <w:p w14:paraId="3FDCE06E" w14:textId="31042369" w:rsidR="006B598E" w:rsidRDefault="000A2A84" w:rsidP="000A2A84">
      <w:r w:rsidRPr="000A2A84">
        <w:t>DPG applies advanced management accounting tools to enhance strategic and operational</w:t>
      </w:r>
      <w:r w:rsidR="006B598E">
        <w:t xml:space="preserve"> </w:t>
      </w:r>
      <w:r w:rsidRPr="000A2A84">
        <w:t>decision-making. Its capital-light franchise model maintains profitability in the face</w:t>
      </w:r>
      <w:r w:rsidR="00C31069">
        <w:br/>
      </w:r>
      <w:r w:rsidRPr="000A2A84">
        <w:t>of</w:t>
      </w:r>
      <w:r w:rsidR="006B598E">
        <w:t xml:space="preserve"> </w:t>
      </w:r>
      <w:r w:rsidRPr="000A2A84">
        <w:t>economic instability thanks to accurate cost analysis, dynamic budgeting, and integrated</w:t>
      </w:r>
      <w:r w:rsidR="006B598E">
        <w:t xml:space="preserve"> </w:t>
      </w:r>
      <w:r w:rsidRPr="000A2A84">
        <w:t>performance monitoring (Simkin et al., 20</w:t>
      </w:r>
      <w:r w:rsidR="00C31069">
        <w:t>18</w:t>
      </w:r>
      <w:r w:rsidRPr="000A2A84">
        <w:t>, p. 9). Domino's data-driven KPI system and</w:t>
      </w:r>
      <w:r w:rsidR="006B598E">
        <w:t xml:space="preserve"> </w:t>
      </w:r>
      <w:r w:rsidRPr="000A2A84">
        <w:t xml:space="preserve">responsive cost management are examples of how </w:t>
      </w:r>
      <w:r w:rsidRPr="00CF0848">
        <w:rPr>
          <w:i/>
          <w:iCs/>
        </w:rPr>
        <w:t>"performance measurement links</w:t>
      </w:r>
      <w:r w:rsidR="006B598E" w:rsidRPr="00CF0848">
        <w:rPr>
          <w:i/>
          <w:iCs/>
        </w:rPr>
        <w:t xml:space="preserve"> </w:t>
      </w:r>
      <w:r w:rsidRPr="00CF0848">
        <w:rPr>
          <w:i/>
          <w:iCs/>
        </w:rPr>
        <w:t>planning and control,"</w:t>
      </w:r>
      <w:r w:rsidRPr="000A2A84">
        <w:t xml:space="preserve"> as Atrill and McLaney (2021, p. 295) stress. Setting quantifiable goals</w:t>
      </w:r>
      <w:r w:rsidR="006B598E">
        <w:t xml:space="preserve"> </w:t>
      </w:r>
      <w:r w:rsidRPr="000A2A84">
        <w:t xml:space="preserve">is still essential since </w:t>
      </w:r>
      <w:r w:rsidRPr="002013C3">
        <w:rPr>
          <w:i/>
          <w:iCs/>
        </w:rPr>
        <w:t>"it is unlikely that organisational players will achieve objectives without</w:t>
      </w:r>
      <w:r w:rsidR="006B598E" w:rsidRPr="002013C3">
        <w:rPr>
          <w:i/>
          <w:iCs/>
        </w:rPr>
        <w:t xml:space="preserve"> </w:t>
      </w:r>
      <w:r w:rsidRPr="002013C3">
        <w:rPr>
          <w:i/>
          <w:iCs/>
        </w:rPr>
        <w:t>targets, deadlines, and specified levels of acceptable performance"</w:t>
      </w:r>
      <w:r w:rsidRPr="000A2A84">
        <w:t xml:space="preserve"> (Coombs et al., 2005,</w:t>
      </w:r>
      <w:r w:rsidR="00C31069">
        <w:br/>
      </w:r>
      <w:r w:rsidRPr="000A2A84">
        <w:t>p.</w:t>
      </w:r>
      <w:r w:rsidR="006B598E">
        <w:t xml:space="preserve"> </w:t>
      </w:r>
      <w:r w:rsidRPr="000A2A84">
        <w:t>295).</w:t>
      </w:r>
    </w:p>
    <w:p w14:paraId="22ED25CA" w14:textId="77777777" w:rsidR="006B598E" w:rsidRDefault="006B598E" w:rsidP="000A2A84"/>
    <w:p w14:paraId="65FE853E" w14:textId="0B4EB346" w:rsidR="000A2A84" w:rsidRDefault="000A2A84" w:rsidP="000A2A84">
      <w:r w:rsidRPr="000A2A84">
        <w:t>Domino's success highlights how important management accounting is to</w:t>
      </w:r>
      <w:r w:rsidR="00C31069">
        <w:t xml:space="preserve"> </w:t>
      </w:r>
      <w:r w:rsidRPr="000A2A84">
        <w:t>contemporary</w:t>
      </w:r>
      <w:r w:rsidR="00C31069">
        <w:t xml:space="preserve"> </w:t>
      </w:r>
      <w:r w:rsidRPr="000A2A84">
        <w:t>businesses. DPG is a prime example of how management accounting</w:t>
      </w:r>
      <w:r w:rsidR="00C31069">
        <w:t xml:space="preserve"> </w:t>
      </w:r>
      <w:r w:rsidRPr="000A2A84">
        <w:t>promotes responsible,</w:t>
      </w:r>
      <w:r w:rsidR="00C31069">
        <w:t xml:space="preserve"> </w:t>
      </w:r>
      <w:r w:rsidRPr="000A2A84">
        <w:t>informed, and value-driven business growth in the current</w:t>
      </w:r>
      <w:r w:rsidR="00C31069">
        <w:t xml:space="preserve"> </w:t>
      </w:r>
      <w:r w:rsidRPr="000A2A84">
        <w:t>competitive landscape by</w:t>
      </w:r>
      <w:r w:rsidR="00C31069">
        <w:t xml:space="preserve"> </w:t>
      </w:r>
      <w:r w:rsidRPr="000A2A84">
        <w:t>coordinating financial data, ethical governance, and sustainability</w:t>
      </w:r>
      <w:r w:rsidR="00C31069">
        <w:t xml:space="preserve"> </w:t>
      </w:r>
      <w:r w:rsidRPr="000A2A84">
        <w:t>criteria.</w:t>
      </w:r>
    </w:p>
    <w:p w14:paraId="4F036D19" w14:textId="77777777" w:rsidR="006B598E" w:rsidRPr="000A2A84" w:rsidRDefault="006B598E" w:rsidP="000A2A84"/>
    <w:p w14:paraId="704A7E47" w14:textId="77777777" w:rsidR="000A2A84" w:rsidRPr="000A2A84" w:rsidRDefault="000A2A84" w:rsidP="006B598E">
      <w:pPr>
        <w:pStyle w:val="Heading3"/>
      </w:pPr>
      <w:bookmarkStart w:id="22" w:name="_Toc214710631"/>
      <w:r w:rsidRPr="000A2A84">
        <w:t>Recommendations</w:t>
      </w:r>
      <w:bookmarkEnd w:id="22"/>
    </w:p>
    <w:p w14:paraId="11BA6DEB" w14:textId="77777777" w:rsidR="006B598E" w:rsidRDefault="000A2A84" w:rsidP="006B598E">
      <w:pPr>
        <w:pStyle w:val="ListParagraph"/>
        <w:numPr>
          <w:ilvl w:val="0"/>
          <w:numId w:val="2"/>
        </w:numPr>
      </w:pPr>
      <w:r w:rsidRPr="006B598E">
        <w:rPr>
          <w:b/>
          <w:bCs/>
        </w:rPr>
        <w:t>Advance Predictive Analytics:</w:t>
      </w:r>
      <w:r w:rsidRPr="000A2A84">
        <w:t xml:space="preserve"> Integrate AI forecasting to anticipate demand shifts</w:t>
      </w:r>
      <w:r w:rsidR="006B598E">
        <w:t xml:space="preserve"> </w:t>
      </w:r>
      <w:r w:rsidRPr="000A2A84">
        <w:t>and optimise resource allocation.</w:t>
      </w:r>
    </w:p>
    <w:p w14:paraId="48A300A0" w14:textId="77777777" w:rsidR="006B598E" w:rsidRDefault="000A2A84" w:rsidP="006B598E">
      <w:pPr>
        <w:pStyle w:val="ListParagraph"/>
        <w:numPr>
          <w:ilvl w:val="0"/>
          <w:numId w:val="2"/>
        </w:numPr>
      </w:pPr>
      <w:r w:rsidRPr="006B598E">
        <w:rPr>
          <w:b/>
          <w:bCs/>
        </w:rPr>
        <w:t>Embed ESG Metrics:</w:t>
      </w:r>
      <w:r w:rsidRPr="000A2A84">
        <w:t xml:space="preserve"> Combine sustainability indicators with financial dashboards for</w:t>
      </w:r>
      <w:r w:rsidR="006B598E">
        <w:t xml:space="preserve"> </w:t>
      </w:r>
      <w:r w:rsidRPr="000A2A84">
        <w:t>holistic decision-making.</w:t>
      </w:r>
    </w:p>
    <w:p w14:paraId="124535F3" w14:textId="77777777" w:rsidR="006B598E" w:rsidRDefault="000A2A84" w:rsidP="006B598E">
      <w:pPr>
        <w:pStyle w:val="ListParagraph"/>
        <w:numPr>
          <w:ilvl w:val="0"/>
          <w:numId w:val="2"/>
        </w:numPr>
      </w:pPr>
      <w:r w:rsidRPr="006B598E">
        <w:rPr>
          <w:b/>
          <w:bCs/>
        </w:rPr>
        <w:t>Refine Cost Evaluation:</w:t>
      </w:r>
      <w:r w:rsidRPr="000A2A84">
        <w:t xml:space="preserve"> Review essential and opportunity costs regularly to ensure</w:t>
      </w:r>
      <w:r w:rsidR="006B598E">
        <w:t xml:space="preserve"> </w:t>
      </w:r>
      <w:r w:rsidRPr="000A2A84">
        <w:t>strategy effectiveness.</w:t>
      </w:r>
    </w:p>
    <w:p w14:paraId="06E9A0BC" w14:textId="3CBDEB71" w:rsidR="000A2A84" w:rsidRDefault="000A2A84" w:rsidP="006B598E">
      <w:pPr>
        <w:pStyle w:val="ListParagraph"/>
        <w:numPr>
          <w:ilvl w:val="0"/>
          <w:numId w:val="2"/>
        </w:numPr>
      </w:pPr>
      <w:r w:rsidRPr="006B598E">
        <w:rPr>
          <w:b/>
          <w:bCs/>
        </w:rPr>
        <w:t>Standardise Franchise Reporting:</w:t>
      </w:r>
      <w:r w:rsidRPr="000A2A84">
        <w:t xml:space="preserve"> Align performance tracking across all stores to</w:t>
      </w:r>
      <w:r w:rsidR="006B598E">
        <w:t xml:space="preserve"> </w:t>
      </w:r>
      <w:r w:rsidRPr="000A2A84">
        <w:t>ensure data consistency and accountability.</w:t>
      </w:r>
    </w:p>
    <w:p w14:paraId="1CEB6BE6" w14:textId="77777777" w:rsidR="006B598E" w:rsidRPr="000A2A84" w:rsidRDefault="006B598E" w:rsidP="006B598E"/>
    <w:p w14:paraId="3C34C14A" w14:textId="3DFF39A2" w:rsidR="006B598E" w:rsidRDefault="000A2A84" w:rsidP="000A2A84">
      <w:proofErr w:type="spellStart"/>
      <w:r w:rsidRPr="000A2A84">
        <w:t>Domino's</w:t>
      </w:r>
      <w:proofErr w:type="spellEnd"/>
      <w:r w:rsidRPr="000A2A84">
        <w:t xml:space="preserve"> can maintain long-term strategic advantage in the cutthroat UK foodservice</w:t>
      </w:r>
      <w:r w:rsidR="006B598E">
        <w:t xml:space="preserve"> </w:t>
      </w:r>
      <w:r w:rsidRPr="000A2A84">
        <w:t>industry, increase ethical governance, and deepen its management accounting maturity by</w:t>
      </w:r>
      <w:r w:rsidR="006B598E">
        <w:t xml:space="preserve"> </w:t>
      </w:r>
      <w:r w:rsidRPr="000A2A84">
        <w:t>bolstering these areas.</w:t>
      </w:r>
    </w:p>
    <w:p w14:paraId="26055B8C" w14:textId="71250383" w:rsidR="006B598E" w:rsidRDefault="006B598E" w:rsidP="006B598E">
      <w:pPr>
        <w:pStyle w:val="Heading2"/>
      </w:pPr>
      <w:r>
        <w:br w:type="page"/>
      </w:r>
      <w:bookmarkStart w:id="23" w:name="_Toc214710632"/>
      <w:r w:rsidR="000A2A84" w:rsidRPr="006B598E">
        <w:lastRenderedPageBreak/>
        <w:t>References</w:t>
      </w:r>
      <w:bookmarkEnd w:id="23"/>
    </w:p>
    <w:p w14:paraId="3282E8E5" w14:textId="77777777" w:rsidR="006B598E" w:rsidRPr="006B598E" w:rsidRDefault="006B598E" w:rsidP="006B598E">
      <w:pPr>
        <w:pStyle w:val="Heading2"/>
        <w:ind w:left="360"/>
      </w:pPr>
    </w:p>
    <w:p w14:paraId="5C8588C8" w14:textId="3A9E1091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Atrill, P. (2019) </w:t>
      </w:r>
      <w:r w:rsidRPr="006B598E">
        <w:rPr>
          <w:i/>
          <w:iCs/>
          <w:sz w:val="22"/>
        </w:rPr>
        <w:t>Financial Management for Decision Makers.</w:t>
      </w:r>
      <w:r w:rsidRPr="006B598E">
        <w:rPr>
          <w:sz w:val="22"/>
        </w:rPr>
        <w:t xml:space="preserve"> 9th edn. Harlow: Pearson Education.</w:t>
      </w:r>
    </w:p>
    <w:p w14:paraId="065C3459" w14:textId="11D60880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>Atrill, P. and McLaney, E. (2021</w:t>
      </w:r>
      <w:r w:rsidRPr="006B598E">
        <w:rPr>
          <w:i/>
          <w:iCs/>
          <w:sz w:val="22"/>
        </w:rPr>
        <w:t>) Management Accounting for Decision Makers.</w:t>
      </w:r>
      <w:r w:rsidRPr="006B598E">
        <w:rPr>
          <w:sz w:val="22"/>
        </w:rPr>
        <w:t xml:space="preserve"> 10th edn. Harlow:</w:t>
      </w:r>
      <w:r w:rsidR="006B598E">
        <w:rPr>
          <w:sz w:val="22"/>
        </w:rPr>
        <w:t xml:space="preserve"> </w:t>
      </w:r>
      <w:r w:rsidRPr="006B598E">
        <w:rPr>
          <w:sz w:val="22"/>
        </w:rPr>
        <w:t>Pearson Education.</w:t>
      </w:r>
    </w:p>
    <w:p w14:paraId="2E32EAB3" w14:textId="5B05741E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Butterfield, E. (2016) </w:t>
      </w:r>
      <w:r w:rsidRPr="006B598E">
        <w:rPr>
          <w:i/>
          <w:iCs/>
          <w:sz w:val="22"/>
        </w:rPr>
        <w:t>Managerial Decision-Making and Management Accounting Information.</w:t>
      </w:r>
      <w:r w:rsidR="006B598E">
        <w:rPr>
          <w:i/>
          <w:iCs/>
          <w:sz w:val="22"/>
        </w:rPr>
        <w:t xml:space="preserve"> </w:t>
      </w:r>
      <w:r w:rsidRPr="006B598E">
        <w:rPr>
          <w:sz w:val="22"/>
        </w:rPr>
        <w:t>Master’s Thesis. Helsinki Metropolia University of Applied Sciences.</w:t>
      </w:r>
    </w:p>
    <w:p w14:paraId="4D1520C1" w14:textId="494F87FE" w:rsidR="000A2A84" w:rsidRPr="006B598E" w:rsidRDefault="000A2A84" w:rsidP="006B598E">
      <w:pPr>
        <w:pStyle w:val="ListParagraph"/>
        <w:numPr>
          <w:ilvl w:val="0"/>
          <w:numId w:val="5"/>
        </w:numPr>
        <w:rPr>
          <w:i/>
          <w:iCs/>
          <w:sz w:val="22"/>
        </w:rPr>
      </w:pPr>
      <w:r w:rsidRPr="006B598E">
        <w:rPr>
          <w:sz w:val="22"/>
        </w:rPr>
        <w:t>Coombs, H., Hobbs, D. and Jenkins, E. (2005</w:t>
      </w:r>
      <w:r w:rsidRPr="006B598E">
        <w:rPr>
          <w:i/>
          <w:iCs/>
          <w:sz w:val="22"/>
        </w:rPr>
        <w:t>) Management Accounting: Principles and Applications.</w:t>
      </w:r>
      <w:r w:rsidR="006B598E">
        <w:rPr>
          <w:i/>
          <w:iCs/>
          <w:sz w:val="22"/>
        </w:rPr>
        <w:t xml:space="preserve"> </w:t>
      </w:r>
      <w:r w:rsidRPr="006B598E">
        <w:rPr>
          <w:sz w:val="22"/>
        </w:rPr>
        <w:t>London: Sage Publications.</w:t>
      </w:r>
    </w:p>
    <w:p w14:paraId="53CCE03F" w14:textId="77777777" w:rsid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Domino’s Pizza Group PLC (2024) </w:t>
      </w:r>
      <w:r w:rsidRPr="006B598E">
        <w:rPr>
          <w:i/>
          <w:iCs/>
          <w:sz w:val="22"/>
        </w:rPr>
        <w:t>Annual Report and Accounts 2024</w:t>
      </w:r>
      <w:r w:rsidRPr="006B598E">
        <w:rPr>
          <w:sz w:val="22"/>
        </w:rPr>
        <w:t>. Available at:</w:t>
      </w:r>
      <w:r w:rsidR="006B598E">
        <w:rPr>
          <w:sz w:val="22"/>
        </w:rPr>
        <w:t xml:space="preserve"> </w:t>
      </w:r>
      <w:hyperlink r:id="rId12" w:history="1">
        <w:r w:rsidR="006B598E" w:rsidRPr="00951845">
          <w:rPr>
            <w:rStyle w:val="Hyperlink"/>
            <w:sz w:val="22"/>
          </w:rPr>
          <w:t>https://investors.dominos.co.uk/system/files/uploads/financialdocs/2024-annual-report.pdf</w:t>
        </w:r>
      </w:hyperlink>
      <w:r w:rsidR="006B598E">
        <w:rPr>
          <w:sz w:val="22"/>
        </w:rPr>
        <w:t xml:space="preserve"> </w:t>
      </w:r>
      <w:r w:rsidRPr="006B598E">
        <w:rPr>
          <w:sz w:val="22"/>
        </w:rPr>
        <w:t>(Accessed: 21 November 2025).</w:t>
      </w:r>
    </w:p>
    <w:p w14:paraId="5011E385" w14:textId="0705FD2C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Domino’s Pizza Group PLC (2025) </w:t>
      </w:r>
      <w:r w:rsidRPr="006B598E">
        <w:rPr>
          <w:i/>
          <w:iCs/>
          <w:sz w:val="22"/>
        </w:rPr>
        <w:t>Corporate Information and Franchise Overview.</w:t>
      </w:r>
      <w:r w:rsidRPr="006B598E">
        <w:rPr>
          <w:sz w:val="22"/>
        </w:rPr>
        <w:t xml:space="preserve"> Available at:</w:t>
      </w:r>
      <w:r w:rsidR="006B598E">
        <w:rPr>
          <w:sz w:val="22"/>
        </w:rPr>
        <w:t xml:space="preserve"> </w:t>
      </w:r>
      <w:hyperlink r:id="rId13" w:history="1">
        <w:r w:rsidR="006B598E" w:rsidRPr="00951845">
          <w:rPr>
            <w:rStyle w:val="Hyperlink"/>
            <w:sz w:val="22"/>
          </w:rPr>
          <w:t>https://investors.dominos.co.uk/investors/overview</w:t>
        </w:r>
      </w:hyperlink>
      <w:r w:rsidR="006B598E">
        <w:rPr>
          <w:sz w:val="22"/>
        </w:rPr>
        <w:t xml:space="preserve"> </w:t>
      </w:r>
      <w:r w:rsidRPr="006B598E">
        <w:rPr>
          <w:sz w:val="22"/>
        </w:rPr>
        <w:t>(Accessed: 21 November 2025).</w:t>
      </w:r>
    </w:p>
    <w:p w14:paraId="457E39FC" w14:textId="5EF3CB95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Google Finance (2025) </w:t>
      </w:r>
      <w:r w:rsidRPr="006B598E">
        <w:rPr>
          <w:i/>
          <w:iCs/>
          <w:sz w:val="22"/>
        </w:rPr>
        <w:t>Domino’s Pizza Group PLC (DOM:LON) Financial Data.</w:t>
      </w:r>
      <w:r w:rsidRPr="006B598E">
        <w:rPr>
          <w:sz w:val="22"/>
        </w:rPr>
        <w:t xml:space="preserve"> Available at:</w:t>
      </w:r>
      <w:r w:rsidR="006B598E">
        <w:rPr>
          <w:sz w:val="22"/>
        </w:rPr>
        <w:t xml:space="preserve"> </w:t>
      </w:r>
      <w:hyperlink r:id="rId14" w:history="1">
        <w:r w:rsidR="006B598E" w:rsidRPr="00951845">
          <w:rPr>
            <w:rStyle w:val="Hyperlink"/>
            <w:sz w:val="22"/>
          </w:rPr>
          <w:t>https://www.google.com/finance/quote/DOM:LON</w:t>
        </w:r>
      </w:hyperlink>
      <w:r w:rsidR="006B598E">
        <w:rPr>
          <w:sz w:val="22"/>
        </w:rPr>
        <w:t xml:space="preserve"> </w:t>
      </w:r>
      <w:r w:rsidRPr="006B598E">
        <w:rPr>
          <w:sz w:val="22"/>
        </w:rPr>
        <w:t>(Accessed: 21 November 2025).</w:t>
      </w:r>
    </w:p>
    <w:p w14:paraId="4738CEEC" w14:textId="0BFE98D2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Langfield-Smith, K., Smith, D., Andon, P., Hilton, R. and Thorne, H. (2021) </w:t>
      </w:r>
      <w:r w:rsidRPr="006B598E">
        <w:rPr>
          <w:i/>
          <w:iCs/>
          <w:sz w:val="22"/>
        </w:rPr>
        <w:t>Management Accounting.</w:t>
      </w:r>
      <w:r w:rsidR="006B598E">
        <w:rPr>
          <w:sz w:val="22"/>
        </w:rPr>
        <w:t xml:space="preserve"> </w:t>
      </w:r>
      <w:r w:rsidRPr="006B598E">
        <w:rPr>
          <w:sz w:val="22"/>
        </w:rPr>
        <w:t>McGraw-Hill Education.</w:t>
      </w:r>
    </w:p>
    <w:p w14:paraId="6967034E" w14:textId="79B7D276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>Pratt, J. and Peters, M.F. (2021</w:t>
      </w:r>
      <w:r w:rsidRPr="006B598E">
        <w:rPr>
          <w:i/>
          <w:iCs/>
          <w:sz w:val="22"/>
        </w:rPr>
        <w:t>) Financial Accounting</w:t>
      </w:r>
      <w:r w:rsidRPr="006B598E">
        <w:rPr>
          <w:sz w:val="22"/>
        </w:rPr>
        <w:t>. Wiley.</w:t>
      </w:r>
    </w:p>
    <w:p w14:paraId="28C21146" w14:textId="5423C12F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>Seal, W., Garrison, R. H., Noreen, E. W. and Brewer, P. C. (2018) Management Accounting. 7th edn.</w:t>
      </w:r>
      <w:r w:rsidR="006B598E">
        <w:rPr>
          <w:sz w:val="22"/>
        </w:rPr>
        <w:t xml:space="preserve"> </w:t>
      </w:r>
      <w:r w:rsidRPr="006B598E">
        <w:rPr>
          <w:sz w:val="22"/>
        </w:rPr>
        <w:t>London: McGraw-Hill Education.</w:t>
      </w:r>
    </w:p>
    <w:p w14:paraId="42E4A7ED" w14:textId="77777777" w:rsidR="00C31069" w:rsidRDefault="00C31069" w:rsidP="006B598E">
      <w:pPr>
        <w:pStyle w:val="ListParagraph"/>
        <w:numPr>
          <w:ilvl w:val="0"/>
          <w:numId w:val="5"/>
        </w:numPr>
        <w:rPr>
          <w:sz w:val="22"/>
        </w:rPr>
      </w:pPr>
      <w:r w:rsidRPr="00C31069">
        <w:rPr>
          <w:sz w:val="22"/>
        </w:rPr>
        <w:t xml:space="preserve">Simkin, M.G., Worrell, J.L. and Savage, A.A. (2018) </w:t>
      </w:r>
      <w:r w:rsidRPr="00C31069">
        <w:rPr>
          <w:i/>
          <w:iCs/>
          <w:sz w:val="22"/>
        </w:rPr>
        <w:t>Core Concepts of Accounting Information Systems</w:t>
      </w:r>
      <w:r w:rsidRPr="00C31069">
        <w:rPr>
          <w:sz w:val="22"/>
        </w:rPr>
        <w:t>. 14th edn. Hoboken, NJ: John Wiley &amp; Sons.</w:t>
      </w:r>
    </w:p>
    <w:p w14:paraId="75B11CFF" w14:textId="7297C16F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Weetman, P. (2013) </w:t>
      </w:r>
      <w:r w:rsidRPr="006B598E">
        <w:rPr>
          <w:i/>
          <w:iCs/>
          <w:sz w:val="22"/>
        </w:rPr>
        <w:t>Financial and Management Accounting: An Introduction.</w:t>
      </w:r>
      <w:r w:rsidRPr="006B598E">
        <w:rPr>
          <w:sz w:val="22"/>
        </w:rPr>
        <w:t xml:space="preserve"> 7th edn. Harlow:</w:t>
      </w:r>
      <w:r w:rsidR="006B598E">
        <w:rPr>
          <w:sz w:val="22"/>
        </w:rPr>
        <w:t xml:space="preserve"> </w:t>
      </w:r>
      <w:r w:rsidRPr="006B598E">
        <w:rPr>
          <w:sz w:val="22"/>
        </w:rPr>
        <w:t>Pearson Education.</w:t>
      </w:r>
    </w:p>
    <w:p w14:paraId="236FD079" w14:textId="07B49815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>Weygandt, J.J., Kimmel, P.D. &amp; Aly, I.M. (20</w:t>
      </w:r>
      <w:r w:rsidR="00C31069">
        <w:rPr>
          <w:sz w:val="22"/>
        </w:rPr>
        <w:t>18</w:t>
      </w:r>
      <w:r w:rsidRPr="006B598E">
        <w:rPr>
          <w:sz w:val="22"/>
        </w:rPr>
        <w:t xml:space="preserve">) </w:t>
      </w:r>
      <w:r w:rsidRPr="006B598E">
        <w:rPr>
          <w:i/>
          <w:iCs/>
          <w:sz w:val="22"/>
        </w:rPr>
        <w:t>Managerial Accounting: Tools for Business Decision-Making.</w:t>
      </w:r>
      <w:r w:rsidRPr="006B598E">
        <w:rPr>
          <w:sz w:val="22"/>
        </w:rPr>
        <w:t xml:space="preserve"> Hoboken, NJ: John Wiley &amp; Sons.</w:t>
      </w:r>
    </w:p>
    <w:p w14:paraId="1CB891EA" w14:textId="7B858E3E" w:rsidR="000A2A84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 xml:space="preserve">Weygandt, J. J., Kimmel, P. D. and Mitchell, J. E. (2020) </w:t>
      </w:r>
      <w:r w:rsidRPr="006B598E">
        <w:rPr>
          <w:i/>
          <w:iCs/>
          <w:sz w:val="22"/>
        </w:rPr>
        <w:t>Financial Accounting: IFRS Edition</w:t>
      </w:r>
      <w:r w:rsidRPr="006B598E">
        <w:rPr>
          <w:sz w:val="22"/>
        </w:rPr>
        <w:t>.</w:t>
      </w:r>
      <w:r w:rsidR="006B598E">
        <w:rPr>
          <w:sz w:val="22"/>
        </w:rPr>
        <w:t xml:space="preserve"> </w:t>
      </w:r>
      <w:r w:rsidRPr="006B598E">
        <w:rPr>
          <w:sz w:val="22"/>
        </w:rPr>
        <w:t>5th edn.</w:t>
      </w:r>
      <w:r w:rsidR="006B598E">
        <w:rPr>
          <w:sz w:val="22"/>
        </w:rPr>
        <w:t xml:space="preserve"> </w:t>
      </w:r>
      <w:r w:rsidRPr="006B598E">
        <w:rPr>
          <w:sz w:val="22"/>
        </w:rPr>
        <w:t>Hoboken, NJ: Wiley.</w:t>
      </w:r>
    </w:p>
    <w:p w14:paraId="1B862CEA" w14:textId="67B469E8" w:rsidR="00E94B5F" w:rsidRPr="006B598E" w:rsidRDefault="000A2A84" w:rsidP="006B598E">
      <w:pPr>
        <w:pStyle w:val="ListParagraph"/>
        <w:numPr>
          <w:ilvl w:val="0"/>
          <w:numId w:val="5"/>
        </w:numPr>
        <w:rPr>
          <w:sz w:val="22"/>
        </w:rPr>
      </w:pPr>
      <w:r w:rsidRPr="006B598E">
        <w:rPr>
          <w:sz w:val="22"/>
        </w:rPr>
        <w:t>Weygandt, J.J., Kimmel, P.D. &amp; Kieso, D.E. (20</w:t>
      </w:r>
      <w:r w:rsidR="00DB2E18">
        <w:rPr>
          <w:sz w:val="22"/>
        </w:rPr>
        <w:t>18</w:t>
      </w:r>
      <w:r w:rsidRPr="006B598E">
        <w:rPr>
          <w:sz w:val="22"/>
        </w:rPr>
        <w:t xml:space="preserve">) </w:t>
      </w:r>
      <w:r w:rsidRPr="006B598E">
        <w:rPr>
          <w:i/>
          <w:iCs/>
          <w:sz w:val="22"/>
        </w:rPr>
        <w:t>Managerial Accounting: Tools for Business</w:t>
      </w:r>
      <w:r w:rsidR="006B598E" w:rsidRPr="006B598E">
        <w:rPr>
          <w:i/>
          <w:iCs/>
          <w:sz w:val="22"/>
        </w:rPr>
        <w:t xml:space="preserve"> </w:t>
      </w:r>
      <w:r w:rsidRPr="006B598E">
        <w:rPr>
          <w:i/>
          <w:iCs/>
          <w:sz w:val="22"/>
        </w:rPr>
        <w:t>Decision Making.</w:t>
      </w:r>
      <w:r w:rsidRPr="006B598E">
        <w:rPr>
          <w:sz w:val="22"/>
        </w:rPr>
        <w:t xml:space="preserve"> Hoboken, NJ: John Wiley &amp; Sons.</w:t>
      </w:r>
    </w:p>
    <w:sectPr w:rsidR="00E94B5F" w:rsidRPr="006B598E" w:rsidSect="000821D9">
      <w:headerReference w:type="default" r:id="rId15"/>
      <w:footerReference w:type="default" r:id="rId16"/>
      <w:footerReference w:type="first" r:id="rId17"/>
      <w:pgSz w:w="11906" w:h="16838" w:code="9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DCA122" w14:textId="77777777" w:rsidR="00317388" w:rsidRDefault="00317388" w:rsidP="004B7E44">
      <w:r>
        <w:separator/>
      </w:r>
    </w:p>
  </w:endnote>
  <w:endnote w:type="continuationSeparator" w:id="0">
    <w:p w14:paraId="558B9445" w14:textId="77777777" w:rsidR="00317388" w:rsidRDefault="00317388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1C5B27" w14:textId="77777777" w:rsidR="00000000" w:rsidRDefault="00000000">
    <w:r>
      <w:cr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8F25D5" w14:textId="77777777" w:rsidR="005A718F" w:rsidRDefault="005A718F" w:rsidP="004B7E44">
        <w:pPr>
          <w:pStyle w:val="Footer"/>
        </w:pPr>
        <w:r>
          <w:rPr>
            <w:lang w:bidi="en-GB"/>
          </w:rPr>
          <w:fldChar w:fldCharType="begin"/>
        </w:r>
        <w:r>
          <w:rPr>
            <w:lang w:bidi="en-GB"/>
          </w:rPr>
          <w:instrText xml:space="preserve"> PAGE   \* MERGEFORMAT </w:instrText>
        </w:r>
        <w:r>
          <w:rPr>
            <w:lang w:bidi="en-GB"/>
          </w:rPr>
          <w:fldChar w:fldCharType="separate"/>
        </w:r>
        <w:r w:rsidR="009120E9">
          <w:rPr>
            <w:noProof/>
            <w:lang w:bidi="en-GB"/>
          </w:rPr>
          <w:t>1</w:t>
        </w:r>
        <w:r>
          <w:rPr>
            <w:noProof/>
            <w:lang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6CE981" w14:textId="77777777" w:rsidR="00317388" w:rsidRDefault="00317388" w:rsidP="004B7E44">
      <w:r>
        <w:separator/>
      </w:r>
    </w:p>
  </w:footnote>
  <w:footnote w:type="continuationSeparator" w:id="0">
    <w:p w14:paraId="10EB64CE" w14:textId="77777777" w:rsidR="00317388" w:rsidRDefault="00317388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8139064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389C9E8" w14:textId="77777777" w:rsidR="004B7E44" w:rsidRDefault="004B7E44" w:rsidP="004B7E44">
          <w:pPr>
            <w:pStyle w:val="Header"/>
          </w:pPr>
          <w:r>
            <w:rPr>
              <w:noProof/>
              <w:lang w:bidi="en-GB"/>
            </w:rPr>
            <mc:AlternateContent>
              <mc:Choice Requires="wps">
                <w:drawing>
                  <wp:inline distT="0" distB="0" distL="0" distR="0" wp14:anchorId="6D59A812" wp14:editId="2391A3A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B5F3765" w14:textId="77777777" w:rsidR="004B7E44" w:rsidRPr="004B7E44" w:rsidRDefault="004B7E44" w:rsidP="004B7E44">
                                <w:pPr>
                                  <w:jc w:val="center"/>
                                  <w:rPr>
                                    <w:b/>
                                  </w:rPr>
                                </w:pPr>
                                <w:r w:rsidRPr="004B7E44">
                                  <w:rPr>
                                    <w:b/>
                                    <w:lang w:bidi="en-GB"/>
                                  </w:rPr>
                                  <w:fldChar w:fldCharType="begin"/>
                                </w:r>
                                <w:r w:rsidRPr="004B7E44">
                                  <w:rPr>
                                    <w:b/>
                                    <w:lang w:bidi="en-GB"/>
                                  </w:rPr>
                                  <w:instrText xml:space="preserve"> PAGE  \* Arabic  \* MERGEFORMAT </w:instrText>
                                </w:r>
                                <w:r w:rsidRPr="004B7E44">
                                  <w:rPr>
                                    <w:b/>
                                    <w:lang w:bidi="en-GB"/>
                                  </w:rPr>
                                  <w:fldChar w:fldCharType="separate"/>
                                </w:r>
                                <w:r w:rsidR="009120E9">
                                  <w:rPr>
                                    <w:b/>
                                    <w:noProof/>
                                    <w:lang w:bidi="en-GB"/>
                                  </w:rPr>
                                  <w:t>2</w:t>
                                </w:r>
                                <w:r w:rsidRPr="004B7E44">
                                  <w:rPr>
                                    <w:b/>
                                    <w:lang w:bidi="en-GB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6D59A812" id="Rectangle 11" o:spid="_x0000_s1031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6B5F3765" w14:textId="77777777" w:rsidR="004B7E44" w:rsidRPr="004B7E44" w:rsidRDefault="004B7E44" w:rsidP="004B7E44">
                          <w:pPr>
                            <w:jc w:val="center"/>
                            <w:rPr>
                              <w:b/>
                            </w:rPr>
                          </w:pPr>
                          <w:r w:rsidRPr="004B7E44">
                            <w:rPr>
                              <w:b/>
                              <w:lang w:bidi="en-GB"/>
                            </w:rPr>
                            <w:fldChar w:fldCharType="begin"/>
                          </w:r>
                          <w:r w:rsidRPr="004B7E44">
                            <w:rPr>
                              <w:b/>
                              <w:lang w:bidi="en-GB"/>
                            </w:rPr>
                            <w:instrText xml:space="preserve"> PAGE  \* Arabic  \* MERGEFORMAT </w:instrText>
                          </w:r>
                          <w:r w:rsidRPr="004B7E44">
                            <w:rPr>
                              <w:b/>
                              <w:lang w:bidi="en-GB"/>
                            </w:rPr>
                            <w:fldChar w:fldCharType="separate"/>
                          </w:r>
                          <w:r w:rsidR="009120E9">
                            <w:rPr>
                              <w:b/>
                              <w:noProof/>
                              <w:lang w:bidi="en-GB"/>
                            </w:rPr>
                            <w:t>2</w:t>
                          </w:r>
                          <w:r w:rsidRPr="004B7E44">
                            <w:rPr>
                              <w:b/>
                              <w:lang w:bidi="en-GB"/>
                            </w:rPr>
                            <w:fldChar w:fldCharType="end"/>
                          </w: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93F93"/>
    <w:multiLevelType w:val="hybridMultilevel"/>
    <w:tmpl w:val="59FCB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B8159F"/>
    <w:multiLevelType w:val="hybridMultilevel"/>
    <w:tmpl w:val="4CD61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447EB6"/>
    <w:multiLevelType w:val="hybridMultilevel"/>
    <w:tmpl w:val="8F3C93DE"/>
    <w:lvl w:ilvl="0" w:tplc="2E12CE08">
      <w:start w:val="4"/>
      <w:numFmt w:val="bullet"/>
      <w:lvlText w:val=""/>
      <w:lvlJc w:val="left"/>
      <w:pPr>
        <w:ind w:left="720" w:hanging="360"/>
      </w:pPr>
      <w:rPr>
        <w:rFonts w:ascii="Arial Nova" w:eastAsiaTheme="minorEastAsia" w:hAnsi="Arial No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EC2783"/>
    <w:multiLevelType w:val="hybridMultilevel"/>
    <w:tmpl w:val="94EA5B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E42B05"/>
    <w:multiLevelType w:val="hybridMultilevel"/>
    <w:tmpl w:val="7D0A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D725AD"/>
    <w:multiLevelType w:val="hybridMultilevel"/>
    <w:tmpl w:val="12246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7100621">
    <w:abstractNumId w:val="1"/>
  </w:num>
  <w:num w:numId="2" w16cid:durableId="865867949">
    <w:abstractNumId w:val="3"/>
  </w:num>
  <w:num w:numId="3" w16cid:durableId="1210141650">
    <w:abstractNumId w:val="0"/>
  </w:num>
  <w:num w:numId="4" w16cid:durableId="1421298349">
    <w:abstractNumId w:val="2"/>
  </w:num>
  <w:num w:numId="5" w16cid:durableId="763498305">
    <w:abstractNumId w:val="4"/>
  </w:num>
  <w:num w:numId="6" w16cid:durableId="157110996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attachedTemplate r:id="rId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A84"/>
    <w:rsid w:val="000821D9"/>
    <w:rsid w:val="000A2A84"/>
    <w:rsid w:val="002013C3"/>
    <w:rsid w:val="00293B83"/>
    <w:rsid w:val="00317388"/>
    <w:rsid w:val="003B774C"/>
    <w:rsid w:val="00455FF0"/>
    <w:rsid w:val="004B7E44"/>
    <w:rsid w:val="004D5252"/>
    <w:rsid w:val="004F2B86"/>
    <w:rsid w:val="005A718F"/>
    <w:rsid w:val="006A3CE7"/>
    <w:rsid w:val="006B598E"/>
    <w:rsid w:val="007516CF"/>
    <w:rsid w:val="008B33BC"/>
    <w:rsid w:val="009120E9"/>
    <w:rsid w:val="00945900"/>
    <w:rsid w:val="009C396C"/>
    <w:rsid w:val="00B572B4"/>
    <w:rsid w:val="00C31069"/>
    <w:rsid w:val="00CF0848"/>
    <w:rsid w:val="00D72B73"/>
    <w:rsid w:val="00DB26A7"/>
    <w:rsid w:val="00DB2E18"/>
    <w:rsid w:val="00E331F9"/>
    <w:rsid w:val="00E76CAD"/>
    <w:rsid w:val="00E94B5F"/>
    <w:rsid w:val="00F66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272A32C"/>
  <w15:chartTrackingRefBased/>
  <w15:docId w15:val="{85B5D5AE-8364-4BC7-882C-1C26AA5B68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18"/>
        <w:szCs w:val="18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2A84"/>
    <w:pPr>
      <w:spacing w:after="0"/>
      <w:jc w:val="both"/>
    </w:pPr>
    <w:rPr>
      <w:rFonts w:ascii="Arial Nova" w:eastAsiaTheme="minorEastAsia" w:hAnsi="Arial Nova"/>
      <w:sz w:val="24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0A2A8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sz w:val="40"/>
    </w:rPr>
  </w:style>
  <w:style w:type="paragraph" w:styleId="Heading3">
    <w:name w:val="heading 3"/>
    <w:basedOn w:val="Normal"/>
    <w:link w:val="Heading3Char"/>
    <w:uiPriority w:val="2"/>
    <w:unhideWhenUsed/>
    <w:qFormat/>
    <w:rsid w:val="000A2A84"/>
    <w:pPr>
      <w:spacing w:line="240" w:lineRule="auto"/>
      <w:outlineLvl w:val="2"/>
    </w:pPr>
    <w:rPr>
      <w:rFonts w:asciiTheme="majorHAnsi" w:eastAsia="Times New Roman" w:hAnsiTheme="majorHAnsi" w:cs="Times New Roman"/>
      <w:b/>
      <w:i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0A2A84"/>
    <w:rPr>
      <w:rFonts w:asciiTheme="majorHAnsi" w:eastAsia="Times New Roman" w:hAnsiTheme="majorHAnsi" w:cs="Times New Roman"/>
      <w:b/>
      <w:sz w:val="40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0A2A84"/>
    <w:rPr>
      <w:rFonts w:asciiTheme="majorHAnsi" w:eastAsia="Times New Roman" w:hAnsiTheme="majorHAnsi" w:cs="Times New Roman"/>
      <w:b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0A2A84"/>
    <w:pPr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7A042E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0A2A8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2A84"/>
    <w:rPr>
      <w:color w:val="93C842" w:themeColor="hyperlink"/>
      <w:u w:val="single"/>
    </w:rPr>
  </w:style>
  <w:style w:type="paragraph" w:styleId="ListParagraph">
    <w:name w:val="List Paragraph"/>
    <w:basedOn w:val="Normal"/>
    <w:uiPriority w:val="34"/>
    <w:unhideWhenUsed/>
    <w:qFormat/>
    <w:rsid w:val="006B598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B598E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C3106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31069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investors.dominos.co.uk/investors/overview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investors.dominos.co.uk/system/files/uploads/financialdocs/2024-annual-report.pdf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google.com/finance/quote/DOM:LON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dzi\AppData\Roaming\Microsoft\Templates\Business%20report%20(Professional%20design).dotx" TargetMode="External"/></Relationship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Business report (Professional design)</Template>
  <TotalTime>50</TotalTime>
  <Pages>10</Pages>
  <Words>2521</Words>
  <Characters>16086</Characters>
  <Application>Microsoft Office Word</Application>
  <DocSecurity>0</DocSecurity>
  <Lines>309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Klaudia Budzinska</dc:creator>
  <cp:keywords/>
  <dc:description/>
  <cp:lastModifiedBy>Klaudia Budzinska (2323029)</cp:lastModifiedBy>
  <cp:revision>2</cp:revision>
  <dcterms:created xsi:type="dcterms:W3CDTF">2025-11-22T12:48:00Z</dcterms:created>
  <dcterms:modified xsi:type="dcterms:W3CDTF">2025-11-22T13:44:00Z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49663e3d-b4eb-439c-90e1-3a182da37efc</vt:lpwstr>
  </property>
</Properties>
</file>