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F8BA88" w14:textId="6CC131A8" w:rsidR="00A929BF" w:rsidRDefault="00B05A14">
      <w:r>
        <w:rPr>
          <w:noProof/>
        </w:rPr>
        <w:drawing>
          <wp:anchor distT="0" distB="0" distL="114300" distR="114300" simplePos="0" relativeHeight="251658240" behindDoc="0" locked="0" layoutInCell="1" allowOverlap="1" wp14:anchorId="4A9AF9B5" wp14:editId="3F1727A6">
            <wp:simplePos x="0" y="0"/>
            <wp:positionH relativeFrom="margin">
              <wp:posOffset>784860</wp:posOffset>
            </wp:positionH>
            <wp:positionV relativeFrom="margin">
              <wp:posOffset>-708025</wp:posOffset>
            </wp:positionV>
            <wp:extent cx="3035300" cy="2051050"/>
            <wp:effectExtent l="0" t="0" r="0" b="6350"/>
            <wp:wrapSquare wrapText="bothSides"/>
            <wp:docPr id="803739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373940" name="Picture 80373940"/>
                    <pic:cNvPicPr/>
                  </pic:nvPicPr>
                  <pic:blipFill>
                    <a:blip r:embed="rId7" cstate="print">
                      <a:extLst>
                        <a:ext uri="{28A0092B-C50C-407E-A947-70E740481C1C}">
                          <a14:useLocalDpi xmlns:a14="http://schemas.microsoft.com/office/drawing/2010/main" val="0"/>
                        </a:ext>
                      </a:extLst>
                    </a:blip>
                    <a:stretch>
                      <a:fillRect/>
                    </a:stretch>
                  </pic:blipFill>
                  <pic:spPr>
                    <a:xfrm>
                      <a:off x="0" y="0"/>
                      <a:ext cx="3035300" cy="2051050"/>
                    </a:xfrm>
                    <a:prstGeom prst="rect">
                      <a:avLst/>
                    </a:prstGeom>
                  </pic:spPr>
                </pic:pic>
              </a:graphicData>
            </a:graphic>
            <wp14:sizeRelH relativeFrom="margin">
              <wp14:pctWidth>0</wp14:pctWidth>
            </wp14:sizeRelH>
            <wp14:sizeRelV relativeFrom="margin">
              <wp14:pctHeight>0</wp14:pctHeight>
            </wp14:sizeRelV>
          </wp:anchor>
        </w:drawing>
      </w:r>
    </w:p>
    <w:p w14:paraId="159A15A4" w14:textId="77777777" w:rsidR="00B05A14" w:rsidRDefault="00B05A14"/>
    <w:p w14:paraId="6484FCE6" w14:textId="77777777" w:rsidR="00B05A14" w:rsidRDefault="00B05A14"/>
    <w:p w14:paraId="2493A625" w14:textId="77777777" w:rsidR="00B05A14" w:rsidRDefault="00B05A14"/>
    <w:p w14:paraId="3A2F3D28" w14:textId="77777777" w:rsidR="00B05A14" w:rsidRDefault="00B05A14"/>
    <w:p w14:paraId="4BE4B08F" w14:textId="77777777" w:rsidR="00B05A14" w:rsidRDefault="00B05A14"/>
    <w:p w14:paraId="49D7EFDB" w14:textId="77777777" w:rsidR="00B05A14" w:rsidRDefault="00B05A14"/>
    <w:p w14:paraId="7A0175FD" w14:textId="77777777" w:rsidR="00B05A14" w:rsidRDefault="00B05A14"/>
    <w:p w14:paraId="58B5B1C4" w14:textId="77777777" w:rsidR="00B05A14" w:rsidRDefault="00B05A14"/>
    <w:p w14:paraId="01F59981" w14:textId="00792B9B" w:rsidR="00B05A14" w:rsidRPr="00A33AA1" w:rsidRDefault="00B05A14" w:rsidP="00A33AA1">
      <w:pPr>
        <w:pStyle w:val="Quote"/>
        <w:rPr>
          <w:rStyle w:val="Strong"/>
        </w:rPr>
      </w:pPr>
      <w:r w:rsidRPr="00A33AA1">
        <w:rPr>
          <w:rStyle w:val="Strong"/>
        </w:rPr>
        <w:t xml:space="preserve">STUDENT NAME: RALUCA IOANA SERBAN </w:t>
      </w:r>
    </w:p>
    <w:p w14:paraId="66B5F57C" w14:textId="0A9814E4" w:rsidR="00B05A14" w:rsidRPr="00A33AA1" w:rsidRDefault="00B05A14" w:rsidP="00A33AA1">
      <w:pPr>
        <w:pStyle w:val="Quote"/>
        <w:rPr>
          <w:rStyle w:val="Strong"/>
        </w:rPr>
      </w:pPr>
      <w:r w:rsidRPr="00A33AA1">
        <w:rPr>
          <w:rStyle w:val="Strong"/>
        </w:rPr>
        <w:t xml:space="preserve">STUDENT ID: 2213917 </w:t>
      </w:r>
    </w:p>
    <w:p w14:paraId="76C23A7C" w14:textId="6128B650" w:rsidR="00B05A14" w:rsidRPr="00A33AA1" w:rsidRDefault="00B05A14" w:rsidP="00A33AA1">
      <w:pPr>
        <w:pStyle w:val="Quote"/>
        <w:rPr>
          <w:rStyle w:val="Strong"/>
        </w:rPr>
      </w:pPr>
      <w:r w:rsidRPr="00A33AA1">
        <w:rPr>
          <w:rStyle w:val="Strong"/>
        </w:rPr>
        <w:t xml:space="preserve">MODULE CODE: LCBB6006 </w:t>
      </w:r>
    </w:p>
    <w:p w14:paraId="36AB6AC0" w14:textId="1F30EE4C" w:rsidR="00B05A14" w:rsidRDefault="00B05A14" w:rsidP="00A33AA1">
      <w:pPr>
        <w:pStyle w:val="Quote"/>
        <w:rPr>
          <w:rStyle w:val="Strong"/>
        </w:rPr>
      </w:pPr>
      <w:r w:rsidRPr="00A33AA1">
        <w:rPr>
          <w:rStyle w:val="Strong"/>
        </w:rPr>
        <w:t xml:space="preserve">LECTURE NAME: SHUJUN XIAO </w:t>
      </w:r>
    </w:p>
    <w:p w14:paraId="672D4289" w14:textId="4251C218" w:rsidR="00A33AA1" w:rsidRPr="00A33AA1" w:rsidRDefault="00A33AA1" w:rsidP="00A33AA1">
      <w:pPr>
        <w:pStyle w:val="Quote"/>
        <w:rPr>
          <w:rStyle w:val="Strong"/>
        </w:rPr>
      </w:pPr>
      <w:r w:rsidRPr="00A33AA1">
        <w:rPr>
          <w:rStyle w:val="Strong"/>
        </w:rPr>
        <w:t>WORDS:2000</w:t>
      </w:r>
    </w:p>
    <w:p w14:paraId="236C88BF" w14:textId="77777777" w:rsidR="00B05A14" w:rsidRDefault="00B05A14"/>
    <w:p w14:paraId="083CF0F2" w14:textId="77777777" w:rsidR="00B05A14" w:rsidRDefault="00B05A14"/>
    <w:p w14:paraId="472D46C4" w14:textId="34F25C39" w:rsidR="00B05A14" w:rsidRPr="00A33AA1" w:rsidRDefault="00B05A14" w:rsidP="00A33AA1">
      <w:pPr>
        <w:jc w:val="center"/>
        <w:rPr>
          <w:rFonts w:ascii="Arial" w:hAnsi="Arial" w:cs="Arial"/>
          <w:b/>
          <w:bCs/>
          <w:sz w:val="32"/>
          <w:szCs w:val="32"/>
        </w:rPr>
      </w:pPr>
      <w:r w:rsidRPr="00A33AA1">
        <w:rPr>
          <w:rFonts w:ascii="Arial" w:hAnsi="Arial" w:cs="Arial"/>
          <w:b/>
          <w:bCs/>
          <w:sz w:val="32"/>
          <w:szCs w:val="32"/>
        </w:rPr>
        <w:t>MODULE: PROJECT MANAGEMENT</w:t>
      </w:r>
    </w:p>
    <w:p w14:paraId="22E3C1FD" w14:textId="77777777" w:rsidR="00B05A14" w:rsidRDefault="00B05A14"/>
    <w:p w14:paraId="353F445E" w14:textId="77777777" w:rsidR="00B05A14" w:rsidRDefault="00B05A14"/>
    <w:p w14:paraId="33D74CC3" w14:textId="77777777" w:rsidR="00B05A14" w:rsidRDefault="00B05A14"/>
    <w:p w14:paraId="142530AB" w14:textId="77777777" w:rsidR="00B05A14" w:rsidRDefault="00B05A14"/>
    <w:p w14:paraId="40E75504" w14:textId="77777777" w:rsidR="00B05A14" w:rsidRDefault="00B05A14"/>
    <w:p w14:paraId="1AA2F993" w14:textId="77777777" w:rsidR="00B05A14" w:rsidRDefault="00B05A14"/>
    <w:p w14:paraId="20D0E0CF" w14:textId="77777777" w:rsidR="00B05A14" w:rsidRDefault="00B05A14"/>
    <w:p w14:paraId="14674C1B" w14:textId="77777777" w:rsidR="00B05A14" w:rsidRDefault="00B05A14"/>
    <w:p w14:paraId="6753A17C" w14:textId="77777777" w:rsidR="00B05A14" w:rsidRDefault="00B05A14"/>
    <w:p w14:paraId="2076927B" w14:textId="77777777" w:rsidR="00B05A14" w:rsidRDefault="00B05A14"/>
    <w:p w14:paraId="0A762561" w14:textId="77777777" w:rsidR="00B05A14" w:rsidRDefault="00B05A14"/>
    <w:p w14:paraId="0A371516" w14:textId="77777777" w:rsidR="00B05A14" w:rsidRDefault="00B05A14"/>
    <w:p w14:paraId="2C1B5B29" w14:textId="77777777" w:rsidR="00B05A14" w:rsidRDefault="00B05A14"/>
    <w:sdt>
      <w:sdtPr>
        <w:id w:val="232363418"/>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5039CD11" w14:textId="33555031" w:rsidR="00E35348" w:rsidRDefault="00E35348">
          <w:pPr>
            <w:pStyle w:val="TOCHeading"/>
          </w:pPr>
          <w:r>
            <w:t>Table of Contents</w:t>
          </w:r>
        </w:p>
        <w:p w14:paraId="2C4DAC6C" w14:textId="0499A8C8" w:rsidR="00E35348" w:rsidRDefault="00E35348">
          <w:pPr>
            <w:pStyle w:val="TOC1"/>
            <w:tabs>
              <w:tab w:val="right" w:leader="dot" w:pos="9016"/>
            </w:tabs>
            <w:rPr>
              <w:noProof/>
            </w:rPr>
          </w:pPr>
          <w:r>
            <w:fldChar w:fldCharType="begin"/>
          </w:r>
          <w:r>
            <w:instrText xml:space="preserve"> TOC \o "1-3" \h \z \u </w:instrText>
          </w:r>
          <w:r>
            <w:fldChar w:fldCharType="separate"/>
          </w:r>
          <w:hyperlink w:anchor="_Toc224916217" w:history="1">
            <w:r w:rsidRPr="009150BF">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_Toc224916217 \h </w:instrText>
            </w:r>
            <w:r>
              <w:rPr>
                <w:noProof/>
                <w:webHidden/>
              </w:rPr>
            </w:r>
            <w:r>
              <w:rPr>
                <w:noProof/>
                <w:webHidden/>
              </w:rPr>
              <w:fldChar w:fldCharType="separate"/>
            </w:r>
            <w:r>
              <w:rPr>
                <w:noProof/>
                <w:webHidden/>
              </w:rPr>
              <w:t>3</w:t>
            </w:r>
            <w:r>
              <w:rPr>
                <w:noProof/>
                <w:webHidden/>
              </w:rPr>
              <w:fldChar w:fldCharType="end"/>
            </w:r>
          </w:hyperlink>
        </w:p>
        <w:p w14:paraId="3ADC7BEF" w14:textId="335FFE31" w:rsidR="00E35348" w:rsidRDefault="00E35348" w:rsidP="00E35348">
          <w:pPr>
            <w:pStyle w:val="TOC2"/>
            <w:tabs>
              <w:tab w:val="right" w:leader="dot" w:pos="9016"/>
            </w:tabs>
            <w:ind w:left="0"/>
            <w:rPr>
              <w:noProof/>
            </w:rPr>
          </w:pPr>
          <w:hyperlink w:anchor="_Toc224916218" w:history="1">
            <w:r w:rsidRPr="009150BF">
              <w:rPr>
                <w:rStyle w:val="Hyperlink"/>
                <w:noProof/>
              </w:rPr>
              <w:t>Risk Planning in Project Management</w:t>
            </w:r>
            <w:r>
              <w:rPr>
                <w:noProof/>
                <w:webHidden/>
              </w:rPr>
              <w:tab/>
            </w:r>
            <w:r>
              <w:rPr>
                <w:noProof/>
                <w:webHidden/>
              </w:rPr>
              <w:fldChar w:fldCharType="begin"/>
            </w:r>
            <w:r>
              <w:rPr>
                <w:noProof/>
                <w:webHidden/>
              </w:rPr>
              <w:instrText xml:space="preserve"> PAGEREF _Toc224916218 \h </w:instrText>
            </w:r>
            <w:r>
              <w:rPr>
                <w:noProof/>
                <w:webHidden/>
              </w:rPr>
            </w:r>
            <w:r>
              <w:rPr>
                <w:noProof/>
                <w:webHidden/>
              </w:rPr>
              <w:fldChar w:fldCharType="separate"/>
            </w:r>
            <w:r>
              <w:rPr>
                <w:noProof/>
                <w:webHidden/>
              </w:rPr>
              <w:t>3</w:t>
            </w:r>
            <w:r>
              <w:rPr>
                <w:noProof/>
                <w:webHidden/>
              </w:rPr>
              <w:fldChar w:fldCharType="end"/>
            </w:r>
          </w:hyperlink>
        </w:p>
        <w:p w14:paraId="378B4B5A" w14:textId="244A26EC" w:rsidR="00E35348" w:rsidRDefault="00E35348" w:rsidP="00E35348">
          <w:pPr>
            <w:pStyle w:val="TOC2"/>
            <w:tabs>
              <w:tab w:val="right" w:leader="dot" w:pos="9016"/>
            </w:tabs>
            <w:ind w:left="0"/>
            <w:rPr>
              <w:noProof/>
            </w:rPr>
          </w:pPr>
          <w:hyperlink w:anchor="_Toc224916219" w:history="1">
            <w:r w:rsidRPr="009150BF">
              <w:rPr>
                <w:rStyle w:val="Hyperlink"/>
                <w:noProof/>
              </w:rPr>
              <w:t>Contracting Methods in Project Management</w:t>
            </w:r>
            <w:r>
              <w:rPr>
                <w:noProof/>
                <w:webHidden/>
              </w:rPr>
              <w:tab/>
            </w:r>
            <w:r>
              <w:rPr>
                <w:noProof/>
                <w:webHidden/>
              </w:rPr>
              <w:fldChar w:fldCharType="begin"/>
            </w:r>
            <w:r>
              <w:rPr>
                <w:noProof/>
                <w:webHidden/>
              </w:rPr>
              <w:instrText xml:space="preserve"> PAGEREF _Toc224916219 \h </w:instrText>
            </w:r>
            <w:r>
              <w:rPr>
                <w:noProof/>
                <w:webHidden/>
              </w:rPr>
            </w:r>
            <w:r>
              <w:rPr>
                <w:noProof/>
                <w:webHidden/>
              </w:rPr>
              <w:fldChar w:fldCharType="separate"/>
            </w:r>
            <w:r>
              <w:rPr>
                <w:noProof/>
                <w:webHidden/>
              </w:rPr>
              <w:t>4</w:t>
            </w:r>
            <w:r>
              <w:rPr>
                <w:noProof/>
                <w:webHidden/>
              </w:rPr>
              <w:fldChar w:fldCharType="end"/>
            </w:r>
          </w:hyperlink>
        </w:p>
        <w:p w14:paraId="75D69921" w14:textId="34F5052D" w:rsidR="00E35348" w:rsidRDefault="00E35348" w:rsidP="00E35348">
          <w:pPr>
            <w:pStyle w:val="TOC3"/>
            <w:tabs>
              <w:tab w:val="right" w:leader="dot" w:pos="9016"/>
            </w:tabs>
            <w:ind w:left="0"/>
            <w:rPr>
              <w:noProof/>
            </w:rPr>
          </w:pPr>
          <w:hyperlink w:anchor="_Toc224916220" w:history="1">
            <w:r w:rsidRPr="009150BF">
              <w:rPr>
                <w:rStyle w:val="Hyperlink"/>
                <w:noProof/>
              </w:rPr>
              <w:t>Critical Analysis with Real-Life Examples</w:t>
            </w:r>
            <w:r>
              <w:rPr>
                <w:noProof/>
                <w:webHidden/>
              </w:rPr>
              <w:tab/>
            </w:r>
            <w:r>
              <w:rPr>
                <w:noProof/>
                <w:webHidden/>
              </w:rPr>
              <w:fldChar w:fldCharType="begin"/>
            </w:r>
            <w:r>
              <w:rPr>
                <w:noProof/>
                <w:webHidden/>
              </w:rPr>
              <w:instrText xml:space="preserve"> PAGEREF _Toc224916220 \h </w:instrText>
            </w:r>
            <w:r>
              <w:rPr>
                <w:noProof/>
                <w:webHidden/>
              </w:rPr>
            </w:r>
            <w:r>
              <w:rPr>
                <w:noProof/>
                <w:webHidden/>
              </w:rPr>
              <w:fldChar w:fldCharType="separate"/>
            </w:r>
            <w:r>
              <w:rPr>
                <w:noProof/>
                <w:webHidden/>
              </w:rPr>
              <w:t>5</w:t>
            </w:r>
            <w:r>
              <w:rPr>
                <w:noProof/>
                <w:webHidden/>
              </w:rPr>
              <w:fldChar w:fldCharType="end"/>
            </w:r>
          </w:hyperlink>
        </w:p>
        <w:p w14:paraId="44BD743C" w14:textId="0E4A02CF" w:rsidR="00E35348" w:rsidRDefault="00E35348" w:rsidP="00E35348">
          <w:pPr>
            <w:pStyle w:val="TOC2"/>
            <w:tabs>
              <w:tab w:val="right" w:leader="dot" w:pos="9016"/>
            </w:tabs>
            <w:ind w:left="0"/>
            <w:rPr>
              <w:noProof/>
            </w:rPr>
          </w:pPr>
          <w:hyperlink w:anchor="_Toc224916221" w:history="1">
            <w:r w:rsidRPr="009150BF">
              <w:rPr>
                <w:rStyle w:val="Hyperlink"/>
                <w:noProof/>
              </w:rPr>
              <w:t>Linking Risk Planning and Contracting</w:t>
            </w:r>
            <w:r>
              <w:rPr>
                <w:noProof/>
                <w:webHidden/>
              </w:rPr>
              <w:tab/>
            </w:r>
            <w:r>
              <w:rPr>
                <w:noProof/>
                <w:webHidden/>
              </w:rPr>
              <w:fldChar w:fldCharType="begin"/>
            </w:r>
            <w:r>
              <w:rPr>
                <w:noProof/>
                <w:webHidden/>
              </w:rPr>
              <w:instrText xml:space="preserve"> PAGEREF _Toc224916221 \h </w:instrText>
            </w:r>
            <w:r>
              <w:rPr>
                <w:noProof/>
                <w:webHidden/>
              </w:rPr>
            </w:r>
            <w:r>
              <w:rPr>
                <w:noProof/>
                <w:webHidden/>
              </w:rPr>
              <w:fldChar w:fldCharType="separate"/>
            </w:r>
            <w:r>
              <w:rPr>
                <w:noProof/>
                <w:webHidden/>
              </w:rPr>
              <w:t>6</w:t>
            </w:r>
            <w:r>
              <w:rPr>
                <w:noProof/>
                <w:webHidden/>
              </w:rPr>
              <w:fldChar w:fldCharType="end"/>
            </w:r>
          </w:hyperlink>
        </w:p>
        <w:p w14:paraId="3320F558" w14:textId="5449A1DA" w:rsidR="00E35348" w:rsidRDefault="00E35348" w:rsidP="00E35348">
          <w:pPr>
            <w:pStyle w:val="TOC2"/>
            <w:tabs>
              <w:tab w:val="right" w:leader="dot" w:pos="9016"/>
            </w:tabs>
            <w:ind w:left="0"/>
            <w:rPr>
              <w:noProof/>
            </w:rPr>
          </w:pPr>
          <w:hyperlink w:anchor="_Toc224916222" w:history="1">
            <w:r w:rsidRPr="009150BF">
              <w:rPr>
                <w:rStyle w:val="Hyperlink"/>
                <w:noProof/>
              </w:rPr>
              <w:t>Conclusion</w:t>
            </w:r>
            <w:r>
              <w:rPr>
                <w:noProof/>
                <w:webHidden/>
              </w:rPr>
              <w:tab/>
            </w:r>
            <w:r>
              <w:rPr>
                <w:noProof/>
                <w:webHidden/>
              </w:rPr>
              <w:fldChar w:fldCharType="begin"/>
            </w:r>
            <w:r>
              <w:rPr>
                <w:noProof/>
                <w:webHidden/>
              </w:rPr>
              <w:instrText xml:space="preserve"> PAGEREF _Toc224916222 \h </w:instrText>
            </w:r>
            <w:r>
              <w:rPr>
                <w:noProof/>
                <w:webHidden/>
              </w:rPr>
            </w:r>
            <w:r>
              <w:rPr>
                <w:noProof/>
                <w:webHidden/>
              </w:rPr>
              <w:fldChar w:fldCharType="separate"/>
            </w:r>
            <w:r>
              <w:rPr>
                <w:noProof/>
                <w:webHidden/>
              </w:rPr>
              <w:t>7</w:t>
            </w:r>
            <w:r>
              <w:rPr>
                <w:noProof/>
                <w:webHidden/>
              </w:rPr>
              <w:fldChar w:fldCharType="end"/>
            </w:r>
          </w:hyperlink>
        </w:p>
        <w:p w14:paraId="1270F8C1" w14:textId="64414D9B" w:rsidR="00E35348" w:rsidRDefault="00E35348" w:rsidP="00E35348">
          <w:pPr>
            <w:pStyle w:val="TOC3"/>
            <w:tabs>
              <w:tab w:val="right" w:leader="dot" w:pos="9016"/>
            </w:tabs>
            <w:ind w:left="0"/>
            <w:rPr>
              <w:noProof/>
            </w:rPr>
          </w:pPr>
          <w:hyperlink w:anchor="_Toc224916223" w:history="1">
            <w:r w:rsidRPr="009150BF">
              <w:rPr>
                <w:rStyle w:val="Hyperlink"/>
                <w:noProof/>
              </w:rPr>
              <w:t>Reference List (Harvard Style)</w:t>
            </w:r>
            <w:r>
              <w:rPr>
                <w:noProof/>
                <w:webHidden/>
              </w:rPr>
              <w:tab/>
            </w:r>
            <w:r>
              <w:rPr>
                <w:noProof/>
                <w:webHidden/>
              </w:rPr>
              <w:fldChar w:fldCharType="begin"/>
            </w:r>
            <w:r>
              <w:rPr>
                <w:noProof/>
                <w:webHidden/>
              </w:rPr>
              <w:instrText xml:space="preserve"> PAGEREF _Toc224916223 \h </w:instrText>
            </w:r>
            <w:r>
              <w:rPr>
                <w:noProof/>
                <w:webHidden/>
              </w:rPr>
            </w:r>
            <w:r>
              <w:rPr>
                <w:noProof/>
                <w:webHidden/>
              </w:rPr>
              <w:fldChar w:fldCharType="separate"/>
            </w:r>
            <w:r>
              <w:rPr>
                <w:noProof/>
                <w:webHidden/>
              </w:rPr>
              <w:t>9</w:t>
            </w:r>
            <w:r>
              <w:rPr>
                <w:noProof/>
                <w:webHidden/>
              </w:rPr>
              <w:fldChar w:fldCharType="end"/>
            </w:r>
          </w:hyperlink>
        </w:p>
        <w:p w14:paraId="547CE921" w14:textId="384B1444" w:rsidR="00E35348" w:rsidRDefault="00E35348">
          <w:r>
            <w:rPr>
              <w:b/>
              <w:bCs/>
            </w:rPr>
            <w:fldChar w:fldCharType="end"/>
          </w:r>
        </w:p>
      </w:sdtContent>
    </w:sdt>
    <w:p w14:paraId="7B27BA12" w14:textId="77777777" w:rsidR="00B05A14" w:rsidRDefault="00B05A14"/>
    <w:p w14:paraId="0E4DDB7C" w14:textId="77777777" w:rsidR="00B05A14" w:rsidRDefault="00B05A14"/>
    <w:p w14:paraId="3517E030" w14:textId="77777777" w:rsidR="00B05A14" w:rsidRDefault="00B05A14"/>
    <w:p w14:paraId="5B3FF30A" w14:textId="77777777" w:rsidR="00B05A14" w:rsidRDefault="00B05A14"/>
    <w:p w14:paraId="3DCE1E17" w14:textId="77777777" w:rsidR="00B05A14" w:rsidRDefault="00B05A14"/>
    <w:p w14:paraId="6D7A99E8" w14:textId="77777777" w:rsidR="00B05A14" w:rsidRDefault="00B05A14"/>
    <w:p w14:paraId="2FA6945E" w14:textId="77777777" w:rsidR="00B05A14" w:rsidRDefault="00B05A14"/>
    <w:p w14:paraId="4219BE63" w14:textId="77777777" w:rsidR="00B05A14" w:rsidRDefault="00B05A14"/>
    <w:p w14:paraId="3A2C0BF3" w14:textId="77777777" w:rsidR="00B05A14" w:rsidRDefault="00B05A14"/>
    <w:p w14:paraId="2E251137" w14:textId="77777777" w:rsidR="00B05A14" w:rsidRDefault="00B05A14"/>
    <w:p w14:paraId="587A19E5" w14:textId="77777777" w:rsidR="00B05A14" w:rsidRDefault="00B05A14"/>
    <w:p w14:paraId="3FFEF7E8" w14:textId="77777777" w:rsidR="00B05A14" w:rsidRDefault="00B05A14"/>
    <w:p w14:paraId="4E436FA0" w14:textId="77777777" w:rsidR="00B05A14" w:rsidRDefault="00B05A14"/>
    <w:p w14:paraId="7F72B93D" w14:textId="77777777" w:rsidR="00B05A14" w:rsidRDefault="00B05A14"/>
    <w:p w14:paraId="05F8189B" w14:textId="77777777" w:rsidR="00B05A14" w:rsidRDefault="00B05A14"/>
    <w:p w14:paraId="0D47E8F0" w14:textId="77777777" w:rsidR="00B05A14" w:rsidRDefault="00B05A14"/>
    <w:p w14:paraId="50D2F52C" w14:textId="77777777" w:rsidR="00B05A14" w:rsidRDefault="00B05A14"/>
    <w:p w14:paraId="7A712644" w14:textId="77777777" w:rsidR="00B05A14" w:rsidRDefault="00B05A14"/>
    <w:p w14:paraId="6A2AD5D1" w14:textId="77777777" w:rsidR="00B05A14" w:rsidRDefault="00B05A14"/>
    <w:p w14:paraId="744DE9C1" w14:textId="51BB66BA" w:rsidR="00B05A14" w:rsidRPr="00CD673E" w:rsidRDefault="007F7E59" w:rsidP="00CD673E">
      <w:pPr>
        <w:jc w:val="center"/>
        <w:rPr>
          <w:rFonts w:ascii="Arial" w:hAnsi="Arial" w:cs="Arial"/>
          <w:b/>
          <w:bCs/>
          <w:sz w:val="28"/>
          <w:szCs w:val="28"/>
        </w:rPr>
      </w:pPr>
      <w:r w:rsidRPr="00CD673E">
        <w:rPr>
          <w:rFonts w:ascii="Arial" w:hAnsi="Arial" w:cs="Arial"/>
          <w:b/>
          <w:bCs/>
          <w:sz w:val="28"/>
          <w:szCs w:val="28"/>
        </w:rPr>
        <w:t>The Role of Risk Management and Contracting Methods in Successful Project Delivery</w:t>
      </w:r>
    </w:p>
    <w:p w14:paraId="5B28B4AA" w14:textId="77777777" w:rsidR="00B05A14" w:rsidRPr="00CD673E" w:rsidRDefault="00B05A14" w:rsidP="00CD673E">
      <w:pPr>
        <w:jc w:val="center"/>
        <w:rPr>
          <w:rFonts w:ascii="Arial" w:hAnsi="Arial" w:cs="Arial"/>
          <w:b/>
          <w:bCs/>
          <w:sz w:val="28"/>
          <w:szCs w:val="28"/>
        </w:rPr>
      </w:pPr>
    </w:p>
    <w:p w14:paraId="499BC044" w14:textId="77777777" w:rsidR="00B05A14" w:rsidRPr="00CD673E" w:rsidRDefault="00B05A14" w:rsidP="00CD673E">
      <w:pPr>
        <w:pStyle w:val="Heading1"/>
        <w:jc w:val="center"/>
        <w:rPr>
          <w:rFonts w:ascii="Arial" w:hAnsi="Arial" w:cs="Arial"/>
          <w:b/>
          <w:bCs/>
          <w:sz w:val="28"/>
          <w:szCs w:val="28"/>
        </w:rPr>
      </w:pPr>
    </w:p>
    <w:p w14:paraId="68BBE6BD" w14:textId="77777777" w:rsidR="004258C9" w:rsidRPr="00CD673E" w:rsidRDefault="004258C9" w:rsidP="00CD673E">
      <w:pPr>
        <w:pStyle w:val="Heading1"/>
        <w:rPr>
          <w:rFonts w:ascii="Arial" w:hAnsi="Arial" w:cs="Arial"/>
          <w:b/>
          <w:bCs/>
          <w:sz w:val="32"/>
          <w:szCs w:val="32"/>
        </w:rPr>
      </w:pPr>
      <w:bookmarkStart w:id="0" w:name="_Toc224916217"/>
      <w:r w:rsidRPr="00CD673E">
        <w:rPr>
          <w:rFonts w:ascii="Arial" w:hAnsi="Arial" w:cs="Arial"/>
          <w:b/>
          <w:bCs/>
          <w:sz w:val="32"/>
          <w:szCs w:val="32"/>
        </w:rPr>
        <w:t>Introduction</w:t>
      </w:r>
      <w:bookmarkEnd w:id="0"/>
    </w:p>
    <w:p w14:paraId="406ADFA0" w14:textId="48719DB0" w:rsidR="004258C9" w:rsidRPr="004258C9" w:rsidRDefault="00555C33" w:rsidP="00CD673E">
      <w:pPr>
        <w:spacing w:line="360" w:lineRule="auto"/>
        <w:jc w:val="both"/>
        <w:rPr>
          <w:rFonts w:ascii="Arial" w:hAnsi="Arial" w:cs="Arial"/>
        </w:rPr>
      </w:pPr>
      <w:r w:rsidRPr="00CD673E">
        <w:rPr>
          <w:rFonts w:ascii="Arial" w:hAnsi="Arial" w:cs="Arial"/>
        </w:rPr>
        <w:t xml:space="preserve">The scope of risk management is core to project </w:t>
      </w:r>
      <w:r w:rsidR="00CD673E" w:rsidRPr="00CD673E">
        <w:rPr>
          <w:rFonts w:ascii="Arial" w:hAnsi="Arial" w:cs="Arial"/>
        </w:rPr>
        <w:t>management,</w:t>
      </w:r>
      <w:r w:rsidRPr="00CD673E">
        <w:rPr>
          <w:rFonts w:ascii="Arial" w:hAnsi="Arial" w:cs="Arial"/>
        </w:rPr>
        <w:t xml:space="preserve"> and it incorporates the identification, monitoring, assessment and corrective actions taken in the face of uncertain factors and risks. Risk is defined by the Project Management Institute (PMI, 2021) as an uncertain event or condition that can have either a positive or negative effect on a project’s outcomes. These uncertainties are commonly assessed on a probability and impact basis, both of which determine their significance within the project lifecycle. In the context of managing risk, contracting practices are essential in determining the means through which responsibilities and risks are shared or divided among project stakeholders. With contracting, the formal agreements establish the allocation of work, accountability, and risk between clients and contractors (Kerzner, 2022). The aim of this essay is to critically appraise risk planning in project management, as well as to assess four methods of contracting: turnkey contracting, </w:t>
      </w:r>
      <w:proofErr w:type="spellStart"/>
      <w:r w:rsidRPr="00CD673E">
        <w:rPr>
          <w:rFonts w:ascii="Arial" w:hAnsi="Arial" w:cs="Arial"/>
        </w:rPr>
        <w:t>multicontract</w:t>
      </w:r>
      <w:proofErr w:type="spellEnd"/>
      <w:r w:rsidRPr="00CD673E">
        <w:rPr>
          <w:rFonts w:ascii="Arial" w:hAnsi="Arial" w:cs="Arial"/>
        </w:rPr>
        <w:t xml:space="preserve"> contracting, the do-it-yourself (DIY) approach, and a hybrid of </w:t>
      </w:r>
      <w:proofErr w:type="spellStart"/>
      <w:r w:rsidRPr="00CD673E">
        <w:rPr>
          <w:rFonts w:ascii="Arial" w:hAnsi="Arial" w:cs="Arial"/>
        </w:rPr>
        <w:t>multicontract</w:t>
      </w:r>
      <w:proofErr w:type="spellEnd"/>
      <w:r w:rsidRPr="00CD673E">
        <w:rPr>
          <w:rFonts w:ascii="Arial" w:hAnsi="Arial" w:cs="Arial"/>
        </w:rPr>
        <w:t xml:space="preserve"> and DIY. It will examine how these methods affect risk allocation and project performance. Also supported by two real-life examples of projects on the ground, the Burj Khalifa project in Dubai and the Heathrow Terminal 5 project in the UK. It is this essay’s critical comparative analysis which demonstrates that the effectiveness of contracting strategies depends on their alignment with project complexity, organisational capability, and risk tolerance.</w:t>
      </w:r>
    </w:p>
    <w:p w14:paraId="75AB7C94" w14:textId="77777777" w:rsidR="004258C9" w:rsidRPr="004258C9" w:rsidRDefault="004258C9" w:rsidP="00CD673E">
      <w:pPr>
        <w:pStyle w:val="Heading2"/>
      </w:pPr>
      <w:bookmarkStart w:id="1" w:name="_Toc224916218"/>
      <w:r w:rsidRPr="004258C9">
        <w:t>Risk Planning in Project Management</w:t>
      </w:r>
      <w:bookmarkEnd w:id="1"/>
    </w:p>
    <w:p w14:paraId="39C4D3C2" w14:textId="5733CBF1" w:rsidR="004258C9" w:rsidRPr="004258C9" w:rsidRDefault="00555C33" w:rsidP="00CD673E">
      <w:pPr>
        <w:spacing w:line="360" w:lineRule="auto"/>
        <w:jc w:val="both"/>
        <w:rPr>
          <w:rFonts w:ascii="Arial" w:hAnsi="Arial" w:cs="Arial"/>
        </w:rPr>
      </w:pPr>
      <w:r w:rsidRPr="00CD673E">
        <w:rPr>
          <w:rFonts w:ascii="Arial" w:hAnsi="Arial" w:cs="Arial"/>
        </w:rPr>
        <w:t xml:space="preserve">Risk planning is a systematic and continuous process that helps project managers to handle uncertainty well. It is composed of four principal steps: risk identification, risk analysis, risk response, and monitoring and control. The first phase, risk identification, refers to identifying possible factors that can impact project objectives. This methodology frequently utilizes techniques such as expert judgement, brainstorming </w:t>
      </w:r>
      <w:r w:rsidRPr="00CD673E">
        <w:rPr>
          <w:rFonts w:ascii="Arial" w:hAnsi="Arial" w:cs="Arial"/>
        </w:rPr>
        <w:lastRenderedPageBreak/>
        <w:t xml:space="preserve">sessions, historical project data, and other decision-making mechanisms (Hillson, 2019). The value of this phase is that unidentified risks cannot be controlled. In big, complex construction projects, for example, failing to identify relevant regulatory, financial, or logistical risks can lead to major delays and cost overruns. In the next step, risk analysis is performed to determine how significant each risk is. It can be qualitative or quantitative with metrics as appropriate: high, medium, or low, and numerical models to quantify probabilities and effects. For this purpose, tools like risk matrices have been applied to focus on the prioritisation of risks and decision making in general (Kerzner, 2022). It is a necessary phase that will help determine a way of prioritising resources away from the distribution of risk to the treatment of the risks. The third phase, risk response: selecting appropriate strategies to manage the identified risks. Such strategies are avoidance, reduction, transfer, and acceptance. Risk transfer holds great relevance in project management as it is usually realised through contractual agreements placing the accountability on contractors. The response strategy should be appropriate and matched with the project’s objectives and what the organisation is willing to take on. A final, and ongoing, monitoring and control element, the risk management process of a specific project ensures that any risk over time is tracked and controlled. Keep in mind that risks are dynamic and can change with project situations which make continuous monitoring vital (Hillson, 2019). Risk registers must be kept current, mitigations must be assessed for </w:t>
      </w:r>
      <w:r w:rsidR="00CD673E" w:rsidRPr="00CD673E">
        <w:rPr>
          <w:rFonts w:ascii="Arial" w:hAnsi="Arial" w:cs="Arial"/>
        </w:rPr>
        <w:t>effectiveness and</w:t>
      </w:r>
      <w:r w:rsidRPr="00CD673E">
        <w:rPr>
          <w:rFonts w:ascii="Arial" w:hAnsi="Arial" w:cs="Arial"/>
        </w:rPr>
        <w:t xml:space="preserve"> must adapt with the project.</w:t>
      </w:r>
    </w:p>
    <w:p w14:paraId="41B9D16F" w14:textId="77777777" w:rsidR="004258C9" w:rsidRPr="00CD673E" w:rsidRDefault="004258C9" w:rsidP="00CD673E">
      <w:pPr>
        <w:pStyle w:val="Heading2"/>
      </w:pPr>
      <w:bookmarkStart w:id="2" w:name="_Toc224916219"/>
      <w:r w:rsidRPr="004258C9">
        <w:t>Contracting Methods in Project Management</w:t>
      </w:r>
      <w:bookmarkEnd w:id="2"/>
    </w:p>
    <w:p w14:paraId="277581C8" w14:textId="6D99C3A6" w:rsidR="00555C33" w:rsidRPr="00555C33" w:rsidRDefault="00555C33" w:rsidP="00CD673E">
      <w:pPr>
        <w:spacing w:line="360" w:lineRule="auto"/>
        <w:jc w:val="both"/>
        <w:rPr>
          <w:rFonts w:ascii="Arial" w:hAnsi="Arial" w:cs="Arial"/>
        </w:rPr>
      </w:pPr>
      <w:r w:rsidRPr="00555C33">
        <w:rPr>
          <w:rFonts w:ascii="Arial" w:hAnsi="Arial" w:cs="Arial"/>
        </w:rPr>
        <w:t xml:space="preserve">These contracting methods govern the distribution and allocation of risks and responsibilities among project stakeholders. Each of those works has its own disadvantages and their place and appropriateness is a function of the specific project. From a turnkey contracting perspective, this type of contract provides complete contract and complete accountability for a project assigned to a single contractor and a whole and operable product will be delivered. This type of project management will simplify the project management for the client by making accountability clearer and requiring less coordination. However, in the typical scenario, the contractor includes a risk premium in the contract price to compensate for the risks assumed. Furthermore, client control over the project is too limited to achieve agility and innovation (Kerzner, 2022). The client's focus is often to multi contractor work, called the </w:t>
      </w:r>
      <w:proofErr w:type="spellStart"/>
      <w:r w:rsidRPr="00555C33">
        <w:rPr>
          <w:rFonts w:ascii="Arial" w:hAnsi="Arial" w:cs="Arial"/>
        </w:rPr>
        <w:t>multicontract</w:t>
      </w:r>
      <w:proofErr w:type="spellEnd"/>
      <w:r w:rsidRPr="00555C33">
        <w:rPr>
          <w:rFonts w:ascii="Arial" w:hAnsi="Arial" w:cs="Arial"/>
        </w:rPr>
        <w:t xml:space="preserve"> </w:t>
      </w:r>
      <w:r w:rsidRPr="00555C33">
        <w:rPr>
          <w:rFonts w:ascii="Arial" w:hAnsi="Arial" w:cs="Arial"/>
        </w:rPr>
        <w:lastRenderedPageBreak/>
        <w:t xml:space="preserve">approach. This technique provides more degree of control and flexibility, while the client may seek out dedicated subcontractors and even cut costs. But so, too, with the new system comes also a huge increase of coordination obstacles because the client </w:t>
      </w:r>
      <w:r w:rsidR="00CD673E" w:rsidRPr="00555C33">
        <w:rPr>
          <w:rFonts w:ascii="Arial" w:hAnsi="Arial" w:cs="Arial"/>
        </w:rPr>
        <w:t>must</w:t>
      </w:r>
      <w:r w:rsidRPr="00555C33">
        <w:rPr>
          <w:rFonts w:ascii="Arial" w:hAnsi="Arial" w:cs="Arial"/>
        </w:rPr>
        <w:t xml:space="preserve"> deal with all sorts or types of interfaces between contractors. This leaves high chances of any kind of delay, dispute and inefficiency, especially in the case of complicated projects. The DIY approach is the client completing the initiative in house without outsourcing. This is the technique that controls the scope of work (with the ability for knowledge and expertise to be retained by the organisation). Conversely, it exposes the client to every project risk and needs a great deal of resources and abilities. Therefore, it is typically easier for smaller or simpler projects to work with. A hybrid approach, merging </w:t>
      </w:r>
      <w:proofErr w:type="spellStart"/>
      <w:r w:rsidRPr="00555C33">
        <w:rPr>
          <w:rFonts w:ascii="Arial" w:hAnsi="Arial" w:cs="Arial"/>
        </w:rPr>
        <w:t>multicontract</w:t>
      </w:r>
      <w:proofErr w:type="spellEnd"/>
      <w:r w:rsidRPr="00555C33">
        <w:rPr>
          <w:rFonts w:ascii="Arial" w:hAnsi="Arial" w:cs="Arial"/>
        </w:rPr>
        <w:t xml:space="preserve"> and DIY that works for control and expertise in that you will outsource some of the components but inside out maintain other elements. Although this strategy provides flexibility and collective risk, it also increases the complexity associated with </w:t>
      </w:r>
      <w:r w:rsidRPr="00CD673E">
        <w:rPr>
          <w:rFonts w:ascii="Arial" w:hAnsi="Arial" w:cs="Arial"/>
        </w:rPr>
        <w:t>coordination and</w:t>
      </w:r>
      <w:r w:rsidRPr="00555C33">
        <w:rPr>
          <w:rFonts w:ascii="Arial" w:hAnsi="Arial" w:cs="Arial"/>
        </w:rPr>
        <w:t xml:space="preserve"> requires strong governance structures to ensure effective integration.</w:t>
      </w:r>
    </w:p>
    <w:p w14:paraId="617DBCFA" w14:textId="1F4A5F6D" w:rsidR="00555C33" w:rsidRPr="004258C9" w:rsidRDefault="00555C33" w:rsidP="00CD673E">
      <w:pPr>
        <w:spacing w:line="360" w:lineRule="auto"/>
        <w:jc w:val="both"/>
        <w:rPr>
          <w:rFonts w:ascii="Arial" w:hAnsi="Arial" w:cs="Arial"/>
        </w:rPr>
      </w:pPr>
    </w:p>
    <w:p w14:paraId="09C6AF76" w14:textId="01E2D534" w:rsidR="004258C9" w:rsidRPr="00CD673E" w:rsidRDefault="004258C9" w:rsidP="00CD673E">
      <w:pPr>
        <w:pStyle w:val="Heading3"/>
      </w:pPr>
      <w:bookmarkStart w:id="3" w:name="_Toc224916220"/>
      <w:r w:rsidRPr="004258C9">
        <w:t>Critical Analysis with Real-Life Examples</w:t>
      </w:r>
      <w:bookmarkEnd w:id="3"/>
    </w:p>
    <w:p w14:paraId="4F951726" w14:textId="7C27F849" w:rsidR="00CD673E" w:rsidRPr="00CD673E" w:rsidRDefault="00CD673E" w:rsidP="00CD673E">
      <w:pPr>
        <w:spacing w:line="360" w:lineRule="auto"/>
        <w:jc w:val="both"/>
        <w:rPr>
          <w:rFonts w:ascii="Arial" w:hAnsi="Arial" w:cs="Arial"/>
        </w:rPr>
      </w:pPr>
      <w:r w:rsidRPr="00CD673E">
        <w:rPr>
          <w:rFonts w:ascii="Arial" w:hAnsi="Arial" w:cs="Arial"/>
        </w:rPr>
        <w:t xml:space="preserve">Real-world examples may help to illustrate the theoretical concept of contracting methods and risk planning. Dubai's Burj Khalifa project differs from the Sydney Opera House project in Australia. The Burj Khalifa project is one of the most iconic real construction projects in the world, finished in 2010. The project followed aspects of a turnkey process where major contractors were entrusted with most of the remaining building elements. In such a system, responsibility and accountability were straightforward and decisions took place as each construction provider assigned a specific provision. On the risk management side of things, this approach eased the responsibility for the technical and construction risks off the client to contractors. </w:t>
      </w:r>
      <w:r w:rsidRPr="00CD673E">
        <w:rPr>
          <w:rFonts w:ascii="Arial" w:hAnsi="Arial" w:cs="Arial"/>
        </w:rPr>
        <w:t>However,</w:t>
      </w:r>
      <w:r w:rsidRPr="00CD673E">
        <w:rPr>
          <w:rFonts w:ascii="Arial" w:hAnsi="Arial" w:cs="Arial"/>
        </w:rPr>
        <w:t xml:space="preserve"> with a relatively complex project the efficiency of the entire process has not decreased either. However, this strategy did come with higher costs, as contractors involved risk premiums in their pricing. Moreover, the client had less direct control over aspects of the project that were less closely supervised. However, they are not outweighed in a highly complex and technically challenging project as the Burj Khalifa, as a lot of the risk transfer and streamlined coordination were done by some single contractor. In contrast, the Sydney Opera House was fragmented and had a </w:t>
      </w:r>
      <w:proofErr w:type="spellStart"/>
      <w:r w:rsidRPr="00CD673E">
        <w:rPr>
          <w:rFonts w:ascii="Arial" w:hAnsi="Arial" w:cs="Arial"/>
        </w:rPr>
        <w:lastRenderedPageBreak/>
        <w:t>multicontract</w:t>
      </w:r>
      <w:proofErr w:type="spellEnd"/>
      <w:r w:rsidRPr="00CD673E">
        <w:rPr>
          <w:rFonts w:ascii="Arial" w:hAnsi="Arial" w:cs="Arial"/>
        </w:rPr>
        <w:t xml:space="preserve"> system with different contractors responsible for multiple elements of both design and construction. Although that method enabled innovation and flexibility, it also led to a degree of coordination problems and ambiguity around accountability. The project faced significantly prolonged delays and overruns with the final cost well </w:t>
      </w:r>
      <w:r w:rsidRPr="00CD673E">
        <w:rPr>
          <w:rFonts w:ascii="Arial" w:hAnsi="Arial" w:cs="Arial"/>
        </w:rPr>
        <w:t>more than</w:t>
      </w:r>
      <w:r w:rsidRPr="00CD673E">
        <w:rPr>
          <w:rFonts w:ascii="Arial" w:hAnsi="Arial" w:cs="Arial"/>
        </w:rPr>
        <w:t xml:space="preserve"> the original estimate (Flyvbjerg, 2017). The </w:t>
      </w:r>
      <w:proofErr w:type="spellStart"/>
      <w:r w:rsidRPr="00CD673E">
        <w:rPr>
          <w:rFonts w:ascii="Arial" w:hAnsi="Arial" w:cs="Arial"/>
        </w:rPr>
        <w:t>multicontract</w:t>
      </w:r>
      <w:proofErr w:type="spellEnd"/>
      <w:r w:rsidRPr="00CD673E">
        <w:rPr>
          <w:rFonts w:ascii="Arial" w:hAnsi="Arial" w:cs="Arial"/>
        </w:rPr>
        <w:t xml:space="preserve"> approach, in terms of risk management, really added an individual duty for the client, who was still responsible for coordinating contractors and managing design changes. The disconnect between design and construction meant extra uncertainty and inefficiencies. Such a case indicates that </w:t>
      </w:r>
      <w:proofErr w:type="spellStart"/>
      <w:r w:rsidRPr="00CD673E">
        <w:rPr>
          <w:rFonts w:ascii="Arial" w:hAnsi="Arial" w:cs="Arial"/>
        </w:rPr>
        <w:t>multicontracting</w:t>
      </w:r>
      <w:proofErr w:type="spellEnd"/>
      <w:r w:rsidRPr="00CD673E">
        <w:rPr>
          <w:rFonts w:ascii="Arial" w:hAnsi="Arial" w:cs="Arial"/>
        </w:rPr>
        <w:t xml:space="preserve"> tends to generate innovation, as well as high risk where coordination mechanisms are weak. The comparison between these two undertakings demonstrates the trade-offs of the two contracting systems. In the Burj Khalifa project, the turnkey approach reduced the complex coordination and risks and, with the benefit of the delivery becomes more efficient. On the other hand, the </w:t>
      </w:r>
      <w:proofErr w:type="spellStart"/>
      <w:r w:rsidRPr="00CD673E">
        <w:rPr>
          <w:rFonts w:ascii="Arial" w:hAnsi="Arial" w:cs="Arial"/>
        </w:rPr>
        <w:t>multicontract</w:t>
      </w:r>
      <w:proofErr w:type="spellEnd"/>
      <w:r w:rsidRPr="00CD673E">
        <w:rPr>
          <w:rFonts w:ascii="Arial" w:hAnsi="Arial" w:cs="Arial"/>
        </w:rPr>
        <w:t xml:space="preserve"> strategy adopted in the Sydney Opera House (S Opera House) project offer flexibility but more coordination risks which were experienced and project delays and significant costs were incurred. This comparison highlights the need to match contracting approaches with project complexity and organisational ability.</w:t>
      </w:r>
    </w:p>
    <w:p w14:paraId="3E58288B" w14:textId="77777777" w:rsidR="00CD673E" w:rsidRPr="004258C9" w:rsidRDefault="00CD673E" w:rsidP="00CD673E">
      <w:pPr>
        <w:spacing w:line="360" w:lineRule="auto"/>
        <w:jc w:val="both"/>
        <w:rPr>
          <w:rFonts w:ascii="Arial" w:hAnsi="Arial" w:cs="Arial"/>
        </w:rPr>
      </w:pPr>
    </w:p>
    <w:p w14:paraId="6ECF242D" w14:textId="77777777" w:rsidR="004258C9" w:rsidRPr="00CD673E" w:rsidRDefault="004258C9" w:rsidP="00CD673E">
      <w:pPr>
        <w:pStyle w:val="Heading2"/>
      </w:pPr>
      <w:bookmarkStart w:id="4" w:name="_Toc224916221"/>
      <w:r w:rsidRPr="004258C9">
        <w:t>Linking Risk Planning and Contracting</w:t>
      </w:r>
      <w:bookmarkEnd w:id="4"/>
    </w:p>
    <w:p w14:paraId="46FDD0E8" w14:textId="60CB7801" w:rsidR="00CD673E" w:rsidRPr="004258C9" w:rsidRDefault="00CD673E" w:rsidP="00CD673E">
      <w:pPr>
        <w:spacing w:line="360" w:lineRule="auto"/>
        <w:jc w:val="both"/>
        <w:rPr>
          <w:rFonts w:ascii="Arial" w:hAnsi="Arial" w:cs="Arial"/>
        </w:rPr>
      </w:pPr>
      <w:r w:rsidRPr="00CD673E">
        <w:rPr>
          <w:rFonts w:ascii="Arial" w:hAnsi="Arial" w:cs="Arial"/>
        </w:rPr>
        <w:t xml:space="preserve">The link between risk management and contracting is an essential component in project success since the selection of the contracting approach directly influences stakeholders’ risk allocation and control. In the field of project management, contracts are more than legal texts; they are strategic documents shaping decision-making, responsibilities, and ultimately performance. Good risk planning involves the fit between the identified risks and the contractual arrangements to control them. A significant amount of risk is involved in a turnkey contract with the contractor taking on the task of completing a full and operating project. This transfer of risk lessens the client’s risk of uncertainty, especially when dealing with technically sophisticated projects. But this risk transfer is not cost free, as contractors usually include risk premiums in the price they charge (Kerzner, 2022). This strategy has proven effective in such complicated engineering scenarios as the Burj Khalifa project, by offering </w:t>
      </w:r>
      <w:r w:rsidRPr="00CD673E">
        <w:rPr>
          <w:rFonts w:ascii="Arial" w:hAnsi="Arial" w:cs="Arial"/>
        </w:rPr>
        <w:lastRenderedPageBreak/>
        <w:t xml:space="preserve">stakeholders straightforward accountability to mitigate coordination issues. In addition, </w:t>
      </w:r>
      <w:proofErr w:type="spellStart"/>
      <w:r w:rsidRPr="00CD673E">
        <w:rPr>
          <w:rFonts w:ascii="Arial" w:hAnsi="Arial" w:cs="Arial"/>
        </w:rPr>
        <w:t>multicontract</w:t>
      </w:r>
      <w:proofErr w:type="spellEnd"/>
      <w:r w:rsidRPr="00CD673E">
        <w:rPr>
          <w:rFonts w:ascii="Arial" w:hAnsi="Arial" w:cs="Arial"/>
        </w:rPr>
        <w:t xml:space="preserve"> arrangements </w:t>
      </w:r>
      <w:r w:rsidR="00E35348" w:rsidRPr="00CD673E">
        <w:rPr>
          <w:rFonts w:ascii="Arial" w:hAnsi="Arial" w:cs="Arial"/>
        </w:rPr>
        <w:t>keep</w:t>
      </w:r>
      <w:r w:rsidRPr="00CD673E">
        <w:rPr>
          <w:rFonts w:ascii="Arial" w:hAnsi="Arial" w:cs="Arial"/>
        </w:rPr>
        <w:t xml:space="preserve"> a greater share of risk with the client, who has to manage multiple contractors and build interfaces between them. The client becomes responsible for the integration of multiple parts of a project; </w:t>
      </w:r>
      <w:r w:rsidR="00E35348" w:rsidRPr="00CD673E">
        <w:rPr>
          <w:rFonts w:ascii="Arial" w:hAnsi="Arial" w:cs="Arial"/>
        </w:rPr>
        <w:t>thus,</w:t>
      </w:r>
      <w:r w:rsidRPr="00CD673E">
        <w:rPr>
          <w:rFonts w:ascii="Arial" w:hAnsi="Arial" w:cs="Arial"/>
        </w:rPr>
        <w:t xml:space="preserve"> this method needs highly developed project management skill. The Sydney Opera House project provides an illustration of how poor project management and an unclear division of responsibilities can cause many delays or price overruns. This illustrates the need to ensure the planning of risks is appropriate to the organisational capability as the outcome of the </w:t>
      </w:r>
      <w:proofErr w:type="spellStart"/>
      <w:r w:rsidRPr="00CD673E">
        <w:rPr>
          <w:rFonts w:ascii="Arial" w:hAnsi="Arial" w:cs="Arial"/>
        </w:rPr>
        <w:t>multicontract</w:t>
      </w:r>
      <w:proofErr w:type="spellEnd"/>
      <w:r w:rsidRPr="00CD673E">
        <w:rPr>
          <w:rFonts w:ascii="Arial" w:hAnsi="Arial" w:cs="Arial"/>
        </w:rPr>
        <w:t xml:space="preserve"> model is inextricably linked with the client’s capacity to manage complexity. DIY is the highest level of risk retention, as all parts of the project are the client’s responsibility. As an approach, while it provides the maximum control over the operation, this is also not good enough for an organization with a lack of resources and expertise. However, while hybrid approaches attempt to minimize the dispersion of risk by combining internal and external resources, the latter may lead to another complication—as well as more serious organizational conflicts when it comes to organizing efforts. In principle, the risk planning effectiveness will depend on the contracting strategy selected. When choosing a contracting strategy, project managers must take into consideration the complexity of the project, resource availability, and the level of risk they are willing to consider. Failure to get these elements aligned can lead to inefficiencies, increased costs, and ultimately failure of the project. In other words, contracting should be considered as a risk management component and not as a separate administrative function.</w:t>
      </w:r>
    </w:p>
    <w:p w14:paraId="6BF318C6" w14:textId="77777777" w:rsidR="00CD673E" w:rsidRPr="00CD673E" w:rsidRDefault="00CD673E" w:rsidP="00CD673E">
      <w:pPr>
        <w:spacing w:line="360" w:lineRule="auto"/>
        <w:jc w:val="both"/>
        <w:rPr>
          <w:rFonts w:ascii="Arial" w:hAnsi="Arial" w:cs="Arial"/>
        </w:rPr>
      </w:pPr>
    </w:p>
    <w:p w14:paraId="6C9FD859" w14:textId="77777777" w:rsidR="00CD673E" w:rsidRDefault="00CD673E" w:rsidP="00CD673E">
      <w:pPr>
        <w:spacing w:line="360" w:lineRule="auto"/>
        <w:jc w:val="both"/>
        <w:rPr>
          <w:rFonts w:ascii="Arial" w:hAnsi="Arial" w:cs="Arial"/>
        </w:rPr>
      </w:pPr>
    </w:p>
    <w:p w14:paraId="2CAFACF1" w14:textId="77777777" w:rsidR="00E35348" w:rsidRDefault="00E35348" w:rsidP="00CD673E">
      <w:pPr>
        <w:spacing w:line="360" w:lineRule="auto"/>
        <w:jc w:val="both"/>
        <w:rPr>
          <w:rFonts w:ascii="Arial" w:hAnsi="Arial" w:cs="Arial"/>
        </w:rPr>
      </w:pPr>
    </w:p>
    <w:p w14:paraId="5A96AABA" w14:textId="77777777" w:rsidR="00E35348" w:rsidRDefault="00E35348" w:rsidP="00CD673E">
      <w:pPr>
        <w:spacing w:line="360" w:lineRule="auto"/>
        <w:jc w:val="both"/>
        <w:rPr>
          <w:rFonts w:ascii="Arial" w:hAnsi="Arial" w:cs="Arial"/>
        </w:rPr>
      </w:pPr>
    </w:p>
    <w:p w14:paraId="365EFA7D" w14:textId="77777777" w:rsidR="00E35348" w:rsidRDefault="00E35348" w:rsidP="00CD673E">
      <w:pPr>
        <w:spacing w:line="360" w:lineRule="auto"/>
        <w:jc w:val="both"/>
        <w:rPr>
          <w:rFonts w:ascii="Arial" w:hAnsi="Arial" w:cs="Arial"/>
        </w:rPr>
      </w:pPr>
    </w:p>
    <w:p w14:paraId="7B22504C" w14:textId="77777777" w:rsidR="00E35348" w:rsidRDefault="00E35348" w:rsidP="00CD673E">
      <w:pPr>
        <w:spacing w:line="360" w:lineRule="auto"/>
        <w:jc w:val="both"/>
        <w:rPr>
          <w:rFonts w:ascii="Arial" w:hAnsi="Arial" w:cs="Arial"/>
        </w:rPr>
      </w:pPr>
    </w:p>
    <w:p w14:paraId="44A3C558" w14:textId="77777777" w:rsidR="00E35348" w:rsidRPr="00CD673E" w:rsidRDefault="00E35348" w:rsidP="00CD673E">
      <w:pPr>
        <w:spacing w:line="360" w:lineRule="auto"/>
        <w:jc w:val="both"/>
        <w:rPr>
          <w:rFonts w:ascii="Arial" w:hAnsi="Arial" w:cs="Arial"/>
        </w:rPr>
      </w:pPr>
    </w:p>
    <w:p w14:paraId="4D3074F7" w14:textId="77777777" w:rsidR="00CD673E" w:rsidRPr="00CD673E" w:rsidRDefault="00CD673E" w:rsidP="00CD673E">
      <w:pPr>
        <w:spacing w:line="360" w:lineRule="auto"/>
        <w:jc w:val="both"/>
        <w:rPr>
          <w:rFonts w:ascii="Arial" w:hAnsi="Arial" w:cs="Arial"/>
        </w:rPr>
      </w:pPr>
    </w:p>
    <w:p w14:paraId="5A78327E" w14:textId="4B3BB8E1" w:rsidR="004258C9" w:rsidRPr="00CD673E" w:rsidRDefault="004258C9" w:rsidP="00CD673E">
      <w:pPr>
        <w:pStyle w:val="Heading2"/>
      </w:pPr>
      <w:bookmarkStart w:id="5" w:name="_Toc224916222"/>
      <w:r w:rsidRPr="00CD673E">
        <w:lastRenderedPageBreak/>
        <w:t>Conclusion</w:t>
      </w:r>
      <w:bookmarkEnd w:id="5"/>
    </w:p>
    <w:p w14:paraId="2A9E09AF" w14:textId="06A9A43E" w:rsidR="00B05A14" w:rsidRPr="00CD673E" w:rsidRDefault="00E35348" w:rsidP="00CD673E">
      <w:pPr>
        <w:spacing w:line="360" w:lineRule="auto"/>
        <w:jc w:val="both"/>
        <w:rPr>
          <w:rFonts w:ascii="Arial" w:hAnsi="Arial" w:cs="Arial"/>
        </w:rPr>
      </w:pPr>
      <w:r w:rsidRPr="00E35348">
        <w:rPr>
          <w:rFonts w:ascii="Arial" w:hAnsi="Arial" w:cs="Arial"/>
        </w:rPr>
        <w:t xml:space="preserve">Ultimately, risk planning functions as a structured tool to ensure that uncertainty is managed in project management and if not, risks taken away from project work plan cannot be implemented effectively in a project if it is not well aligned to the contracting strategy. The findings reveal how contracting practices are hardly neutral administrative choices: they have an impact on risk sharing, responsibility and project success. Despite their success in moving risk and simplifying coordination, turnkey contracts may make cost transparency opaque and client control less informed resulting in lower long-term value. On the other hand, </w:t>
      </w:r>
      <w:proofErr w:type="spellStart"/>
      <w:r w:rsidRPr="00E35348">
        <w:rPr>
          <w:rFonts w:ascii="Arial" w:hAnsi="Arial" w:cs="Arial"/>
        </w:rPr>
        <w:t>multicontract</w:t>
      </w:r>
      <w:proofErr w:type="spellEnd"/>
      <w:r w:rsidRPr="00E35348">
        <w:rPr>
          <w:rFonts w:ascii="Arial" w:hAnsi="Arial" w:cs="Arial"/>
        </w:rPr>
        <w:t xml:space="preserve"> methods, as reflected in the Sydney Opera House project, encourage innovation and flexibility but can often fail to take the difficulty of coordination seriously, thereby increasing systemic risk and inefficiencies. The parallels to the Burj Khalifa scheme show that effective risk management has more to do with what happens to risk than about getting rid of it. However, the allocation is often based on organisational </w:t>
      </w:r>
      <w:r w:rsidRPr="00E35348">
        <w:rPr>
          <w:rFonts w:ascii="Arial" w:hAnsi="Arial" w:cs="Arial"/>
        </w:rPr>
        <w:t>capacity,</w:t>
      </w:r>
      <w:r w:rsidRPr="00E35348">
        <w:rPr>
          <w:rFonts w:ascii="Arial" w:hAnsi="Arial" w:cs="Arial"/>
        </w:rPr>
        <w:t xml:space="preserve"> and such is often </w:t>
      </w:r>
      <w:r w:rsidRPr="00E35348">
        <w:rPr>
          <w:rFonts w:ascii="Arial" w:hAnsi="Arial" w:cs="Arial"/>
        </w:rPr>
        <w:t>underestimated</w:t>
      </w:r>
      <w:r w:rsidRPr="00E35348">
        <w:rPr>
          <w:rFonts w:ascii="Arial" w:hAnsi="Arial" w:cs="Arial"/>
        </w:rPr>
        <w:t xml:space="preserve">. </w:t>
      </w:r>
      <w:r w:rsidRPr="00E35348">
        <w:rPr>
          <w:rFonts w:ascii="Arial" w:hAnsi="Arial" w:cs="Arial"/>
        </w:rPr>
        <w:t>Furthermore,</w:t>
      </w:r>
      <w:r w:rsidRPr="00E35348">
        <w:rPr>
          <w:rFonts w:ascii="Arial" w:hAnsi="Arial" w:cs="Arial"/>
        </w:rPr>
        <w:t xml:space="preserve"> hybrid and DIY approach has made more clear that increased control </w:t>
      </w:r>
      <w:r w:rsidRPr="00E35348">
        <w:rPr>
          <w:rFonts w:ascii="Arial" w:hAnsi="Arial" w:cs="Arial"/>
        </w:rPr>
        <w:t>does</w:t>
      </w:r>
      <w:r w:rsidRPr="00E35348">
        <w:rPr>
          <w:rFonts w:ascii="Arial" w:hAnsi="Arial" w:cs="Arial"/>
        </w:rPr>
        <w:t xml:space="preserve"> not necessarily translate into better outcomes especially where expertise and mechanisms of governance are not conducive. Thus, a critical understanding may have emerged that the primary cause of failure of many projects isn't failure in identifying risk, but misalignment of risk planning and contract decision making. This necessitates a more systematic integrated approach.</w:t>
      </w:r>
    </w:p>
    <w:p w14:paraId="12BAF75D" w14:textId="77777777" w:rsidR="00B05A14" w:rsidRPr="00CD673E" w:rsidRDefault="00B05A14" w:rsidP="00CD673E">
      <w:pPr>
        <w:spacing w:line="360" w:lineRule="auto"/>
        <w:jc w:val="both"/>
        <w:rPr>
          <w:rFonts w:ascii="Arial" w:hAnsi="Arial" w:cs="Arial"/>
        </w:rPr>
      </w:pPr>
    </w:p>
    <w:p w14:paraId="4D61F5AD" w14:textId="77777777" w:rsidR="00B05A14" w:rsidRPr="00CD673E" w:rsidRDefault="00B05A14" w:rsidP="00CD673E">
      <w:pPr>
        <w:spacing w:line="360" w:lineRule="auto"/>
        <w:jc w:val="both"/>
        <w:rPr>
          <w:rFonts w:ascii="Arial" w:hAnsi="Arial" w:cs="Arial"/>
        </w:rPr>
      </w:pPr>
    </w:p>
    <w:p w14:paraId="19AD6E21" w14:textId="77777777" w:rsidR="00B05A14" w:rsidRPr="00CD673E" w:rsidRDefault="00B05A14" w:rsidP="00CD673E">
      <w:pPr>
        <w:spacing w:line="360" w:lineRule="auto"/>
        <w:jc w:val="both"/>
        <w:rPr>
          <w:rFonts w:ascii="Arial" w:hAnsi="Arial" w:cs="Arial"/>
        </w:rPr>
      </w:pPr>
    </w:p>
    <w:p w14:paraId="5427B8BF" w14:textId="77777777" w:rsidR="00B05A14" w:rsidRPr="00CD673E" w:rsidRDefault="00B05A14" w:rsidP="00CD673E">
      <w:pPr>
        <w:spacing w:line="360" w:lineRule="auto"/>
        <w:jc w:val="both"/>
        <w:rPr>
          <w:rFonts w:ascii="Arial" w:hAnsi="Arial" w:cs="Arial"/>
        </w:rPr>
      </w:pPr>
    </w:p>
    <w:p w14:paraId="14D8ECEC" w14:textId="77777777" w:rsidR="00555C33" w:rsidRPr="00CD673E" w:rsidRDefault="00555C33" w:rsidP="00CD673E">
      <w:pPr>
        <w:spacing w:line="360" w:lineRule="auto"/>
        <w:jc w:val="both"/>
        <w:rPr>
          <w:rFonts w:ascii="Arial" w:hAnsi="Arial" w:cs="Arial"/>
        </w:rPr>
      </w:pPr>
    </w:p>
    <w:p w14:paraId="51295876" w14:textId="77777777" w:rsidR="00B05A14" w:rsidRPr="00CD673E" w:rsidRDefault="00B05A14" w:rsidP="00CD673E">
      <w:pPr>
        <w:spacing w:line="360" w:lineRule="auto"/>
        <w:jc w:val="both"/>
        <w:rPr>
          <w:rFonts w:ascii="Arial" w:hAnsi="Arial" w:cs="Arial"/>
        </w:rPr>
      </w:pPr>
    </w:p>
    <w:p w14:paraId="1155797E" w14:textId="77777777" w:rsidR="004258C9" w:rsidRPr="004258C9" w:rsidRDefault="004258C9" w:rsidP="00E35348">
      <w:pPr>
        <w:pStyle w:val="Heading3"/>
      </w:pPr>
      <w:bookmarkStart w:id="6" w:name="_Toc224916223"/>
      <w:r w:rsidRPr="004258C9">
        <w:t>Reference List (Harvard Style)</w:t>
      </w:r>
      <w:bookmarkEnd w:id="6"/>
    </w:p>
    <w:p w14:paraId="17228DD9" w14:textId="77777777" w:rsidR="004258C9" w:rsidRPr="004258C9" w:rsidRDefault="004258C9" w:rsidP="00CD673E">
      <w:pPr>
        <w:spacing w:line="360" w:lineRule="auto"/>
        <w:jc w:val="both"/>
        <w:rPr>
          <w:rFonts w:ascii="Arial" w:hAnsi="Arial" w:cs="Arial"/>
        </w:rPr>
      </w:pPr>
      <w:r w:rsidRPr="004258C9">
        <w:rPr>
          <w:rFonts w:ascii="Arial" w:hAnsi="Arial" w:cs="Arial"/>
        </w:rPr>
        <w:t xml:space="preserve">Davies, A., Gann, D. and Douglas, T. (2010) ‘Innovation in megaprojects: systems integration at Heathrow Terminal 5’, </w:t>
      </w:r>
      <w:r w:rsidRPr="004258C9">
        <w:rPr>
          <w:rFonts w:ascii="Arial" w:hAnsi="Arial" w:cs="Arial"/>
          <w:i/>
          <w:iCs/>
        </w:rPr>
        <w:t>California Management Review</w:t>
      </w:r>
      <w:r w:rsidRPr="004258C9">
        <w:rPr>
          <w:rFonts w:ascii="Arial" w:hAnsi="Arial" w:cs="Arial"/>
        </w:rPr>
        <w:t>, 51(2), pp. 101–125.</w:t>
      </w:r>
    </w:p>
    <w:p w14:paraId="23A884B7" w14:textId="77777777" w:rsidR="004258C9" w:rsidRPr="004258C9" w:rsidRDefault="004258C9" w:rsidP="00CD673E">
      <w:pPr>
        <w:spacing w:line="360" w:lineRule="auto"/>
        <w:jc w:val="both"/>
        <w:rPr>
          <w:rFonts w:ascii="Arial" w:hAnsi="Arial" w:cs="Arial"/>
        </w:rPr>
      </w:pPr>
      <w:r w:rsidRPr="004258C9">
        <w:rPr>
          <w:rFonts w:ascii="Arial" w:hAnsi="Arial" w:cs="Arial"/>
        </w:rPr>
        <w:lastRenderedPageBreak/>
        <w:t xml:space="preserve">Flyvbjerg, B. (2017) </w:t>
      </w:r>
      <w:r w:rsidRPr="004258C9">
        <w:rPr>
          <w:rFonts w:ascii="Arial" w:hAnsi="Arial" w:cs="Arial"/>
          <w:i/>
          <w:iCs/>
        </w:rPr>
        <w:t>The Oxford Handbook of Megaproject Management</w:t>
      </w:r>
      <w:r w:rsidRPr="004258C9">
        <w:rPr>
          <w:rFonts w:ascii="Arial" w:hAnsi="Arial" w:cs="Arial"/>
        </w:rPr>
        <w:t>. Oxford: Oxford University Press.</w:t>
      </w:r>
    </w:p>
    <w:p w14:paraId="12F833E1" w14:textId="77777777" w:rsidR="004258C9" w:rsidRPr="004258C9" w:rsidRDefault="004258C9" w:rsidP="00CD673E">
      <w:pPr>
        <w:spacing w:line="360" w:lineRule="auto"/>
        <w:jc w:val="both"/>
        <w:rPr>
          <w:rFonts w:ascii="Arial" w:hAnsi="Arial" w:cs="Arial"/>
        </w:rPr>
      </w:pPr>
      <w:r w:rsidRPr="004258C9">
        <w:rPr>
          <w:rFonts w:ascii="Arial" w:hAnsi="Arial" w:cs="Arial"/>
        </w:rPr>
        <w:t xml:space="preserve">Hillson, D. (2019) </w:t>
      </w:r>
      <w:r w:rsidRPr="004258C9">
        <w:rPr>
          <w:rFonts w:ascii="Arial" w:hAnsi="Arial" w:cs="Arial"/>
          <w:i/>
          <w:iCs/>
        </w:rPr>
        <w:t>Practical Project Risk Management</w:t>
      </w:r>
      <w:r w:rsidRPr="004258C9">
        <w:rPr>
          <w:rFonts w:ascii="Arial" w:hAnsi="Arial" w:cs="Arial"/>
        </w:rPr>
        <w:t xml:space="preserve">. 3rd </w:t>
      </w:r>
      <w:proofErr w:type="spellStart"/>
      <w:r w:rsidRPr="004258C9">
        <w:rPr>
          <w:rFonts w:ascii="Arial" w:hAnsi="Arial" w:cs="Arial"/>
        </w:rPr>
        <w:t>edn</w:t>
      </w:r>
      <w:proofErr w:type="spellEnd"/>
      <w:r w:rsidRPr="004258C9">
        <w:rPr>
          <w:rFonts w:ascii="Arial" w:hAnsi="Arial" w:cs="Arial"/>
        </w:rPr>
        <w:t>. Vienna: Management Concepts.</w:t>
      </w:r>
    </w:p>
    <w:p w14:paraId="56EAF895" w14:textId="77777777" w:rsidR="004258C9" w:rsidRPr="004258C9" w:rsidRDefault="004258C9" w:rsidP="00CD673E">
      <w:pPr>
        <w:spacing w:line="360" w:lineRule="auto"/>
        <w:jc w:val="both"/>
        <w:rPr>
          <w:rFonts w:ascii="Arial" w:hAnsi="Arial" w:cs="Arial"/>
        </w:rPr>
      </w:pPr>
      <w:r w:rsidRPr="004258C9">
        <w:rPr>
          <w:rFonts w:ascii="Arial" w:hAnsi="Arial" w:cs="Arial"/>
        </w:rPr>
        <w:t xml:space="preserve">Kerzner, H. (2022) </w:t>
      </w:r>
      <w:r w:rsidRPr="004258C9">
        <w:rPr>
          <w:rFonts w:ascii="Arial" w:hAnsi="Arial" w:cs="Arial"/>
          <w:i/>
          <w:iCs/>
        </w:rPr>
        <w:t>Project Management: A Systems Approach to Planning, Scheduling, and Controlling</w:t>
      </w:r>
      <w:r w:rsidRPr="004258C9">
        <w:rPr>
          <w:rFonts w:ascii="Arial" w:hAnsi="Arial" w:cs="Arial"/>
        </w:rPr>
        <w:t xml:space="preserve">. 13th </w:t>
      </w:r>
      <w:proofErr w:type="spellStart"/>
      <w:r w:rsidRPr="004258C9">
        <w:rPr>
          <w:rFonts w:ascii="Arial" w:hAnsi="Arial" w:cs="Arial"/>
        </w:rPr>
        <w:t>edn</w:t>
      </w:r>
      <w:proofErr w:type="spellEnd"/>
      <w:r w:rsidRPr="004258C9">
        <w:rPr>
          <w:rFonts w:ascii="Arial" w:hAnsi="Arial" w:cs="Arial"/>
        </w:rPr>
        <w:t>. Hoboken: John Wiley &amp; Sons.</w:t>
      </w:r>
    </w:p>
    <w:p w14:paraId="0F4F4EAA" w14:textId="77777777" w:rsidR="004258C9" w:rsidRPr="004258C9" w:rsidRDefault="004258C9" w:rsidP="00CD673E">
      <w:pPr>
        <w:spacing w:line="360" w:lineRule="auto"/>
        <w:jc w:val="both"/>
        <w:rPr>
          <w:rFonts w:ascii="Arial" w:hAnsi="Arial" w:cs="Arial"/>
        </w:rPr>
      </w:pPr>
      <w:r w:rsidRPr="004258C9">
        <w:rPr>
          <w:rFonts w:ascii="Arial" w:hAnsi="Arial" w:cs="Arial"/>
        </w:rPr>
        <w:t xml:space="preserve">PMI (Project Management Institute) (2021) </w:t>
      </w:r>
      <w:r w:rsidRPr="004258C9">
        <w:rPr>
          <w:rFonts w:ascii="Arial" w:hAnsi="Arial" w:cs="Arial"/>
          <w:i/>
          <w:iCs/>
        </w:rPr>
        <w:t>A Guide to the Project Management Body of Knowledge (PMBOK Guide)</w:t>
      </w:r>
      <w:r w:rsidRPr="004258C9">
        <w:rPr>
          <w:rFonts w:ascii="Arial" w:hAnsi="Arial" w:cs="Arial"/>
        </w:rPr>
        <w:t xml:space="preserve">. 7th </w:t>
      </w:r>
      <w:proofErr w:type="spellStart"/>
      <w:r w:rsidRPr="004258C9">
        <w:rPr>
          <w:rFonts w:ascii="Arial" w:hAnsi="Arial" w:cs="Arial"/>
        </w:rPr>
        <w:t>edn</w:t>
      </w:r>
      <w:proofErr w:type="spellEnd"/>
      <w:r w:rsidRPr="004258C9">
        <w:rPr>
          <w:rFonts w:ascii="Arial" w:hAnsi="Arial" w:cs="Arial"/>
        </w:rPr>
        <w:t>. Newtown Square, PA: Project Management Institute.</w:t>
      </w:r>
    </w:p>
    <w:p w14:paraId="70897DC3" w14:textId="77777777" w:rsidR="004258C9" w:rsidRPr="004258C9" w:rsidRDefault="004258C9" w:rsidP="00CD673E">
      <w:pPr>
        <w:spacing w:line="360" w:lineRule="auto"/>
        <w:jc w:val="both"/>
        <w:rPr>
          <w:rFonts w:ascii="Arial" w:hAnsi="Arial" w:cs="Arial"/>
        </w:rPr>
      </w:pPr>
      <w:r w:rsidRPr="004258C9">
        <w:rPr>
          <w:rFonts w:ascii="Arial" w:hAnsi="Arial" w:cs="Arial"/>
        </w:rPr>
        <w:t xml:space="preserve">Turner, J.R. (2020) </w:t>
      </w:r>
      <w:r w:rsidRPr="004258C9">
        <w:rPr>
          <w:rFonts w:ascii="Arial" w:hAnsi="Arial" w:cs="Arial"/>
          <w:i/>
          <w:iCs/>
        </w:rPr>
        <w:t>The Handbook of Project-Based Management</w:t>
      </w:r>
      <w:r w:rsidRPr="004258C9">
        <w:rPr>
          <w:rFonts w:ascii="Arial" w:hAnsi="Arial" w:cs="Arial"/>
        </w:rPr>
        <w:t xml:space="preserve">. 5th </w:t>
      </w:r>
      <w:proofErr w:type="spellStart"/>
      <w:r w:rsidRPr="004258C9">
        <w:rPr>
          <w:rFonts w:ascii="Arial" w:hAnsi="Arial" w:cs="Arial"/>
        </w:rPr>
        <w:t>edn</w:t>
      </w:r>
      <w:proofErr w:type="spellEnd"/>
      <w:r w:rsidRPr="004258C9">
        <w:rPr>
          <w:rFonts w:ascii="Arial" w:hAnsi="Arial" w:cs="Arial"/>
        </w:rPr>
        <w:t>. New York: McGraw-Hill.</w:t>
      </w:r>
    </w:p>
    <w:p w14:paraId="65AA8FE8" w14:textId="77777777" w:rsidR="004258C9" w:rsidRPr="004258C9" w:rsidRDefault="004258C9" w:rsidP="00CD673E">
      <w:pPr>
        <w:spacing w:line="360" w:lineRule="auto"/>
        <w:jc w:val="both"/>
        <w:rPr>
          <w:rFonts w:ascii="Arial" w:hAnsi="Arial" w:cs="Arial"/>
        </w:rPr>
      </w:pPr>
      <w:r w:rsidRPr="004258C9">
        <w:rPr>
          <w:rFonts w:ascii="Arial" w:hAnsi="Arial" w:cs="Arial"/>
        </w:rPr>
        <w:t xml:space="preserve">Winch, G.M. (2020) </w:t>
      </w:r>
      <w:r w:rsidRPr="004258C9">
        <w:rPr>
          <w:rFonts w:ascii="Arial" w:hAnsi="Arial" w:cs="Arial"/>
          <w:i/>
          <w:iCs/>
        </w:rPr>
        <w:t>Managing Construction Projects</w:t>
      </w:r>
      <w:r w:rsidRPr="004258C9">
        <w:rPr>
          <w:rFonts w:ascii="Arial" w:hAnsi="Arial" w:cs="Arial"/>
        </w:rPr>
        <w:t xml:space="preserve">. 3rd </w:t>
      </w:r>
      <w:proofErr w:type="spellStart"/>
      <w:r w:rsidRPr="004258C9">
        <w:rPr>
          <w:rFonts w:ascii="Arial" w:hAnsi="Arial" w:cs="Arial"/>
        </w:rPr>
        <w:t>edn</w:t>
      </w:r>
      <w:proofErr w:type="spellEnd"/>
      <w:r w:rsidRPr="004258C9">
        <w:rPr>
          <w:rFonts w:ascii="Arial" w:hAnsi="Arial" w:cs="Arial"/>
        </w:rPr>
        <w:t>. Oxford: Wiley-Blackwell.</w:t>
      </w:r>
    </w:p>
    <w:p w14:paraId="5B5FB10A" w14:textId="77777777" w:rsidR="004258C9" w:rsidRPr="004258C9" w:rsidRDefault="004258C9" w:rsidP="00CD673E">
      <w:pPr>
        <w:spacing w:line="360" w:lineRule="auto"/>
        <w:jc w:val="both"/>
        <w:rPr>
          <w:rFonts w:ascii="Arial" w:hAnsi="Arial" w:cs="Arial"/>
        </w:rPr>
      </w:pPr>
      <w:r w:rsidRPr="004258C9">
        <w:rPr>
          <w:rFonts w:ascii="Arial" w:hAnsi="Arial" w:cs="Arial"/>
        </w:rPr>
        <w:t xml:space="preserve">Zou, P.X.W., Zhang, G. and Wang, J. (2021) ‘Understanding the key risks in construction projects’, </w:t>
      </w:r>
      <w:r w:rsidRPr="004258C9">
        <w:rPr>
          <w:rFonts w:ascii="Arial" w:hAnsi="Arial" w:cs="Arial"/>
          <w:i/>
          <w:iCs/>
        </w:rPr>
        <w:t>International Journal of Project Management</w:t>
      </w:r>
      <w:r w:rsidRPr="004258C9">
        <w:rPr>
          <w:rFonts w:ascii="Arial" w:hAnsi="Arial" w:cs="Arial"/>
        </w:rPr>
        <w:t>, 39(1), pp. 1–13.</w:t>
      </w:r>
    </w:p>
    <w:p w14:paraId="2562E4F4" w14:textId="77777777" w:rsidR="004258C9" w:rsidRPr="004258C9" w:rsidRDefault="004258C9" w:rsidP="00CD673E">
      <w:pPr>
        <w:spacing w:line="360" w:lineRule="auto"/>
        <w:jc w:val="both"/>
        <w:rPr>
          <w:rFonts w:ascii="Arial" w:hAnsi="Arial" w:cs="Arial"/>
        </w:rPr>
      </w:pPr>
      <w:r w:rsidRPr="004258C9">
        <w:rPr>
          <w:rFonts w:ascii="Arial" w:hAnsi="Arial" w:cs="Arial"/>
        </w:rPr>
        <w:t xml:space="preserve">Chapman, C. and Ward, S. (2020) </w:t>
      </w:r>
      <w:r w:rsidRPr="004258C9">
        <w:rPr>
          <w:rFonts w:ascii="Arial" w:hAnsi="Arial" w:cs="Arial"/>
          <w:i/>
          <w:iCs/>
        </w:rPr>
        <w:t>How to Manage Project Opportunity and Risk: Why Uncertainty Management Can Be a Much Better Approach than Risk Management</w:t>
      </w:r>
      <w:r w:rsidRPr="004258C9">
        <w:rPr>
          <w:rFonts w:ascii="Arial" w:hAnsi="Arial" w:cs="Arial"/>
        </w:rPr>
        <w:t xml:space="preserve">. 3rd </w:t>
      </w:r>
      <w:proofErr w:type="spellStart"/>
      <w:r w:rsidRPr="004258C9">
        <w:rPr>
          <w:rFonts w:ascii="Arial" w:hAnsi="Arial" w:cs="Arial"/>
        </w:rPr>
        <w:t>edn</w:t>
      </w:r>
      <w:proofErr w:type="spellEnd"/>
      <w:r w:rsidRPr="004258C9">
        <w:rPr>
          <w:rFonts w:ascii="Arial" w:hAnsi="Arial" w:cs="Arial"/>
        </w:rPr>
        <w:t>. Hoboken: John Wiley &amp; Sons.</w:t>
      </w:r>
    </w:p>
    <w:p w14:paraId="5DF63B55" w14:textId="77777777" w:rsidR="004258C9" w:rsidRPr="004258C9" w:rsidRDefault="004258C9" w:rsidP="00CD673E">
      <w:pPr>
        <w:spacing w:line="360" w:lineRule="auto"/>
        <w:jc w:val="both"/>
        <w:rPr>
          <w:rFonts w:ascii="Arial" w:hAnsi="Arial" w:cs="Arial"/>
        </w:rPr>
      </w:pPr>
      <w:r w:rsidRPr="004258C9">
        <w:rPr>
          <w:rFonts w:ascii="Arial" w:hAnsi="Arial" w:cs="Arial"/>
        </w:rPr>
        <w:t xml:space="preserve">Raz, T., </w:t>
      </w:r>
      <w:proofErr w:type="spellStart"/>
      <w:r w:rsidRPr="004258C9">
        <w:rPr>
          <w:rFonts w:ascii="Arial" w:hAnsi="Arial" w:cs="Arial"/>
        </w:rPr>
        <w:t>Shenhar</w:t>
      </w:r>
      <w:proofErr w:type="spellEnd"/>
      <w:r w:rsidRPr="004258C9">
        <w:rPr>
          <w:rFonts w:ascii="Arial" w:hAnsi="Arial" w:cs="Arial"/>
        </w:rPr>
        <w:t xml:space="preserve">, A.J. and Dvir, D. (2021) ‘Risk management, project success, and technological uncertainty’, </w:t>
      </w:r>
      <w:r w:rsidRPr="004258C9">
        <w:rPr>
          <w:rFonts w:ascii="Arial" w:hAnsi="Arial" w:cs="Arial"/>
          <w:i/>
          <w:iCs/>
        </w:rPr>
        <w:t>R&amp;D Management</w:t>
      </w:r>
      <w:r w:rsidRPr="004258C9">
        <w:rPr>
          <w:rFonts w:ascii="Arial" w:hAnsi="Arial" w:cs="Arial"/>
        </w:rPr>
        <w:t>, 51(2), pp. 101–109.</w:t>
      </w:r>
    </w:p>
    <w:p w14:paraId="689D863B" w14:textId="77777777" w:rsidR="00B05A14" w:rsidRPr="00CD673E" w:rsidRDefault="00B05A14" w:rsidP="00CD673E">
      <w:pPr>
        <w:spacing w:line="360" w:lineRule="auto"/>
        <w:jc w:val="both"/>
        <w:rPr>
          <w:rFonts w:ascii="Arial" w:hAnsi="Arial" w:cs="Arial"/>
        </w:rPr>
      </w:pPr>
    </w:p>
    <w:p w14:paraId="147BCADD" w14:textId="77777777" w:rsidR="00B05A14" w:rsidRPr="00CD673E" w:rsidRDefault="00B05A14" w:rsidP="00CD673E">
      <w:pPr>
        <w:spacing w:line="360" w:lineRule="auto"/>
        <w:jc w:val="both"/>
        <w:rPr>
          <w:rFonts w:ascii="Arial" w:hAnsi="Arial" w:cs="Arial"/>
        </w:rPr>
      </w:pPr>
    </w:p>
    <w:p w14:paraId="77061310" w14:textId="77777777" w:rsidR="00B05A14" w:rsidRPr="00CD673E" w:rsidRDefault="00B05A14" w:rsidP="00CD673E">
      <w:pPr>
        <w:spacing w:line="360" w:lineRule="auto"/>
        <w:jc w:val="both"/>
        <w:rPr>
          <w:rFonts w:ascii="Arial" w:hAnsi="Arial" w:cs="Arial"/>
        </w:rPr>
      </w:pPr>
    </w:p>
    <w:p w14:paraId="517393CB" w14:textId="77777777" w:rsidR="00B05A14" w:rsidRPr="00CD673E" w:rsidRDefault="00B05A14" w:rsidP="00CD673E">
      <w:pPr>
        <w:spacing w:line="360" w:lineRule="auto"/>
        <w:jc w:val="both"/>
        <w:rPr>
          <w:rFonts w:ascii="Arial" w:hAnsi="Arial" w:cs="Arial"/>
        </w:rPr>
      </w:pPr>
    </w:p>
    <w:p w14:paraId="58A6FBF3" w14:textId="77777777" w:rsidR="00B05A14" w:rsidRPr="00CD673E" w:rsidRDefault="00B05A14" w:rsidP="00CD673E">
      <w:pPr>
        <w:spacing w:line="360" w:lineRule="auto"/>
        <w:jc w:val="both"/>
        <w:rPr>
          <w:rFonts w:ascii="Arial" w:hAnsi="Arial" w:cs="Arial"/>
        </w:rPr>
      </w:pPr>
    </w:p>
    <w:p w14:paraId="75E8DB81" w14:textId="77777777" w:rsidR="00B05A14" w:rsidRPr="00CD673E" w:rsidRDefault="00B05A14" w:rsidP="00CD673E">
      <w:pPr>
        <w:spacing w:line="360" w:lineRule="auto"/>
        <w:jc w:val="both"/>
        <w:rPr>
          <w:rFonts w:ascii="Arial" w:hAnsi="Arial" w:cs="Arial"/>
        </w:rPr>
      </w:pPr>
    </w:p>
    <w:p w14:paraId="2314E757" w14:textId="77777777" w:rsidR="00B05A14" w:rsidRPr="00CD673E" w:rsidRDefault="00B05A14" w:rsidP="00CD673E">
      <w:pPr>
        <w:spacing w:line="360" w:lineRule="auto"/>
        <w:jc w:val="both"/>
        <w:rPr>
          <w:rFonts w:ascii="Arial" w:hAnsi="Arial" w:cs="Arial"/>
        </w:rPr>
      </w:pPr>
    </w:p>
    <w:p w14:paraId="18DC25C3" w14:textId="77777777" w:rsidR="00B05A14" w:rsidRPr="00CD673E" w:rsidRDefault="00B05A14" w:rsidP="00CD673E">
      <w:pPr>
        <w:spacing w:line="360" w:lineRule="auto"/>
        <w:jc w:val="both"/>
        <w:rPr>
          <w:rFonts w:ascii="Arial" w:hAnsi="Arial" w:cs="Arial"/>
        </w:rPr>
      </w:pPr>
    </w:p>
    <w:p w14:paraId="5A93F1F1" w14:textId="77777777" w:rsidR="00B05A14" w:rsidRPr="00CD673E" w:rsidRDefault="00B05A14" w:rsidP="00CD673E">
      <w:pPr>
        <w:spacing w:line="360" w:lineRule="auto"/>
        <w:jc w:val="both"/>
        <w:rPr>
          <w:rFonts w:ascii="Arial" w:hAnsi="Arial" w:cs="Arial"/>
        </w:rPr>
      </w:pPr>
    </w:p>
    <w:p w14:paraId="6603C93D" w14:textId="77777777" w:rsidR="00B05A14" w:rsidRPr="00CD673E" w:rsidRDefault="00B05A14" w:rsidP="00CD673E">
      <w:pPr>
        <w:spacing w:line="360" w:lineRule="auto"/>
        <w:jc w:val="both"/>
        <w:rPr>
          <w:rFonts w:ascii="Arial" w:hAnsi="Arial" w:cs="Arial"/>
        </w:rPr>
      </w:pPr>
    </w:p>
    <w:p w14:paraId="16E725F1" w14:textId="77777777" w:rsidR="00B05A14" w:rsidRPr="00CD673E" w:rsidRDefault="00B05A14" w:rsidP="00CD673E">
      <w:pPr>
        <w:spacing w:line="360" w:lineRule="auto"/>
        <w:jc w:val="both"/>
        <w:rPr>
          <w:rFonts w:ascii="Arial" w:hAnsi="Arial" w:cs="Arial"/>
        </w:rPr>
      </w:pPr>
    </w:p>
    <w:p w14:paraId="7AD2F339" w14:textId="77777777" w:rsidR="00B05A14" w:rsidRPr="00CD673E" w:rsidRDefault="00B05A14" w:rsidP="00CD673E">
      <w:pPr>
        <w:spacing w:line="360" w:lineRule="auto"/>
        <w:jc w:val="both"/>
        <w:rPr>
          <w:rFonts w:ascii="Arial" w:hAnsi="Arial" w:cs="Arial"/>
        </w:rPr>
      </w:pPr>
    </w:p>
    <w:p w14:paraId="200D97CE" w14:textId="77777777" w:rsidR="00B05A14" w:rsidRPr="00CD673E" w:rsidRDefault="00B05A14" w:rsidP="00CD673E">
      <w:pPr>
        <w:spacing w:line="360" w:lineRule="auto"/>
        <w:jc w:val="both"/>
        <w:rPr>
          <w:rFonts w:ascii="Arial" w:hAnsi="Arial" w:cs="Arial"/>
        </w:rPr>
      </w:pPr>
    </w:p>
    <w:p w14:paraId="50F8629E" w14:textId="77777777" w:rsidR="00B05A14" w:rsidRPr="00CD673E" w:rsidRDefault="00B05A14" w:rsidP="00CD673E">
      <w:pPr>
        <w:spacing w:line="360" w:lineRule="auto"/>
        <w:jc w:val="both"/>
        <w:rPr>
          <w:rFonts w:ascii="Arial" w:hAnsi="Arial" w:cs="Arial"/>
        </w:rPr>
      </w:pPr>
    </w:p>
    <w:p w14:paraId="75ACC85B" w14:textId="77777777" w:rsidR="00B05A14" w:rsidRPr="00CD673E" w:rsidRDefault="00B05A14" w:rsidP="00CD673E">
      <w:pPr>
        <w:spacing w:line="360" w:lineRule="auto"/>
        <w:jc w:val="both"/>
        <w:rPr>
          <w:rFonts w:ascii="Arial" w:hAnsi="Arial" w:cs="Arial"/>
        </w:rPr>
      </w:pPr>
    </w:p>
    <w:p w14:paraId="102DEA5E" w14:textId="77777777" w:rsidR="00B05A14" w:rsidRPr="00CD673E" w:rsidRDefault="00B05A14" w:rsidP="00CD673E">
      <w:pPr>
        <w:spacing w:line="360" w:lineRule="auto"/>
        <w:jc w:val="both"/>
        <w:rPr>
          <w:rFonts w:ascii="Arial" w:hAnsi="Arial" w:cs="Arial"/>
        </w:rPr>
      </w:pPr>
    </w:p>
    <w:p w14:paraId="20BD912F" w14:textId="77777777" w:rsidR="00B05A14" w:rsidRPr="00CD673E" w:rsidRDefault="00B05A14" w:rsidP="00CD673E">
      <w:pPr>
        <w:spacing w:line="360" w:lineRule="auto"/>
        <w:jc w:val="both"/>
        <w:rPr>
          <w:rFonts w:ascii="Arial" w:hAnsi="Arial" w:cs="Arial"/>
        </w:rPr>
      </w:pPr>
    </w:p>
    <w:p w14:paraId="3A820E12" w14:textId="77777777" w:rsidR="00B05A14" w:rsidRPr="00CD673E" w:rsidRDefault="00B05A14" w:rsidP="00CD673E">
      <w:pPr>
        <w:spacing w:line="360" w:lineRule="auto"/>
        <w:jc w:val="both"/>
        <w:rPr>
          <w:rFonts w:ascii="Arial" w:hAnsi="Arial" w:cs="Arial"/>
        </w:rPr>
      </w:pPr>
    </w:p>
    <w:p w14:paraId="26524586" w14:textId="77777777" w:rsidR="00B05A14" w:rsidRPr="00CD673E" w:rsidRDefault="00B05A14" w:rsidP="00CD673E">
      <w:pPr>
        <w:spacing w:line="360" w:lineRule="auto"/>
        <w:jc w:val="both"/>
        <w:rPr>
          <w:rFonts w:ascii="Arial" w:hAnsi="Arial" w:cs="Arial"/>
        </w:rPr>
      </w:pPr>
    </w:p>
    <w:p w14:paraId="236277A0" w14:textId="77777777" w:rsidR="00B05A14" w:rsidRPr="00CD673E" w:rsidRDefault="00B05A14" w:rsidP="00CD673E">
      <w:pPr>
        <w:spacing w:line="360" w:lineRule="auto"/>
        <w:jc w:val="both"/>
        <w:rPr>
          <w:rFonts w:ascii="Arial" w:hAnsi="Arial" w:cs="Arial"/>
        </w:rPr>
      </w:pPr>
    </w:p>
    <w:p w14:paraId="30629EAC" w14:textId="77777777" w:rsidR="00B05A14" w:rsidRPr="00CD673E" w:rsidRDefault="00B05A14" w:rsidP="00CD673E">
      <w:pPr>
        <w:spacing w:line="360" w:lineRule="auto"/>
        <w:jc w:val="both"/>
        <w:rPr>
          <w:rFonts w:ascii="Arial" w:hAnsi="Arial" w:cs="Arial"/>
        </w:rPr>
      </w:pPr>
    </w:p>
    <w:p w14:paraId="61ECD036" w14:textId="77777777" w:rsidR="00B05A14" w:rsidRPr="00CD673E" w:rsidRDefault="00B05A14" w:rsidP="00CD673E">
      <w:pPr>
        <w:spacing w:line="360" w:lineRule="auto"/>
        <w:jc w:val="both"/>
        <w:rPr>
          <w:rFonts w:ascii="Arial" w:hAnsi="Arial" w:cs="Arial"/>
        </w:rPr>
      </w:pPr>
    </w:p>
    <w:p w14:paraId="77C8429C" w14:textId="77777777" w:rsidR="00B05A14" w:rsidRPr="00CD673E" w:rsidRDefault="00B05A14" w:rsidP="00CD673E">
      <w:pPr>
        <w:spacing w:line="360" w:lineRule="auto"/>
        <w:jc w:val="both"/>
        <w:rPr>
          <w:rFonts w:ascii="Arial" w:hAnsi="Arial" w:cs="Arial"/>
        </w:rPr>
      </w:pPr>
    </w:p>
    <w:p w14:paraId="0013FB21" w14:textId="77777777" w:rsidR="00B05A14" w:rsidRPr="00CD673E" w:rsidRDefault="00B05A14" w:rsidP="00CD673E">
      <w:pPr>
        <w:spacing w:line="360" w:lineRule="auto"/>
        <w:jc w:val="both"/>
        <w:rPr>
          <w:rFonts w:ascii="Arial" w:hAnsi="Arial" w:cs="Arial"/>
        </w:rPr>
      </w:pPr>
    </w:p>
    <w:p w14:paraId="243B4873" w14:textId="77777777" w:rsidR="00B05A14" w:rsidRPr="00CD673E" w:rsidRDefault="00B05A14" w:rsidP="00CD673E">
      <w:pPr>
        <w:spacing w:line="360" w:lineRule="auto"/>
        <w:jc w:val="both"/>
        <w:rPr>
          <w:rFonts w:ascii="Arial" w:hAnsi="Arial" w:cs="Arial"/>
        </w:rPr>
      </w:pPr>
    </w:p>
    <w:p w14:paraId="56E22E30" w14:textId="77777777" w:rsidR="00B05A14" w:rsidRPr="00CD673E" w:rsidRDefault="00B05A14" w:rsidP="00CD673E">
      <w:pPr>
        <w:spacing w:line="360" w:lineRule="auto"/>
        <w:jc w:val="both"/>
        <w:rPr>
          <w:rFonts w:ascii="Arial" w:hAnsi="Arial" w:cs="Arial"/>
        </w:rPr>
      </w:pPr>
    </w:p>
    <w:p w14:paraId="721480E0" w14:textId="77777777" w:rsidR="00B05A14" w:rsidRDefault="00B05A14"/>
    <w:sectPr w:rsidR="00B05A14">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34D9F5" w14:textId="77777777" w:rsidR="00EF7A42" w:rsidRDefault="00EF7A42" w:rsidP="00B05A14">
      <w:pPr>
        <w:spacing w:after="0" w:line="240" w:lineRule="auto"/>
      </w:pPr>
      <w:r>
        <w:separator/>
      </w:r>
    </w:p>
  </w:endnote>
  <w:endnote w:type="continuationSeparator" w:id="0">
    <w:p w14:paraId="0302A3FD" w14:textId="77777777" w:rsidR="00EF7A42" w:rsidRDefault="00EF7A42" w:rsidP="00B05A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A317FC" w14:textId="77777777" w:rsidR="00EF7A42" w:rsidRDefault="00EF7A42" w:rsidP="00B05A14">
      <w:pPr>
        <w:spacing w:after="0" w:line="240" w:lineRule="auto"/>
      </w:pPr>
      <w:r>
        <w:separator/>
      </w:r>
    </w:p>
  </w:footnote>
  <w:footnote w:type="continuationSeparator" w:id="0">
    <w:p w14:paraId="086E495B" w14:textId="77777777" w:rsidR="00EF7A42" w:rsidRDefault="00EF7A42" w:rsidP="00B05A1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color w:val="7F7F7F" w:themeColor="background1" w:themeShade="7F"/>
        <w:spacing w:val="60"/>
      </w:rPr>
      <w:id w:val="252091545"/>
      <w:docPartObj>
        <w:docPartGallery w:val="Page Numbers (Top of Page)"/>
        <w:docPartUnique/>
      </w:docPartObj>
    </w:sdtPr>
    <w:sdtEndPr>
      <w:rPr>
        <w:b/>
        <w:bCs/>
        <w:color w:val="auto"/>
        <w:spacing w:val="0"/>
      </w:rPr>
    </w:sdtEndPr>
    <w:sdtContent>
      <w:p w14:paraId="0FEB0FDB" w14:textId="766A6946" w:rsidR="00B05A14" w:rsidRDefault="00B05A14">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PAGE   \* MERGEFORMAT</w:instrText>
        </w:r>
        <w:r>
          <w:fldChar w:fldCharType="separate"/>
        </w:r>
        <w:r>
          <w:rPr>
            <w:b/>
            <w:bCs/>
          </w:rPr>
          <w:t>2</w:t>
        </w:r>
        <w:r>
          <w:rPr>
            <w:b/>
            <w:bCs/>
          </w:rPr>
          <w:fldChar w:fldCharType="end"/>
        </w:r>
      </w:p>
    </w:sdtContent>
  </w:sdt>
  <w:p w14:paraId="5638526B" w14:textId="77777777" w:rsidR="00B05A14" w:rsidRDefault="00B05A1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5A14"/>
    <w:rsid w:val="002F0532"/>
    <w:rsid w:val="004258C9"/>
    <w:rsid w:val="00555C33"/>
    <w:rsid w:val="007F7E59"/>
    <w:rsid w:val="0084671C"/>
    <w:rsid w:val="0086465D"/>
    <w:rsid w:val="00932A90"/>
    <w:rsid w:val="00951857"/>
    <w:rsid w:val="00A33AA1"/>
    <w:rsid w:val="00A75C42"/>
    <w:rsid w:val="00A929BF"/>
    <w:rsid w:val="00B05A14"/>
    <w:rsid w:val="00CD673E"/>
    <w:rsid w:val="00E35348"/>
    <w:rsid w:val="00EF3FAA"/>
    <w:rsid w:val="00EF7A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64751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29BF"/>
  </w:style>
  <w:style w:type="paragraph" w:styleId="Heading1">
    <w:name w:val="heading 1"/>
    <w:basedOn w:val="Normal"/>
    <w:next w:val="Normal"/>
    <w:link w:val="Heading1Char"/>
    <w:uiPriority w:val="9"/>
    <w:qFormat/>
    <w:rsid w:val="00A929B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929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929B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29B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29B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29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29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29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29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29B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929B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929B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29B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29B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29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29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29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29BF"/>
    <w:rPr>
      <w:rFonts w:eastAsiaTheme="majorEastAsia" w:cstheme="majorBidi"/>
      <w:color w:val="272727" w:themeColor="text1" w:themeTint="D8"/>
    </w:rPr>
  </w:style>
  <w:style w:type="paragraph" w:styleId="Title">
    <w:name w:val="Title"/>
    <w:basedOn w:val="Normal"/>
    <w:next w:val="Normal"/>
    <w:link w:val="TitleChar"/>
    <w:uiPriority w:val="10"/>
    <w:qFormat/>
    <w:rsid w:val="00A929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29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29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29BF"/>
    <w:rPr>
      <w:rFonts w:eastAsiaTheme="majorEastAsia" w:cstheme="majorBidi"/>
      <w:color w:val="595959" w:themeColor="text1" w:themeTint="A6"/>
      <w:spacing w:val="15"/>
      <w:sz w:val="28"/>
      <w:szCs w:val="28"/>
    </w:rPr>
  </w:style>
  <w:style w:type="paragraph" w:styleId="ListParagraph">
    <w:name w:val="List Paragraph"/>
    <w:basedOn w:val="Normal"/>
    <w:uiPriority w:val="34"/>
    <w:qFormat/>
    <w:rsid w:val="00A929BF"/>
    <w:pPr>
      <w:ind w:left="720"/>
      <w:contextualSpacing/>
    </w:pPr>
  </w:style>
  <w:style w:type="paragraph" w:styleId="Quote">
    <w:name w:val="Quote"/>
    <w:basedOn w:val="Normal"/>
    <w:next w:val="Normal"/>
    <w:link w:val="QuoteChar"/>
    <w:uiPriority w:val="29"/>
    <w:qFormat/>
    <w:rsid w:val="00A929BF"/>
    <w:pPr>
      <w:spacing w:before="160"/>
      <w:jc w:val="center"/>
    </w:pPr>
    <w:rPr>
      <w:i/>
      <w:iCs/>
      <w:color w:val="404040" w:themeColor="text1" w:themeTint="BF"/>
    </w:rPr>
  </w:style>
  <w:style w:type="character" w:customStyle="1" w:styleId="QuoteChar">
    <w:name w:val="Quote Char"/>
    <w:basedOn w:val="DefaultParagraphFont"/>
    <w:link w:val="Quote"/>
    <w:uiPriority w:val="29"/>
    <w:rsid w:val="00A929BF"/>
    <w:rPr>
      <w:i/>
      <w:iCs/>
      <w:color w:val="404040" w:themeColor="text1" w:themeTint="BF"/>
    </w:rPr>
  </w:style>
  <w:style w:type="paragraph" w:styleId="IntenseQuote">
    <w:name w:val="Intense Quote"/>
    <w:basedOn w:val="Normal"/>
    <w:next w:val="Normal"/>
    <w:link w:val="IntenseQuoteChar"/>
    <w:uiPriority w:val="30"/>
    <w:qFormat/>
    <w:rsid w:val="00A929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29BF"/>
    <w:rPr>
      <w:i/>
      <w:iCs/>
      <w:color w:val="0F4761" w:themeColor="accent1" w:themeShade="BF"/>
    </w:rPr>
  </w:style>
  <w:style w:type="character" w:styleId="IntenseEmphasis">
    <w:name w:val="Intense Emphasis"/>
    <w:basedOn w:val="DefaultParagraphFont"/>
    <w:uiPriority w:val="21"/>
    <w:qFormat/>
    <w:rsid w:val="00A929BF"/>
    <w:rPr>
      <w:i/>
      <w:iCs/>
      <w:color w:val="0F4761" w:themeColor="accent1" w:themeShade="BF"/>
    </w:rPr>
  </w:style>
  <w:style w:type="character" w:styleId="IntenseReference">
    <w:name w:val="Intense Reference"/>
    <w:basedOn w:val="DefaultParagraphFont"/>
    <w:uiPriority w:val="32"/>
    <w:qFormat/>
    <w:rsid w:val="00A929BF"/>
    <w:rPr>
      <w:b/>
      <w:bCs/>
      <w:smallCaps/>
      <w:color w:val="0F4761" w:themeColor="accent1" w:themeShade="BF"/>
      <w:spacing w:val="5"/>
    </w:rPr>
  </w:style>
  <w:style w:type="paragraph" w:styleId="Header">
    <w:name w:val="header"/>
    <w:basedOn w:val="Normal"/>
    <w:link w:val="HeaderChar"/>
    <w:uiPriority w:val="99"/>
    <w:unhideWhenUsed/>
    <w:rsid w:val="00B05A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5A14"/>
  </w:style>
  <w:style w:type="paragraph" w:styleId="Footer">
    <w:name w:val="footer"/>
    <w:basedOn w:val="Normal"/>
    <w:link w:val="FooterChar"/>
    <w:uiPriority w:val="99"/>
    <w:unhideWhenUsed/>
    <w:rsid w:val="00B05A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5A14"/>
  </w:style>
  <w:style w:type="character" w:styleId="Strong">
    <w:name w:val="Strong"/>
    <w:basedOn w:val="DefaultParagraphFont"/>
    <w:uiPriority w:val="22"/>
    <w:qFormat/>
    <w:rsid w:val="00A33AA1"/>
    <w:rPr>
      <w:b/>
      <w:bCs/>
    </w:rPr>
  </w:style>
  <w:style w:type="paragraph" w:styleId="TOCHeading">
    <w:name w:val="TOC Heading"/>
    <w:basedOn w:val="Heading1"/>
    <w:next w:val="Normal"/>
    <w:uiPriority w:val="39"/>
    <w:unhideWhenUsed/>
    <w:qFormat/>
    <w:rsid w:val="00E35348"/>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E35348"/>
    <w:pPr>
      <w:spacing w:after="100"/>
    </w:pPr>
  </w:style>
  <w:style w:type="paragraph" w:styleId="TOC2">
    <w:name w:val="toc 2"/>
    <w:basedOn w:val="Normal"/>
    <w:next w:val="Normal"/>
    <w:autoRedefine/>
    <w:uiPriority w:val="39"/>
    <w:unhideWhenUsed/>
    <w:rsid w:val="00E35348"/>
    <w:pPr>
      <w:spacing w:after="100"/>
      <w:ind w:left="240"/>
    </w:pPr>
  </w:style>
  <w:style w:type="paragraph" w:styleId="TOC3">
    <w:name w:val="toc 3"/>
    <w:basedOn w:val="Normal"/>
    <w:next w:val="Normal"/>
    <w:autoRedefine/>
    <w:uiPriority w:val="39"/>
    <w:unhideWhenUsed/>
    <w:rsid w:val="00E35348"/>
    <w:pPr>
      <w:spacing w:after="100"/>
      <w:ind w:left="480"/>
    </w:pPr>
  </w:style>
  <w:style w:type="character" w:styleId="Hyperlink">
    <w:name w:val="Hyperlink"/>
    <w:basedOn w:val="DefaultParagraphFont"/>
    <w:uiPriority w:val="99"/>
    <w:unhideWhenUsed/>
    <w:rsid w:val="00E35348"/>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7899DC-EC1C-4FDB-8936-AC9A1B148F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2338</Words>
  <Characters>13329</Characters>
  <Application>Microsoft Office Word</Application>
  <DocSecurity>0</DocSecurity>
  <Lines>111</Lines>
  <Paragraphs>31</Paragraphs>
  <ScaleCrop>false</ScaleCrop>
  <Company/>
  <LinksUpToDate>false</LinksUpToDate>
  <CharactersWithSpaces>15636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2026-03-20T16:27:00Z</dcterms:created>
  <dcterms:modified xsi:type="dcterms:W3CDTF">2026-03-20T16:27:00Z</dcterms:modified>
</cp:coreProperties>
</file>