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B08B9" w:rsidRDefault="0073031F">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Community Engagement</w:t>
      </w:r>
    </w:p>
    <w:p w:rsidR="00DB08B9" w:rsidRDefault="0073031F">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Assessment 2</w:t>
      </w:r>
    </w:p>
    <w:p w:rsidR="00DB08B9" w:rsidRPr="00C959EE" w:rsidRDefault="0073031F">
      <w:pPr>
        <w:spacing w:line="360" w:lineRule="auto"/>
        <w:jc w:val="center"/>
        <w:rPr>
          <w:rFonts w:ascii="Times New Roman" w:eastAsia="Times New Roman" w:hAnsi="Times New Roman" w:cs="Times New Roman"/>
          <w:bCs/>
          <w:color w:val="222222"/>
          <w:sz w:val="24"/>
          <w:szCs w:val="24"/>
        </w:rPr>
      </w:pPr>
      <w:r w:rsidRPr="00C959EE">
        <w:rPr>
          <w:rFonts w:ascii="Times New Roman" w:eastAsia="Times New Roman" w:hAnsi="Times New Roman" w:cs="Times New Roman"/>
          <w:bCs/>
          <w:color w:val="222222"/>
          <w:sz w:val="24"/>
          <w:szCs w:val="24"/>
        </w:rPr>
        <w:t>Student Name:</w:t>
      </w:r>
      <w:r w:rsidRPr="00C959EE">
        <w:rPr>
          <w:rFonts w:ascii="Times New Roman" w:eastAsia="Times New Roman" w:hAnsi="Times New Roman" w:cs="Times New Roman"/>
          <w:bCs/>
          <w:color w:val="222222"/>
          <w:sz w:val="24"/>
          <w:szCs w:val="24"/>
          <w:lang w:val="en-US"/>
        </w:rPr>
        <w:t xml:space="preserve"> Carolina Covali</w:t>
      </w:r>
    </w:p>
    <w:p w:rsidR="00DB08B9" w:rsidRPr="00C959EE" w:rsidRDefault="0073031F">
      <w:pPr>
        <w:spacing w:line="360" w:lineRule="auto"/>
        <w:jc w:val="center"/>
        <w:rPr>
          <w:rFonts w:ascii="Times New Roman" w:eastAsia="Times New Roman" w:hAnsi="Times New Roman" w:cs="Times New Roman"/>
          <w:bCs/>
          <w:color w:val="222222"/>
          <w:sz w:val="24"/>
          <w:szCs w:val="24"/>
          <w:lang w:val="en-US"/>
        </w:rPr>
      </w:pPr>
      <w:r w:rsidRPr="00C959EE">
        <w:rPr>
          <w:rFonts w:ascii="Times New Roman" w:eastAsia="Times New Roman" w:hAnsi="Times New Roman" w:cs="Times New Roman"/>
          <w:bCs/>
          <w:color w:val="222222"/>
          <w:sz w:val="24"/>
          <w:szCs w:val="24"/>
        </w:rPr>
        <w:t>Student ID:</w:t>
      </w:r>
      <w:r w:rsidRPr="00C959EE">
        <w:rPr>
          <w:rFonts w:ascii="Times New Roman" w:eastAsia="Times New Roman" w:hAnsi="Times New Roman" w:cs="Times New Roman"/>
          <w:bCs/>
          <w:color w:val="222222"/>
          <w:sz w:val="24"/>
          <w:szCs w:val="24"/>
          <w:lang w:val="en-US"/>
        </w:rPr>
        <w:t xml:space="preserve"> 2112320</w:t>
      </w:r>
    </w:p>
    <w:p w:rsidR="0062600E" w:rsidRPr="00C959EE" w:rsidRDefault="0062600E">
      <w:pPr>
        <w:spacing w:line="360" w:lineRule="auto"/>
        <w:jc w:val="center"/>
        <w:rPr>
          <w:rFonts w:ascii="Times New Roman" w:eastAsia="Times New Roman" w:hAnsi="Times New Roman" w:cs="Times New Roman"/>
          <w:bCs/>
          <w:color w:val="222222"/>
          <w:sz w:val="24"/>
          <w:szCs w:val="24"/>
          <w:lang w:val="en-US"/>
        </w:rPr>
      </w:pPr>
      <w:r w:rsidRPr="00C959EE">
        <w:rPr>
          <w:rFonts w:ascii="Times New Roman" w:eastAsia="Times New Roman" w:hAnsi="Times New Roman" w:cs="Times New Roman"/>
          <w:bCs/>
          <w:color w:val="222222"/>
          <w:sz w:val="24"/>
          <w:szCs w:val="24"/>
          <w:lang w:val="en-US"/>
        </w:rPr>
        <w:t>Module Code: LCBB</w:t>
      </w:r>
      <w:r w:rsidR="008A760A" w:rsidRPr="00C959EE">
        <w:rPr>
          <w:rFonts w:ascii="Times New Roman" w:eastAsia="Times New Roman" w:hAnsi="Times New Roman" w:cs="Times New Roman"/>
          <w:bCs/>
          <w:color w:val="222222"/>
          <w:sz w:val="24"/>
          <w:szCs w:val="24"/>
          <w:lang w:val="en-US"/>
        </w:rPr>
        <w:t>4002</w:t>
      </w:r>
    </w:p>
    <w:p w:rsidR="008A760A" w:rsidRPr="00C959EE" w:rsidRDefault="008A760A">
      <w:pPr>
        <w:spacing w:line="360" w:lineRule="auto"/>
        <w:jc w:val="center"/>
        <w:rPr>
          <w:rFonts w:ascii="Times New Roman" w:eastAsia="Times New Roman" w:hAnsi="Times New Roman" w:cs="Times New Roman"/>
          <w:bCs/>
          <w:color w:val="222222"/>
          <w:sz w:val="24"/>
          <w:szCs w:val="24"/>
        </w:rPr>
      </w:pPr>
      <w:r w:rsidRPr="00C959EE">
        <w:rPr>
          <w:rFonts w:ascii="Times New Roman" w:eastAsia="Times New Roman" w:hAnsi="Times New Roman" w:cs="Times New Roman"/>
          <w:bCs/>
          <w:color w:val="222222"/>
          <w:sz w:val="24"/>
          <w:szCs w:val="24"/>
          <w:lang w:val="en-US"/>
        </w:rPr>
        <w:t xml:space="preserve">Lecturer: Faizu Edu </w:t>
      </w:r>
    </w:p>
    <w:p w:rsidR="00DB08B9" w:rsidRDefault="00DB08B9">
      <w:pPr>
        <w:spacing w:line="360" w:lineRule="auto"/>
        <w:jc w:val="center"/>
        <w:rPr>
          <w:rFonts w:ascii="Times New Roman" w:eastAsia="Times New Roman" w:hAnsi="Times New Roman" w:cs="Times New Roman"/>
          <w:b/>
          <w:color w:val="222222"/>
          <w:sz w:val="24"/>
          <w:szCs w:val="24"/>
        </w:rPr>
      </w:pPr>
    </w:p>
    <w:p w:rsidR="00DB08B9" w:rsidRDefault="0073031F">
      <w:pPr>
        <w:spacing w:line="360" w:lineRule="auto"/>
        <w:jc w:val="center"/>
        <w:rPr>
          <w:rFonts w:ascii="Times New Roman" w:eastAsia="Times New Roman" w:hAnsi="Times New Roman" w:cs="Times New Roman"/>
          <w:b/>
          <w:color w:val="222222"/>
          <w:sz w:val="24"/>
          <w:szCs w:val="24"/>
        </w:rPr>
      </w:pPr>
      <w:r>
        <w:br w:type="page"/>
      </w:r>
    </w:p>
    <w:p w:rsidR="00DB08B9" w:rsidRDefault="0073031F">
      <w:pPr>
        <w:spacing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bCs/>
          <w:color w:val="222222"/>
          <w:sz w:val="24"/>
          <w:szCs w:val="24"/>
        </w:rPr>
        <w:lastRenderedPageBreak/>
        <w:t>Table of Contents</w:t>
      </w:r>
    </w:p>
    <w:p w:rsidR="00DB08B9" w:rsidRDefault="0073031F">
      <w:pPr>
        <w:pStyle w:val="Cuprins1"/>
        <w:tabs>
          <w:tab w:val="right" w:leader="dot" w:pos="9015"/>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TOC \o \z \u \h</w:instrText>
      </w:r>
      <w:r>
        <w:rPr>
          <w:rFonts w:ascii="Times New Roman" w:hAnsi="Times New Roman" w:cs="Times New Roman"/>
          <w:sz w:val="24"/>
          <w:szCs w:val="24"/>
        </w:rPr>
        <w:fldChar w:fldCharType="separate"/>
      </w:r>
      <w:hyperlink w:anchor="_Toc165484133" w:history="1">
        <w:r>
          <w:rPr>
            <w:rStyle w:val="Hyperlink"/>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PAGEREF _Toc165484133 \h</w:instrText>
        </w:r>
        <w:r>
          <w:rPr>
            <w:rFonts w:ascii="Times New Roman" w:hAnsi="Times New Roman" w:cs="Times New Roman"/>
            <w:sz w:val="24"/>
            <w:szCs w:val="24"/>
          </w:rPr>
        </w:r>
        <w:r>
          <w:rPr>
            <w:rFonts w:ascii="Times New Roman" w:hAnsi="Times New Roman" w:cs="Times New Roman"/>
            <w:sz w:val="24"/>
            <w:szCs w:val="24"/>
          </w:rPr>
          <w:fldChar w:fldCharType="separate"/>
        </w:r>
        <w:r>
          <w:rPr>
            <w:rStyle w:val="Hyperlink"/>
            <w:rFonts w:ascii="Times New Roman" w:hAnsi="Times New Roman" w:cs="Times New Roman"/>
            <w:sz w:val="24"/>
            <w:szCs w:val="24"/>
          </w:rPr>
          <w:t>2</w:t>
        </w:r>
        <w:r>
          <w:rPr>
            <w:rFonts w:ascii="Times New Roman" w:hAnsi="Times New Roman" w:cs="Times New Roman"/>
            <w:sz w:val="24"/>
            <w:szCs w:val="24"/>
          </w:rPr>
          <w:fldChar w:fldCharType="end"/>
        </w:r>
      </w:hyperlink>
    </w:p>
    <w:p w:rsidR="00DB08B9" w:rsidRDefault="009154A0">
      <w:pPr>
        <w:pStyle w:val="Cuprins1"/>
        <w:tabs>
          <w:tab w:val="right" w:leader="dot" w:pos="9015"/>
        </w:tabs>
        <w:rPr>
          <w:rFonts w:ascii="Times New Roman" w:hAnsi="Times New Roman" w:cs="Times New Roman"/>
          <w:sz w:val="24"/>
          <w:szCs w:val="24"/>
        </w:rPr>
      </w:pPr>
      <w:hyperlink w:anchor="_Toc192417854" w:history="1">
        <w:r w:rsidR="0073031F">
          <w:rPr>
            <w:rStyle w:val="Hyperlink"/>
            <w:rFonts w:ascii="Times New Roman" w:hAnsi="Times New Roman" w:cs="Times New Roman"/>
            <w:sz w:val="24"/>
            <w:szCs w:val="24"/>
          </w:rPr>
          <w:t>Discussion</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_Toc192417854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3</w:t>
        </w:r>
        <w:r w:rsidR="0073031F">
          <w:rPr>
            <w:rFonts w:ascii="Times New Roman" w:hAnsi="Times New Roman" w:cs="Times New Roman"/>
            <w:sz w:val="24"/>
            <w:szCs w:val="24"/>
          </w:rPr>
          <w:fldChar w:fldCharType="end"/>
        </w:r>
      </w:hyperlink>
    </w:p>
    <w:p w:rsidR="00DB08B9" w:rsidRDefault="009154A0">
      <w:pPr>
        <w:pStyle w:val="Cuprins2"/>
        <w:tabs>
          <w:tab w:val="right" w:leader="dot" w:pos="9015"/>
        </w:tabs>
        <w:rPr>
          <w:rFonts w:ascii="Times New Roman" w:hAnsi="Times New Roman" w:cs="Times New Roman"/>
          <w:sz w:val="24"/>
          <w:szCs w:val="24"/>
        </w:rPr>
      </w:pPr>
      <w:hyperlink w:anchor="_Toc1814859567" w:history="1">
        <w:r w:rsidR="0073031F">
          <w:rPr>
            <w:rStyle w:val="Hyperlink"/>
            <w:rFonts w:ascii="Times New Roman" w:hAnsi="Times New Roman" w:cs="Times New Roman"/>
            <w:sz w:val="24"/>
            <w:szCs w:val="24"/>
          </w:rPr>
          <w:t>Comparison between the Projects</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_Toc1814859567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3</w:t>
        </w:r>
        <w:r w:rsidR="0073031F">
          <w:rPr>
            <w:rFonts w:ascii="Times New Roman" w:hAnsi="Times New Roman" w:cs="Times New Roman"/>
            <w:sz w:val="24"/>
            <w:szCs w:val="24"/>
          </w:rPr>
          <w:fldChar w:fldCharType="end"/>
        </w:r>
      </w:hyperlink>
    </w:p>
    <w:p w:rsidR="00DB08B9" w:rsidRDefault="009154A0">
      <w:pPr>
        <w:pStyle w:val="Cuprins2"/>
        <w:tabs>
          <w:tab w:val="right" w:leader="dot" w:pos="9015"/>
        </w:tabs>
        <w:rPr>
          <w:rFonts w:ascii="Times New Roman" w:hAnsi="Times New Roman" w:cs="Times New Roman"/>
          <w:sz w:val="24"/>
          <w:szCs w:val="24"/>
        </w:rPr>
      </w:pPr>
      <w:hyperlink w:anchor="_Toc526400113" w:history="1">
        <w:r w:rsidR="0073031F">
          <w:rPr>
            <w:rStyle w:val="Hyperlink"/>
            <w:rFonts w:ascii="Times New Roman" w:hAnsi="Times New Roman" w:cs="Times New Roman"/>
            <w:sz w:val="24"/>
            <w:szCs w:val="24"/>
          </w:rPr>
          <w:t>Active Consultation</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_Toc526400113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3</w:t>
        </w:r>
        <w:r w:rsidR="0073031F">
          <w:rPr>
            <w:rFonts w:ascii="Times New Roman" w:hAnsi="Times New Roman" w:cs="Times New Roman"/>
            <w:sz w:val="24"/>
            <w:szCs w:val="24"/>
          </w:rPr>
          <w:fldChar w:fldCharType="end"/>
        </w:r>
      </w:hyperlink>
    </w:p>
    <w:p w:rsidR="00DB08B9" w:rsidRDefault="009154A0">
      <w:pPr>
        <w:pStyle w:val="Cuprins2"/>
        <w:tabs>
          <w:tab w:val="right" w:leader="dot" w:pos="9015"/>
        </w:tabs>
        <w:rPr>
          <w:rFonts w:ascii="Times New Roman" w:hAnsi="Times New Roman" w:cs="Times New Roman"/>
          <w:sz w:val="24"/>
          <w:szCs w:val="24"/>
        </w:rPr>
      </w:pPr>
      <w:hyperlink w:anchor="_Toc1841868571" w:history="1">
        <w:r w:rsidR="0073031F">
          <w:rPr>
            <w:rStyle w:val="Hyperlink"/>
            <w:rFonts w:ascii="Times New Roman" w:hAnsi="Times New Roman" w:cs="Times New Roman"/>
            <w:sz w:val="24"/>
            <w:szCs w:val="24"/>
          </w:rPr>
          <w:t>Effective Communication</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_Toc1841868571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4</w:t>
        </w:r>
        <w:r w:rsidR="0073031F">
          <w:rPr>
            <w:rFonts w:ascii="Times New Roman" w:hAnsi="Times New Roman" w:cs="Times New Roman"/>
            <w:sz w:val="24"/>
            <w:szCs w:val="24"/>
          </w:rPr>
          <w:fldChar w:fldCharType="end"/>
        </w:r>
      </w:hyperlink>
    </w:p>
    <w:p w:rsidR="00DB08B9" w:rsidRDefault="009154A0">
      <w:pPr>
        <w:pStyle w:val="Cuprins2"/>
        <w:tabs>
          <w:tab w:val="right" w:leader="dot" w:pos="9015"/>
        </w:tabs>
        <w:rPr>
          <w:rFonts w:ascii="Times New Roman" w:hAnsi="Times New Roman" w:cs="Times New Roman"/>
          <w:sz w:val="24"/>
          <w:szCs w:val="24"/>
        </w:rPr>
      </w:pPr>
      <w:hyperlink w:anchor="_Toc1497759756" w:history="1">
        <w:r w:rsidR="0073031F">
          <w:rPr>
            <w:rStyle w:val="Hyperlink"/>
            <w:rFonts w:ascii="Times New Roman" w:hAnsi="Times New Roman" w:cs="Times New Roman"/>
            <w:sz w:val="24"/>
            <w:szCs w:val="24"/>
          </w:rPr>
          <w:t>Stakeholders Participation</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_Toc1497759756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4</w:t>
        </w:r>
        <w:r w:rsidR="0073031F">
          <w:rPr>
            <w:rFonts w:ascii="Times New Roman" w:hAnsi="Times New Roman" w:cs="Times New Roman"/>
            <w:sz w:val="24"/>
            <w:szCs w:val="24"/>
          </w:rPr>
          <w:fldChar w:fldCharType="end"/>
        </w:r>
      </w:hyperlink>
    </w:p>
    <w:p w:rsidR="00DB08B9" w:rsidRDefault="009154A0">
      <w:pPr>
        <w:pStyle w:val="Cuprins2"/>
        <w:tabs>
          <w:tab w:val="right" w:leader="dot" w:pos="9015"/>
        </w:tabs>
        <w:rPr>
          <w:rFonts w:ascii="Times New Roman" w:hAnsi="Times New Roman" w:cs="Times New Roman"/>
          <w:sz w:val="24"/>
          <w:szCs w:val="24"/>
        </w:rPr>
      </w:pPr>
      <w:hyperlink w:anchor="_Toc1540231603" w:history="1">
        <w:r w:rsidR="0073031F">
          <w:rPr>
            <w:rStyle w:val="Hyperlink"/>
            <w:rFonts w:ascii="Times New Roman" w:hAnsi="Times New Roman" w:cs="Times New Roman"/>
            <w:sz w:val="24"/>
            <w:szCs w:val="24"/>
          </w:rPr>
          <w:t>Forward-Looking Approach</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_Toc1540231603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5</w:t>
        </w:r>
        <w:r w:rsidR="0073031F">
          <w:rPr>
            <w:rFonts w:ascii="Times New Roman" w:hAnsi="Times New Roman" w:cs="Times New Roman"/>
            <w:sz w:val="24"/>
            <w:szCs w:val="24"/>
          </w:rPr>
          <w:fldChar w:fldCharType="end"/>
        </w:r>
      </w:hyperlink>
    </w:p>
    <w:p w:rsidR="00DB08B9" w:rsidRDefault="009154A0">
      <w:pPr>
        <w:pStyle w:val="Cuprins2"/>
        <w:tabs>
          <w:tab w:val="right" w:leader="dot" w:pos="9015"/>
        </w:tabs>
        <w:rPr>
          <w:rFonts w:ascii="Times New Roman" w:hAnsi="Times New Roman" w:cs="Times New Roman"/>
          <w:sz w:val="24"/>
          <w:szCs w:val="24"/>
        </w:rPr>
      </w:pPr>
      <w:hyperlink w:anchor="_Toc704802510" w:history="1">
        <w:r w:rsidR="0073031F">
          <w:rPr>
            <w:rStyle w:val="Hyperlink"/>
            <w:rFonts w:ascii="Times New Roman" w:hAnsi="Times New Roman" w:cs="Times New Roman"/>
            <w:sz w:val="24"/>
            <w:szCs w:val="24"/>
          </w:rPr>
          <w:t>Project Analysis</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_Toc704802510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5</w:t>
        </w:r>
        <w:r w:rsidR="0073031F">
          <w:rPr>
            <w:rFonts w:ascii="Times New Roman" w:hAnsi="Times New Roman" w:cs="Times New Roman"/>
            <w:sz w:val="24"/>
            <w:szCs w:val="24"/>
          </w:rPr>
          <w:fldChar w:fldCharType="end"/>
        </w:r>
      </w:hyperlink>
    </w:p>
    <w:p w:rsidR="00DB08B9" w:rsidRDefault="009154A0">
      <w:pPr>
        <w:pStyle w:val="Cuprins2"/>
        <w:tabs>
          <w:tab w:val="right" w:leader="dot" w:pos="9015"/>
        </w:tabs>
        <w:rPr>
          <w:rFonts w:ascii="Times New Roman" w:hAnsi="Times New Roman" w:cs="Times New Roman"/>
          <w:sz w:val="24"/>
          <w:szCs w:val="24"/>
        </w:rPr>
      </w:pPr>
      <w:hyperlink w:anchor="_Toc944063972" w:history="1">
        <w:r w:rsidR="0073031F">
          <w:rPr>
            <w:rStyle w:val="Hyperlink"/>
            <w:rFonts w:ascii="Times New Roman" w:hAnsi="Times New Roman" w:cs="Times New Roman"/>
            <w:sz w:val="24"/>
            <w:szCs w:val="24"/>
          </w:rPr>
          <w:t>Community Mapping</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_Toc944063972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6</w:t>
        </w:r>
        <w:r w:rsidR="0073031F">
          <w:rPr>
            <w:rFonts w:ascii="Times New Roman" w:hAnsi="Times New Roman" w:cs="Times New Roman"/>
            <w:sz w:val="24"/>
            <w:szCs w:val="24"/>
          </w:rPr>
          <w:fldChar w:fldCharType="end"/>
        </w:r>
      </w:hyperlink>
    </w:p>
    <w:p w:rsidR="00DB08B9" w:rsidRDefault="009154A0">
      <w:pPr>
        <w:pStyle w:val="Cuprins2"/>
        <w:tabs>
          <w:tab w:val="right" w:leader="dot" w:pos="9015"/>
        </w:tabs>
        <w:rPr>
          <w:rFonts w:ascii="Times New Roman" w:hAnsi="Times New Roman" w:cs="Times New Roman"/>
          <w:sz w:val="24"/>
          <w:szCs w:val="24"/>
        </w:rPr>
      </w:pPr>
      <w:hyperlink w:anchor="_Toc1826452721" w:history="1">
        <w:r w:rsidR="0073031F">
          <w:rPr>
            <w:rStyle w:val="Hyperlink"/>
            <w:rFonts w:ascii="Times New Roman" w:hAnsi="Times New Roman" w:cs="Times New Roman"/>
            <w:sz w:val="24"/>
            <w:szCs w:val="24"/>
          </w:rPr>
          <w:t>Social Engagement</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_Toc1826452721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6</w:t>
        </w:r>
        <w:r w:rsidR="0073031F">
          <w:rPr>
            <w:rFonts w:ascii="Times New Roman" w:hAnsi="Times New Roman" w:cs="Times New Roman"/>
            <w:sz w:val="24"/>
            <w:szCs w:val="24"/>
          </w:rPr>
          <w:fldChar w:fldCharType="end"/>
        </w:r>
      </w:hyperlink>
    </w:p>
    <w:p w:rsidR="00DB08B9" w:rsidRDefault="009154A0">
      <w:pPr>
        <w:pStyle w:val="Cuprins2"/>
        <w:tabs>
          <w:tab w:val="right" w:leader="dot" w:pos="9015"/>
        </w:tabs>
        <w:rPr>
          <w:rFonts w:ascii="Times New Roman" w:hAnsi="Times New Roman" w:cs="Times New Roman"/>
          <w:sz w:val="24"/>
          <w:szCs w:val="24"/>
        </w:rPr>
      </w:pPr>
      <w:hyperlink w:anchor="_Toc394576689" w:history="1">
        <w:r w:rsidR="0073031F">
          <w:rPr>
            <w:rStyle w:val="Hyperlink"/>
            <w:rFonts w:ascii="Times New Roman" w:hAnsi="Times New Roman" w:cs="Times New Roman"/>
            <w:sz w:val="24"/>
            <w:szCs w:val="24"/>
          </w:rPr>
          <w:t>Impact Analysis</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_Toc394576689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6</w:t>
        </w:r>
        <w:r w:rsidR="0073031F">
          <w:rPr>
            <w:rFonts w:ascii="Times New Roman" w:hAnsi="Times New Roman" w:cs="Times New Roman"/>
            <w:sz w:val="24"/>
            <w:szCs w:val="24"/>
          </w:rPr>
          <w:fldChar w:fldCharType="end"/>
        </w:r>
      </w:hyperlink>
    </w:p>
    <w:p w:rsidR="00DB08B9" w:rsidRDefault="009154A0">
      <w:pPr>
        <w:pStyle w:val="Cuprins2"/>
        <w:tabs>
          <w:tab w:val="right" w:leader="dot" w:pos="9015"/>
        </w:tabs>
        <w:rPr>
          <w:rFonts w:ascii="Times New Roman" w:hAnsi="Times New Roman" w:cs="Times New Roman"/>
          <w:sz w:val="24"/>
          <w:szCs w:val="24"/>
        </w:rPr>
      </w:pPr>
      <w:hyperlink w:anchor="_Toc336495569" w:history="1">
        <w:r w:rsidR="0073031F">
          <w:rPr>
            <w:rStyle w:val="Hyperlink"/>
            <w:rFonts w:ascii="Times New Roman" w:hAnsi="Times New Roman" w:cs="Times New Roman"/>
            <w:sz w:val="24"/>
            <w:szCs w:val="24"/>
          </w:rPr>
          <w:t>Evaluation</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_Toc336495569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7</w:t>
        </w:r>
        <w:r w:rsidR="0073031F">
          <w:rPr>
            <w:rFonts w:ascii="Times New Roman" w:hAnsi="Times New Roman" w:cs="Times New Roman"/>
            <w:sz w:val="24"/>
            <w:szCs w:val="24"/>
          </w:rPr>
          <w:fldChar w:fldCharType="end"/>
        </w:r>
      </w:hyperlink>
    </w:p>
    <w:p w:rsidR="00DB08B9" w:rsidRDefault="009154A0">
      <w:pPr>
        <w:pStyle w:val="Cuprins2"/>
        <w:tabs>
          <w:tab w:val="right" w:leader="dot" w:pos="9015"/>
        </w:tabs>
        <w:rPr>
          <w:rFonts w:ascii="Times New Roman" w:hAnsi="Times New Roman" w:cs="Times New Roman"/>
          <w:sz w:val="24"/>
          <w:szCs w:val="24"/>
        </w:rPr>
      </w:pPr>
      <w:hyperlink w:anchor="_Toc148312221" w:history="1">
        <w:r w:rsidR="0073031F">
          <w:rPr>
            <w:rStyle w:val="Hyperlink"/>
            <w:rFonts w:ascii="Times New Roman" w:hAnsi="Times New Roman" w:cs="Times New Roman"/>
            <w:sz w:val="24"/>
            <w:szCs w:val="24"/>
          </w:rPr>
          <w:t>Best Practices</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_Toc148312221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7</w:t>
        </w:r>
        <w:r w:rsidR="0073031F">
          <w:rPr>
            <w:rFonts w:ascii="Times New Roman" w:hAnsi="Times New Roman" w:cs="Times New Roman"/>
            <w:sz w:val="24"/>
            <w:szCs w:val="24"/>
          </w:rPr>
          <w:fldChar w:fldCharType="end"/>
        </w:r>
      </w:hyperlink>
    </w:p>
    <w:p w:rsidR="00DB08B9" w:rsidRDefault="009154A0">
      <w:pPr>
        <w:pStyle w:val="Cuprins1"/>
        <w:tabs>
          <w:tab w:val="right" w:leader="dot" w:pos="9015"/>
        </w:tabs>
        <w:rPr>
          <w:rFonts w:ascii="Times New Roman" w:hAnsi="Times New Roman" w:cs="Times New Roman"/>
          <w:sz w:val="24"/>
          <w:szCs w:val="24"/>
        </w:rPr>
      </w:pPr>
      <w:hyperlink w:anchor="_Toc595678448" w:history="1">
        <w:r w:rsidR="0073031F">
          <w:rPr>
            <w:rStyle w:val="Hyperlink"/>
            <w:rFonts w:ascii="Times New Roman" w:hAnsi="Times New Roman" w:cs="Times New Roman"/>
            <w:sz w:val="24"/>
            <w:szCs w:val="24"/>
          </w:rPr>
          <w:t>Conclusion</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_Toc595678448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8</w:t>
        </w:r>
        <w:r w:rsidR="0073031F">
          <w:rPr>
            <w:rFonts w:ascii="Times New Roman" w:hAnsi="Times New Roman" w:cs="Times New Roman"/>
            <w:sz w:val="24"/>
            <w:szCs w:val="24"/>
          </w:rPr>
          <w:fldChar w:fldCharType="end"/>
        </w:r>
      </w:hyperlink>
    </w:p>
    <w:p w:rsidR="00DB08B9" w:rsidRDefault="009154A0">
      <w:pPr>
        <w:pStyle w:val="Cuprins1"/>
        <w:tabs>
          <w:tab w:val="right" w:leader="dot" w:pos="9015"/>
        </w:tabs>
        <w:rPr>
          <w:rFonts w:ascii="Times New Roman" w:hAnsi="Times New Roman" w:cs="Times New Roman"/>
          <w:sz w:val="24"/>
          <w:szCs w:val="24"/>
        </w:rPr>
      </w:pPr>
      <w:hyperlink w:anchor="_Toc1839040911" w:history="1">
        <w:r w:rsidR="0073031F">
          <w:rPr>
            <w:rStyle w:val="Hyperlink"/>
            <w:rFonts w:ascii="Times New Roman" w:hAnsi="Times New Roman" w:cs="Times New Roman"/>
            <w:sz w:val="24"/>
            <w:szCs w:val="24"/>
          </w:rPr>
          <w:t>Reference List</w:t>
        </w:r>
        <w:r w:rsidR="0073031F">
          <w:rPr>
            <w:rFonts w:ascii="Times New Roman" w:hAnsi="Times New Roman" w:cs="Times New Roman"/>
            <w:sz w:val="24"/>
            <w:szCs w:val="24"/>
          </w:rPr>
          <w:tab/>
        </w:r>
        <w:r w:rsidR="0073031F">
          <w:rPr>
            <w:rFonts w:ascii="Times New Roman" w:hAnsi="Times New Roman" w:cs="Times New Roman"/>
            <w:sz w:val="24"/>
            <w:szCs w:val="24"/>
          </w:rPr>
          <w:fldChar w:fldCharType="begin"/>
        </w:r>
        <w:r w:rsidR="0073031F">
          <w:rPr>
            <w:rFonts w:ascii="Times New Roman" w:hAnsi="Times New Roman" w:cs="Times New Roman"/>
            <w:sz w:val="24"/>
            <w:szCs w:val="24"/>
          </w:rPr>
          <w:instrText>PAGEREF _Toc1839040911 \h</w:instrText>
        </w:r>
        <w:r w:rsidR="0073031F">
          <w:rPr>
            <w:rFonts w:ascii="Times New Roman" w:hAnsi="Times New Roman" w:cs="Times New Roman"/>
            <w:sz w:val="24"/>
            <w:szCs w:val="24"/>
          </w:rPr>
        </w:r>
        <w:r w:rsidR="0073031F">
          <w:rPr>
            <w:rFonts w:ascii="Times New Roman" w:hAnsi="Times New Roman" w:cs="Times New Roman"/>
            <w:sz w:val="24"/>
            <w:szCs w:val="24"/>
          </w:rPr>
          <w:fldChar w:fldCharType="separate"/>
        </w:r>
        <w:r w:rsidR="0073031F">
          <w:rPr>
            <w:rStyle w:val="Hyperlink"/>
            <w:rFonts w:ascii="Times New Roman" w:hAnsi="Times New Roman" w:cs="Times New Roman"/>
            <w:sz w:val="24"/>
            <w:szCs w:val="24"/>
          </w:rPr>
          <w:t>8</w:t>
        </w:r>
        <w:r w:rsidR="0073031F">
          <w:rPr>
            <w:rFonts w:ascii="Times New Roman" w:hAnsi="Times New Roman" w:cs="Times New Roman"/>
            <w:sz w:val="24"/>
            <w:szCs w:val="24"/>
          </w:rPr>
          <w:fldChar w:fldCharType="end"/>
        </w:r>
      </w:hyperlink>
      <w:r w:rsidR="0073031F">
        <w:rPr>
          <w:rFonts w:ascii="Times New Roman" w:hAnsi="Times New Roman" w:cs="Times New Roman"/>
          <w:sz w:val="24"/>
          <w:szCs w:val="24"/>
        </w:rPr>
        <w:fldChar w:fldCharType="end"/>
      </w:r>
    </w:p>
    <w:p w:rsidR="00DB08B9" w:rsidRDefault="00DB08B9">
      <w:pPr>
        <w:spacing w:line="360" w:lineRule="auto"/>
        <w:rPr>
          <w:rFonts w:ascii="Times New Roman" w:eastAsia="Times New Roman" w:hAnsi="Times New Roman" w:cs="Times New Roman"/>
          <w:b/>
          <w:bCs/>
          <w:color w:val="222222"/>
          <w:sz w:val="28"/>
          <w:szCs w:val="28"/>
        </w:rPr>
      </w:pPr>
    </w:p>
    <w:p w:rsidR="00DB08B9" w:rsidRDefault="0073031F">
      <w:pPr>
        <w:spacing w:line="360" w:lineRule="auto"/>
        <w:jc w:val="both"/>
        <w:rPr>
          <w:rFonts w:ascii="Times New Roman" w:eastAsia="Times New Roman" w:hAnsi="Times New Roman" w:cs="Times New Roman"/>
          <w:b/>
          <w:color w:val="222222"/>
          <w:sz w:val="24"/>
          <w:szCs w:val="24"/>
        </w:rPr>
      </w:pPr>
      <w:r>
        <w:br w:type="page"/>
      </w:r>
    </w:p>
    <w:p w:rsidR="00DB08B9" w:rsidRDefault="0073031F">
      <w:pPr>
        <w:pStyle w:val="Titlu1"/>
        <w:spacing w:line="360" w:lineRule="auto"/>
        <w:jc w:val="both"/>
        <w:rPr>
          <w:rFonts w:ascii="Times New Roman" w:eastAsia="Times New Roman" w:hAnsi="Times New Roman" w:cs="Times New Roman"/>
          <w:b/>
          <w:bCs/>
          <w:color w:val="222222"/>
          <w:sz w:val="24"/>
          <w:szCs w:val="24"/>
        </w:rPr>
      </w:pPr>
      <w:bookmarkStart w:id="0" w:name="_Toc165484133"/>
      <w:r>
        <w:rPr>
          <w:rFonts w:ascii="Times New Roman" w:eastAsia="Times New Roman" w:hAnsi="Times New Roman" w:cs="Times New Roman"/>
          <w:b/>
          <w:bCs/>
          <w:sz w:val="24"/>
          <w:szCs w:val="24"/>
        </w:rPr>
        <w:lastRenderedPageBreak/>
        <w:t>Introduction</w:t>
      </w:r>
      <w:bookmarkEnd w:id="0"/>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 community engagement programme enhances the understanding of issues within the community as well as empowers the community that ultimately affects the society. The CLASL is an environmental-based programme that helps to develop a sustainable community. This is a victorious community-based programme that spread among a lot of people in a short time. This project is working for almost three years and its implication for society is to make the community more stable (Adhikari, Pell and Cheah, 2020).  On the other hand, the second project is also a UK based community engagement project. This is also delivering the local connections that may ameliorate the community. The involvement of the stakeholders in this project is very few as it does not cover a massive number of people. Various aspects are elaborated here like stakeholders' participation, effective communication, community mapping and many more. The second project uses a map for communicating in the local area. Using the chart is help to recognise the working area. It helps the community to solve the issues according to the area. In this way, they can cover a large area. The report aims to understand the significance of the aspects as well as it also compares the strategies, techniques, and skills that are adopted to improve the community in these two projects.    </w:t>
      </w:r>
    </w:p>
    <w:p w:rsidR="00DB08B9" w:rsidRDefault="0073031F">
      <w:pPr>
        <w:pStyle w:val="Titlu1"/>
        <w:spacing w:line="360" w:lineRule="auto"/>
        <w:rPr>
          <w:rFonts w:ascii="Times New Roman" w:eastAsia="Times New Roman" w:hAnsi="Times New Roman" w:cs="Times New Roman"/>
          <w:b/>
          <w:bCs/>
          <w:color w:val="222222"/>
          <w:sz w:val="24"/>
          <w:szCs w:val="24"/>
        </w:rPr>
      </w:pPr>
      <w:bookmarkStart w:id="1" w:name="_Toc192417854"/>
      <w:r>
        <w:rPr>
          <w:rFonts w:ascii="Times New Roman" w:eastAsia="Times New Roman" w:hAnsi="Times New Roman" w:cs="Times New Roman"/>
          <w:b/>
          <w:bCs/>
          <w:sz w:val="24"/>
          <w:szCs w:val="24"/>
        </w:rPr>
        <w:t>Discussion</w:t>
      </w:r>
      <w:bookmarkEnd w:id="1"/>
    </w:p>
    <w:p w:rsidR="00DB08B9" w:rsidRDefault="0073031F">
      <w:pPr>
        <w:pStyle w:val="Titlu2"/>
        <w:spacing w:line="360" w:lineRule="auto"/>
        <w:rPr>
          <w:rFonts w:ascii="Times New Roman" w:eastAsia="Times New Roman" w:hAnsi="Times New Roman" w:cs="Times New Roman"/>
          <w:b/>
          <w:bCs/>
          <w:color w:val="222222"/>
          <w:sz w:val="24"/>
          <w:szCs w:val="24"/>
        </w:rPr>
      </w:pPr>
      <w:bookmarkStart w:id="2" w:name="_Toc1814859567"/>
      <w:r>
        <w:rPr>
          <w:rFonts w:ascii="Times New Roman" w:eastAsia="Times New Roman" w:hAnsi="Times New Roman" w:cs="Times New Roman"/>
          <w:b/>
          <w:bCs/>
          <w:sz w:val="24"/>
          <w:szCs w:val="24"/>
        </w:rPr>
        <w:t>Comparison between the Projects</w:t>
      </w:r>
      <w:bookmarkEnd w:id="2"/>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first project CLASL aims at the contribution of the community toward building a sustainable society. The project is an initiative of the WWF-UK. It aims at developing a sustainable society through numerous projects under its wings. The project aims at involving the community in education regarding the knowledge required to work towards the desired goal. The first project has a large structure with various stakeholders.</w:t>
      </w:r>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second project is a community-led project where several communities have come together to work toward the betterment of society (Adhikari, Pell and Cheah, 2020). The recreational and psychological aspect of the members of the society has been focused on in this project. The project is led by a few communities in Scotland who also aim at providing any kind of aid required to the people in need in society. The community has taken initiatives to better the lives of the marginalised and the helpless. </w:t>
      </w:r>
    </w:p>
    <w:p w:rsidR="00DB08B9" w:rsidRDefault="0073031F">
      <w:pPr>
        <w:pStyle w:val="Titlu2"/>
        <w:spacing w:line="360" w:lineRule="auto"/>
        <w:rPr>
          <w:rFonts w:ascii="Times New Roman" w:eastAsia="Times New Roman" w:hAnsi="Times New Roman" w:cs="Times New Roman"/>
          <w:b/>
          <w:bCs/>
          <w:color w:val="222222"/>
          <w:sz w:val="24"/>
          <w:szCs w:val="24"/>
        </w:rPr>
      </w:pPr>
      <w:bookmarkStart w:id="3" w:name="_Toc526400113"/>
      <w:r>
        <w:rPr>
          <w:rFonts w:ascii="Times New Roman" w:eastAsia="Times New Roman" w:hAnsi="Times New Roman" w:cs="Times New Roman"/>
          <w:b/>
          <w:bCs/>
          <w:sz w:val="24"/>
          <w:szCs w:val="24"/>
        </w:rPr>
        <w:lastRenderedPageBreak/>
        <w:t>Active Consultation</w:t>
      </w:r>
      <w:bookmarkEnd w:id="3"/>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first project CLASL is an initiative of WWF-UK. The project started in 2004. It was based on ideas that are based on the sustainability and development of the community. The model is based on Bloom’s taxonomy (Pratt and Vries, 2018). The project involves the WWF, members of the community, the local community welfare organisations, donors and volunteers (Pell et al., 2019). The project is divided into groups and each group is given separate tasks. </w:t>
      </w:r>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second project is an initiative of a local welfare community group which had started in the year 2012. Few communities in the eastern part of Scotland had come together to contribute to the upliftment of the society. The number of members initially was 3000 which has arisen to more than 12000 presently. The project comprises the local communities, the donors and the volunteers. The project has successfully built a greener community by getting permission for a recreational park.</w:t>
      </w:r>
    </w:p>
    <w:p w:rsidR="00DB08B9" w:rsidRDefault="0073031F">
      <w:pPr>
        <w:pStyle w:val="Titlu2"/>
        <w:spacing w:line="360" w:lineRule="auto"/>
        <w:rPr>
          <w:rFonts w:ascii="Times New Roman" w:eastAsia="Times New Roman" w:hAnsi="Times New Roman" w:cs="Times New Roman"/>
          <w:b/>
          <w:bCs/>
          <w:color w:val="222222"/>
          <w:sz w:val="24"/>
          <w:szCs w:val="24"/>
        </w:rPr>
      </w:pPr>
      <w:bookmarkStart w:id="4" w:name="_Toc1841868571"/>
      <w:r>
        <w:rPr>
          <w:rFonts w:ascii="Times New Roman" w:eastAsia="Times New Roman" w:hAnsi="Times New Roman" w:cs="Times New Roman"/>
          <w:b/>
          <w:bCs/>
          <w:sz w:val="24"/>
          <w:szCs w:val="24"/>
        </w:rPr>
        <w:t>Effective Communication</w:t>
      </w:r>
      <w:bookmarkEnd w:id="4"/>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first project CLASL had been successful in granting education regarding sustainability to the groups and also to the community members. Skills were developed to contribute to society. An audit related to the energy consumption in the church had been conducted. Recycle bins were installed in various places. The use of recycled paper was encouraged. Energy-saving lights were installed on the school and church premises. Hippo bags were installed in the washrooms for the preservation of water. Compost bins were installed to encourage contributions to the environment. </w:t>
      </w:r>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second project had been successful in getting a grant for opening a recreational park. More than 1000 trees were planted in the area. The use of e-bikes was encouraged which would reduce the carbon footprint. A bicycle drive was initiated where the people were encouraged to use bicycles for commuting a shorter distance. A parking facility was provided to facilitate the use of e-bikes. </w:t>
      </w:r>
    </w:p>
    <w:p w:rsidR="00DB08B9" w:rsidRDefault="0073031F">
      <w:pPr>
        <w:pStyle w:val="Titlu2"/>
        <w:spacing w:line="360" w:lineRule="auto"/>
        <w:jc w:val="both"/>
        <w:rPr>
          <w:rFonts w:ascii="Times New Roman" w:eastAsia="Times New Roman" w:hAnsi="Times New Roman" w:cs="Times New Roman"/>
          <w:b/>
          <w:bCs/>
          <w:color w:val="222222"/>
          <w:sz w:val="24"/>
          <w:szCs w:val="24"/>
        </w:rPr>
      </w:pPr>
      <w:bookmarkStart w:id="5" w:name="_Toc1497759756"/>
      <w:r>
        <w:rPr>
          <w:rFonts w:ascii="Times New Roman" w:eastAsia="Times New Roman" w:hAnsi="Times New Roman" w:cs="Times New Roman"/>
          <w:b/>
          <w:bCs/>
          <w:sz w:val="24"/>
          <w:szCs w:val="24"/>
        </w:rPr>
        <w:t xml:space="preserve">Stakeholders Participation </w:t>
      </w:r>
      <w:bookmarkEnd w:id="5"/>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participation of the stakeholders plays an important role in the operation of the project. WWF had initiated CLASL and had also funded the project. The members of the project carry out the responsibility of implementing the project. Volunteers are trained and given the responsibility of a community engagement programme. Schools had actively participated in the contribution to the environment. Churches were also engaged in providing necessary information regarding the different aspects of energy consumption. </w:t>
      </w:r>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The second project had the major contribution of the members of the community in Scotland which aided the benefit of the community. The local community welfare association also comes together to solve major issues faced by the locals. The project is funded by an NGO which recognises the project’s initiative to create a sustainable environment. The government of the UK had also recognised the effect of this project by mentioning it in the local newspaper. </w:t>
      </w:r>
    </w:p>
    <w:p w:rsidR="00DB08B9" w:rsidRDefault="0073031F">
      <w:pPr>
        <w:pStyle w:val="Titlu2"/>
        <w:spacing w:line="360" w:lineRule="auto"/>
        <w:jc w:val="both"/>
        <w:rPr>
          <w:rFonts w:ascii="Times New Roman" w:eastAsia="Times New Roman" w:hAnsi="Times New Roman" w:cs="Times New Roman"/>
          <w:b/>
          <w:bCs/>
          <w:color w:val="222222"/>
          <w:sz w:val="24"/>
          <w:szCs w:val="24"/>
        </w:rPr>
      </w:pPr>
      <w:bookmarkStart w:id="6" w:name="_Toc1540231603"/>
      <w:r>
        <w:rPr>
          <w:rFonts w:ascii="Times New Roman" w:eastAsia="Times New Roman" w:hAnsi="Times New Roman" w:cs="Times New Roman"/>
          <w:b/>
          <w:bCs/>
          <w:sz w:val="24"/>
          <w:szCs w:val="24"/>
        </w:rPr>
        <w:t>Forward-Looking Approach</w:t>
      </w:r>
      <w:bookmarkEnd w:id="6"/>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CLASL initiated a plan for the future to promote sustainability toward the environment. The Church has been encouraged to use recycled paper. An initiative as proposed could be implemented by the schools. Competition could be held annually to boost the recreational and curricular activities in schools incorporated with a social message. Encouraging students and volunteers to participate in the surveys, campaigns and government-aided campaigns which promote sustainability. Free books made out of recycled paper could be given to the underprivileged to encourage literacy. </w:t>
      </w:r>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second project aims at involving other communities to expand their strength. The project aims at using energy-saving light bulbs to lighten the parks and pathways of the communities (Mackay, Thackeray and Dick, 2020). The project aims to install solar panels in the subways and large organisations to conserve energy. Planting more trees across the neighbourhood is another future goal of the project. </w:t>
      </w:r>
    </w:p>
    <w:p w:rsidR="00DB08B9" w:rsidRDefault="0073031F">
      <w:pPr>
        <w:pStyle w:val="Titlu2"/>
        <w:spacing w:line="360" w:lineRule="auto"/>
        <w:rPr>
          <w:rFonts w:ascii="Times New Roman" w:eastAsia="Times New Roman" w:hAnsi="Times New Roman" w:cs="Times New Roman"/>
          <w:b/>
          <w:bCs/>
          <w:color w:val="222222"/>
          <w:sz w:val="24"/>
          <w:szCs w:val="24"/>
        </w:rPr>
      </w:pPr>
      <w:bookmarkStart w:id="7" w:name="_Toc704802510"/>
      <w:r>
        <w:rPr>
          <w:rFonts w:ascii="Times New Roman" w:eastAsia="Times New Roman" w:hAnsi="Times New Roman" w:cs="Times New Roman"/>
          <w:b/>
          <w:bCs/>
          <w:sz w:val="24"/>
          <w:szCs w:val="24"/>
        </w:rPr>
        <w:t xml:space="preserve">Project Analysis </w:t>
      </w:r>
      <w:bookmarkEnd w:id="7"/>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Both projects have their participation to evolve the sustainability of the community through the community engagement programme. The CLASL has been working since 2004 to provide sustainable living. They can follow a proper model to value the local authorities, and community workers and make a more sustainable locality. The CLASL is offered almost £1,000 per year for expenses in each group. It also offered personal reinforcement from the WWF-UK employees.  The CLASL tries to develop an innovative model to provide viability in the community. They can also conduct the energy from the church, install the renewable material and by exchanging the products and the service they can create a change in people's life.  The second projects also provide the service by developing green space or parks that provide a positive impact on society. The second project also made a good community by involving more donors, volunteers and local authorities. Their contribution to society also makes a valuable impact on nature as well as on the community. </w:t>
      </w:r>
    </w:p>
    <w:p w:rsidR="00DB08B9" w:rsidRDefault="0073031F">
      <w:pPr>
        <w:pStyle w:val="Titlu2"/>
        <w:spacing w:line="360" w:lineRule="auto"/>
        <w:rPr>
          <w:rFonts w:ascii="Times New Roman" w:eastAsia="Times New Roman" w:hAnsi="Times New Roman" w:cs="Times New Roman"/>
          <w:b/>
          <w:bCs/>
          <w:color w:val="222222"/>
          <w:sz w:val="24"/>
          <w:szCs w:val="24"/>
        </w:rPr>
      </w:pPr>
      <w:bookmarkStart w:id="8" w:name="_Toc944063972"/>
      <w:r>
        <w:rPr>
          <w:rFonts w:ascii="Times New Roman" w:eastAsia="Times New Roman" w:hAnsi="Times New Roman" w:cs="Times New Roman"/>
          <w:b/>
          <w:bCs/>
          <w:sz w:val="24"/>
          <w:szCs w:val="24"/>
        </w:rPr>
        <w:lastRenderedPageBreak/>
        <w:t>Community Mapping</w:t>
      </w:r>
      <w:bookmarkEnd w:id="8"/>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CLASL is ultimately providing a significant improvement with two community groups such as the church and the school. They are creating a large environmental asset. They also make their skills and mapping for a sustainable community (</w:t>
      </w:r>
      <w:r>
        <w:rPr>
          <w:rFonts w:ascii="Times New Roman" w:eastAsia="Times New Roman" w:hAnsi="Times New Roman" w:cs="Times New Roman"/>
          <w:color w:val="222222"/>
          <w:sz w:val="24"/>
          <w:szCs w:val="24"/>
          <w:highlight w:val="white"/>
        </w:rPr>
        <w:t>Velempini, 2020</w:t>
      </w:r>
      <w:r>
        <w:rPr>
          <w:rFonts w:ascii="Times New Roman" w:eastAsia="Times New Roman" w:hAnsi="Times New Roman" w:cs="Times New Roman"/>
          <w:color w:val="222222"/>
          <w:sz w:val="24"/>
          <w:szCs w:val="24"/>
        </w:rPr>
        <w:t>). Installing renewable things like compost bins are provide a fruitful impact on the community. They also arrange an exchange programme where the community exchanges their good with others.  They also connect a rural village community with the parish council.  This project involves a lot of areas compared to the first one.  Their communication with the local authorities is creating more significance in the community engagement programme.  The next project is connecting the eastern part of Scotland. This project is focusing on using e-bikes that decrease the adverse impact on the environment. It also reduces the stress on natural resources (</w:t>
      </w:r>
      <w:r>
        <w:rPr>
          <w:rFonts w:ascii="Times New Roman" w:eastAsia="Times New Roman" w:hAnsi="Times New Roman" w:cs="Times New Roman"/>
          <w:color w:val="222222"/>
          <w:sz w:val="24"/>
          <w:szCs w:val="24"/>
          <w:highlight w:val="white"/>
        </w:rPr>
        <w:t>Moore and Nesterova, 2020</w:t>
      </w:r>
      <w:r>
        <w:rPr>
          <w:rFonts w:ascii="Times New Roman" w:eastAsia="Times New Roman" w:hAnsi="Times New Roman" w:cs="Times New Roman"/>
          <w:color w:val="222222"/>
          <w:sz w:val="24"/>
          <w:szCs w:val="24"/>
        </w:rPr>
        <w:t>).  Their approaches are beneficially influencing the economy as well as making the natural assets safe for future usage.</w:t>
      </w:r>
    </w:p>
    <w:p w:rsidR="00DB08B9" w:rsidRDefault="0073031F">
      <w:pPr>
        <w:pStyle w:val="Titlu2"/>
        <w:spacing w:line="360" w:lineRule="auto"/>
        <w:jc w:val="both"/>
        <w:rPr>
          <w:rFonts w:ascii="Times New Roman" w:eastAsia="Times New Roman" w:hAnsi="Times New Roman" w:cs="Times New Roman"/>
          <w:b/>
          <w:bCs/>
          <w:color w:val="222222"/>
          <w:sz w:val="24"/>
          <w:szCs w:val="24"/>
        </w:rPr>
      </w:pPr>
      <w:bookmarkStart w:id="9" w:name="_Toc1826452721"/>
      <w:r>
        <w:rPr>
          <w:rFonts w:ascii="Times New Roman" w:eastAsia="Times New Roman" w:hAnsi="Times New Roman" w:cs="Times New Roman"/>
          <w:b/>
          <w:bCs/>
          <w:sz w:val="24"/>
          <w:szCs w:val="24"/>
        </w:rPr>
        <w:t>Social Engagement</w:t>
      </w:r>
      <w:bookmarkEnd w:id="9"/>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involvement of social platforms in CLASL is greater than in the other project. Social engagement is the most common way to spread information in a wide range. The involvement of the parish council, councils, and volunteers is huge in this project. A great engagement of stakeholders increases the value of the project. The involvement of social pages improves local communication as well as enhances the engagement of the community (</w:t>
      </w:r>
      <w:r>
        <w:rPr>
          <w:rFonts w:ascii="Times New Roman" w:eastAsia="Times New Roman" w:hAnsi="Times New Roman" w:cs="Times New Roman"/>
          <w:color w:val="222222"/>
          <w:sz w:val="24"/>
          <w:szCs w:val="24"/>
          <w:highlight w:val="white"/>
        </w:rPr>
        <w:t>Mountain et al., 2020</w:t>
      </w:r>
      <w:r>
        <w:rPr>
          <w:rFonts w:ascii="Times New Roman" w:eastAsia="Times New Roman" w:hAnsi="Times New Roman" w:cs="Times New Roman"/>
          <w:color w:val="222222"/>
          <w:sz w:val="24"/>
          <w:szCs w:val="24"/>
        </w:rPr>
        <w:t xml:space="preserve">). As this project is funded by the Department For Environment, Food and Rural Affair's Environmental Action and World Wildlife Fund UK, so it includes a strong engagement and a strong engagement on social platforms. The next project also used several pages to involve more local communities. These platforms help increase the number of members from 3000 to 12000. It says that the advertisements on the social platforms help to gather more community through the community engagement programme. </w:t>
      </w:r>
    </w:p>
    <w:p w:rsidR="00DB08B9" w:rsidRDefault="0073031F">
      <w:pPr>
        <w:pStyle w:val="Titlu2"/>
        <w:spacing w:line="360" w:lineRule="auto"/>
        <w:jc w:val="both"/>
        <w:rPr>
          <w:rFonts w:ascii="Times New Roman" w:eastAsia="Times New Roman" w:hAnsi="Times New Roman" w:cs="Times New Roman"/>
          <w:b/>
          <w:bCs/>
          <w:color w:val="222222"/>
          <w:sz w:val="24"/>
          <w:szCs w:val="24"/>
        </w:rPr>
      </w:pPr>
      <w:bookmarkStart w:id="10" w:name="_Toc394576689"/>
      <w:r>
        <w:rPr>
          <w:rFonts w:ascii="Times New Roman" w:eastAsia="Times New Roman" w:hAnsi="Times New Roman" w:cs="Times New Roman"/>
          <w:b/>
          <w:bCs/>
          <w:sz w:val="24"/>
          <w:szCs w:val="24"/>
        </w:rPr>
        <w:t>Impact Analysis</w:t>
      </w:r>
      <w:bookmarkEnd w:id="10"/>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In the first UK based project, the CLASL can engage a lot of stakeholders, donors as well as communities in the project to improve society. The use of the renewable compost bin is creating a valuable impact on the environment. This is a good initiative for nature as well as the community. The impact analysis of the CLASL project in the UK represents some innovative methodical steps that help to provide a new working culture and make a sustainable living space (</w:t>
      </w:r>
      <w:r>
        <w:rPr>
          <w:rFonts w:ascii="Times New Roman" w:eastAsia="Times New Roman" w:hAnsi="Times New Roman" w:cs="Times New Roman"/>
          <w:color w:val="222222"/>
          <w:sz w:val="24"/>
          <w:szCs w:val="24"/>
          <w:highlight w:val="white"/>
        </w:rPr>
        <w:t>Johnston and Lane, 2018</w:t>
      </w:r>
      <w:r>
        <w:rPr>
          <w:rFonts w:ascii="Times New Roman" w:eastAsia="Times New Roman" w:hAnsi="Times New Roman" w:cs="Times New Roman"/>
          <w:color w:val="222222"/>
          <w:sz w:val="24"/>
          <w:szCs w:val="24"/>
        </w:rPr>
        <w:t xml:space="preserve">).  The community are gaining more benefit from these </w:t>
      </w:r>
      <w:r>
        <w:rPr>
          <w:rFonts w:ascii="Times New Roman" w:eastAsia="Times New Roman" w:hAnsi="Times New Roman" w:cs="Times New Roman"/>
          <w:color w:val="222222"/>
          <w:sz w:val="24"/>
          <w:szCs w:val="24"/>
        </w:rPr>
        <w:lastRenderedPageBreak/>
        <w:t xml:space="preserve">initiatives. On the other hand, the next project is also providing the use of e-bikes, and hippo bags to create more facilities within the community. It also helps to maintain the natural resources and provides an impactful effect on the community. The implementation of those innovative work in both of the projects effectively positively influences the environmental factors. </w:t>
      </w:r>
    </w:p>
    <w:p w:rsidR="00DB08B9" w:rsidRDefault="0073031F">
      <w:pPr>
        <w:pStyle w:val="Titlu2"/>
        <w:spacing w:line="360" w:lineRule="auto"/>
        <w:jc w:val="both"/>
        <w:rPr>
          <w:rFonts w:ascii="Times New Roman" w:eastAsia="Times New Roman" w:hAnsi="Times New Roman" w:cs="Times New Roman"/>
          <w:b/>
          <w:bCs/>
          <w:color w:val="222222"/>
          <w:sz w:val="24"/>
          <w:szCs w:val="24"/>
        </w:rPr>
      </w:pPr>
      <w:bookmarkStart w:id="11" w:name="_Toc336495569"/>
      <w:r>
        <w:rPr>
          <w:rFonts w:ascii="Times New Roman" w:eastAsia="Times New Roman" w:hAnsi="Times New Roman" w:cs="Times New Roman"/>
          <w:b/>
          <w:bCs/>
          <w:sz w:val="24"/>
          <w:szCs w:val="24"/>
        </w:rPr>
        <w:t xml:space="preserve">Evaluation </w:t>
      </w:r>
      <w:bookmarkEnd w:id="11"/>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 more sustainable future for the community arises after examining all the initiatives that are adopted in these two projects. Both projects are adopting many renewable resources that create a positive impact on the environment and also on the community. The CLASL project is making some remarkable changes in people's lives that make the project more viable. Their social engagement and the mapping in the community are larger than the next project. Participation of various stakeholders in the first project helps to adopt various eco-friendly activities easily (</w:t>
      </w:r>
      <w:r>
        <w:rPr>
          <w:rFonts w:ascii="Times New Roman" w:eastAsia="Times New Roman" w:hAnsi="Times New Roman" w:cs="Times New Roman"/>
          <w:color w:val="222222"/>
          <w:sz w:val="24"/>
          <w:szCs w:val="24"/>
          <w:highlight w:val="white"/>
        </w:rPr>
        <w:t>Di Maddaloni and Davis, 2018</w:t>
      </w:r>
      <w:r>
        <w:rPr>
          <w:rFonts w:ascii="Times New Roman" w:eastAsia="Times New Roman" w:hAnsi="Times New Roman" w:cs="Times New Roman"/>
          <w:color w:val="222222"/>
          <w:sz w:val="24"/>
          <w:szCs w:val="24"/>
        </w:rPr>
        <w:t xml:space="preserve">). On the other hand, the next project also provides a huge impact on the UK's community. It also creates a positive attribute to the economy. The next project is to decrease the stress on the environmental factors.  Implementing the environment friendly as well as renewable resources through the community engagement programme is ultimately evaluating the society. Both projects are helpful for the evaluation of nature as well as the community. </w:t>
      </w:r>
    </w:p>
    <w:p w:rsidR="00DB08B9" w:rsidRDefault="0073031F">
      <w:pPr>
        <w:pStyle w:val="Titlu2"/>
        <w:spacing w:line="360" w:lineRule="auto"/>
        <w:rPr>
          <w:rFonts w:ascii="Times New Roman" w:eastAsia="Times New Roman" w:hAnsi="Times New Roman" w:cs="Times New Roman"/>
          <w:b/>
          <w:bCs/>
          <w:color w:val="222222"/>
          <w:sz w:val="24"/>
          <w:szCs w:val="24"/>
        </w:rPr>
      </w:pPr>
      <w:bookmarkStart w:id="12" w:name="_Toc148312221"/>
      <w:r>
        <w:rPr>
          <w:rFonts w:ascii="Times New Roman" w:eastAsia="Times New Roman" w:hAnsi="Times New Roman" w:cs="Times New Roman"/>
          <w:b/>
          <w:bCs/>
          <w:sz w:val="24"/>
          <w:szCs w:val="24"/>
        </w:rPr>
        <w:t>Best Practices</w:t>
      </w:r>
      <w:bookmarkEnd w:id="12"/>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Every community engagement programme aims to implement measures to contribute to a sustainable environment. The CLASL project had taken a great initiative to involve the church and school in the preservation of the environment. Both these organisations are large structures with a lot of members involved. Educating these members would spread awareness among society. The consumption of energy is also a large issue in these large structures (Dahab et al., 2020).  Effective measures initiated like the use of energy-saving bulbs and the installation of hippos in the urinals saved a considerable amount of energy and resources. The distribution of free recycled books to the underprivileged not only promoted literacy but also sent a social message. </w:t>
      </w:r>
    </w:p>
    <w:p w:rsidR="00DB08B9" w:rsidRDefault="0073031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second project had come up with a great initiative of using e-bikes to commute a shorter distance. The use of bicycles not only promotes good health but also is a sustainable alternative to the means of transport.</w:t>
      </w:r>
    </w:p>
    <w:p w:rsidR="00DB08B9" w:rsidRDefault="0073031F">
      <w:pPr>
        <w:pStyle w:val="Titlu1"/>
        <w:spacing w:line="360" w:lineRule="auto"/>
        <w:jc w:val="both"/>
        <w:rPr>
          <w:rFonts w:ascii="Times New Roman" w:eastAsia="Times New Roman" w:hAnsi="Times New Roman" w:cs="Times New Roman"/>
          <w:b/>
          <w:bCs/>
          <w:color w:val="222222"/>
          <w:sz w:val="24"/>
          <w:szCs w:val="24"/>
        </w:rPr>
      </w:pPr>
      <w:bookmarkStart w:id="13" w:name="_Toc595678448"/>
      <w:r>
        <w:rPr>
          <w:rFonts w:ascii="Times New Roman" w:eastAsia="Times New Roman" w:hAnsi="Times New Roman" w:cs="Times New Roman"/>
          <w:b/>
          <w:bCs/>
          <w:sz w:val="24"/>
          <w:szCs w:val="24"/>
        </w:rPr>
        <w:lastRenderedPageBreak/>
        <w:t>Conclusion</w:t>
      </w:r>
      <w:bookmarkEnd w:id="13"/>
    </w:p>
    <w:p w:rsidR="00DB08B9" w:rsidRDefault="0073031F">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 xml:space="preserve">It can therefore be concluded that the community engagement programme provides a maximum benefit to the community.  The above-mentioned projects are effectively working for a long period to make a viable environment as well as add a positive impact on the community. The CLASL project is trying to create an innovative framework to engage the local communities and improve their participation in the community. The second project is also aimed to make a strong connection between the local communities by following a specific map and solving the environmental issues within the community. Both are encouraging the community engagement programme to create a valuable impact on society. </w:t>
      </w:r>
      <w:r>
        <w:br w:type="page"/>
      </w:r>
    </w:p>
    <w:p w:rsidR="00DB08B9" w:rsidRDefault="0073031F">
      <w:pPr>
        <w:pStyle w:val="Titlu1"/>
        <w:spacing w:line="360" w:lineRule="auto"/>
        <w:rPr>
          <w:rFonts w:ascii="Times New Roman" w:eastAsia="Times New Roman" w:hAnsi="Times New Roman" w:cs="Times New Roman"/>
          <w:b/>
          <w:bCs/>
          <w:color w:val="222222"/>
          <w:sz w:val="24"/>
          <w:szCs w:val="24"/>
        </w:rPr>
      </w:pPr>
      <w:bookmarkStart w:id="14" w:name="_Toc1839040911"/>
      <w:r>
        <w:rPr>
          <w:rFonts w:ascii="Times New Roman" w:eastAsia="Times New Roman" w:hAnsi="Times New Roman" w:cs="Times New Roman"/>
          <w:b/>
          <w:bCs/>
          <w:sz w:val="24"/>
          <w:szCs w:val="24"/>
        </w:rPr>
        <w:lastRenderedPageBreak/>
        <w:t>Reference List</w:t>
      </w:r>
      <w:bookmarkEnd w:id="14"/>
    </w:p>
    <w:p w:rsidR="00DB08B9" w:rsidRDefault="0073031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Adhikari, B., Pell, C. and Cheah, P.Y., 2020. Community engagement and ethical global health research. </w:t>
      </w:r>
      <w:r>
        <w:rPr>
          <w:rFonts w:ascii="Times New Roman" w:eastAsia="Times New Roman" w:hAnsi="Times New Roman" w:cs="Times New Roman"/>
          <w:i/>
          <w:color w:val="222222"/>
          <w:sz w:val="24"/>
          <w:szCs w:val="24"/>
          <w:highlight w:val="white"/>
        </w:rPr>
        <w:t>Global Bioethics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 xml:space="preserve">(1), pp.1-12. Available at: </w:t>
      </w:r>
      <w:hyperlink r:id="rId6" w:history="1">
        <w:r>
          <w:rPr>
            <w:rFonts w:ascii="Times New Roman" w:eastAsia="Times New Roman" w:hAnsi="Times New Roman" w:cs="Times New Roman"/>
            <w:color w:val="222222"/>
            <w:sz w:val="24"/>
            <w:szCs w:val="24"/>
            <w:highlight w:val="white"/>
            <w:u w:val="single"/>
          </w:rPr>
          <w:t>https://www.tandfonline.com/doi/pdf/10.1080/11287462.2019.1703504</w:t>
        </w:r>
      </w:hyperlink>
    </w:p>
    <w:p w:rsidR="00DB08B9" w:rsidRDefault="0073031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Dahab, M., Van Zandvoort, K., Flasche, S., Warsame, A., Ratnayake, R., Favas, C., Spiegel, P.B., Waldman, R.J. and Checchi, F., 2020. COVID-19 control in low-income settings and displaced populations: what can realistically be done?. </w:t>
      </w:r>
      <w:r>
        <w:rPr>
          <w:rFonts w:ascii="Times New Roman" w:eastAsia="Times New Roman" w:hAnsi="Times New Roman" w:cs="Times New Roman"/>
          <w:i/>
          <w:color w:val="222222"/>
          <w:sz w:val="24"/>
          <w:szCs w:val="24"/>
          <w:highlight w:val="white"/>
        </w:rPr>
        <w:t>Conflict and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(1), pp.1-6. Available at: </w:t>
      </w:r>
      <w:hyperlink r:id="rId7" w:history="1">
        <w:r>
          <w:rPr>
            <w:rFonts w:ascii="Times New Roman" w:eastAsia="Times New Roman" w:hAnsi="Times New Roman" w:cs="Times New Roman"/>
            <w:color w:val="222222"/>
            <w:sz w:val="24"/>
            <w:szCs w:val="24"/>
            <w:highlight w:val="white"/>
            <w:u w:val="single"/>
          </w:rPr>
          <w:t>https://conflictandhealth.biomedcentral.com/articles/10.1186/s13031-020-00296-8</w:t>
        </w:r>
      </w:hyperlink>
    </w:p>
    <w:p w:rsidR="00DB08B9" w:rsidRDefault="0073031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 Maddaloni, F. and Davis, K., 2018. Project manager's perception of the local communities' stakeholders in megaprojects. An empirical investigation in the UK. </w:t>
      </w:r>
      <w:r>
        <w:rPr>
          <w:rFonts w:ascii="Times New Roman" w:eastAsia="Times New Roman" w:hAnsi="Times New Roman" w:cs="Times New Roman"/>
          <w:i/>
          <w:color w:val="222222"/>
          <w:sz w:val="24"/>
          <w:szCs w:val="24"/>
          <w:highlight w:val="white"/>
        </w:rPr>
        <w:t>International Journal of Project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 xml:space="preserve">(3), pp.542-565. Available at: </w:t>
      </w:r>
      <w:hyperlink r:id="rId8" w:history="1">
        <w:r>
          <w:rPr>
            <w:rFonts w:ascii="Times New Roman" w:eastAsia="Times New Roman" w:hAnsi="Times New Roman" w:cs="Times New Roman"/>
            <w:color w:val="222222"/>
            <w:sz w:val="24"/>
            <w:szCs w:val="24"/>
            <w:highlight w:val="white"/>
            <w:u w:val="single"/>
          </w:rPr>
          <w:t>https://eprints.kingston.ac.uk/id/eprint/40105/1/Di-Maddaloni-F-40105-AAM.pdf</w:t>
        </w:r>
      </w:hyperlink>
    </w:p>
    <w:p w:rsidR="00DB08B9" w:rsidRDefault="0073031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Johnston, K.A. and Lane, A.B., 2018. Building relational capital: The contribution of episodic and relational community engagement. </w:t>
      </w:r>
      <w:r>
        <w:rPr>
          <w:rFonts w:ascii="Times New Roman" w:eastAsia="Times New Roman" w:hAnsi="Times New Roman" w:cs="Times New Roman"/>
          <w:i/>
          <w:color w:val="222222"/>
          <w:sz w:val="24"/>
          <w:szCs w:val="24"/>
          <w:highlight w:val="white"/>
        </w:rPr>
        <w:t>Public Relations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44</w:t>
      </w:r>
      <w:r>
        <w:rPr>
          <w:rFonts w:ascii="Times New Roman" w:eastAsia="Times New Roman" w:hAnsi="Times New Roman" w:cs="Times New Roman"/>
          <w:color w:val="222222"/>
          <w:sz w:val="24"/>
          <w:szCs w:val="24"/>
          <w:highlight w:val="white"/>
        </w:rPr>
        <w:t xml:space="preserve">(5), pp.633-644. Available at: </w:t>
      </w:r>
      <w:hyperlink r:id="rId9" w:history="1">
        <w:r>
          <w:rPr>
            <w:rFonts w:ascii="Times New Roman" w:eastAsia="Times New Roman" w:hAnsi="Times New Roman" w:cs="Times New Roman"/>
            <w:color w:val="222222"/>
            <w:sz w:val="24"/>
            <w:szCs w:val="24"/>
            <w:highlight w:val="white"/>
            <w:u w:val="single"/>
          </w:rPr>
          <w:t>https://eprints.qut.edu.au/122200/2/122200.pdf</w:t>
        </w:r>
      </w:hyperlink>
    </w:p>
    <w:p w:rsidR="00DB08B9" w:rsidRDefault="0073031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Mackay, E., Thackeray, S. and Dick, J., 2020. Cumbrian lakes: community engagement. Stakeholder meeting 3rd Nov 2020. Available at: </w:t>
      </w:r>
      <w:hyperlink r:id="rId10" w:history="1">
        <w:r>
          <w:rPr>
            <w:rFonts w:ascii="Times New Roman" w:eastAsia="Times New Roman" w:hAnsi="Times New Roman" w:cs="Times New Roman"/>
            <w:color w:val="222222"/>
            <w:sz w:val="24"/>
            <w:szCs w:val="24"/>
            <w:highlight w:val="white"/>
            <w:u w:val="single"/>
          </w:rPr>
          <w:t>http://nora.nerc.ac.uk/id/eprint/530271/1/N530271CR.pdf</w:t>
        </w:r>
      </w:hyperlink>
    </w:p>
    <w:p w:rsidR="00DB08B9" w:rsidRDefault="0073031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Moore, S.J. and Nesterova, Y., 2020. Indigenous knowledge and ways of knowing for a sustainable living. </w:t>
      </w:r>
      <w:r>
        <w:rPr>
          <w:rFonts w:ascii="Times New Roman" w:eastAsia="Times New Roman" w:hAnsi="Times New Roman" w:cs="Times New Roman"/>
          <w:i/>
          <w:color w:val="222222"/>
          <w:sz w:val="24"/>
          <w:szCs w:val="24"/>
          <w:highlight w:val="white"/>
        </w:rPr>
        <w:t>Paper Commissioned for UNESCO Futures of Education Report</w:t>
      </w:r>
      <w:r>
        <w:rPr>
          <w:rFonts w:ascii="Times New Roman" w:eastAsia="Times New Roman" w:hAnsi="Times New Roman" w:cs="Times New Roman"/>
          <w:color w:val="222222"/>
          <w:sz w:val="24"/>
          <w:szCs w:val="24"/>
          <w:highlight w:val="white"/>
        </w:rPr>
        <w:t xml:space="preserve">. Available at: </w:t>
      </w:r>
      <w:hyperlink r:id="rId11" w:history="1">
        <w:r>
          <w:rPr>
            <w:rFonts w:ascii="Times New Roman" w:eastAsia="Times New Roman" w:hAnsi="Times New Roman" w:cs="Times New Roman"/>
            <w:color w:val="222222"/>
            <w:sz w:val="24"/>
            <w:szCs w:val="24"/>
            <w:highlight w:val="white"/>
            <w:u w:val="single"/>
          </w:rPr>
          <w:t>http://cradall.org/sites/default/files/374046eng.pdf</w:t>
        </w:r>
      </w:hyperlink>
    </w:p>
    <w:p w:rsidR="00DB08B9" w:rsidRDefault="0073031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Mountain, A., Patrice Lindsay, M., Teasell, R., Salbach, N.M., de Jong, A., Foley, N., Bhogal, S., Bains, N., Bowes, R., Cheung, D. and Corriveau, H., 2020. Canadian stroke best practice recommendations: rehabilitation, recovery, and community participation following stroke. Part two: transitions and community participation following stroke. </w:t>
      </w:r>
      <w:r>
        <w:rPr>
          <w:rFonts w:ascii="Times New Roman" w:eastAsia="Times New Roman" w:hAnsi="Times New Roman" w:cs="Times New Roman"/>
          <w:i/>
          <w:color w:val="222222"/>
          <w:sz w:val="24"/>
          <w:szCs w:val="24"/>
          <w:highlight w:val="white"/>
        </w:rPr>
        <w:t>International Journal of Stroke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 xml:space="preserve">(7), pp.789-806. Available at: </w:t>
      </w:r>
      <w:hyperlink r:id="rId12" w:history="1">
        <w:r>
          <w:rPr>
            <w:rFonts w:ascii="Times New Roman" w:eastAsia="Times New Roman" w:hAnsi="Times New Roman" w:cs="Times New Roman"/>
            <w:color w:val="222222"/>
            <w:sz w:val="24"/>
            <w:szCs w:val="24"/>
            <w:highlight w:val="white"/>
            <w:u w:val="single"/>
          </w:rPr>
          <w:t>https://journals.sagepub.com/doi/pdf/10.1177/1747493019897847</w:t>
        </w:r>
      </w:hyperlink>
    </w:p>
    <w:p w:rsidR="00DB08B9" w:rsidRDefault="0073031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Pell, C.L., Adhikari, B., Myo Thwin, M., Kajeechiwa, L., Nosten, S., Nosten, F.H., Sahan, K.M., Smithuis, F.M., Nguyen, T.N., Hien, T.T. and Tripura, R., 2019. Community engagement, social context and coverage of mass anti-malarial administration: comparative findings from multi-site research in the Greater Mekong sub-Region. </w:t>
      </w:r>
      <w:r>
        <w:rPr>
          <w:rFonts w:ascii="Times New Roman" w:eastAsia="Times New Roman" w:hAnsi="Times New Roman" w:cs="Times New Roman"/>
          <w:i/>
          <w:color w:val="222222"/>
          <w:sz w:val="24"/>
          <w:szCs w:val="24"/>
          <w:highlight w:val="white"/>
        </w:rPr>
        <w:t>PLoS One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(3), p.e0214280. Available at: </w:t>
      </w:r>
      <w:hyperlink r:id="rId13" w:history="1">
        <w:r>
          <w:rPr>
            <w:rFonts w:ascii="Times New Roman" w:eastAsia="Times New Roman" w:hAnsi="Times New Roman" w:cs="Times New Roman"/>
            <w:color w:val="222222"/>
            <w:sz w:val="24"/>
            <w:szCs w:val="24"/>
            <w:highlight w:val="white"/>
            <w:u w:val="single"/>
          </w:rPr>
          <w:t>https://journals.plos.org/plosone/article?id=10.1371/journal.pone.0214280</w:t>
        </w:r>
      </w:hyperlink>
    </w:p>
    <w:p w:rsidR="00DB08B9" w:rsidRDefault="0073031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Pratt, B. and de Vries, J., 2018. Community engagement in global health research that advances health equity. </w:t>
      </w:r>
      <w:r>
        <w:rPr>
          <w:rFonts w:ascii="Times New Roman" w:eastAsia="Times New Roman" w:hAnsi="Times New Roman" w:cs="Times New Roman"/>
          <w:i/>
          <w:color w:val="222222"/>
          <w:sz w:val="24"/>
          <w:szCs w:val="24"/>
          <w:highlight w:val="white"/>
        </w:rPr>
        <w:t>Bioethics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32</w:t>
      </w:r>
      <w:r>
        <w:rPr>
          <w:rFonts w:ascii="Times New Roman" w:eastAsia="Times New Roman" w:hAnsi="Times New Roman" w:cs="Times New Roman"/>
          <w:color w:val="222222"/>
          <w:sz w:val="24"/>
          <w:szCs w:val="24"/>
          <w:highlight w:val="white"/>
        </w:rPr>
        <w:t xml:space="preserve">(7), pp.454-463. Available at: </w:t>
      </w:r>
      <w:hyperlink r:id="rId14" w:history="1">
        <w:r>
          <w:rPr>
            <w:rFonts w:ascii="Times New Roman" w:eastAsia="Times New Roman" w:hAnsi="Times New Roman" w:cs="Times New Roman"/>
            <w:color w:val="222222"/>
            <w:sz w:val="24"/>
            <w:szCs w:val="24"/>
            <w:highlight w:val="white"/>
            <w:u w:val="single"/>
          </w:rPr>
          <w:t>https://onlinelibrary.wiley.com/doi/am-pdf/10.1111/bioe.12465</w:t>
        </w:r>
      </w:hyperlink>
    </w:p>
    <w:p w:rsidR="00DB08B9" w:rsidRDefault="0073031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Velempini, L., 2020. </w:t>
      </w:r>
      <w:r>
        <w:rPr>
          <w:rFonts w:ascii="Times New Roman" w:eastAsia="Times New Roman" w:hAnsi="Times New Roman" w:cs="Times New Roman"/>
          <w:i/>
          <w:color w:val="222222"/>
          <w:sz w:val="24"/>
          <w:szCs w:val="24"/>
          <w:highlight w:val="white"/>
        </w:rPr>
        <w:t>Social workers’ views of the implementation process of the Courage community engagement programme</w:t>
      </w:r>
      <w:r>
        <w:rPr>
          <w:rFonts w:ascii="Times New Roman" w:eastAsia="Times New Roman" w:hAnsi="Times New Roman" w:cs="Times New Roman"/>
          <w:color w:val="222222"/>
          <w:sz w:val="24"/>
          <w:szCs w:val="24"/>
          <w:highlight w:val="white"/>
        </w:rPr>
        <w:t xml:space="preserve"> (Doctoral dissertation, North-West University (South-Africa)). Available at: </w:t>
      </w:r>
      <w:hyperlink r:id="rId15" w:history="1">
        <w:r>
          <w:rPr>
            <w:rFonts w:ascii="Times New Roman" w:eastAsia="Times New Roman" w:hAnsi="Times New Roman" w:cs="Times New Roman"/>
            <w:color w:val="222222"/>
            <w:sz w:val="24"/>
            <w:szCs w:val="24"/>
            <w:highlight w:val="white"/>
            <w:u w:val="single"/>
          </w:rPr>
          <w:t>https://repository.nwu.ac.za/bitstream/handle/10394/34972/Velempini_L.pdf?sequence=1</w:t>
        </w:r>
      </w:hyperlink>
    </w:p>
    <w:p w:rsidR="00DB08B9" w:rsidRDefault="00DB08B9">
      <w:pPr>
        <w:spacing w:line="360" w:lineRule="auto"/>
        <w:jc w:val="both"/>
        <w:rPr>
          <w:rFonts w:ascii="Times New Roman" w:eastAsia="Times New Roman" w:hAnsi="Times New Roman" w:cs="Times New Roman"/>
          <w:color w:val="222222"/>
          <w:sz w:val="24"/>
          <w:szCs w:val="24"/>
          <w:highlight w:val="white"/>
        </w:rPr>
      </w:pPr>
    </w:p>
    <w:p w:rsidR="00DB08B9" w:rsidRDefault="00DB08B9">
      <w:pPr>
        <w:spacing w:line="360" w:lineRule="auto"/>
        <w:jc w:val="both"/>
        <w:rPr>
          <w:rFonts w:ascii="Times New Roman" w:eastAsia="Times New Roman" w:hAnsi="Times New Roman" w:cs="Times New Roman"/>
          <w:color w:val="222222"/>
          <w:sz w:val="24"/>
          <w:szCs w:val="24"/>
          <w:highlight w:val="white"/>
        </w:rPr>
      </w:pPr>
    </w:p>
    <w:p w:rsidR="00DB08B9" w:rsidRDefault="00DB08B9">
      <w:pPr>
        <w:spacing w:line="360" w:lineRule="auto"/>
        <w:jc w:val="both"/>
        <w:rPr>
          <w:rFonts w:ascii="Times New Roman" w:eastAsia="Times New Roman" w:hAnsi="Times New Roman" w:cs="Times New Roman"/>
          <w:color w:val="222222"/>
          <w:sz w:val="24"/>
          <w:szCs w:val="24"/>
          <w:highlight w:val="white"/>
        </w:rPr>
      </w:pPr>
    </w:p>
    <w:p w:rsidR="00DB08B9" w:rsidRDefault="00DB08B9">
      <w:pPr>
        <w:spacing w:line="360" w:lineRule="auto"/>
        <w:jc w:val="both"/>
        <w:rPr>
          <w:rFonts w:ascii="Times New Roman" w:eastAsia="Times New Roman" w:hAnsi="Times New Roman" w:cs="Times New Roman"/>
          <w:color w:val="222222"/>
          <w:sz w:val="24"/>
          <w:szCs w:val="24"/>
          <w:highlight w:val="white"/>
        </w:rPr>
      </w:pPr>
    </w:p>
    <w:sectPr w:rsidR="00DB08B9">
      <w:footerReference w:type="default" r:id="rId16"/>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41530" w:rsidRDefault="00541530">
      <w:pPr>
        <w:spacing w:line="240" w:lineRule="auto"/>
      </w:pPr>
      <w:r>
        <w:separator/>
      </w:r>
    </w:p>
  </w:endnote>
  <w:endnote w:type="continuationSeparator" w:id="0">
    <w:p w:rsidR="00541530" w:rsidRDefault="005415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B08B9" w:rsidRDefault="0073031F">
    <w:pPr>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Page </w:t>
    </w: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Pr>
        <w:rFonts w:ascii="Times New Roman" w:eastAsia="Times New Roman" w:hAnsi="Times New Roman" w:cs="Times New Roman"/>
        <w:b/>
        <w:noProof/>
        <w:sz w:val="24"/>
        <w:szCs w:val="24"/>
      </w:rPr>
      <w:t>2</w:t>
    </w:r>
    <w:r>
      <w:rPr>
        <w:rFonts w:ascii="Times New Roman" w:eastAsia="Times New Roman" w:hAnsi="Times New Roman" w:cs="Times New Roman"/>
        <w:b/>
        <w:sz w:val="24"/>
        <w:szCs w:val="24"/>
      </w:rPr>
      <w:fldChar w:fldCharType="end"/>
    </w:r>
    <w:r>
      <w:rPr>
        <w:rFonts w:ascii="Times New Roman" w:eastAsia="Times New Roman" w:hAnsi="Times New Roman" w:cs="Times New Roman"/>
        <w:sz w:val="24"/>
        <w:szCs w:val="24"/>
      </w:rPr>
      <w:t xml:space="preserve"> of </w:t>
    </w:r>
    <w:r>
      <w:rPr>
        <w:rFonts w:ascii="Times New Roman" w:eastAsia="Times New Roman" w:hAnsi="Times New Roman" w:cs="Times New Roman"/>
        <w:b/>
        <w:sz w:val="24"/>
        <w:szCs w:val="24"/>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41530" w:rsidRDefault="00541530">
      <w:pPr>
        <w:spacing w:line="240" w:lineRule="auto"/>
      </w:pPr>
      <w:r>
        <w:separator/>
      </w:r>
    </w:p>
  </w:footnote>
  <w:footnote w:type="continuationSeparator" w:id="0">
    <w:p w:rsidR="00541530" w:rsidRDefault="005415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8B9"/>
    <w:rsid w:val="00541530"/>
    <w:rsid w:val="0062600E"/>
    <w:rsid w:val="0073031F"/>
    <w:rsid w:val="008A760A"/>
    <w:rsid w:val="009154A0"/>
    <w:rsid w:val="00C959EE"/>
    <w:rsid w:val="00CF4BCF"/>
    <w:rsid w:val="00DB08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character" w:styleId="Hyperlink">
    <w:name w:val="Hyperlink"/>
    <w:basedOn w:val="Fontdeparagrafimplicit"/>
    <w:uiPriority w:val="99"/>
    <w:rPr>
      <w:color w:val="0000FF"/>
      <w:u w:val="single"/>
    </w:rPr>
  </w:style>
  <w:style w:type="paragraph" w:styleId="Cuprins1">
    <w:name w:val="toc 1"/>
    <w:basedOn w:val="Normal"/>
    <w:next w:val="Normal"/>
    <w:uiPriority w:val="39"/>
    <w:pPr>
      <w:spacing w:after="100"/>
    </w:pPr>
  </w:style>
  <w:style w:type="paragraph" w:styleId="Cuprins2">
    <w:name w:val="toc 2"/>
    <w:basedOn w:val="Normal"/>
    <w:next w:val="Normal"/>
    <w:uiPriority w:val="39"/>
    <w:pPr>
      <w:spacing w:after="100"/>
      <w:ind w:left="220"/>
    </w:pPr>
  </w:style>
  <w:style w:type="paragraph" w:styleId="Antet">
    <w:name w:val="header"/>
    <w:basedOn w:val="Normal"/>
    <w:link w:val="AntetCaracter"/>
    <w:uiPriority w:val="99"/>
    <w:pPr>
      <w:tabs>
        <w:tab w:val="center" w:pos="4513"/>
        <w:tab w:val="right" w:pos="9026"/>
      </w:tabs>
      <w:spacing w:line="240" w:lineRule="auto"/>
    </w:pPr>
  </w:style>
  <w:style w:type="character" w:customStyle="1" w:styleId="AntetCaracter">
    <w:name w:val="Antet Caracter"/>
    <w:basedOn w:val="Fontdeparagrafimplicit"/>
    <w:link w:val="Antet"/>
    <w:uiPriority w:val="99"/>
  </w:style>
  <w:style w:type="paragraph" w:styleId="Subsol">
    <w:name w:val="footer"/>
    <w:basedOn w:val="Normal"/>
    <w:link w:val="SubsolCaracter"/>
    <w:uiPriority w:val="99"/>
    <w:pPr>
      <w:tabs>
        <w:tab w:val="center" w:pos="4513"/>
        <w:tab w:val="right" w:pos="9026"/>
      </w:tabs>
      <w:spacing w:line="240" w:lineRule="auto"/>
    </w:pPr>
  </w:style>
  <w:style w:type="character" w:customStyle="1" w:styleId="SubsolCaracter">
    <w:name w:val="Subsol Caracter"/>
    <w:basedOn w:val="Fontdeparagrafimplicit"/>
    <w:link w:val="Subsol"/>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prints.kingston.ac.uk/id/eprint/40105/1/Di-Maddaloni-F-40105-AAM.pdf" TargetMode="External" /><Relationship Id="rId13" Type="http://schemas.openxmlformats.org/officeDocument/2006/relationships/hyperlink" Target="https://journals.plos.org/plosone/article?id=10.1371/journal.pone.0214280" TargetMode="External" /><Relationship Id="rId1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s://conflictandhealth.biomedcentral.com/articles/10.1186/s13031-020-00296-8" TargetMode="External" /><Relationship Id="rId12" Type="http://schemas.openxmlformats.org/officeDocument/2006/relationships/hyperlink" Target="https://journals.sagepub.com/doi/pdf/10.1177/1747493019897847" TargetMode="External" /><Relationship Id="rId17"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footer" Target="footer1.xml" /><Relationship Id="rId1" Type="http://schemas.openxmlformats.org/officeDocument/2006/relationships/styles" Target="styles.xml" /><Relationship Id="rId6" Type="http://schemas.openxmlformats.org/officeDocument/2006/relationships/hyperlink" Target="https://www.tandfonline.com/doi/pdf/10.1080/11287462.2019.1703504" TargetMode="External" /><Relationship Id="rId11" Type="http://schemas.openxmlformats.org/officeDocument/2006/relationships/hyperlink" Target="http://cradall.org/sites/default/files/374046eng.pdf" TargetMode="External" /><Relationship Id="rId5" Type="http://schemas.openxmlformats.org/officeDocument/2006/relationships/endnotes" Target="endnotes.xml" /><Relationship Id="rId15" Type="http://schemas.openxmlformats.org/officeDocument/2006/relationships/hyperlink" Target="https://repository.nwu.ac.za/bitstream/handle/10394/34972/Velempini_L.pdf?sequence=1" TargetMode="External" /><Relationship Id="rId10" Type="http://schemas.openxmlformats.org/officeDocument/2006/relationships/hyperlink" Target="http://nora.nerc.ac.uk/id/eprint/530271/1/N530271CR.pdf" TargetMode="External" /><Relationship Id="rId4" Type="http://schemas.openxmlformats.org/officeDocument/2006/relationships/footnotes" Target="footnotes.xml" /><Relationship Id="rId9" Type="http://schemas.openxmlformats.org/officeDocument/2006/relationships/hyperlink" Target="https://eprints.qut.edu.au/122200/2/122200.pdf" TargetMode="External" /><Relationship Id="rId14" Type="http://schemas.openxmlformats.org/officeDocument/2006/relationships/hyperlink" Target="https://onlinelibrary.wiley.com/doi/am-pdf/10.1111/bioe.1246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2688</Words>
  <Characters>15597</Characters>
  <Application>Microsoft Office Word</Application>
  <DocSecurity>0</DocSecurity>
  <Lines>129</Lines>
  <Paragraphs>36</Paragraphs>
  <ScaleCrop>false</ScaleCrop>
  <LinksUpToDate>false</LinksUpToDate>
  <CharactersWithSpaces>18249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2022-04-27T14:12:00Z</dcterms:created>
  <dcterms:modified xsi:type="dcterms:W3CDTF">2022-04-27T14:12:00Z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f73d15c52975401aadd1f930cddc3a33</vt:lpwstr>
  </property>
</Properties>
</file>