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AD91064" w14:textId="77777777" w:rsidR="00585851" w:rsidRDefault="00585851" w:rsidP="0047047B">
      <w:pPr>
        <w:spacing w:line="360" w:lineRule="auto"/>
        <w:jc w:val="both"/>
        <w:rPr>
          <w:rFonts w:ascii="Arial" w:hAnsi="Arial" w:cs="Arial"/>
          <w:b/>
          <w:bCs/>
          <w:sz w:val="22"/>
          <w:szCs w:val="22"/>
        </w:rPr>
      </w:pPr>
    </w:p>
    <w:p w14:paraId="34569E13" w14:textId="17C545E3" w:rsidR="00585851" w:rsidRDefault="001112E7" w:rsidP="0047047B">
      <w:pPr>
        <w:spacing w:line="360" w:lineRule="auto"/>
        <w:jc w:val="both"/>
        <w:rPr>
          <w:rFonts w:ascii="Arial" w:hAnsi="Arial" w:cs="Arial"/>
          <w:b/>
          <w:bCs/>
          <w:sz w:val="22"/>
          <w:szCs w:val="22"/>
        </w:rPr>
      </w:pPr>
      <w:r>
        <w:rPr>
          <w:noProof/>
          <w:sz w:val="20"/>
        </w:rPr>
        <w:drawing>
          <wp:inline distT="0" distB="0" distL="0" distR="0" wp14:anchorId="3DA25F96" wp14:editId="738D88C8">
            <wp:extent cx="3192780" cy="1455420"/>
            <wp:effectExtent l="0" t="0" r="7620" b="0"/>
            <wp:docPr id="1"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Image 2"/>
                    <pic:cNvPicPr>
                      <a:picLocks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192780" cy="1455420"/>
                    </a:xfrm>
                    <a:prstGeom prst="rect">
                      <a:avLst/>
                    </a:prstGeom>
                    <a:noFill/>
                    <a:ln>
                      <a:noFill/>
                    </a:ln>
                  </pic:spPr>
                </pic:pic>
              </a:graphicData>
            </a:graphic>
          </wp:inline>
        </w:drawing>
      </w:r>
    </w:p>
    <w:p w14:paraId="79FB1F42" w14:textId="77777777" w:rsidR="00C853F3" w:rsidRPr="00524BA8" w:rsidRDefault="00C853F3" w:rsidP="00C853F3">
      <w:pPr>
        <w:pStyle w:val="Title"/>
        <w:spacing w:line="247" w:lineRule="auto"/>
        <w:rPr>
          <w:rFonts w:ascii="Arial" w:hAnsi="Arial" w:cs="Arial"/>
        </w:rPr>
      </w:pPr>
    </w:p>
    <w:p w14:paraId="31EB1772" w14:textId="77777777" w:rsidR="00FB72AB" w:rsidRPr="00E20028" w:rsidRDefault="00FB72AB" w:rsidP="00C853F3">
      <w:pPr>
        <w:pStyle w:val="Title"/>
        <w:spacing w:line="247" w:lineRule="auto"/>
        <w:rPr>
          <w:rFonts w:ascii="Arial" w:hAnsi="Arial" w:cs="Arial"/>
          <w:sz w:val="40"/>
          <w:szCs w:val="40"/>
        </w:rPr>
      </w:pPr>
    </w:p>
    <w:p w14:paraId="22EF3C9E" w14:textId="77777777" w:rsidR="00C853F3" w:rsidRPr="00E20028" w:rsidRDefault="00C853F3" w:rsidP="00C853F3">
      <w:pPr>
        <w:pStyle w:val="Title"/>
        <w:spacing w:line="247" w:lineRule="auto"/>
        <w:rPr>
          <w:rFonts w:ascii="Arial" w:hAnsi="Arial" w:cs="Arial"/>
          <w:sz w:val="40"/>
          <w:szCs w:val="40"/>
        </w:rPr>
      </w:pPr>
      <w:proofErr w:type="spellStart"/>
      <w:r w:rsidRPr="00E20028">
        <w:rPr>
          <w:rFonts w:ascii="Arial" w:hAnsi="Arial" w:cs="Arial"/>
          <w:sz w:val="40"/>
          <w:szCs w:val="40"/>
        </w:rPr>
        <w:t>Sefydliad</w:t>
      </w:r>
      <w:proofErr w:type="spellEnd"/>
      <w:r w:rsidRPr="00E20028">
        <w:rPr>
          <w:rFonts w:ascii="Arial" w:hAnsi="Arial" w:cs="Arial"/>
          <w:spacing w:val="-11"/>
          <w:sz w:val="40"/>
          <w:szCs w:val="40"/>
        </w:rPr>
        <w:t xml:space="preserve"> </w:t>
      </w:r>
      <w:proofErr w:type="spellStart"/>
      <w:r w:rsidRPr="00E20028">
        <w:rPr>
          <w:rFonts w:ascii="Arial" w:hAnsi="Arial" w:cs="Arial"/>
          <w:sz w:val="40"/>
          <w:szCs w:val="40"/>
        </w:rPr>
        <w:t>Dysgu</w:t>
      </w:r>
      <w:proofErr w:type="spellEnd"/>
      <w:r w:rsidRPr="00E20028">
        <w:rPr>
          <w:rFonts w:ascii="Arial" w:hAnsi="Arial" w:cs="Arial"/>
          <w:spacing w:val="-9"/>
          <w:sz w:val="40"/>
          <w:szCs w:val="40"/>
        </w:rPr>
        <w:t xml:space="preserve"> </w:t>
      </w:r>
      <w:proofErr w:type="spellStart"/>
      <w:r w:rsidRPr="00E20028">
        <w:rPr>
          <w:rFonts w:ascii="Arial" w:hAnsi="Arial" w:cs="Arial"/>
          <w:sz w:val="40"/>
          <w:szCs w:val="40"/>
        </w:rPr>
        <w:t>Canol</w:t>
      </w:r>
      <w:proofErr w:type="spellEnd"/>
      <w:r w:rsidRPr="00E20028">
        <w:rPr>
          <w:rFonts w:ascii="Arial" w:hAnsi="Arial" w:cs="Arial"/>
          <w:spacing w:val="-9"/>
          <w:sz w:val="40"/>
          <w:szCs w:val="40"/>
        </w:rPr>
        <w:t xml:space="preserve"> </w:t>
      </w:r>
      <w:proofErr w:type="spellStart"/>
      <w:r w:rsidRPr="00E20028">
        <w:rPr>
          <w:rFonts w:ascii="Arial" w:hAnsi="Arial" w:cs="Arial"/>
          <w:sz w:val="40"/>
          <w:szCs w:val="40"/>
        </w:rPr>
        <w:t>Dinas</w:t>
      </w:r>
      <w:proofErr w:type="spellEnd"/>
      <w:r w:rsidRPr="00E20028">
        <w:rPr>
          <w:rFonts w:ascii="Arial" w:hAnsi="Arial" w:cs="Arial"/>
          <w:spacing w:val="-8"/>
          <w:sz w:val="40"/>
          <w:szCs w:val="40"/>
        </w:rPr>
        <w:t xml:space="preserve"> </w:t>
      </w:r>
      <w:r w:rsidRPr="00E20028">
        <w:rPr>
          <w:rFonts w:ascii="Arial" w:hAnsi="Arial" w:cs="Arial"/>
          <w:sz w:val="40"/>
          <w:szCs w:val="40"/>
        </w:rPr>
        <w:t xml:space="preserve">/ Institute of </w:t>
      </w:r>
      <w:r w:rsidR="004255BA" w:rsidRPr="00E20028">
        <w:rPr>
          <w:rFonts w:ascii="Arial" w:hAnsi="Arial" w:cs="Arial"/>
          <w:sz w:val="40"/>
          <w:szCs w:val="40"/>
        </w:rPr>
        <w:t>Inner-City</w:t>
      </w:r>
      <w:r w:rsidRPr="00E20028">
        <w:rPr>
          <w:rFonts w:ascii="Arial" w:hAnsi="Arial" w:cs="Arial"/>
          <w:sz w:val="40"/>
          <w:szCs w:val="40"/>
        </w:rPr>
        <w:t xml:space="preserve"> Learning</w:t>
      </w:r>
    </w:p>
    <w:p w14:paraId="4EF548D2" w14:textId="77777777" w:rsidR="00C853F3" w:rsidRPr="00E20028" w:rsidRDefault="00C853F3" w:rsidP="00C853F3">
      <w:pPr>
        <w:pStyle w:val="BodyText"/>
        <w:rPr>
          <w:rFonts w:ascii="Arial" w:hAnsi="Arial" w:cs="Arial"/>
          <w:sz w:val="40"/>
          <w:szCs w:val="40"/>
        </w:rPr>
      </w:pPr>
    </w:p>
    <w:p w14:paraId="32F78ECF" w14:textId="77777777" w:rsidR="00C853F3" w:rsidRPr="00E20028" w:rsidRDefault="00C853F3" w:rsidP="00C853F3">
      <w:pPr>
        <w:ind w:left="1315" w:right="907"/>
        <w:rPr>
          <w:rFonts w:ascii="Arial" w:eastAsia="Times New Roman" w:hAnsi="Arial" w:cs="Arial"/>
          <w:kern w:val="0"/>
          <w:sz w:val="40"/>
          <w:szCs w:val="40"/>
        </w:rPr>
      </w:pPr>
    </w:p>
    <w:p w14:paraId="5E2E71F7" w14:textId="77777777" w:rsidR="00C853F3" w:rsidRPr="00E20028" w:rsidRDefault="00C853F3" w:rsidP="00C853F3">
      <w:pPr>
        <w:ind w:left="1315" w:right="907"/>
        <w:rPr>
          <w:rFonts w:ascii="Arial" w:hAnsi="Arial" w:cs="Arial"/>
          <w:sz w:val="40"/>
          <w:szCs w:val="40"/>
        </w:rPr>
      </w:pPr>
      <w:r w:rsidRPr="00E20028">
        <w:rPr>
          <w:rFonts w:ascii="Arial" w:hAnsi="Arial" w:cs="Arial"/>
          <w:sz w:val="40"/>
          <w:szCs w:val="40"/>
        </w:rPr>
        <w:t>MSc</w:t>
      </w:r>
      <w:r w:rsidRPr="00E20028">
        <w:rPr>
          <w:rFonts w:ascii="Arial" w:hAnsi="Arial" w:cs="Arial"/>
          <w:spacing w:val="-11"/>
          <w:sz w:val="40"/>
          <w:szCs w:val="40"/>
        </w:rPr>
        <w:t xml:space="preserve"> </w:t>
      </w:r>
      <w:r w:rsidRPr="00E20028">
        <w:rPr>
          <w:rFonts w:ascii="Arial" w:hAnsi="Arial" w:cs="Arial"/>
          <w:sz w:val="40"/>
          <w:szCs w:val="40"/>
        </w:rPr>
        <w:t>Public</w:t>
      </w:r>
      <w:r w:rsidRPr="00E20028">
        <w:rPr>
          <w:rFonts w:ascii="Arial" w:hAnsi="Arial" w:cs="Arial"/>
          <w:spacing w:val="-10"/>
          <w:sz w:val="40"/>
          <w:szCs w:val="40"/>
        </w:rPr>
        <w:t xml:space="preserve"> </w:t>
      </w:r>
      <w:r w:rsidRPr="00E20028">
        <w:rPr>
          <w:rFonts w:ascii="Arial" w:hAnsi="Arial" w:cs="Arial"/>
          <w:sz w:val="40"/>
          <w:szCs w:val="40"/>
        </w:rPr>
        <w:t>Health</w:t>
      </w:r>
      <w:r w:rsidRPr="00E20028">
        <w:rPr>
          <w:rFonts w:ascii="Arial" w:hAnsi="Arial" w:cs="Arial"/>
          <w:spacing w:val="-12"/>
          <w:sz w:val="40"/>
          <w:szCs w:val="40"/>
        </w:rPr>
        <w:t xml:space="preserve"> </w:t>
      </w:r>
      <w:r w:rsidRPr="00E20028">
        <w:rPr>
          <w:rFonts w:ascii="Arial" w:hAnsi="Arial" w:cs="Arial"/>
          <w:sz w:val="40"/>
          <w:szCs w:val="40"/>
        </w:rPr>
        <w:t>and Social</w:t>
      </w:r>
      <w:r w:rsidRPr="00E20028">
        <w:rPr>
          <w:rFonts w:ascii="Arial" w:hAnsi="Arial" w:cs="Arial"/>
          <w:spacing w:val="-12"/>
          <w:sz w:val="40"/>
          <w:szCs w:val="40"/>
        </w:rPr>
        <w:t xml:space="preserve"> </w:t>
      </w:r>
      <w:r w:rsidRPr="00E20028">
        <w:rPr>
          <w:rFonts w:ascii="Arial" w:hAnsi="Arial" w:cs="Arial"/>
          <w:sz w:val="40"/>
          <w:szCs w:val="40"/>
        </w:rPr>
        <w:t>Care</w:t>
      </w:r>
      <w:r w:rsidRPr="00E20028">
        <w:rPr>
          <w:rFonts w:ascii="Arial" w:hAnsi="Arial" w:cs="Arial"/>
          <w:spacing w:val="-8"/>
          <w:sz w:val="40"/>
          <w:szCs w:val="40"/>
        </w:rPr>
        <w:t xml:space="preserve"> </w:t>
      </w:r>
      <w:r w:rsidRPr="00E20028">
        <w:rPr>
          <w:rFonts w:ascii="Arial" w:hAnsi="Arial" w:cs="Arial"/>
          <w:sz w:val="40"/>
          <w:szCs w:val="40"/>
        </w:rPr>
        <w:t>in</w:t>
      </w:r>
      <w:r w:rsidRPr="00E20028">
        <w:rPr>
          <w:rFonts w:ascii="Arial" w:hAnsi="Arial" w:cs="Arial"/>
          <w:spacing w:val="-9"/>
          <w:sz w:val="40"/>
          <w:szCs w:val="40"/>
        </w:rPr>
        <w:t xml:space="preserve"> </w:t>
      </w:r>
      <w:r w:rsidRPr="00E20028">
        <w:rPr>
          <w:rFonts w:ascii="Arial" w:hAnsi="Arial" w:cs="Arial"/>
          <w:spacing w:val="-2"/>
          <w:sz w:val="40"/>
          <w:szCs w:val="40"/>
        </w:rPr>
        <w:t>Practice</w:t>
      </w:r>
    </w:p>
    <w:p w14:paraId="36D6F79C" w14:textId="77777777" w:rsidR="00585851" w:rsidRDefault="00585851" w:rsidP="0047047B">
      <w:pPr>
        <w:spacing w:line="360" w:lineRule="auto"/>
        <w:jc w:val="both"/>
        <w:rPr>
          <w:rFonts w:ascii="Arial" w:hAnsi="Arial" w:cs="Arial"/>
          <w:b/>
          <w:bCs/>
          <w:sz w:val="32"/>
          <w:szCs w:val="32"/>
        </w:rPr>
      </w:pPr>
    </w:p>
    <w:p w14:paraId="6FE5DE35" w14:textId="77777777" w:rsidR="00C853F3" w:rsidRDefault="00C853F3" w:rsidP="0047047B">
      <w:pPr>
        <w:spacing w:line="360" w:lineRule="auto"/>
        <w:jc w:val="both"/>
        <w:rPr>
          <w:rFonts w:ascii="Arial" w:hAnsi="Arial" w:cs="Arial"/>
          <w:b/>
          <w:bCs/>
          <w:sz w:val="32"/>
          <w:szCs w:val="32"/>
        </w:rPr>
      </w:pPr>
    </w:p>
    <w:p w14:paraId="608A7C7B" w14:textId="77777777" w:rsidR="00C853F3" w:rsidRDefault="00C853F3" w:rsidP="0047047B">
      <w:pPr>
        <w:spacing w:line="360" w:lineRule="auto"/>
        <w:jc w:val="both"/>
        <w:rPr>
          <w:rFonts w:ascii="Arial" w:hAnsi="Arial" w:cs="Arial"/>
          <w:b/>
          <w:bCs/>
          <w:sz w:val="32"/>
          <w:szCs w:val="32"/>
        </w:rPr>
      </w:pPr>
    </w:p>
    <w:p w14:paraId="3BD663CF" w14:textId="77777777" w:rsidR="00C853F3" w:rsidRDefault="00C853F3" w:rsidP="0047047B">
      <w:pPr>
        <w:spacing w:line="360" w:lineRule="auto"/>
        <w:jc w:val="both"/>
        <w:rPr>
          <w:rFonts w:ascii="Arial" w:hAnsi="Arial" w:cs="Arial"/>
          <w:b/>
          <w:bCs/>
          <w:sz w:val="32"/>
          <w:szCs w:val="32"/>
        </w:rPr>
      </w:pPr>
    </w:p>
    <w:p w14:paraId="2ABFCFF8" w14:textId="77777777" w:rsidR="00C853F3" w:rsidRDefault="00C853F3" w:rsidP="0047047B">
      <w:pPr>
        <w:spacing w:line="360" w:lineRule="auto"/>
        <w:jc w:val="both"/>
        <w:rPr>
          <w:rFonts w:ascii="Arial" w:hAnsi="Arial" w:cs="Arial"/>
          <w:b/>
          <w:bCs/>
          <w:sz w:val="32"/>
          <w:szCs w:val="32"/>
        </w:rPr>
      </w:pPr>
    </w:p>
    <w:p w14:paraId="1B9A39C8" w14:textId="77777777" w:rsidR="00C853F3" w:rsidRDefault="00C853F3" w:rsidP="0047047B">
      <w:pPr>
        <w:spacing w:line="360" w:lineRule="auto"/>
        <w:jc w:val="both"/>
        <w:rPr>
          <w:rFonts w:ascii="Arial" w:hAnsi="Arial" w:cs="Arial"/>
          <w:b/>
          <w:bCs/>
          <w:sz w:val="32"/>
          <w:szCs w:val="32"/>
        </w:rPr>
      </w:pPr>
    </w:p>
    <w:p w14:paraId="06A77B96" w14:textId="77777777" w:rsidR="00C853F3" w:rsidRDefault="00C853F3" w:rsidP="0047047B">
      <w:pPr>
        <w:spacing w:line="360" w:lineRule="auto"/>
        <w:jc w:val="both"/>
        <w:rPr>
          <w:rFonts w:ascii="Arial" w:hAnsi="Arial" w:cs="Arial"/>
          <w:b/>
          <w:bCs/>
          <w:sz w:val="32"/>
          <w:szCs w:val="32"/>
        </w:rPr>
      </w:pPr>
    </w:p>
    <w:p w14:paraId="623CD95F" w14:textId="77777777" w:rsidR="00722A76" w:rsidRDefault="00722A76" w:rsidP="003C2D2A">
      <w:pPr>
        <w:spacing w:line="360" w:lineRule="auto"/>
        <w:jc w:val="center"/>
        <w:rPr>
          <w:rFonts w:ascii="Arial" w:hAnsi="Arial" w:cs="Arial"/>
          <w:b/>
          <w:bCs/>
          <w:sz w:val="32"/>
          <w:szCs w:val="32"/>
        </w:rPr>
      </w:pPr>
    </w:p>
    <w:p w14:paraId="536BEDF9" w14:textId="77777777" w:rsidR="00D134DE" w:rsidRPr="00585851" w:rsidRDefault="00B0285A" w:rsidP="0047047B">
      <w:pPr>
        <w:spacing w:line="360" w:lineRule="auto"/>
        <w:jc w:val="both"/>
        <w:rPr>
          <w:rFonts w:ascii="Arial" w:hAnsi="Arial" w:cs="Arial"/>
          <w:b/>
          <w:bCs/>
          <w:sz w:val="32"/>
          <w:szCs w:val="32"/>
        </w:rPr>
      </w:pPr>
      <w:r w:rsidRPr="00585851">
        <w:rPr>
          <w:rFonts w:ascii="Arial" w:hAnsi="Arial" w:cs="Arial"/>
          <w:b/>
          <w:bCs/>
          <w:sz w:val="32"/>
          <w:szCs w:val="32"/>
        </w:rPr>
        <w:lastRenderedPageBreak/>
        <w:t>KAP</w:t>
      </w:r>
      <w:r w:rsidR="00D134DE" w:rsidRPr="00585851">
        <w:rPr>
          <w:rFonts w:ascii="Arial" w:hAnsi="Arial" w:cs="Arial"/>
          <w:b/>
          <w:bCs/>
          <w:sz w:val="32"/>
          <w:szCs w:val="32"/>
        </w:rPr>
        <w:t xml:space="preserve"> Regarding Antimicrobial Resistance in Pakistan: A Systematic </w:t>
      </w:r>
      <w:r w:rsidR="00585851" w:rsidRPr="00585851">
        <w:rPr>
          <w:rFonts w:ascii="Arial" w:hAnsi="Arial" w:cs="Arial"/>
          <w:b/>
          <w:bCs/>
          <w:sz w:val="32"/>
          <w:szCs w:val="32"/>
        </w:rPr>
        <w:t>Review of Social Determinants</w:t>
      </w:r>
    </w:p>
    <w:p w14:paraId="6E9548D7" w14:textId="77777777" w:rsidR="00585851" w:rsidRDefault="00585851" w:rsidP="0047047B">
      <w:pPr>
        <w:spacing w:line="360" w:lineRule="auto"/>
        <w:jc w:val="both"/>
        <w:rPr>
          <w:rFonts w:ascii="Arial" w:hAnsi="Arial" w:cs="Arial"/>
          <w:b/>
          <w:bCs/>
          <w:sz w:val="22"/>
          <w:szCs w:val="22"/>
        </w:rPr>
      </w:pPr>
    </w:p>
    <w:p w14:paraId="701842B5" w14:textId="77777777" w:rsidR="00585851" w:rsidRDefault="00585851" w:rsidP="0047047B">
      <w:pPr>
        <w:spacing w:line="360" w:lineRule="auto"/>
        <w:jc w:val="both"/>
        <w:rPr>
          <w:rFonts w:ascii="Arial" w:hAnsi="Arial" w:cs="Arial"/>
          <w:b/>
          <w:bCs/>
          <w:sz w:val="22"/>
          <w:szCs w:val="22"/>
        </w:rPr>
      </w:pPr>
    </w:p>
    <w:p w14:paraId="6DC41B74" w14:textId="77777777" w:rsidR="00585851" w:rsidRPr="00585851" w:rsidRDefault="00585851" w:rsidP="00585851">
      <w:pPr>
        <w:rPr>
          <w:rFonts w:ascii="Arial" w:hAnsi="Arial" w:cs="Arial"/>
          <w:sz w:val="28"/>
          <w:szCs w:val="28"/>
        </w:rPr>
      </w:pPr>
      <w:r w:rsidRPr="00585851">
        <w:rPr>
          <w:rFonts w:ascii="Arial" w:hAnsi="Arial" w:cs="Arial"/>
          <w:sz w:val="28"/>
          <w:szCs w:val="28"/>
        </w:rPr>
        <w:t xml:space="preserve">Student Name: </w:t>
      </w:r>
      <w:r>
        <w:rPr>
          <w:rFonts w:ascii="Arial" w:hAnsi="Arial" w:cs="Arial"/>
          <w:sz w:val="28"/>
          <w:szCs w:val="28"/>
        </w:rPr>
        <w:t xml:space="preserve">Muhammad Hamza </w:t>
      </w:r>
    </w:p>
    <w:p w14:paraId="175E1B2B" w14:textId="77777777" w:rsidR="00585851" w:rsidRPr="00585851" w:rsidRDefault="00585851" w:rsidP="00585851">
      <w:pPr>
        <w:rPr>
          <w:rFonts w:ascii="Arial" w:hAnsi="Arial" w:cs="Arial"/>
          <w:sz w:val="28"/>
          <w:szCs w:val="28"/>
        </w:rPr>
      </w:pPr>
    </w:p>
    <w:p w14:paraId="1044F500" w14:textId="77777777" w:rsidR="00585851" w:rsidRPr="00585851" w:rsidRDefault="00585851" w:rsidP="00585851">
      <w:pPr>
        <w:rPr>
          <w:rFonts w:ascii="Arial" w:hAnsi="Arial" w:cs="Arial"/>
          <w:sz w:val="28"/>
          <w:szCs w:val="28"/>
        </w:rPr>
      </w:pPr>
      <w:r w:rsidRPr="00585851">
        <w:rPr>
          <w:rFonts w:ascii="Arial" w:hAnsi="Arial" w:cs="Arial"/>
          <w:sz w:val="28"/>
          <w:szCs w:val="28"/>
        </w:rPr>
        <w:t xml:space="preserve">Student ID: </w:t>
      </w:r>
      <w:r>
        <w:rPr>
          <w:rFonts w:ascii="Arial" w:hAnsi="Arial" w:cs="Arial"/>
          <w:sz w:val="28"/>
          <w:szCs w:val="28"/>
        </w:rPr>
        <w:t>2515820</w:t>
      </w:r>
    </w:p>
    <w:p w14:paraId="4077B334" w14:textId="77777777" w:rsidR="00585851" w:rsidRPr="00585851" w:rsidRDefault="00585851" w:rsidP="00585851">
      <w:pPr>
        <w:rPr>
          <w:rFonts w:ascii="Arial" w:hAnsi="Arial" w:cs="Arial"/>
          <w:sz w:val="28"/>
          <w:szCs w:val="28"/>
        </w:rPr>
      </w:pPr>
    </w:p>
    <w:p w14:paraId="4B22A031" w14:textId="77777777" w:rsidR="00585851" w:rsidRDefault="00585851" w:rsidP="00585851">
      <w:pPr>
        <w:rPr>
          <w:rFonts w:ascii="Arial" w:hAnsi="Arial" w:cs="Arial"/>
          <w:sz w:val="28"/>
          <w:szCs w:val="28"/>
        </w:rPr>
      </w:pPr>
      <w:r w:rsidRPr="00585851">
        <w:rPr>
          <w:rFonts w:ascii="Arial" w:hAnsi="Arial" w:cs="Arial"/>
          <w:sz w:val="28"/>
          <w:szCs w:val="28"/>
        </w:rPr>
        <w:t xml:space="preserve">Date: </w:t>
      </w:r>
      <w:r>
        <w:rPr>
          <w:rFonts w:ascii="Arial" w:hAnsi="Arial" w:cs="Arial"/>
          <w:sz w:val="28"/>
          <w:szCs w:val="28"/>
        </w:rPr>
        <w:t>25</w:t>
      </w:r>
      <w:r w:rsidRPr="00585851">
        <w:rPr>
          <w:rFonts w:ascii="Arial" w:hAnsi="Arial" w:cs="Arial"/>
          <w:sz w:val="28"/>
          <w:szCs w:val="28"/>
        </w:rPr>
        <w:t xml:space="preserve">th </w:t>
      </w:r>
      <w:r>
        <w:rPr>
          <w:rFonts w:ascii="Arial" w:hAnsi="Arial" w:cs="Arial"/>
          <w:sz w:val="28"/>
          <w:szCs w:val="28"/>
        </w:rPr>
        <w:t>Aug</w:t>
      </w:r>
      <w:r w:rsidRPr="00585851">
        <w:rPr>
          <w:rFonts w:ascii="Arial" w:hAnsi="Arial" w:cs="Arial"/>
          <w:sz w:val="28"/>
          <w:szCs w:val="28"/>
        </w:rPr>
        <w:t xml:space="preserve"> </w:t>
      </w:r>
      <w:r>
        <w:rPr>
          <w:rFonts w:ascii="Arial" w:hAnsi="Arial" w:cs="Arial"/>
          <w:sz w:val="28"/>
          <w:szCs w:val="28"/>
        </w:rPr>
        <w:t>2026</w:t>
      </w:r>
    </w:p>
    <w:p w14:paraId="0A684A86" w14:textId="77777777" w:rsidR="00C853F3" w:rsidRDefault="00C853F3" w:rsidP="00585851">
      <w:pPr>
        <w:rPr>
          <w:rFonts w:ascii="Arial" w:hAnsi="Arial" w:cs="Arial"/>
          <w:sz w:val="28"/>
          <w:szCs w:val="28"/>
        </w:rPr>
      </w:pPr>
    </w:p>
    <w:p w14:paraId="5DFFBE89" w14:textId="77777777" w:rsidR="00C853F3" w:rsidRPr="00524BA8" w:rsidRDefault="00C853F3" w:rsidP="00524BA8">
      <w:pPr>
        <w:rPr>
          <w:rFonts w:ascii="Arial" w:hAnsi="Arial" w:cs="Arial"/>
          <w:sz w:val="28"/>
          <w:szCs w:val="28"/>
        </w:rPr>
      </w:pPr>
      <w:bookmarkStart w:id="0" w:name="_Toc238628452"/>
      <w:bookmarkStart w:id="1" w:name="_Toc238628654"/>
      <w:r w:rsidRPr="00524BA8">
        <w:rPr>
          <w:rFonts w:ascii="Arial" w:hAnsi="Arial" w:cs="Arial"/>
          <w:sz w:val="28"/>
          <w:szCs w:val="28"/>
        </w:rPr>
        <w:t>Supervisor Name:</w:t>
      </w:r>
      <w:bookmarkEnd w:id="0"/>
      <w:bookmarkEnd w:id="1"/>
      <w:r w:rsidRPr="00524BA8">
        <w:rPr>
          <w:rFonts w:ascii="Arial" w:hAnsi="Arial" w:cs="Arial"/>
          <w:sz w:val="28"/>
          <w:szCs w:val="28"/>
        </w:rPr>
        <w:t xml:space="preserve"> </w:t>
      </w:r>
      <w:r w:rsidR="00FB72AB">
        <w:rPr>
          <w:rFonts w:ascii="Arial" w:hAnsi="Arial" w:cs="Arial"/>
          <w:sz w:val="28"/>
          <w:szCs w:val="28"/>
        </w:rPr>
        <w:t xml:space="preserve">Dr. </w:t>
      </w:r>
      <w:proofErr w:type="spellStart"/>
      <w:r w:rsidR="00FB72AB">
        <w:rPr>
          <w:rFonts w:ascii="Arial" w:hAnsi="Arial" w:cs="Arial"/>
          <w:sz w:val="28"/>
          <w:szCs w:val="28"/>
        </w:rPr>
        <w:t>Fahad</w:t>
      </w:r>
      <w:proofErr w:type="spellEnd"/>
      <w:r w:rsidR="00FB72AB">
        <w:rPr>
          <w:rFonts w:ascii="Arial" w:hAnsi="Arial" w:cs="Arial"/>
          <w:sz w:val="28"/>
          <w:szCs w:val="28"/>
        </w:rPr>
        <w:t xml:space="preserve"> Khan </w:t>
      </w:r>
    </w:p>
    <w:p w14:paraId="373D6F07" w14:textId="77777777" w:rsidR="00C853F3" w:rsidRDefault="00C853F3" w:rsidP="00C853F3">
      <w:pPr>
        <w:pStyle w:val="BodyText"/>
        <w:rPr>
          <w:rFonts w:ascii="Arial"/>
          <w:b/>
          <w:sz w:val="52"/>
        </w:rPr>
      </w:pPr>
    </w:p>
    <w:p w14:paraId="4AD9308A" w14:textId="77777777" w:rsidR="00C853F3" w:rsidRDefault="00C853F3" w:rsidP="00C853F3">
      <w:pPr>
        <w:pStyle w:val="BodyText"/>
        <w:rPr>
          <w:rFonts w:ascii="Arial"/>
          <w:b/>
          <w:sz w:val="52"/>
        </w:rPr>
      </w:pPr>
    </w:p>
    <w:p w14:paraId="0928058A" w14:textId="77777777" w:rsidR="00C853F3" w:rsidRDefault="00C853F3" w:rsidP="00C853F3">
      <w:pPr>
        <w:pStyle w:val="BodyText"/>
        <w:rPr>
          <w:rFonts w:ascii="Arial"/>
          <w:b/>
          <w:sz w:val="52"/>
        </w:rPr>
      </w:pPr>
    </w:p>
    <w:p w14:paraId="5F6925B8" w14:textId="77777777" w:rsidR="00C853F3" w:rsidRDefault="00C853F3" w:rsidP="00C853F3">
      <w:pPr>
        <w:pStyle w:val="BodyText"/>
        <w:rPr>
          <w:rFonts w:ascii="Arial"/>
          <w:b/>
          <w:sz w:val="52"/>
        </w:rPr>
      </w:pPr>
    </w:p>
    <w:p w14:paraId="5FD8F296" w14:textId="77777777" w:rsidR="00C853F3" w:rsidRDefault="00C853F3" w:rsidP="00C853F3">
      <w:pPr>
        <w:pStyle w:val="BodyText"/>
        <w:rPr>
          <w:rFonts w:ascii="Arial"/>
          <w:b/>
          <w:sz w:val="52"/>
        </w:rPr>
      </w:pPr>
    </w:p>
    <w:p w14:paraId="20DF502B" w14:textId="77777777" w:rsidR="00C853F3" w:rsidRDefault="00C853F3" w:rsidP="00C853F3">
      <w:pPr>
        <w:pStyle w:val="BodyText"/>
        <w:rPr>
          <w:rFonts w:ascii="Arial"/>
          <w:b/>
          <w:sz w:val="52"/>
        </w:rPr>
      </w:pPr>
    </w:p>
    <w:p w14:paraId="321335C6" w14:textId="77777777" w:rsidR="00C853F3" w:rsidRDefault="00C853F3" w:rsidP="00C853F3">
      <w:pPr>
        <w:pStyle w:val="BodyText"/>
        <w:rPr>
          <w:rFonts w:ascii="Arial"/>
          <w:b/>
          <w:sz w:val="52"/>
        </w:rPr>
      </w:pPr>
    </w:p>
    <w:p w14:paraId="2602B098" w14:textId="77777777" w:rsidR="00C853F3" w:rsidRDefault="00C853F3" w:rsidP="00C853F3">
      <w:pPr>
        <w:pStyle w:val="BodyText"/>
        <w:rPr>
          <w:rFonts w:ascii="Arial"/>
          <w:b/>
          <w:sz w:val="52"/>
        </w:rPr>
      </w:pPr>
    </w:p>
    <w:p w14:paraId="503D6B85" w14:textId="77777777" w:rsidR="00C853F3" w:rsidRDefault="00C853F3" w:rsidP="00C853F3">
      <w:pPr>
        <w:pStyle w:val="BodyText"/>
        <w:spacing w:before="187"/>
        <w:rPr>
          <w:rFonts w:ascii="Arial"/>
          <w:b/>
          <w:sz w:val="52"/>
        </w:rPr>
      </w:pPr>
    </w:p>
    <w:p w14:paraId="5F529EE9" w14:textId="77777777" w:rsidR="00C853F3" w:rsidRDefault="00C853F3" w:rsidP="00C853F3">
      <w:pPr>
        <w:pStyle w:val="BodyText"/>
        <w:ind w:left="415" w:right="771"/>
        <w:jc w:val="center"/>
      </w:pPr>
      <w:r>
        <w:t>Dissertation</w:t>
      </w:r>
      <w:r>
        <w:rPr>
          <w:spacing w:val="-3"/>
        </w:rPr>
        <w:t xml:space="preserve"> </w:t>
      </w:r>
      <w:r>
        <w:t>submitted</w:t>
      </w:r>
      <w:r>
        <w:rPr>
          <w:spacing w:val="-5"/>
        </w:rPr>
        <w:t xml:space="preserve"> </w:t>
      </w:r>
      <w:r>
        <w:t>as</w:t>
      </w:r>
      <w:r>
        <w:rPr>
          <w:spacing w:val="-3"/>
        </w:rPr>
        <w:t xml:space="preserve"> </w:t>
      </w:r>
      <w:r>
        <w:t>part</w:t>
      </w:r>
      <w:r>
        <w:rPr>
          <w:spacing w:val="-6"/>
        </w:rPr>
        <w:t xml:space="preserve"> </w:t>
      </w:r>
      <w:r>
        <w:t>of</w:t>
      </w:r>
      <w:r>
        <w:rPr>
          <w:spacing w:val="-5"/>
        </w:rPr>
        <w:t xml:space="preserve"> </w:t>
      </w:r>
      <w:r>
        <w:t>the</w:t>
      </w:r>
      <w:r>
        <w:rPr>
          <w:spacing w:val="-3"/>
        </w:rPr>
        <w:t xml:space="preserve"> </w:t>
      </w:r>
      <w:r>
        <w:t>requirements</w:t>
      </w:r>
      <w:r>
        <w:rPr>
          <w:spacing w:val="-3"/>
        </w:rPr>
        <w:t xml:space="preserve"> </w:t>
      </w:r>
      <w:r>
        <w:t>for</w:t>
      </w:r>
      <w:r>
        <w:rPr>
          <w:spacing w:val="-3"/>
        </w:rPr>
        <w:t xml:space="preserve"> </w:t>
      </w:r>
      <w:r>
        <w:t>the</w:t>
      </w:r>
      <w:r>
        <w:rPr>
          <w:spacing w:val="-3"/>
        </w:rPr>
        <w:t xml:space="preserve"> </w:t>
      </w:r>
      <w:r>
        <w:t>award of</w:t>
      </w:r>
      <w:r>
        <w:rPr>
          <w:spacing w:val="-4"/>
        </w:rPr>
        <w:t xml:space="preserve"> </w:t>
      </w:r>
      <w:r>
        <w:t>MSc</w:t>
      </w:r>
      <w:r>
        <w:rPr>
          <w:spacing w:val="-3"/>
        </w:rPr>
        <w:t xml:space="preserve"> </w:t>
      </w:r>
      <w:r>
        <w:t>Public Health and Social Care in Practice</w:t>
      </w:r>
    </w:p>
    <w:p w14:paraId="7FA7496D" w14:textId="77777777" w:rsidR="00C853F3" w:rsidRDefault="00C853F3" w:rsidP="00C853F3">
      <w:pPr>
        <w:pStyle w:val="BodyText"/>
      </w:pPr>
    </w:p>
    <w:p w14:paraId="4FB8D34E" w14:textId="77777777" w:rsidR="00C853F3" w:rsidRDefault="00FD107D" w:rsidP="00C853F3">
      <w:pPr>
        <w:pStyle w:val="BodyText"/>
        <w:ind w:left="417" w:right="771"/>
        <w:jc w:val="center"/>
      </w:pPr>
      <w:r>
        <w:rPr>
          <w:spacing w:val="-2"/>
        </w:rPr>
        <w:t>Aug/2026</w:t>
      </w:r>
    </w:p>
    <w:p w14:paraId="008F4928" w14:textId="77777777" w:rsidR="00585851" w:rsidRDefault="00585851" w:rsidP="0047047B">
      <w:pPr>
        <w:spacing w:line="360" w:lineRule="auto"/>
        <w:jc w:val="both"/>
        <w:rPr>
          <w:rFonts w:ascii="Arial" w:hAnsi="Arial" w:cs="Arial"/>
          <w:b/>
          <w:bCs/>
          <w:sz w:val="22"/>
          <w:szCs w:val="22"/>
        </w:rPr>
      </w:pPr>
    </w:p>
    <w:p w14:paraId="13F633A3" w14:textId="77777777" w:rsidR="006C5E1A" w:rsidRPr="00524BA8" w:rsidRDefault="006C5E1A" w:rsidP="00524BA8">
      <w:pPr>
        <w:pStyle w:val="Heading1"/>
        <w:jc w:val="center"/>
        <w:rPr>
          <w:rFonts w:ascii="Arial" w:hAnsi="Arial" w:cs="Arial"/>
          <w:b/>
          <w:bCs/>
          <w:color w:val="000000"/>
          <w:sz w:val="22"/>
          <w:szCs w:val="22"/>
        </w:rPr>
      </w:pPr>
      <w:bookmarkStart w:id="2" w:name="_Toc238628655"/>
      <w:bookmarkStart w:id="3" w:name="_Toc238628739"/>
      <w:bookmarkStart w:id="4" w:name="_Toc238647363"/>
      <w:r w:rsidRPr="00524BA8">
        <w:rPr>
          <w:rFonts w:ascii="Arial" w:hAnsi="Arial" w:cs="Arial"/>
          <w:b/>
          <w:bCs/>
          <w:color w:val="000000"/>
          <w:sz w:val="22"/>
          <w:szCs w:val="22"/>
        </w:rPr>
        <w:lastRenderedPageBreak/>
        <w:t>DECLARATION</w:t>
      </w:r>
      <w:bookmarkEnd w:id="2"/>
      <w:bookmarkEnd w:id="3"/>
      <w:bookmarkEnd w:id="4"/>
    </w:p>
    <w:p w14:paraId="6727BF38" w14:textId="77777777" w:rsidR="006C5E1A" w:rsidRPr="00524BA8" w:rsidRDefault="006C5E1A" w:rsidP="006C5E1A">
      <w:pPr>
        <w:pStyle w:val="BodyText"/>
        <w:spacing w:before="255"/>
        <w:ind w:left="360" w:right="745"/>
        <w:rPr>
          <w:rFonts w:ascii="Arial" w:hAnsi="Arial" w:cs="Arial"/>
          <w:color w:val="000000"/>
          <w:sz w:val="22"/>
          <w:szCs w:val="22"/>
        </w:rPr>
      </w:pPr>
      <w:r w:rsidRPr="00524BA8">
        <w:rPr>
          <w:rFonts w:ascii="Arial" w:hAnsi="Arial" w:cs="Arial"/>
          <w:color w:val="000000"/>
          <w:sz w:val="22"/>
          <w:szCs w:val="22"/>
        </w:rPr>
        <w:t xml:space="preserve">I, </w:t>
      </w:r>
      <w:r w:rsidRPr="00524BA8">
        <w:rPr>
          <w:rFonts w:ascii="Arial" w:hAnsi="Arial" w:cs="Arial"/>
          <w:i/>
          <w:color w:val="000000"/>
          <w:sz w:val="22"/>
          <w:szCs w:val="22"/>
        </w:rPr>
        <w:t xml:space="preserve">Muhammad Hamza </w:t>
      </w:r>
      <w:r w:rsidRPr="00524BA8">
        <w:rPr>
          <w:rFonts w:ascii="Arial" w:hAnsi="Arial" w:cs="Arial"/>
          <w:color w:val="000000"/>
          <w:sz w:val="22"/>
          <w:szCs w:val="22"/>
        </w:rPr>
        <w:t>declare that this dissertation has been composed by myself, that the</w:t>
      </w:r>
      <w:r w:rsidRPr="00524BA8">
        <w:rPr>
          <w:rFonts w:ascii="Arial" w:hAnsi="Arial" w:cs="Arial"/>
          <w:color w:val="000000"/>
          <w:spacing w:val="-3"/>
          <w:sz w:val="22"/>
          <w:szCs w:val="22"/>
        </w:rPr>
        <w:t xml:space="preserve"> </w:t>
      </w:r>
      <w:r w:rsidRPr="00524BA8">
        <w:rPr>
          <w:rFonts w:ascii="Arial" w:hAnsi="Arial" w:cs="Arial"/>
          <w:color w:val="000000"/>
          <w:sz w:val="22"/>
          <w:szCs w:val="22"/>
        </w:rPr>
        <w:t>work</w:t>
      </w:r>
      <w:r w:rsidRPr="00524BA8">
        <w:rPr>
          <w:rFonts w:ascii="Arial" w:hAnsi="Arial" w:cs="Arial"/>
          <w:color w:val="000000"/>
          <w:spacing w:val="-3"/>
          <w:sz w:val="22"/>
          <w:szCs w:val="22"/>
        </w:rPr>
        <w:t xml:space="preserve"> </w:t>
      </w:r>
      <w:r w:rsidRPr="00524BA8">
        <w:rPr>
          <w:rFonts w:ascii="Arial" w:hAnsi="Arial" w:cs="Arial"/>
          <w:color w:val="000000"/>
          <w:sz w:val="22"/>
          <w:szCs w:val="22"/>
        </w:rPr>
        <w:t>contained</w:t>
      </w:r>
      <w:r w:rsidRPr="00524BA8">
        <w:rPr>
          <w:rFonts w:ascii="Arial" w:hAnsi="Arial" w:cs="Arial"/>
          <w:color w:val="000000"/>
          <w:spacing w:val="-3"/>
          <w:sz w:val="22"/>
          <w:szCs w:val="22"/>
        </w:rPr>
        <w:t xml:space="preserve"> </w:t>
      </w:r>
      <w:r w:rsidRPr="00524BA8">
        <w:rPr>
          <w:rFonts w:ascii="Arial" w:hAnsi="Arial" w:cs="Arial"/>
          <w:color w:val="000000"/>
          <w:sz w:val="22"/>
          <w:szCs w:val="22"/>
        </w:rPr>
        <w:t>herein</w:t>
      </w:r>
      <w:r w:rsidRPr="00524BA8">
        <w:rPr>
          <w:rFonts w:ascii="Arial" w:hAnsi="Arial" w:cs="Arial"/>
          <w:color w:val="000000"/>
          <w:spacing w:val="-3"/>
          <w:sz w:val="22"/>
          <w:szCs w:val="22"/>
        </w:rPr>
        <w:t xml:space="preserve"> </w:t>
      </w:r>
      <w:r w:rsidRPr="00524BA8">
        <w:rPr>
          <w:rFonts w:ascii="Arial" w:hAnsi="Arial" w:cs="Arial"/>
          <w:color w:val="000000"/>
          <w:sz w:val="22"/>
          <w:szCs w:val="22"/>
        </w:rPr>
        <w:t>is</w:t>
      </w:r>
      <w:r w:rsidRPr="00524BA8">
        <w:rPr>
          <w:rFonts w:ascii="Arial" w:hAnsi="Arial" w:cs="Arial"/>
          <w:color w:val="000000"/>
          <w:spacing w:val="-3"/>
          <w:sz w:val="22"/>
          <w:szCs w:val="22"/>
        </w:rPr>
        <w:t xml:space="preserve"> </w:t>
      </w:r>
      <w:r w:rsidRPr="00524BA8">
        <w:rPr>
          <w:rFonts w:ascii="Arial" w:hAnsi="Arial" w:cs="Arial"/>
          <w:color w:val="000000"/>
          <w:sz w:val="22"/>
          <w:szCs w:val="22"/>
        </w:rPr>
        <w:t>entirely</w:t>
      </w:r>
      <w:r w:rsidRPr="00524BA8">
        <w:rPr>
          <w:rFonts w:ascii="Arial" w:hAnsi="Arial" w:cs="Arial"/>
          <w:color w:val="000000"/>
          <w:spacing w:val="-3"/>
          <w:sz w:val="22"/>
          <w:szCs w:val="22"/>
        </w:rPr>
        <w:t xml:space="preserve"> </w:t>
      </w:r>
      <w:r w:rsidRPr="00524BA8">
        <w:rPr>
          <w:rFonts w:ascii="Arial" w:hAnsi="Arial" w:cs="Arial"/>
          <w:color w:val="000000"/>
          <w:sz w:val="22"/>
          <w:szCs w:val="22"/>
        </w:rPr>
        <w:t>my</w:t>
      </w:r>
      <w:r w:rsidRPr="00524BA8">
        <w:rPr>
          <w:rFonts w:ascii="Arial" w:hAnsi="Arial" w:cs="Arial"/>
          <w:color w:val="000000"/>
          <w:spacing w:val="-5"/>
          <w:sz w:val="22"/>
          <w:szCs w:val="22"/>
        </w:rPr>
        <w:t xml:space="preserve"> </w:t>
      </w:r>
      <w:r w:rsidRPr="00524BA8">
        <w:rPr>
          <w:rFonts w:ascii="Arial" w:hAnsi="Arial" w:cs="Arial"/>
          <w:color w:val="000000"/>
          <w:sz w:val="22"/>
          <w:szCs w:val="22"/>
        </w:rPr>
        <w:t>own</w:t>
      </w:r>
      <w:r w:rsidRPr="00524BA8">
        <w:rPr>
          <w:rFonts w:ascii="Arial" w:hAnsi="Arial" w:cs="Arial"/>
          <w:color w:val="000000"/>
          <w:spacing w:val="-5"/>
          <w:sz w:val="22"/>
          <w:szCs w:val="22"/>
        </w:rPr>
        <w:t xml:space="preserve"> </w:t>
      </w:r>
      <w:r w:rsidRPr="00524BA8">
        <w:rPr>
          <w:rFonts w:ascii="Arial" w:hAnsi="Arial" w:cs="Arial"/>
          <w:color w:val="000000"/>
          <w:sz w:val="22"/>
          <w:szCs w:val="22"/>
        </w:rPr>
        <w:t>except</w:t>
      </w:r>
      <w:r w:rsidRPr="00524BA8">
        <w:rPr>
          <w:rFonts w:ascii="Arial" w:hAnsi="Arial" w:cs="Arial"/>
          <w:color w:val="000000"/>
          <w:spacing w:val="-5"/>
          <w:sz w:val="22"/>
          <w:szCs w:val="22"/>
        </w:rPr>
        <w:t xml:space="preserve"> </w:t>
      </w:r>
      <w:r w:rsidRPr="00524BA8">
        <w:rPr>
          <w:rFonts w:ascii="Arial" w:hAnsi="Arial" w:cs="Arial"/>
          <w:color w:val="000000"/>
          <w:sz w:val="22"/>
          <w:szCs w:val="22"/>
        </w:rPr>
        <w:t>where</w:t>
      </w:r>
      <w:r w:rsidRPr="00524BA8">
        <w:rPr>
          <w:rFonts w:ascii="Arial" w:hAnsi="Arial" w:cs="Arial"/>
          <w:color w:val="000000"/>
          <w:spacing w:val="-5"/>
          <w:sz w:val="22"/>
          <w:szCs w:val="22"/>
        </w:rPr>
        <w:t xml:space="preserve"> </w:t>
      </w:r>
      <w:r w:rsidRPr="00524BA8">
        <w:rPr>
          <w:rFonts w:ascii="Arial" w:hAnsi="Arial" w:cs="Arial"/>
          <w:color w:val="000000"/>
          <w:sz w:val="22"/>
          <w:szCs w:val="22"/>
        </w:rPr>
        <w:t>explicitly</w:t>
      </w:r>
      <w:r w:rsidRPr="00524BA8">
        <w:rPr>
          <w:rFonts w:ascii="Arial" w:hAnsi="Arial" w:cs="Arial"/>
          <w:color w:val="000000"/>
          <w:spacing w:val="-3"/>
          <w:sz w:val="22"/>
          <w:szCs w:val="22"/>
        </w:rPr>
        <w:t xml:space="preserve"> </w:t>
      </w:r>
      <w:r w:rsidRPr="00524BA8">
        <w:rPr>
          <w:rFonts w:ascii="Arial" w:hAnsi="Arial" w:cs="Arial"/>
          <w:color w:val="000000"/>
          <w:sz w:val="22"/>
          <w:szCs w:val="22"/>
        </w:rPr>
        <w:t>stated</w:t>
      </w:r>
      <w:r w:rsidRPr="00524BA8">
        <w:rPr>
          <w:rFonts w:ascii="Arial" w:hAnsi="Arial" w:cs="Arial"/>
          <w:color w:val="000000"/>
          <w:spacing w:val="-3"/>
          <w:sz w:val="22"/>
          <w:szCs w:val="22"/>
        </w:rPr>
        <w:t xml:space="preserve"> </w:t>
      </w:r>
      <w:r w:rsidRPr="00524BA8">
        <w:rPr>
          <w:rFonts w:ascii="Arial" w:hAnsi="Arial" w:cs="Arial"/>
          <w:color w:val="000000"/>
          <w:sz w:val="22"/>
          <w:szCs w:val="22"/>
        </w:rPr>
        <w:t>otherwise in the text, and that this work has not been submitted for any other degree or qualification, in whole or in part, except as specified.</w:t>
      </w:r>
    </w:p>
    <w:p w14:paraId="7ADFA5DD" w14:textId="77777777" w:rsidR="006C5E1A" w:rsidRPr="00524BA8" w:rsidRDefault="006C5E1A" w:rsidP="006C5E1A">
      <w:pPr>
        <w:pStyle w:val="BodyText"/>
        <w:rPr>
          <w:rFonts w:ascii="Arial" w:hAnsi="Arial" w:cs="Arial"/>
          <w:color w:val="000000"/>
          <w:sz w:val="22"/>
          <w:szCs w:val="22"/>
        </w:rPr>
      </w:pPr>
    </w:p>
    <w:p w14:paraId="70EB01A0" w14:textId="77777777" w:rsidR="004255BA" w:rsidRDefault="004255BA" w:rsidP="006C5E1A">
      <w:pPr>
        <w:pStyle w:val="BodyText"/>
        <w:ind w:left="360"/>
        <w:rPr>
          <w:rFonts w:ascii="Arial" w:hAnsi="Arial" w:cs="Arial"/>
          <w:color w:val="000000"/>
          <w:spacing w:val="-2"/>
          <w:sz w:val="22"/>
          <w:szCs w:val="22"/>
        </w:rPr>
      </w:pPr>
    </w:p>
    <w:p w14:paraId="02AA3829" w14:textId="77777777" w:rsidR="006C5E1A" w:rsidRPr="00524BA8" w:rsidRDefault="006C5E1A" w:rsidP="006C5E1A">
      <w:pPr>
        <w:pStyle w:val="BodyText"/>
        <w:ind w:left="360"/>
        <w:rPr>
          <w:rFonts w:ascii="Arial" w:hAnsi="Arial" w:cs="Arial"/>
          <w:color w:val="000000"/>
          <w:sz w:val="22"/>
          <w:szCs w:val="22"/>
        </w:rPr>
      </w:pPr>
      <w:r w:rsidRPr="00524BA8">
        <w:rPr>
          <w:rFonts w:ascii="Arial" w:hAnsi="Arial" w:cs="Arial"/>
          <w:color w:val="000000"/>
          <w:spacing w:val="-2"/>
          <w:sz w:val="22"/>
          <w:szCs w:val="22"/>
        </w:rPr>
        <w:t>Signature</w:t>
      </w:r>
      <w:proofErr w:type="gramStart"/>
      <w:r w:rsidRPr="00524BA8">
        <w:rPr>
          <w:rFonts w:ascii="Arial" w:hAnsi="Arial" w:cs="Arial"/>
          <w:color w:val="000000"/>
          <w:spacing w:val="-2"/>
          <w:sz w:val="22"/>
          <w:szCs w:val="22"/>
        </w:rPr>
        <w:t>:......................................................</w:t>
      </w:r>
      <w:proofErr w:type="gramEnd"/>
    </w:p>
    <w:p w14:paraId="57393910" w14:textId="77777777" w:rsidR="006C5E1A" w:rsidRPr="00524BA8" w:rsidRDefault="006C5E1A" w:rsidP="006C5E1A">
      <w:pPr>
        <w:pStyle w:val="BodyText"/>
        <w:spacing w:before="274"/>
        <w:ind w:left="360"/>
        <w:rPr>
          <w:rFonts w:ascii="Arial" w:hAnsi="Arial" w:cs="Arial"/>
          <w:color w:val="000000"/>
          <w:sz w:val="22"/>
          <w:szCs w:val="22"/>
        </w:rPr>
      </w:pPr>
      <w:r w:rsidRPr="00524BA8">
        <w:rPr>
          <w:rFonts w:ascii="Arial" w:hAnsi="Arial" w:cs="Arial"/>
          <w:color w:val="000000"/>
          <w:sz w:val="22"/>
          <w:szCs w:val="22"/>
        </w:rPr>
        <w:t>Date: 26</w:t>
      </w:r>
      <w:r w:rsidRPr="00524BA8">
        <w:rPr>
          <w:rFonts w:ascii="Arial" w:hAnsi="Arial" w:cs="Arial"/>
          <w:color w:val="000000"/>
          <w:sz w:val="22"/>
          <w:szCs w:val="22"/>
          <w:vertAlign w:val="superscript"/>
        </w:rPr>
        <w:t>th</w:t>
      </w:r>
      <w:r w:rsidRPr="00524BA8">
        <w:rPr>
          <w:rFonts w:ascii="Arial" w:hAnsi="Arial" w:cs="Arial"/>
          <w:color w:val="000000"/>
          <w:sz w:val="22"/>
          <w:szCs w:val="22"/>
        </w:rPr>
        <w:t xml:space="preserve"> Aug 2026</w:t>
      </w:r>
    </w:p>
    <w:p w14:paraId="494EEF2F" w14:textId="77777777" w:rsidR="0064415E" w:rsidRDefault="0064415E" w:rsidP="0047047B">
      <w:pPr>
        <w:spacing w:line="360" w:lineRule="auto"/>
        <w:jc w:val="both"/>
        <w:rPr>
          <w:rFonts w:ascii="Arial" w:hAnsi="Arial" w:cs="Arial"/>
          <w:b/>
          <w:bCs/>
          <w:sz w:val="22"/>
          <w:szCs w:val="22"/>
        </w:rPr>
      </w:pPr>
    </w:p>
    <w:p w14:paraId="743ABCC8" w14:textId="77777777" w:rsidR="0064415E" w:rsidRDefault="0064415E" w:rsidP="0047047B">
      <w:pPr>
        <w:spacing w:line="360" w:lineRule="auto"/>
        <w:jc w:val="both"/>
        <w:rPr>
          <w:rFonts w:ascii="Arial" w:hAnsi="Arial" w:cs="Arial"/>
          <w:b/>
          <w:bCs/>
          <w:sz w:val="22"/>
          <w:szCs w:val="22"/>
        </w:rPr>
      </w:pPr>
    </w:p>
    <w:p w14:paraId="0C693547" w14:textId="77777777" w:rsidR="0064415E" w:rsidRDefault="0064415E" w:rsidP="0047047B">
      <w:pPr>
        <w:spacing w:line="360" w:lineRule="auto"/>
        <w:jc w:val="both"/>
        <w:rPr>
          <w:rFonts w:ascii="Arial" w:hAnsi="Arial" w:cs="Arial"/>
          <w:b/>
          <w:bCs/>
          <w:sz w:val="22"/>
          <w:szCs w:val="22"/>
        </w:rPr>
      </w:pPr>
    </w:p>
    <w:p w14:paraId="3B2D9892" w14:textId="77777777" w:rsidR="0064415E" w:rsidRDefault="0064415E" w:rsidP="0047047B">
      <w:pPr>
        <w:spacing w:line="360" w:lineRule="auto"/>
        <w:jc w:val="both"/>
        <w:rPr>
          <w:rFonts w:ascii="Arial" w:hAnsi="Arial" w:cs="Arial"/>
          <w:b/>
          <w:bCs/>
          <w:sz w:val="22"/>
          <w:szCs w:val="22"/>
        </w:rPr>
      </w:pPr>
    </w:p>
    <w:p w14:paraId="5F42E038" w14:textId="77777777" w:rsidR="0064415E" w:rsidRDefault="0064415E" w:rsidP="0047047B">
      <w:pPr>
        <w:spacing w:line="360" w:lineRule="auto"/>
        <w:jc w:val="both"/>
        <w:rPr>
          <w:rFonts w:ascii="Arial" w:hAnsi="Arial" w:cs="Arial"/>
          <w:b/>
          <w:bCs/>
          <w:sz w:val="22"/>
          <w:szCs w:val="22"/>
        </w:rPr>
      </w:pPr>
    </w:p>
    <w:p w14:paraId="23A0B39D" w14:textId="77777777" w:rsidR="0064415E" w:rsidRDefault="0064415E" w:rsidP="0047047B">
      <w:pPr>
        <w:spacing w:line="360" w:lineRule="auto"/>
        <w:jc w:val="both"/>
        <w:rPr>
          <w:rFonts w:ascii="Arial" w:hAnsi="Arial" w:cs="Arial"/>
          <w:b/>
          <w:bCs/>
          <w:sz w:val="22"/>
          <w:szCs w:val="22"/>
        </w:rPr>
      </w:pPr>
    </w:p>
    <w:p w14:paraId="67175DC2" w14:textId="77777777" w:rsidR="0064415E" w:rsidRDefault="0064415E" w:rsidP="0047047B">
      <w:pPr>
        <w:spacing w:line="360" w:lineRule="auto"/>
        <w:jc w:val="both"/>
        <w:rPr>
          <w:rFonts w:ascii="Arial" w:hAnsi="Arial" w:cs="Arial"/>
          <w:b/>
          <w:bCs/>
          <w:sz w:val="22"/>
          <w:szCs w:val="22"/>
        </w:rPr>
      </w:pPr>
    </w:p>
    <w:p w14:paraId="0674BF82" w14:textId="77777777" w:rsidR="0064415E" w:rsidRDefault="0064415E" w:rsidP="0047047B">
      <w:pPr>
        <w:spacing w:line="360" w:lineRule="auto"/>
        <w:jc w:val="both"/>
        <w:rPr>
          <w:rFonts w:ascii="Arial" w:hAnsi="Arial" w:cs="Arial"/>
          <w:b/>
          <w:bCs/>
          <w:sz w:val="22"/>
          <w:szCs w:val="22"/>
        </w:rPr>
      </w:pPr>
    </w:p>
    <w:p w14:paraId="47E3A482" w14:textId="77777777" w:rsidR="0064415E" w:rsidRDefault="0064415E" w:rsidP="0047047B">
      <w:pPr>
        <w:spacing w:line="360" w:lineRule="auto"/>
        <w:jc w:val="both"/>
        <w:rPr>
          <w:rFonts w:ascii="Arial" w:hAnsi="Arial" w:cs="Arial"/>
          <w:b/>
          <w:bCs/>
          <w:sz w:val="22"/>
          <w:szCs w:val="22"/>
        </w:rPr>
      </w:pPr>
    </w:p>
    <w:p w14:paraId="032AF79B" w14:textId="77777777" w:rsidR="0064415E" w:rsidRDefault="0064415E" w:rsidP="0047047B">
      <w:pPr>
        <w:spacing w:line="360" w:lineRule="auto"/>
        <w:jc w:val="both"/>
        <w:rPr>
          <w:rFonts w:ascii="Arial" w:hAnsi="Arial" w:cs="Arial"/>
          <w:b/>
          <w:bCs/>
          <w:sz w:val="22"/>
          <w:szCs w:val="22"/>
        </w:rPr>
      </w:pPr>
    </w:p>
    <w:p w14:paraId="2269A9C3" w14:textId="77777777" w:rsidR="006C5E1A" w:rsidRDefault="006C5E1A" w:rsidP="0047047B">
      <w:pPr>
        <w:spacing w:line="360" w:lineRule="auto"/>
        <w:jc w:val="both"/>
        <w:rPr>
          <w:rFonts w:ascii="Arial" w:hAnsi="Arial" w:cs="Arial"/>
          <w:b/>
          <w:bCs/>
          <w:sz w:val="22"/>
          <w:szCs w:val="22"/>
        </w:rPr>
      </w:pPr>
    </w:p>
    <w:p w14:paraId="4AA25703" w14:textId="77777777" w:rsidR="006C5E1A" w:rsidRDefault="006C5E1A" w:rsidP="0047047B">
      <w:pPr>
        <w:spacing w:line="360" w:lineRule="auto"/>
        <w:jc w:val="both"/>
        <w:rPr>
          <w:rFonts w:ascii="Arial" w:hAnsi="Arial" w:cs="Arial"/>
          <w:b/>
          <w:bCs/>
          <w:sz w:val="22"/>
          <w:szCs w:val="22"/>
        </w:rPr>
      </w:pPr>
    </w:p>
    <w:p w14:paraId="50F0EF45" w14:textId="77777777" w:rsidR="006C5E1A" w:rsidRDefault="006C5E1A" w:rsidP="0047047B">
      <w:pPr>
        <w:spacing w:line="360" w:lineRule="auto"/>
        <w:jc w:val="both"/>
        <w:rPr>
          <w:rFonts w:ascii="Arial" w:hAnsi="Arial" w:cs="Arial"/>
          <w:b/>
          <w:bCs/>
          <w:sz w:val="22"/>
          <w:szCs w:val="22"/>
        </w:rPr>
      </w:pPr>
    </w:p>
    <w:p w14:paraId="46181A75" w14:textId="77777777" w:rsidR="006C5E1A" w:rsidRDefault="006C5E1A" w:rsidP="0047047B">
      <w:pPr>
        <w:spacing w:line="360" w:lineRule="auto"/>
        <w:jc w:val="both"/>
        <w:rPr>
          <w:rFonts w:ascii="Arial" w:hAnsi="Arial" w:cs="Arial"/>
          <w:b/>
          <w:bCs/>
          <w:sz w:val="22"/>
          <w:szCs w:val="22"/>
        </w:rPr>
      </w:pPr>
    </w:p>
    <w:p w14:paraId="25BBE607" w14:textId="77777777" w:rsidR="006C5E1A" w:rsidRDefault="006C5E1A" w:rsidP="0047047B">
      <w:pPr>
        <w:spacing w:line="360" w:lineRule="auto"/>
        <w:jc w:val="both"/>
        <w:rPr>
          <w:rFonts w:ascii="Arial" w:hAnsi="Arial" w:cs="Arial"/>
          <w:b/>
          <w:bCs/>
          <w:sz w:val="22"/>
          <w:szCs w:val="22"/>
        </w:rPr>
      </w:pPr>
    </w:p>
    <w:p w14:paraId="3474671F" w14:textId="77777777" w:rsidR="006C5E1A" w:rsidRDefault="006C5E1A" w:rsidP="0047047B">
      <w:pPr>
        <w:spacing w:line="360" w:lineRule="auto"/>
        <w:jc w:val="both"/>
        <w:rPr>
          <w:rFonts w:ascii="Arial" w:hAnsi="Arial" w:cs="Arial"/>
          <w:b/>
          <w:bCs/>
          <w:sz w:val="22"/>
          <w:szCs w:val="22"/>
        </w:rPr>
      </w:pPr>
    </w:p>
    <w:p w14:paraId="70A4DC29" w14:textId="77777777" w:rsidR="006C5E1A" w:rsidRDefault="006C5E1A" w:rsidP="0047047B">
      <w:pPr>
        <w:spacing w:line="360" w:lineRule="auto"/>
        <w:jc w:val="both"/>
        <w:rPr>
          <w:rFonts w:ascii="Arial" w:hAnsi="Arial" w:cs="Arial"/>
          <w:b/>
          <w:bCs/>
          <w:sz w:val="22"/>
          <w:szCs w:val="22"/>
        </w:rPr>
      </w:pPr>
    </w:p>
    <w:p w14:paraId="7F9F112B" w14:textId="77777777" w:rsidR="006C5E1A" w:rsidRDefault="006C5E1A" w:rsidP="0047047B">
      <w:pPr>
        <w:spacing w:line="360" w:lineRule="auto"/>
        <w:jc w:val="both"/>
        <w:rPr>
          <w:rFonts w:ascii="Arial" w:hAnsi="Arial" w:cs="Arial"/>
          <w:b/>
          <w:bCs/>
          <w:sz w:val="22"/>
          <w:szCs w:val="22"/>
        </w:rPr>
      </w:pPr>
    </w:p>
    <w:p w14:paraId="14629DA1" w14:textId="77777777" w:rsidR="0064415E" w:rsidRPr="00524BA8" w:rsidRDefault="0064415E" w:rsidP="006C5E1A">
      <w:pPr>
        <w:pStyle w:val="Heading1"/>
        <w:jc w:val="center"/>
        <w:rPr>
          <w:rFonts w:ascii="Arial" w:hAnsi="Arial" w:cs="Arial"/>
          <w:b/>
          <w:bCs/>
          <w:color w:val="000000"/>
          <w:sz w:val="22"/>
          <w:szCs w:val="22"/>
        </w:rPr>
      </w:pPr>
      <w:bookmarkStart w:id="5" w:name="_Toc238590304"/>
      <w:bookmarkStart w:id="6" w:name="_Toc238628453"/>
      <w:bookmarkStart w:id="7" w:name="_Toc238628656"/>
      <w:bookmarkStart w:id="8" w:name="_Toc238628740"/>
      <w:bookmarkStart w:id="9" w:name="_Toc238647364"/>
      <w:r w:rsidRPr="00524BA8">
        <w:rPr>
          <w:rFonts w:ascii="Arial" w:hAnsi="Arial" w:cs="Arial"/>
          <w:b/>
          <w:bCs/>
          <w:color w:val="000000"/>
          <w:spacing w:val="-2"/>
          <w:sz w:val="22"/>
          <w:szCs w:val="22"/>
        </w:rPr>
        <w:lastRenderedPageBreak/>
        <w:t>Acknowledgement</w:t>
      </w:r>
      <w:bookmarkEnd w:id="5"/>
      <w:bookmarkEnd w:id="6"/>
      <w:bookmarkEnd w:id="7"/>
      <w:bookmarkEnd w:id="8"/>
      <w:bookmarkEnd w:id="9"/>
    </w:p>
    <w:p w14:paraId="2645D878" w14:textId="77777777" w:rsidR="006C5E1A" w:rsidRPr="00524BA8" w:rsidRDefault="006C5E1A" w:rsidP="006C5E1A">
      <w:pPr>
        <w:spacing w:before="100" w:beforeAutospacing="1" w:after="100" w:afterAutospacing="1" w:line="240" w:lineRule="auto"/>
        <w:jc w:val="both"/>
        <w:rPr>
          <w:rFonts w:ascii="Arial" w:eastAsia="Times New Roman" w:hAnsi="Arial" w:cs="Arial"/>
          <w:kern w:val="0"/>
          <w:sz w:val="22"/>
          <w:szCs w:val="22"/>
        </w:rPr>
      </w:pPr>
      <w:r w:rsidRPr="00524BA8">
        <w:rPr>
          <w:rFonts w:ascii="Arial" w:eastAsia="Times New Roman" w:hAnsi="Arial" w:cs="Arial"/>
          <w:kern w:val="0"/>
          <w:sz w:val="22"/>
          <w:szCs w:val="22"/>
        </w:rPr>
        <w:t>I would also like to thank all the people who helped me with this research project. I am truly grateful to my academic supervisor for their valuable and constructive feedback, guidance, and motivation, which have been instrumental in shaping this dissertation. Additionally, I would like to thank the faculty members and administrative staff of the campus for their academic support and assistance. I am also thankful to the library staff for helping me locate appropriate literature and resources. My sincere gratitude also goes to my peers and fellow students for their engaging discussions and moral support during challenging times.</w:t>
      </w:r>
    </w:p>
    <w:p w14:paraId="608E4929" w14:textId="77777777" w:rsidR="006C5E1A" w:rsidRPr="00524BA8" w:rsidRDefault="006C5E1A" w:rsidP="006C5E1A">
      <w:pPr>
        <w:spacing w:before="100" w:beforeAutospacing="1" w:after="100" w:afterAutospacing="1" w:line="240" w:lineRule="auto"/>
        <w:jc w:val="both"/>
        <w:rPr>
          <w:rFonts w:ascii="Arial" w:eastAsia="Times New Roman" w:hAnsi="Arial" w:cs="Arial"/>
          <w:kern w:val="0"/>
          <w:sz w:val="22"/>
          <w:szCs w:val="22"/>
        </w:rPr>
      </w:pPr>
      <w:r w:rsidRPr="00524BA8">
        <w:rPr>
          <w:rFonts w:ascii="Arial" w:eastAsia="Times New Roman" w:hAnsi="Arial" w:cs="Arial"/>
          <w:kern w:val="0"/>
          <w:sz w:val="22"/>
          <w:szCs w:val="22"/>
        </w:rPr>
        <w:t>I would like to express my deepest gratitude to my parents and siblings for their constant love, encouragement, patience, and support throughout my academic journey. Their belief in me has been a continuous source of strength and motivation.</w:t>
      </w:r>
    </w:p>
    <w:p w14:paraId="4D99945E" w14:textId="77777777" w:rsidR="006C5E1A" w:rsidRPr="00524BA8" w:rsidRDefault="006C5E1A" w:rsidP="006C5E1A">
      <w:pPr>
        <w:spacing w:before="100" w:beforeAutospacing="1" w:after="100" w:afterAutospacing="1" w:line="240" w:lineRule="auto"/>
        <w:jc w:val="both"/>
        <w:rPr>
          <w:rFonts w:ascii="Arial" w:eastAsia="Times New Roman" w:hAnsi="Arial" w:cs="Arial"/>
          <w:kern w:val="0"/>
          <w:sz w:val="22"/>
          <w:szCs w:val="22"/>
        </w:rPr>
      </w:pPr>
      <w:r w:rsidRPr="00524BA8">
        <w:rPr>
          <w:rFonts w:ascii="Arial" w:eastAsia="Times New Roman" w:hAnsi="Arial" w:cs="Arial"/>
          <w:kern w:val="0"/>
          <w:sz w:val="22"/>
          <w:szCs w:val="22"/>
        </w:rPr>
        <w:t>Finally, I would like to thank the researchers whose valuable work provided the foundation for this study. The successful completion of this research would not have been possible without the time, expertise, encouragement, and support of all those involved.</w:t>
      </w:r>
    </w:p>
    <w:p w14:paraId="17DDB843" w14:textId="77777777" w:rsidR="0064415E" w:rsidRDefault="0064415E" w:rsidP="0047047B">
      <w:pPr>
        <w:spacing w:line="360" w:lineRule="auto"/>
        <w:jc w:val="both"/>
        <w:rPr>
          <w:rFonts w:ascii="Arial" w:hAnsi="Arial" w:cs="Arial"/>
          <w:b/>
          <w:bCs/>
          <w:sz w:val="22"/>
          <w:szCs w:val="22"/>
        </w:rPr>
      </w:pPr>
    </w:p>
    <w:p w14:paraId="2FF29B36" w14:textId="77777777" w:rsidR="00585851" w:rsidRDefault="00585851" w:rsidP="0047047B">
      <w:pPr>
        <w:spacing w:line="360" w:lineRule="auto"/>
        <w:jc w:val="both"/>
        <w:rPr>
          <w:rFonts w:ascii="Arial" w:hAnsi="Arial" w:cs="Arial"/>
          <w:b/>
          <w:bCs/>
          <w:sz w:val="22"/>
          <w:szCs w:val="22"/>
        </w:rPr>
      </w:pPr>
    </w:p>
    <w:p w14:paraId="09393B4A" w14:textId="77777777" w:rsidR="00CE6CE1" w:rsidRDefault="00CE6CE1" w:rsidP="0047047B">
      <w:pPr>
        <w:spacing w:line="360" w:lineRule="auto"/>
        <w:jc w:val="both"/>
        <w:rPr>
          <w:rFonts w:ascii="Arial" w:hAnsi="Arial" w:cs="Arial"/>
          <w:b/>
          <w:bCs/>
          <w:sz w:val="22"/>
          <w:szCs w:val="22"/>
        </w:rPr>
      </w:pPr>
    </w:p>
    <w:p w14:paraId="73A44319" w14:textId="77777777" w:rsidR="00CE6CE1" w:rsidRDefault="00CE6CE1" w:rsidP="0047047B">
      <w:pPr>
        <w:spacing w:line="360" w:lineRule="auto"/>
        <w:jc w:val="both"/>
        <w:rPr>
          <w:rFonts w:ascii="Arial" w:hAnsi="Arial" w:cs="Arial"/>
          <w:b/>
          <w:bCs/>
          <w:sz w:val="22"/>
          <w:szCs w:val="22"/>
        </w:rPr>
      </w:pPr>
    </w:p>
    <w:p w14:paraId="7FAEFF47" w14:textId="77777777" w:rsidR="00CE6CE1" w:rsidRDefault="00CE6CE1" w:rsidP="0047047B">
      <w:pPr>
        <w:spacing w:line="360" w:lineRule="auto"/>
        <w:jc w:val="both"/>
        <w:rPr>
          <w:rFonts w:ascii="Arial" w:hAnsi="Arial" w:cs="Arial"/>
          <w:b/>
          <w:bCs/>
          <w:sz w:val="22"/>
          <w:szCs w:val="22"/>
        </w:rPr>
      </w:pPr>
    </w:p>
    <w:p w14:paraId="778447E4" w14:textId="77777777" w:rsidR="00CE6CE1" w:rsidRDefault="00CE6CE1" w:rsidP="0047047B">
      <w:pPr>
        <w:spacing w:line="360" w:lineRule="auto"/>
        <w:jc w:val="both"/>
        <w:rPr>
          <w:rFonts w:ascii="Arial" w:hAnsi="Arial" w:cs="Arial"/>
          <w:b/>
          <w:bCs/>
          <w:sz w:val="22"/>
          <w:szCs w:val="22"/>
        </w:rPr>
      </w:pPr>
    </w:p>
    <w:p w14:paraId="28C6F4D5" w14:textId="77777777" w:rsidR="00CE6CE1" w:rsidRDefault="00CE6CE1" w:rsidP="0047047B">
      <w:pPr>
        <w:spacing w:line="360" w:lineRule="auto"/>
        <w:jc w:val="both"/>
        <w:rPr>
          <w:rFonts w:ascii="Arial" w:hAnsi="Arial" w:cs="Arial"/>
          <w:b/>
          <w:bCs/>
          <w:sz w:val="22"/>
          <w:szCs w:val="22"/>
        </w:rPr>
      </w:pPr>
    </w:p>
    <w:p w14:paraId="73AB64B8" w14:textId="77777777" w:rsidR="00CE6CE1" w:rsidRDefault="00CE6CE1" w:rsidP="0047047B">
      <w:pPr>
        <w:spacing w:line="360" w:lineRule="auto"/>
        <w:jc w:val="both"/>
        <w:rPr>
          <w:rFonts w:ascii="Arial" w:hAnsi="Arial" w:cs="Arial"/>
          <w:b/>
          <w:bCs/>
          <w:sz w:val="22"/>
          <w:szCs w:val="22"/>
        </w:rPr>
      </w:pPr>
    </w:p>
    <w:p w14:paraId="1143E2C7" w14:textId="77777777" w:rsidR="00CE6CE1" w:rsidRDefault="00CE6CE1" w:rsidP="0047047B">
      <w:pPr>
        <w:spacing w:line="360" w:lineRule="auto"/>
        <w:jc w:val="both"/>
        <w:rPr>
          <w:rFonts w:ascii="Arial" w:hAnsi="Arial" w:cs="Arial"/>
          <w:b/>
          <w:bCs/>
          <w:sz w:val="22"/>
          <w:szCs w:val="22"/>
        </w:rPr>
      </w:pPr>
    </w:p>
    <w:p w14:paraId="745FB08D" w14:textId="77777777" w:rsidR="00CE6CE1" w:rsidRDefault="00CE6CE1" w:rsidP="0047047B">
      <w:pPr>
        <w:spacing w:line="360" w:lineRule="auto"/>
        <w:jc w:val="both"/>
        <w:rPr>
          <w:rFonts w:ascii="Arial" w:hAnsi="Arial" w:cs="Arial"/>
          <w:b/>
          <w:bCs/>
          <w:sz w:val="22"/>
          <w:szCs w:val="22"/>
        </w:rPr>
      </w:pPr>
    </w:p>
    <w:p w14:paraId="1604FD46" w14:textId="77777777" w:rsidR="00CE6CE1" w:rsidRDefault="00CE6CE1" w:rsidP="0047047B">
      <w:pPr>
        <w:spacing w:line="360" w:lineRule="auto"/>
        <w:jc w:val="both"/>
        <w:rPr>
          <w:rFonts w:ascii="Arial" w:hAnsi="Arial" w:cs="Arial"/>
          <w:b/>
          <w:bCs/>
          <w:sz w:val="22"/>
          <w:szCs w:val="22"/>
        </w:rPr>
      </w:pPr>
    </w:p>
    <w:p w14:paraId="58751735" w14:textId="77777777" w:rsidR="00CE6CE1" w:rsidRDefault="00CE6CE1" w:rsidP="0047047B">
      <w:pPr>
        <w:spacing w:line="360" w:lineRule="auto"/>
        <w:jc w:val="both"/>
        <w:rPr>
          <w:rFonts w:ascii="Arial" w:hAnsi="Arial" w:cs="Arial"/>
          <w:b/>
          <w:bCs/>
          <w:sz w:val="22"/>
          <w:szCs w:val="22"/>
        </w:rPr>
      </w:pPr>
    </w:p>
    <w:p w14:paraId="1F082F9C" w14:textId="77777777" w:rsidR="00CE6CE1" w:rsidRDefault="00CE6CE1" w:rsidP="0047047B">
      <w:pPr>
        <w:spacing w:line="360" w:lineRule="auto"/>
        <w:jc w:val="both"/>
        <w:rPr>
          <w:rFonts w:ascii="Arial" w:hAnsi="Arial" w:cs="Arial"/>
          <w:b/>
          <w:bCs/>
          <w:sz w:val="22"/>
          <w:szCs w:val="22"/>
        </w:rPr>
      </w:pPr>
    </w:p>
    <w:p w14:paraId="181747F8" w14:textId="77777777" w:rsidR="00CE6CE1" w:rsidRDefault="00CE6CE1" w:rsidP="0047047B">
      <w:pPr>
        <w:spacing w:line="360" w:lineRule="auto"/>
        <w:jc w:val="both"/>
        <w:rPr>
          <w:rFonts w:ascii="Arial" w:hAnsi="Arial" w:cs="Arial"/>
          <w:b/>
          <w:bCs/>
          <w:sz w:val="22"/>
          <w:szCs w:val="22"/>
        </w:rPr>
      </w:pPr>
    </w:p>
    <w:p w14:paraId="5030B5D5" w14:textId="77777777" w:rsidR="00CE6CE1" w:rsidRDefault="00CE6CE1" w:rsidP="0047047B">
      <w:pPr>
        <w:spacing w:line="360" w:lineRule="auto"/>
        <w:jc w:val="both"/>
        <w:rPr>
          <w:rFonts w:ascii="Arial" w:hAnsi="Arial" w:cs="Arial"/>
          <w:b/>
          <w:bCs/>
          <w:sz w:val="22"/>
          <w:szCs w:val="22"/>
        </w:rPr>
      </w:pPr>
    </w:p>
    <w:p w14:paraId="77BC83D1" w14:textId="77777777" w:rsidR="00CE6CE1" w:rsidRDefault="00CE6CE1" w:rsidP="0047047B">
      <w:pPr>
        <w:spacing w:line="360" w:lineRule="auto"/>
        <w:jc w:val="both"/>
        <w:rPr>
          <w:rFonts w:ascii="Arial" w:hAnsi="Arial" w:cs="Arial"/>
          <w:b/>
          <w:bCs/>
          <w:sz w:val="22"/>
          <w:szCs w:val="22"/>
        </w:rPr>
      </w:pPr>
    </w:p>
    <w:p w14:paraId="1619E828" w14:textId="77777777" w:rsidR="00CE6CE1" w:rsidRPr="00524BA8" w:rsidRDefault="00CE6CE1" w:rsidP="00524BA8">
      <w:pPr>
        <w:pStyle w:val="Heading1"/>
        <w:jc w:val="center"/>
        <w:rPr>
          <w:rFonts w:ascii="Arial" w:hAnsi="Arial" w:cs="Arial"/>
          <w:b/>
          <w:bCs/>
          <w:color w:val="000000"/>
          <w:kern w:val="0"/>
          <w:sz w:val="22"/>
          <w:szCs w:val="22"/>
        </w:rPr>
      </w:pPr>
      <w:bookmarkStart w:id="10" w:name="_Toc238628454"/>
      <w:bookmarkStart w:id="11" w:name="_Toc238628657"/>
      <w:bookmarkStart w:id="12" w:name="_Toc238628741"/>
      <w:bookmarkStart w:id="13" w:name="_Toc238647365"/>
      <w:r w:rsidRPr="00524BA8">
        <w:rPr>
          <w:rFonts w:ascii="Arial" w:hAnsi="Arial" w:cs="Arial"/>
          <w:b/>
          <w:bCs/>
          <w:color w:val="000000"/>
          <w:sz w:val="22"/>
          <w:szCs w:val="22"/>
        </w:rPr>
        <w:lastRenderedPageBreak/>
        <w:t>Abstract</w:t>
      </w:r>
      <w:bookmarkEnd w:id="10"/>
      <w:bookmarkEnd w:id="11"/>
      <w:bookmarkEnd w:id="12"/>
      <w:bookmarkEnd w:id="13"/>
    </w:p>
    <w:p w14:paraId="7AEC0A7D" w14:textId="77777777" w:rsidR="00CE6CE1" w:rsidRPr="00524BA8" w:rsidRDefault="00CE6CE1" w:rsidP="000E059E">
      <w:pPr>
        <w:pStyle w:val="NormalWeb"/>
        <w:spacing w:line="360" w:lineRule="auto"/>
        <w:jc w:val="both"/>
        <w:rPr>
          <w:rFonts w:ascii="Arial" w:hAnsi="Arial" w:cs="Arial"/>
          <w:sz w:val="22"/>
          <w:szCs w:val="22"/>
        </w:rPr>
      </w:pPr>
      <w:r w:rsidRPr="00524BA8">
        <w:rPr>
          <w:rStyle w:val="Strong"/>
          <w:rFonts w:ascii="Arial" w:hAnsi="Arial" w:cs="Arial"/>
          <w:sz w:val="22"/>
          <w:szCs w:val="22"/>
        </w:rPr>
        <w:t>Background:</w:t>
      </w:r>
      <w:r w:rsidRPr="00524BA8">
        <w:rPr>
          <w:rFonts w:ascii="Arial" w:hAnsi="Arial" w:cs="Arial"/>
          <w:sz w:val="22"/>
          <w:szCs w:val="22"/>
        </w:rPr>
        <w:t xml:space="preserve"> Antimicrobial resistance (AMR) is a major public health challenge in Pakistan, where inappropriate antibiotic use is influenced by individual knowledge and attitudes as well as wider social, economic, cultural and health-system factors. This systematic review aimed to </w:t>
      </w:r>
      <w:r w:rsidR="00C0731E" w:rsidRPr="00524BA8">
        <w:rPr>
          <w:rFonts w:ascii="Arial" w:hAnsi="Arial" w:cs="Arial"/>
          <w:sz w:val="22"/>
          <w:szCs w:val="22"/>
        </w:rPr>
        <w:t>synthesize</w:t>
      </w:r>
      <w:r w:rsidRPr="00524BA8">
        <w:rPr>
          <w:rFonts w:ascii="Arial" w:hAnsi="Arial" w:cs="Arial"/>
          <w:sz w:val="22"/>
          <w:szCs w:val="22"/>
        </w:rPr>
        <w:t xml:space="preserve"> evidence on how social determinants influence knowledge, attitudes and practices (KAP) related to AMR and antibiotic use in Pakistan between 2015 and 2025.</w:t>
      </w:r>
    </w:p>
    <w:p w14:paraId="4C5B53F2" w14:textId="77777777" w:rsidR="00CE6CE1" w:rsidRPr="00524BA8" w:rsidRDefault="00CE6CE1" w:rsidP="000E059E">
      <w:pPr>
        <w:pStyle w:val="NormalWeb"/>
        <w:spacing w:line="360" w:lineRule="auto"/>
        <w:jc w:val="both"/>
        <w:rPr>
          <w:rFonts w:ascii="Arial" w:hAnsi="Arial" w:cs="Arial"/>
          <w:sz w:val="22"/>
          <w:szCs w:val="22"/>
        </w:rPr>
      </w:pPr>
      <w:r w:rsidRPr="00524BA8">
        <w:rPr>
          <w:rStyle w:val="Strong"/>
          <w:rFonts w:ascii="Arial" w:hAnsi="Arial" w:cs="Arial"/>
          <w:sz w:val="22"/>
          <w:szCs w:val="22"/>
        </w:rPr>
        <w:t>Methods:</w:t>
      </w:r>
      <w:r w:rsidRPr="00524BA8">
        <w:rPr>
          <w:rFonts w:ascii="Arial" w:hAnsi="Arial" w:cs="Arial"/>
          <w:sz w:val="22"/>
          <w:szCs w:val="22"/>
        </w:rPr>
        <w:t xml:space="preserve"> A systematic literature review was conducted using the Population, Exposure and Outcome (PEO) framework and PRISMA 2020 guidance. PubMed and Scopus were searched for peer-reviewed empirical studies published in English between 2015 and 2025. Eligible studies examined AMR-related KAP among community members, students, pharmacists, physicians and other healthcare professionals in Pakistan. Methodological quality was assessed using the JBI Critical Appraisal Checklist and Mixed Methods Appraisal Tool (MMAT). Quantitative descriptive synthesis and thematic analysis were conducted.</w:t>
      </w:r>
    </w:p>
    <w:p w14:paraId="66B0528A" w14:textId="77777777" w:rsidR="00CE6CE1" w:rsidRPr="00524BA8" w:rsidRDefault="00CE6CE1" w:rsidP="000E059E">
      <w:pPr>
        <w:pStyle w:val="NormalWeb"/>
        <w:spacing w:line="360" w:lineRule="auto"/>
        <w:jc w:val="both"/>
        <w:rPr>
          <w:rFonts w:ascii="Arial" w:hAnsi="Arial" w:cs="Arial"/>
          <w:sz w:val="22"/>
          <w:szCs w:val="22"/>
        </w:rPr>
      </w:pPr>
      <w:r w:rsidRPr="00524BA8">
        <w:rPr>
          <w:rStyle w:val="Strong"/>
          <w:rFonts w:ascii="Arial" w:hAnsi="Arial" w:cs="Arial"/>
          <w:sz w:val="22"/>
          <w:szCs w:val="22"/>
        </w:rPr>
        <w:t>Results:</w:t>
      </w:r>
      <w:r w:rsidRPr="00524BA8">
        <w:rPr>
          <w:rFonts w:ascii="Arial" w:hAnsi="Arial" w:cs="Arial"/>
          <w:sz w:val="22"/>
          <w:szCs w:val="22"/>
        </w:rPr>
        <w:t xml:space="preserve"> Ten studies were included in the review. Mean knowledge was 59.88% (SD 20.49%), attitudes were 68.52% (SD 22.48%), and practices were 59.62% (SD 17.52%). Although knowledge and attitudes towards AMR and rational antibiotic use were generally moderate-to-high and positive, inappropriate practices remained common. Self-medication was reported at approximately 60%, treatment non-adherence reached 66.7%, and non-prescription antibiotic dispensing reached 75.2% in individual studies. Thematic synthesis demonstrated a substantial knowledge–practice gap. Educational level, socioeconomic conditions, healthcare access, patient expectations, commercial pressures, professional training, diagnostic limitations and weak regulatory enforcement were important determinants of antibiotic-related practices.</w:t>
      </w:r>
    </w:p>
    <w:p w14:paraId="155B59FE" w14:textId="77777777" w:rsidR="00CE6CE1" w:rsidRPr="00524BA8" w:rsidRDefault="00CE6CE1" w:rsidP="000E059E">
      <w:pPr>
        <w:pStyle w:val="NormalWeb"/>
        <w:spacing w:line="360" w:lineRule="auto"/>
        <w:jc w:val="both"/>
        <w:rPr>
          <w:rFonts w:ascii="Arial" w:hAnsi="Arial" w:cs="Arial"/>
          <w:sz w:val="22"/>
          <w:szCs w:val="22"/>
        </w:rPr>
      </w:pPr>
      <w:r w:rsidRPr="00524BA8">
        <w:rPr>
          <w:rStyle w:val="Strong"/>
          <w:rFonts w:ascii="Arial" w:hAnsi="Arial" w:cs="Arial"/>
          <w:sz w:val="22"/>
          <w:szCs w:val="22"/>
        </w:rPr>
        <w:t>Conclusion:</w:t>
      </w:r>
      <w:r w:rsidRPr="00524BA8">
        <w:rPr>
          <w:rFonts w:ascii="Arial" w:hAnsi="Arial" w:cs="Arial"/>
          <w:sz w:val="22"/>
          <w:szCs w:val="22"/>
        </w:rPr>
        <w:t xml:space="preserve"> AMR in Pakistan is a complex socio-</w:t>
      </w:r>
      <w:r w:rsidR="00524BA8" w:rsidRPr="00524BA8">
        <w:rPr>
          <w:rFonts w:ascii="Arial" w:hAnsi="Arial" w:cs="Arial"/>
          <w:sz w:val="22"/>
          <w:szCs w:val="22"/>
        </w:rPr>
        <w:t>behavioral</w:t>
      </w:r>
      <w:r w:rsidRPr="00524BA8">
        <w:rPr>
          <w:rFonts w:ascii="Arial" w:hAnsi="Arial" w:cs="Arial"/>
          <w:sz w:val="22"/>
          <w:szCs w:val="22"/>
        </w:rPr>
        <w:t xml:space="preserve"> and structural problem. Improving knowledge alone is unlikely to produce sustained </w:t>
      </w:r>
      <w:r w:rsidR="00524BA8" w:rsidRPr="00524BA8">
        <w:rPr>
          <w:rFonts w:ascii="Arial" w:hAnsi="Arial" w:cs="Arial"/>
          <w:sz w:val="22"/>
          <w:szCs w:val="22"/>
        </w:rPr>
        <w:t>behavioral</w:t>
      </w:r>
      <w:r w:rsidRPr="00524BA8">
        <w:rPr>
          <w:rFonts w:ascii="Arial" w:hAnsi="Arial" w:cs="Arial"/>
          <w:sz w:val="22"/>
          <w:szCs w:val="22"/>
        </w:rPr>
        <w:t xml:space="preserve"> change. Effective AMR control requires integrated interventions combining public and professional education with stronger pharmacy regulation, antimicrobial stewardship, improved diagnostic capacity, affordable healthcare access and equity-focused health-system reforms. </w:t>
      </w:r>
    </w:p>
    <w:p w14:paraId="6C98214A" w14:textId="77777777" w:rsidR="00CE6CE1" w:rsidRPr="00524BA8" w:rsidRDefault="00CE6CE1" w:rsidP="000E059E">
      <w:pPr>
        <w:pStyle w:val="NormalWeb"/>
        <w:spacing w:line="360" w:lineRule="auto"/>
        <w:jc w:val="both"/>
        <w:rPr>
          <w:rFonts w:ascii="Arial" w:hAnsi="Arial" w:cs="Arial"/>
          <w:sz w:val="22"/>
          <w:szCs w:val="22"/>
        </w:rPr>
      </w:pPr>
      <w:r w:rsidRPr="00524BA8">
        <w:rPr>
          <w:rStyle w:val="Strong"/>
          <w:rFonts w:ascii="Arial" w:hAnsi="Arial" w:cs="Arial"/>
          <w:sz w:val="22"/>
          <w:szCs w:val="22"/>
        </w:rPr>
        <w:t>Keywords:</w:t>
      </w:r>
      <w:r w:rsidRPr="00524BA8">
        <w:rPr>
          <w:rFonts w:ascii="Arial" w:hAnsi="Arial" w:cs="Arial"/>
          <w:sz w:val="22"/>
          <w:szCs w:val="22"/>
        </w:rPr>
        <w:t xml:space="preserve"> Antimicrobial resistance; Knowledge, attitudes and practices; Social determinants of health; Antibiotic use; Self-medication; Antimicrobial stewardship; Pakistan.</w:t>
      </w:r>
    </w:p>
    <w:p w14:paraId="42B2AA20" w14:textId="2F2C2CE9" w:rsidR="00722A76" w:rsidRPr="000E059E" w:rsidRDefault="00CE6CE1" w:rsidP="000E059E">
      <w:pPr>
        <w:pStyle w:val="NormalWeb"/>
        <w:jc w:val="both"/>
        <w:rPr>
          <w:rFonts w:ascii="Arial" w:hAnsi="Arial" w:cs="Arial"/>
          <w:sz w:val="22"/>
          <w:szCs w:val="22"/>
        </w:rPr>
      </w:pPr>
      <w:r w:rsidRPr="00524BA8">
        <w:rPr>
          <w:rFonts w:ascii="Arial" w:hAnsi="Arial" w:cs="Arial"/>
          <w:sz w:val="22"/>
          <w:szCs w:val="22"/>
        </w:rPr>
        <w:t>.</w:t>
      </w:r>
    </w:p>
    <w:sdt>
      <w:sdtPr>
        <w:rPr>
          <w:rFonts w:asciiTheme="minorBidi" w:hAnsiTheme="minorBidi" w:cstheme="minorBidi"/>
          <w:sz w:val="22"/>
          <w:szCs w:val="22"/>
        </w:rPr>
        <w:id w:val="853998641"/>
        <w:docPartObj>
          <w:docPartGallery w:val="Table of Contents"/>
          <w:docPartUnique/>
        </w:docPartObj>
      </w:sdtPr>
      <w:sdtEndPr>
        <w:rPr>
          <w:rFonts w:ascii="Wingdings" w:eastAsia="Wingdings" w:hAnsi="Wingdings" w:cs="Symbol"/>
          <w:b/>
          <w:bCs/>
          <w:noProof/>
          <w:color w:val="auto"/>
          <w:kern w:val="2"/>
          <w:sz w:val="24"/>
          <w:szCs w:val="24"/>
        </w:rPr>
      </w:sdtEndPr>
      <w:sdtContent>
        <w:p w14:paraId="7303491F" w14:textId="2B3C35D7" w:rsidR="00FA13DA" w:rsidRPr="00FA13DA" w:rsidRDefault="00FA13DA" w:rsidP="00FA13DA">
          <w:pPr>
            <w:pStyle w:val="TOCHeading"/>
            <w:jc w:val="center"/>
            <w:rPr>
              <w:rFonts w:asciiTheme="minorBidi" w:hAnsiTheme="minorBidi" w:cstheme="minorBidi"/>
              <w:b/>
              <w:bCs/>
              <w:color w:val="000000" w:themeColor="text1"/>
              <w:sz w:val="22"/>
              <w:szCs w:val="22"/>
              <w:u w:val="single"/>
            </w:rPr>
          </w:pPr>
          <w:r w:rsidRPr="00FA13DA">
            <w:rPr>
              <w:rFonts w:asciiTheme="minorBidi" w:hAnsiTheme="minorBidi" w:cstheme="minorBidi"/>
              <w:b/>
              <w:bCs/>
              <w:color w:val="000000" w:themeColor="text1"/>
              <w:sz w:val="22"/>
              <w:szCs w:val="22"/>
              <w:u w:val="single"/>
            </w:rPr>
            <w:t>Contents</w:t>
          </w:r>
        </w:p>
        <w:p w14:paraId="64067586"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r w:rsidRPr="00FA13DA">
            <w:rPr>
              <w:rFonts w:asciiTheme="minorBidi" w:hAnsiTheme="minorBidi" w:cstheme="minorBidi"/>
              <w:sz w:val="22"/>
              <w:szCs w:val="22"/>
            </w:rPr>
            <w:fldChar w:fldCharType="begin"/>
          </w:r>
          <w:r w:rsidRPr="00FA13DA">
            <w:rPr>
              <w:rFonts w:asciiTheme="minorBidi" w:hAnsiTheme="minorBidi" w:cstheme="minorBidi"/>
              <w:sz w:val="22"/>
              <w:szCs w:val="22"/>
            </w:rPr>
            <w:instrText xml:space="preserve"> TOC \o "1-3" \h \z \u </w:instrText>
          </w:r>
          <w:r w:rsidRPr="00FA13DA">
            <w:rPr>
              <w:rFonts w:asciiTheme="minorBidi" w:hAnsiTheme="minorBidi" w:cstheme="minorBidi"/>
              <w:sz w:val="22"/>
              <w:szCs w:val="22"/>
            </w:rPr>
            <w:fldChar w:fldCharType="separate"/>
          </w:r>
          <w:hyperlink w:anchor="_Toc238647363" w:history="1">
            <w:r w:rsidRPr="00FA13DA">
              <w:rPr>
                <w:rStyle w:val="Hyperlink"/>
                <w:rFonts w:asciiTheme="minorBidi" w:hAnsiTheme="minorBidi" w:cstheme="minorBidi"/>
                <w:b/>
                <w:bCs/>
                <w:noProof/>
                <w:sz w:val="22"/>
                <w:szCs w:val="22"/>
              </w:rPr>
              <w:t>DECLARATION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_Toc238647363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iii</w:t>
            </w:r>
            <w:r w:rsidRPr="00FA13DA">
              <w:rPr>
                <w:rFonts w:asciiTheme="minorBidi" w:hAnsiTheme="minorBidi" w:cstheme="minorBidi"/>
                <w:noProof/>
                <w:webHidden/>
                <w:sz w:val="22"/>
                <w:szCs w:val="22"/>
              </w:rPr>
              <w:fldChar w:fldCharType="end"/>
            </w:r>
          </w:hyperlink>
        </w:p>
        <w:p w14:paraId="66D7828C"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364" w:history="1">
            <w:r w:rsidRPr="00FA13DA">
              <w:rPr>
                <w:rStyle w:val="Hyperlink"/>
                <w:rFonts w:asciiTheme="minorBidi" w:hAnsiTheme="minorBidi" w:cstheme="minorBidi"/>
                <w:b/>
                <w:bCs/>
                <w:noProof/>
                <w:spacing w:val="-2"/>
                <w:sz w:val="22"/>
                <w:szCs w:val="22"/>
              </w:rPr>
              <w:t>Acknowledgement</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_Toc238647364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iv</w:t>
            </w:r>
            <w:r w:rsidRPr="00FA13DA">
              <w:rPr>
                <w:rFonts w:asciiTheme="minorBidi" w:hAnsiTheme="minorBidi" w:cstheme="minorBidi"/>
                <w:noProof/>
                <w:webHidden/>
                <w:sz w:val="22"/>
                <w:szCs w:val="22"/>
              </w:rPr>
              <w:fldChar w:fldCharType="end"/>
            </w:r>
          </w:hyperlink>
        </w:p>
        <w:p w14:paraId="74B83223"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365" w:history="1">
            <w:r w:rsidRPr="00FA13DA">
              <w:rPr>
                <w:rStyle w:val="Hyperlink"/>
                <w:rFonts w:asciiTheme="minorBidi" w:hAnsiTheme="minorBidi" w:cstheme="minorBidi"/>
                <w:b/>
                <w:bCs/>
                <w:noProof/>
                <w:sz w:val="22"/>
                <w:szCs w:val="22"/>
              </w:rPr>
              <w:t>Abstract</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_Toc238647365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v</w:t>
            </w:r>
            <w:r w:rsidRPr="00FA13DA">
              <w:rPr>
                <w:rFonts w:asciiTheme="minorBidi" w:hAnsiTheme="minorBidi" w:cstheme="minorBidi"/>
                <w:noProof/>
                <w:webHidden/>
                <w:sz w:val="22"/>
                <w:szCs w:val="22"/>
              </w:rPr>
              <w:fldChar w:fldCharType="end"/>
            </w:r>
          </w:hyperlink>
        </w:p>
        <w:p w14:paraId="59685D87"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366" w:history="1">
            <w:r w:rsidRPr="00FA13DA">
              <w:rPr>
                <w:rStyle w:val="Hyperlink"/>
                <w:rFonts w:asciiTheme="minorBidi" w:hAnsiTheme="minorBidi" w:cstheme="minorBidi"/>
                <w:b/>
                <w:bCs/>
                <w:noProof/>
                <w:sz w:val="22"/>
                <w:szCs w:val="22"/>
              </w:rPr>
              <w:t>CHAPTER 1: INTRODUCTION AND BACKGROUND</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_Toc238647366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w:t>
            </w:r>
            <w:r w:rsidRPr="00FA13DA">
              <w:rPr>
                <w:rFonts w:asciiTheme="minorBidi" w:hAnsiTheme="minorBidi" w:cstheme="minorBidi"/>
                <w:noProof/>
                <w:webHidden/>
                <w:sz w:val="22"/>
                <w:szCs w:val="22"/>
              </w:rPr>
              <w:fldChar w:fldCharType="end"/>
            </w:r>
          </w:hyperlink>
        </w:p>
        <w:p w14:paraId="13D8E4C7"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67" w:history="1">
            <w:r w:rsidRPr="00FA13DA">
              <w:rPr>
                <w:rStyle w:val="Hyperlink"/>
                <w:rFonts w:asciiTheme="minorBidi" w:hAnsiTheme="minorBidi" w:cstheme="minorBidi"/>
                <w:b/>
                <w:bCs/>
                <w:i/>
                <w:iCs/>
                <w:noProof/>
                <w:sz w:val="22"/>
                <w:szCs w:val="22"/>
              </w:rPr>
              <w:t>1.1 Introduction to the topic</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_Toc238647367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w:t>
            </w:r>
            <w:r w:rsidRPr="00FA13DA">
              <w:rPr>
                <w:rFonts w:asciiTheme="minorBidi" w:hAnsiTheme="minorBidi" w:cstheme="minorBidi"/>
                <w:noProof/>
                <w:webHidden/>
                <w:sz w:val="22"/>
                <w:szCs w:val="22"/>
              </w:rPr>
              <w:fldChar w:fldCharType="end"/>
            </w:r>
          </w:hyperlink>
        </w:p>
        <w:p w14:paraId="02CD6CE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68" w:history="1">
            <w:r w:rsidRPr="00FA13DA">
              <w:rPr>
                <w:rStyle w:val="Hyperlink"/>
                <w:rFonts w:asciiTheme="minorBidi" w:hAnsiTheme="minorBidi" w:cstheme="minorBidi"/>
                <w:b/>
                <w:bCs/>
                <w:i/>
                <w:iCs/>
                <w:noProof/>
                <w:sz w:val="22"/>
                <w:szCs w:val="22"/>
              </w:rPr>
              <w:t>1.2 Background and Current Context</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_Toc238647368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w:t>
            </w:r>
            <w:r w:rsidRPr="00FA13DA">
              <w:rPr>
                <w:rFonts w:asciiTheme="minorBidi" w:hAnsiTheme="minorBidi" w:cstheme="minorBidi"/>
                <w:noProof/>
                <w:webHidden/>
                <w:sz w:val="22"/>
                <w:szCs w:val="22"/>
              </w:rPr>
              <w:fldChar w:fldCharType="end"/>
            </w:r>
          </w:hyperlink>
        </w:p>
        <w:p w14:paraId="1DD6AB43"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69" w:history="1">
            <w:r w:rsidRPr="00FA13DA">
              <w:rPr>
                <w:rStyle w:val="Hyperlink"/>
                <w:rFonts w:asciiTheme="minorBidi" w:hAnsiTheme="minorBidi" w:cstheme="minorBidi"/>
                <w:b/>
                <w:bCs/>
                <w:i/>
                <w:iCs/>
                <w:noProof/>
                <w:sz w:val="22"/>
                <w:szCs w:val="22"/>
              </w:rPr>
              <w:t>1.3 Rationale for Research or Problem Statement</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_Toc238647369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3</w:t>
            </w:r>
            <w:r w:rsidRPr="00FA13DA">
              <w:rPr>
                <w:rFonts w:asciiTheme="minorBidi" w:hAnsiTheme="minorBidi" w:cstheme="minorBidi"/>
                <w:noProof/>
                <w:webHidden/>
                <w:sz w:val="22"/>
                <w:szCs w:val="22"/>
              </w:rPr>
              <w:fldChar w:fldCharType="end"/>
            </w:r>
          </w:hyperlink>
        </w:p>
        <w:p w14:paraId="4F74F3AC"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0" w:history="1">
            <w:r w:rsidRPr="00FA13DA">
              <w:rPr>
                <w:rStyle w:val="Hyperlink"/>
                <w:rFonts w:asciiTheme="minorBidi" w:hAnsiTheme="minorBidi" w:cstheme="minorBidi"/>
                <w:b/>
                <w:bCs/>
                <w:i/>
                <w:iCs/>
                <w:noProof/>
                <w:sz w:val="22"/>
                <w:szCs w:val="22"/>
              </w:rPr>
              <w:t>1.4 Research Question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3</w:t>
            </w:r>
            <w:r w:rsidRPr="00FA13DA">
              <w:rPr>
                <w:rFonts w:asciiTheme="minorBidi" w:hAnsiTheme="minorBidi" w:cstheme="minorBidi"/>
                <w:noProof/>
                <w:webHidden/>
                <w:sz w:val="22"/>
                <w:szCs w:val="22"/>
              </w:rPr>
              <w:fldChar w:fldCharType="end"/>
            </w:r>
          </w:hyperlink>
        </w:p>
        <w:p w14:paraId="54B4DF28"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1" w:history="1">
            <w:r w:rsidRPr="00FA13DA">
              <w:rPr>
                <w:rStyle w:val="Hyperlink"/>
                <w:rFonts w:asciiTheme="minorBidi" w:hAnsiTheme="minorBidi" w:cstheme="minorBidi"/>
                <w:b/>
                <w:bCs/>
                <w:i/>
                <w:iCs/>
                <w:noProof/>
                <w:sz w:val="22"/>
                <w:szCs w:val="22"/>
              </w:rPr>
              <w:t>1.5 Research Aim</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w:t>
            </w:r>
            <w:r w:rsidRPr="00FA13DA">
              <w:rPr>
                <w:rFonts w:asciiTheme="minorBidi" w:hAnsiTheme="minorBidi" w:cstheme="minorBidi"/>
                <w:noProof/>
                <w:webHidden/>
                <w:sz w:val="22"/>
                <w:szCs w:val="22"/>
              </w:rPr>
              <w:fldChar w:fldCharType="end"/>
            </w:r>
          </w:hyperlink>
        </w:p>
        <w:p w14:paraId="39E1DAEC"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2" w:history="1">
            <w:r w:rsidRPr="00FA13DA">
              <w:rPr>
                <w:rStyle w:val="Hyperlink"/>
                <w:rFonts w:asciiTheme="minorBidi" w:hAnsiTheme="minorBidi" w:cstheme="minorBidi"/>
                <w:b/>
                <w:bCs/>
                <w:i/>
                <w:iCs/>
                <w:noProof/>
                <w:sz w:val="22"/>
                <w:szCs w:val="22"/>
              </w:rPr>
              <w:t>1.6 Research Objectives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w:t>
            </w:r>
            <w:r w:rsidRPr="00FA13DA">
              <w:rPr>
                <w:rFonts w:asciiTheme="minorBidi" w:hAnsiTheme="minorBidi" w:cstheme="minorBidi"/>
                <w:noProof/>
                <w:webHidden/>
                <w:sz w:val="22"/>
                <w:szCs w:val="22"/>
              </w:rPr>
              <w:fldChar w:fldCharType="end"/>
            </w:r>
          </w:hyperlink>
        </w:p>
        <w:p w14:paraId="28985DF6"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3" w:history="1">
            <w:r w:rsidRPr="00FA13DA">
              <w:rPr>
                <w:rStyle w:val="Hyperlink"/>
                <w:rFonts w:asciiTheme="minorBidi" w:hAnsiTheme="minorBidi" w:cstheme="minorBidi"/>
                <w:b/>
                <w:bCs/>
                <w:noProof/>
                <w:sz w:val="22"/>
                <w:szCs w:val="22"/>
              </w:rPr>
              <w:t>1.7 Chapter Summary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w:t>
            </w:r>
            <w:r w:rsidRPr="00FA13DA">
              <w:rPr>
                <w:rFonts w:asciiTheme="minorBidi" w:hAnsiTheme="minorBidi" w:cstheme="minorBidi"/>
                <w:noProof/>
                <w:webHidden/>
                <w:sz w:val="22"/>
                <w:szCs w:val="22"/>
              </w:rPr>
              <w:fldChar w:fldCharType="end"/>
            </w:r>
          </w:hyperlink>
        </w:p>
        <w:p w14:paraId="7859721E"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374" w:history="1">
            <w:r w:rsidRPr="00FA13DA">
              <w:rPr>
                <w:rStyle w:val="Hyperlink"/>
                <w:rFonts w:asciiTheme="minorBidi" w:hAnsiTheme="minorBidi" w:cstheme="minorBidi"/>
                <w:b/>
                <w:bCs/>
                <w:noProof/>
                <w:sz w:val="22"/>
                <w:szCs w:val="22"/>
              </w:rPr>
              <w:t>CHAPTER 2: LITERATURE REVIEW</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w:t>
            </w:r>
            <w:r w:rsidRPr="00FA13DA">
              <w:rPr>
                <w:rFonts w:asciiTheme="minorBidi" w:hAnsiTheme="minorBidi" w:cstheme="minorBidi"/>
                <w:noProof/>
                <w:webHidden/>
                <w:sz w:val="22"/>
                <w:szCs w:val="22"/>
              </w:rPr>
              <w:fldChar w:fldCharType="end"/>
            </w:r>
          </w:hyperlink>
        </w:p>
        <w:p w14:paraId="1A7BDB3E"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5" w:history="1">
            <w:r w:rsidRPr="00FA13DA">
              <w:rPr>
                <w:rStyle w:val="Hyperlink"/>
                <w:rFonts w:asciiTheme="minorBidi" w:hAnsiTheme="minorBidi" w:cstheme="minorBidi"/>
                <w:b/>
                <w:bCs/>
                <w:i/>
                <w:iCs/>
                <w:noProof/>
                <w:sz w:val="22"/>
                <w:szCs w:val="22"/>
              </w:rPr>
              <w:t>2.1 Introduction to the Literature Review</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w:t>
            </w:r>
            <w:r w:rsidRPr="00FA13DA">
              <w:rPr>
                <w:rFonts w:asciiTheme="minorBidi" w:hAnsiTheme="minorBidi" w:cstheme="minorBidi"/>
                <w:noProof/>
                <w:webHidden/>
                <w:sz w:val="22"/>
                <w:szCs w:val="22"/>
              </w:rPr>
              <w:fldChar w:fldCharType="end"/>
            </w:r>
          </w:hyperlink>
        </w:p>
        <w:p w14:paraId="1C969432"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6" w:history="1">
            <w:r w:rsidRPr="00FA13DA">
              <w:rPr>
                <w:rStyle w:val="Hyperlink"/>
                <w:rFonts w:asciiTheme="minorBidi" w:hAnsiTheme="minorBidi" w:cstheme="minorBidi"/>
                <w:b/>
                <w:bCs/>
                <w:i/>
                <w:iCs/>
                <w:noProof/>
                <w:sz w:val="22"/>
                <w:szCs w:val="22"/>
              </w:rPr>
              <w:t>2.2 Literature Review</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w:t>
            </w:r>
            <w:r w:rsidRPr="00FA13DA">
              <w:rPr>
                <w:rFonts w:asciiTheme="minorBidi" w:hAnsiTheme="minorBidi" w:cstheme="minorBidi"/>
                <w:noProof/>
                <w:webHidden/>
                <w:sz w:val="22"/>
                <w:szCs w:val="22"/>
              </w:rPr>
              <w:fldChar w:fldCharType="end"/>
            </w:r>
          </w:hyperlink>
        </w:p>
        <w:p w14:paraId="57BFFE4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7" w:history="1">
            <w:r w:rsidRPr="00FA13DA">
              <w:rPr>
                <w:rStyle w:val="Hyperlink"/>
                <w:rFonts w:asciiTheme="minorBidi" w:hAnsiTheme="minorBidi" w:cstheme="minorBidi"/>
                <w:b/>
                <w:bCs/>
                <w:i/>
                <w:iCs/>
                <w:noProof/>
                <w:sz w:val="22"/>
                <w:szCs w:val="22"/>
              </w:rPr>
              <w:t>2.2.1 Scope and development of the evidence</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w:t>
            </w:r>
            <w:r w:rsidRPr="00FA13DA">
              <w:rPr>
                <w:rFonts w:asciiTheme="minorBidi" w:hAnsiTheme="minorBidi" w:cstheme="minorBidi"/>
                <w:noProof/>
                <w:webHidden/>
                <w:sz w:val="22"/>
                <w:szCs w:val="22"/>
              </w:rPr>
              <w:fldChar w:fldCharType="end"/>
            </w:r>
          </w:hyperlink>
        </w:p>
        <w:p w14:paraId="7B89F76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8" w:history="1">
            <w:r w:rsidRPr="00FA13DA">
              <w:rPr>
                <w:rStyle w:val="Hyperlink"/>
                <w:rFonts w:asciiTheme="minorBidi" w:hAnsiTheme="minorBidi" w:cstheme="minorBidi"/>
                <w:b/>
                <w:bCs/>
                <w:i/>
                <w:iCs/>
                <w:noProof/>
                <w:sz w:val="22"/>
                <w:szCs w:val="22"/>
              </w:rPr>
              <w:t>2.2.2 Knowledge, attitudes and practices among the Pakistani public</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6</w:t>
            </w:r>
            <w:r w:rsidRPr="00FA13DA">
              <w:rPr>
                <w:rFonts w:asciiTheme="minorBidi" w:hAnsiTheme="minorBidi" w:cstheme="minorBidi"/>
                <w:noProof/>
                <w:webHidden/>
                <w:sz w:val="22"/>
                <w:szCs w:val="22"/>
              </w:rPr>
              <w:fldChar w:fldCharType="end"/>
            </w:r>
          </w:hyperlink>
        </w:p>
        <w:p w14:paraId="76E4101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79" w:history="1">
            <w:r w:rsidRPr="00FA13DA">
              <w:rPr>
                <w:rStyle w:val="Hyperlink"/>
                <w:rFonts w:asciiTheme="minorBidi" w:hAnsiTheme="minorBidi" w:cstheme="minorBidi"/>
                <w:b/>
                <w:bCs/>
                <w:i/>
                <w:iCs/>
                <w:noProof/>
                <w:sz w:val="22"/>
                <w:szCs w:val="22"/>
              </w:rPr>
              <w:t>2.2.3 Education, health literacy and sociodemographic determinants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_Toc238647379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7</w:t>
            </w:r>
            <w:r w:rsidRPr="00FA13DA">
              <w:rPr>
                <w:rFonts w:asciiTheme="minorBidi" w:hAnsiTheme="minorBidi" w:cstheme="minorBidi"/>
                <w:noProof/>
                <w:webHidden/>
                <w:sz w:val="22"/>
                <w:szCs w:val="22"/>
              </w:rPr>
              <w:fldChar w:fldCharType="end"/>
            </w:r>
          </w:hyperlink>
        </w:p>
        <w:p w14:paraId="26492F2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0" w:history="1">
            <w:r w:rsidRPr="00FA13DA">
              <w:rPr>
                <w:rStyle w:val="Hyperlink"/>
                <w:rFonts w:asciiTheme="minorBidi" w:hAnsiTheme="minorBidi" w:cstheme="minorBidi"/>
                <w:b/>
                <w:bCs/>
                <w:i/>
                <w:iCs/>
                <w:noProof/>
                <w:sz w:val="22"/>
                <w:szCs w:val="22"/>
              </w:rPr>
              <w:t>2.2.4 Healthcare professionals, prescribing and patient pressure</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8</w:t>
            </w:r>
            <w:r w:rsidRPr="00FA13DA">
              <w:rPr>
                <w:rFonts w:asciiTheme="minorBidi" w:hAnsiTheme="minorBidi" w:cstheme="minorBidi"/>
                <w:noProof/>
                <w:webHidden/>
                <w:sz w:val="22"/>
                <w:szCs w:val="22"/>
              </w:rPr>
              <w:fldChar w:fldCharType="end"/>
            </w:r>
          </w:hyperlink>
        </w:p>
        <w:p w14:paraId="60A19519"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1" w:history="1">
            <w:r w:rsidRPr="00FA13DA">
              <w:rPr>
                <w:rStyle w:val="Hyperlink"/>
                <w:rFonts w:asciiTheme="minorBidi" w:hAnsiTheme="minorBidi" w:cstheme="minorBidi"/>
                <w:b/>
                <w:bCs/>
                <w:i/>
                <w:iCs/>
                <w:noProof/>
                <w:sz w:val="22"/>
                <w:szCs w:val="22"/>
              </w:rPr>
              <w:t>2.2.5 Community pharmacies and non-prescription access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8</w:t>
            </w:r>
            <w:r w:rsidRPr="00FA13DA">
              <w:rPr>
                <w:rFonts w:asciiTheme="minorBidi" w:hAnsiTheme="minorBidi" w:cstheme="minorBidi"/>
                <w:noProof/>
                <w:webHidden/>
                <w:sz w:val="22"/>
                <w:szCs w:val="22"/>
              </w:rPr>
              <w:fldChar w:fldCharType="end"/>
            </w:r>
          </w:hyperlink>
        </w:p>
        <w:p w14:paraId="31E1BBF2"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2" w:history="1">
            <w:r w:rsidRPr="00FA13DA">
              <w:rPr>
                <w:rStyle w:val="Hyperlink"/>
                <w:rFonts w:asciiTheme="minorBidi" w:hAnsiTheme="minorBidi" w:cstheme="minorBidi"/>
                <w:b/>
                <w:bCs/>
                <w:i/>
                <w:iCs/>
                <w:noProof/>
                <w:sz w:val="22"/>
                <w:szCs w:val="22"/>
              </w:rPr>
              <w:t>2.2.6 Governance, regulation and the wider health system</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9</w:t>
            </w:r>
            <w:r w:rsidRPr="00FA13DA">
              <w:rPr>
                <w:rFonts w:asciiTheme="minorBidi" w:hAnsiTheme="minorBidi" w:cstheme="minorBidi"/>
                <w:noProof/>
                <w:webHidden/>
                <w:sz w:val="22"/>
                <w:szCs w:val="22"/>
              </w:rPr>
              <w:fldChar w:fldCharType="end"/>
            </w:r>
          </w:hyperlink>
        </w:p>
        <w:p w14:paraId="3BF400EA"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3" w:history="1">
            <w:r w:rsidRPr="00FA13DA">
              <w:rPr>
                <w:rStyle w:val="Hyperlink"/>
                <w:rFonts w:asciiTheme="minorBidi" w:hAnsiTheme="minorBidi" w:cstheme="minorBidi"/>
                <w:b/>
                <w:bCs/>
                <w:i/>
                <w:iCs/>
                <w:noProof/>
                <w:sz w:val="22"/>
                <w:szCs w:val="22"/>
              </w:rPr>
              <w:t>2.2.7 Critical synthesis and research gap</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10</w:t>
            </w:r>
            <w:r w:rsidRPr="00FA13DA">
              <w:rPr>
                <w:rFonts w:asciiTheme="minorBidi" w:hAnsiTheme="minorBidi" w:cstheme="minorBidi"/>
                <w:noProof/>
                <w:webHidden/>
                <w:sz w:val="22"/>
                <w:szCs w:val="22"/>
              </w:rPr>
              <w:fldChar w:fldCharType="end"/>
            </w:r>
          </w:hyperlink>
        </w:p>
        <w:p w14:paraId="1AD3EE39"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4" w:history="1">
            <w:r w:rsidRPr="00FA13DA">
              <w:rPr>
                <w:rStyle w:val="Hyperlink"/>
                <w:rFonts w:asciiTheme="minorBidi" w:hAnsiTheme="minorBidi" w:cstheme="minorBidi"/>
                <w:b/>
                <w:bCs/>
                <w:noProof/>
                <w:sz w:val="22"/>
                <w:szCs w:val="22"/>
              </w:rPr>
              <w:t>2.3 Chapter Summary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11</w:t>
            </w:r>
            <w:r w:rsidRPr="00FA13DA">
              <w:rPr>
                <w:rFonts w:asciiTheme="minorBidi" w:hAnsiTheme="minorBidi" w:cstheme="minorBidi"/>
                <w:noProof/>
                <w:webHidden/>
                <w:sz w:val="22"/>
                <w:szCs w:val="22"/>
              </w:rPr>
              <w:fldChar w:fldCharType="end"/>
            </w:r>
          </w:hyperlink>
        </w:p>
        <w:p w14:paraId="4F66B2AF"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385" w:history="1">
            <w:r w:rsidRPr="00FA13DA">
              <w:rPr>
                <w:rStyle w:val="Hyperlink"/>
                <w:rFonts w:asciiTheme="minorBidi" w:hAnsiTheme="minorBidi" w:cstheme="minorBidi"/>
                <w:b/>
                <w:bCs/>
                <w:noProof/>
                <w:sz w:val="22"/>
                <w:szCs w:val="22"/>
              </w:rPr>
              <w:t>CHAPTER 3: METHODOLOGY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11</w:t>
            </w:r>
            <w:r w:rsidRPr="00FA13DA">
              <w:rPr>
                <w:rFonts w:asciiTheme="minorBidi" w:hAnsiTheme="minorBidi" w:cstheme="minorBidi"/>
                <w:noProof/>
                <w:webHidden/>
                <w:sz w:val="22"/>
                <w:szCs w:val="22"/>
              </w:rPr>
              <w:fldChar w:fldCharType="end"/>
            </w:r>
          </w:hyperlink>
        </w:p>
        <w:p w14:paraId="31E1C355"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6" w:history="1">
            <w:r w:rsidRPr="00FA13DA">
              <w:rPr>
                <w:rStyle w:val="Hyperlink"/>
                <w:rFonts w:asciiTheme="minorBidi" w:hAnsiTheme="minorBidi" w:cstheme="minorBidi"/>
                <w:b/>
                <w:bCs/>
                <w:i/>
                <w:iCs/>
                <w:noProof/>
                <w:sz w:val="22"/>
                <w:szCs w:val="22"/>
              </w:rPr>
              <w:t>3.1 Introduction to Chapter</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11</w:t>
            </w:r>
            <w:r w:rsidRPr="00FA13DA">
              <w:rPr>
                <w:rFonts w:asciiTheme="minorBidi" w:hAnsiTheme="minorBidi" w:cstheme="minorBidi"/>
                <w:noProof/>
                <w:webHidden/>
                <w:sz w:val="22"/>
                <w:szCs w:val="22"/>
              </w:rPr>
              <w:fldChar w:fldCharType="end"/>
            </w:r>
          </w:hyperlink>
        </w:p>
        <w:p w14:paraId="3D0F72F7"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7" w:history="1">
            <w:r w:rsidRPr="00FA13DA">
              <w:rPr>
                <w:rStyle w:val="Hyperlink"/>
                <w:rFonts w:asciiTheme="minorBidi" w:hAnsiTheme="minorBidi" w:cstheme="minorBidi"/>
                <w:b/>
                <w:bCs/>
                <w:i/>
                <w:iCs/>
                <w:noProof/>
                <w:sz w:val="22"/>
                <w:szCs w:val="22"/>
              </w:rPr>
              <w:t>3.2 Systematic Literature Review (SLR)</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12</w:t>
            </w:r>
            <w:r w:rsidRPr="00FA13DA">
              <w:rPr>
                <w:rFonts w:asciiTheme="minorBidi" w:hAnsiTheme="minorBidi" w:cstheme="minorBidi"/>
                <w:noProof/>
                <w:webHidden/>
                <w:sz w:val="22"/>
                <w:szCs w:val="22"/>
              </w:rPr>
              <w:fldChar w:fldCharType="end"/>
            </w:r>
          </w:hyperlink>
        </w:p>
        <w:p w14:paraId="14BA3477"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8" w:history="1">
            <w:r w:rsidRPr="00FA13DA">
              <w:rPr>
                <w:rStyle w:val="Hyperlink"/>
                <w:rFonts w:asciiTheme="minorBidi" w:hAnsiTheme="minorBidi" w:cstheme="minorBidi"/>
                <w:b/>
                <w:bCs/>
                <w:i/>
                <w:iCs/>
                <w:noProof/>
                <w:sz w:val="22"/>
                <w:szCs w:val="22"/>
              </w:rPr>
              <w:t>3.3 Search Strategy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12</w:t>
            </w:r>
            <w:r w:rsidRPr="00FA13DA">
              <w:rPr>
                <w:rFonts w:asciiTheme="minorBidi" w:hAnsiTheme="minorBidi" w:cstheme="minorBidi"/>
                <w:noProof/>
                <w:webHidden/>
                <w:sz w:val="22"/>
                <w:szCs w:val="22"/>
              </w:rPr>
              <w:fldChar w:fldCharType="end"/>
            </w:r>
          </w:hyperlink>
        </w:p>
        <w:p w14:paraId="467B7EB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89" w:history="1">
            <w:r w:rsidRPr="00FA13DA">
              <w:rPr>
                <w:rStyle w:val="Hyperlink"/>
                <w:rFonts w:asciiTheme="minorBidi" w:hAnsiTheme="minorBidi" w:cstheme="minorBidi"/>
                <w:b/>
                <w:bCs/>
                <w:i/>
                <w:iCs/>
                <w:noProof/>
                <w:sz w:val="22"/>
                <w:szCs w:val="22"/>
              </w:rPr>
              <w:t>3.4 Search Terms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_Toc238647389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13</w:t>
            </w:r>
            <w:r w:rsidRPr="00FA13DA">
              <w:rPr>
                <w:rFonts w:asciiTheme="minorBidi" w:hAnsiTheme="minorBidi" w:cstheme="minorBidi"/>
                <w:noProof/>
                <w:webHidden/>
                <w:sz w:val="22"/>
                <w:szCs w:val="22"/>
              </w:rPr>
              <w:fldChar w:fldCharType="end"/>
            </w:r>
          </w:hyperlink>
        </w:p>
        <w:p w14:paraId="0AB80E64"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0" w:history="1">
            <w:r w:rsidRPr="00FA13DA">
              <w:rPr>
                <w:rStyle w:val="Hyperlink"/>
                <w:rFonts w:asciiTheme="minorBidi" w:hAnsiTheme="minorBidi" w:cstheme="minorBidi"/>
                <w:b/>
                <w:bCs/>
                <w:i/>
                <w:iCs/>
                <w:noProof/>
                <w:sz w:val="22"/>
                <w:szCs w:val="22"/>
              </w:rPr>
              <w:t>3.5 Database Search Combinations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13</w:t>
            </w:r>
            <w:r w:rsidRPr="00FA13DA">
              <w:rPr>
                <w:rFonts w:asciiTheme="minorBidi" w:hAnsiTheme="minorBidi" w:cstheme="minorBidi"/>
                <w:noProof/>
                <w:webHidden/>
                <w:sz w:val="22"/>
                <w:szCs w:val="22"/>
              </w:rPr>
              <w:fldChar w:fldCharType="end"/>
            </w:r>
          </w:hyperlink>
        </w:p>
        <w:p w14:paraId="520CCDBF"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1" w:history="1">
            <w:r w:rsidRPr="00FA13DA">
              <w:rPr>
                <w:rStyle w:val="Hyperlink"/>
                <w:rFonts w:asciiTheme="minorBidi" w:hAnsiTheme="minorBidi" w:cstheme="minorBidi"/>
                <w:b/>
                <w:bCs/>
                <w:i/>
                <w:iCs/>
                <w:noProof/>
                <w:sz w:val="22"/>
                <w:szCs w:val="22"/>
              </w:rPr>
              <w:t>3.6 Key Words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13</w:t>
            </w:r>
            <w:r w:rsidRPr="00FA13DA">
              <w:rPr>
                <w:rFonts w:asciiTheme="minorBidi" w:hAnsiTheme="minorBidi" w:cstheme="minorBidi"/>
                <w:noProof/>
                <w:webHidden/>
                <w:sz w:val="22"/>
                <w:szCs w:val="22"/>
              </w:rPr>
              <w:fldChar w:fldCharType="end"/>
            </w:r>
          </w:hyperlink>
        </w:p>
        <w:p w14:paraId="503DF3CC"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2" w:history="1">
            <w:r w:rsidRPr="00FA13DA">
              <w:rPr>
                <w:rStyle w:val="Hyperlink"/>
                <w:rFonts w:asciiTheme="minorBidi" w:hAnsiTheme="minorBidi" w:cstheme="minorBidi"/>
                <w:b/>
                <w:bCs/>
                <w:i/>
                <w:iCs/>
                <w:noProof/>
                <w:sz w:val="22"/>
                <w:szCs w:val="22"/>
              </w:rPr>
              <w:t>3.7 Databases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13</w:t>
            </w:r>
            <w:r w:rsidRPr="00FA13DA">
              <w:rPr>
                <w:rFonts w:asciiTheme="minorBidi" w:hAnsiTheme="minorBidi" w:cstheme="minorBidi"/>
                <w:noProof/>
                <w:webHidden/>
                <w:sz w:val="22"/>
                <w:szCs w:val="22"/>
              </w:rPr>
              <w:fldChar w:fldCharType="end"/>
            </w:r>
          </w:hyperlink>
        </w:p>
        <w:p w14:paraId="73BECA06"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3" w:history="1">
            <w:r w:rsidRPr="00FA13DA">
              <w:rPr>
                <w:rStyle w:val="Hyperlink"/>
                <w:rFonts w:asciiTheme="minorBidi" w:hAnsiTheme="minorBidi" w:cstheme="minorBidi"/>
                <w:b/>
                <w:bCs/>
                <w:i/>
                <w:iCs/>
                <w:noProof/>
                <w:sz w:val="22"/>
                <w:szCs w:val="22"/>
              </w:rPr>
              <w:t>3.8 Inclusion/Exclusion Criteria</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13</w:t>
            </w:r>
            <w:r w:rsidRPr="00FA13DA">
              <w:rPr>
                <w:rFonts w:asciiTheme="minorBidi" w:hAnsiTheme="minorBidi" w:cstheme="minorBidi"/>
                <w:noProof/>
                <w:webHidden/>
                <w:sz w:val="22"/>
                <w:szCs w:val="22"/>
              </w:rPr>
              <w:fldChar w:fldCharType="end"/>
            </w:r>
          </w:hyperlink>
        </w:p>
        <w:p w14:paraId="79593E1D"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4" w:history="1">
            <w:r w:rsidRPr="00FA13DA">
              <w:rPr>
                <w:rStyle w:val="Hyperlink"/>
                <w:rFonts w:asciiTheme="minorBidi" w:hAnsiTheme="minorBidi" w:cstheme="minorBidi"/>
                <w:b/>
                <w:bCs/>
                <w:i/>
                <w:iCs/>
                <w:noProof/>
                <w:sz w:val="22"/>
                <w:szCs w:val="22"/>
              </w:rPr>
              <w:t>3.8.1 Inclusion Criteria</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14</w:t>
            </w:r>
            <w:r w:rsidRPr="00FA13DA">
              <w:rPr>
                <w:rFonts w:asciiTheme="minorBidi" w:hAnsiTheme="minorBidi" w:cstheme="minorBidi"/>
                <w:noProof/>
                <w:webHidden/>
                <w:sz w:val="22"/>
                <w:szCs w:val="22"/>
              </w:rPr>
              <w:fldChar w:fldCharType="end"/>
            </w:r>
          </w:hyperlink>
        </w:p>
        <w:p w14:paraId="6FB0DB23"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5" w:history="1">
            <w:r w:rsidRPr="00FA13DA">
              <w:rPr>
                <w:rStyle w:val="Hyperlink"/>
                <w:rFonts w:asciiTheme="minorBidi" w:hAnsiTheme="minorBidi" w:cstheme="minorBidi"/>
                <w:b/>
                <w:bCs/>
                <w:i/>
                <w:iCs/>
                <w:noProof/>
                <w:sz w:val="22"/>
                <w:szCs w:val="22"/>
              </w:rPr>
              <w:t>3.8.2 Exclusion Criteria</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14</w:t>
            </w:r>
            <w:r w:rsidRPr="00FA13DA">
              <w:rPr>
                <w:rFonts w:asciiTheme="minorBidi" w:hAnsiTheme="minorBidi" w:cstheme="minorBidi"/>
                <w:noProof/>
                <w:webHidden/>
                <w:sz w:val="22"/>
                <w:szCs w:val="22"/>
              </w:rPr>
              <w:fldChar w:fldCharType="end"/>
            </w:r>
          </w:hyperlink>
        </w:p>
        <w:p w14:paraId="6ED3D09D"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6" w:history="1">
            <w:r w:rsidRPr="00FA13DA">
              <w:rPr>
                <w:rStyle w:val="Hyperlink"/>
                <w:rFonts w:asciiTheme="minorBidi" w:hAnsiTheme="minorBidi" w:cstheme="minorBidi"/>
                <w:b/>
                <w:bCs/>
                <w:i/>
                <w:iCs/>
                <w:noProof/>
                <w:sz w:val="22"/>
                <w:szCs w:val="22"/>
              </w:rPr>
              <w:t>3.9 Search Results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14</w:t>
            </w:r>
            <w:r w:rsidRPr="00FA13DA">
              <w:rPr>
                <w:rFonts w:asciiTheme="minorBidi" w:hAnsiTheme="minorBidi" w:cstheme="minorBidi"/>
                <w:noProof/>
                <w:webHidden/>
                <w:sz w:val="22"/>
                <w:szCs w:val="22"/>
              </w:rPr>
              <w:fldChar w:fldCharType="end"/>
            </w:r>
          </w:hyperlink>
        </w:p>
        <w:p w14:paraId="4EF6FD76"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7" w:history="1">
            <w:r w:rsidRPr="00FA13DA">
              <w:rPr>
                <w:rStyle w:val="Hyperlink"/>
                <w:rFonts w:asciiTheme="minorBidi" w:hAnsiTheme="minorBidi" w:cstheme="minorBidi"/>
                <w:b/>
                <w:bCs/>
                <w:i/>
                <w:iCs/>
                <w:noProof/>
                <w:sz w:val="22"/>
                <w:szCs w:val="22"/>
              </w:rPr>
              <w:t>3.10 Ethical Considerations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15</w:t>
            </w:r>
            <w:r w:rsidRPr="00FA13DA">
              <w:rPr>
                <w:rFonts w:asciiTheme="minorBidi" w:hAnsiTheme="minorBidi" w:cstheme="minorBidi"/>
                <w:noProof/>
                <w:webHidden/>
                <w:sz w:val="22"/>
                <w:szCs w:val="22"/>
              </w:rPr>
              <w:fldChar w:fldCharType="end"/>
            </w:r>
          </w:hyperlink>
        </w:p>
        <w:p w14:paraId="74667D64"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398" w:history="1">
            <w:r w:rsidRPr="00FA13DA">
              <w:rPr>
                <w:rStyle w:val="Hyperlink"/>
                <w:rFonts w:asciiTheme="minorBidi" w:hAnsiTheme="minorBidi" w:cstheme="minorBidi"/>
                <w:b/>
                <w:bCs/>
                <w:noProof/>
                <w:sz w:val="22"/>
                <w:szCs w:val="22"/>
              </w:rPr>
              <w:t>3.11 Chapter Summary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15</w:t>
            </w:r>
            <w:r w:rsidRPr="00FA13DA">
              <w:rPr>
                <w:rFonts w:asciiTheme="minorBidi" w:hAnsiTheme="minorBidi" w:cstheme="minorBidi"/>
                <w:noProof/>
                <w:webHidden/>
                <w:sz w:val="22"/>
                <w:szCs w:val="22"/>
              </w:rPr>
              <w:fldChar w:fldCharType="end"/>
            </w:r>
          </w:hyperlink>
        </w:p>
        <w:p w14:paraId="1AE56A41"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399" w:history="1">
            <w:r w:rsidRPr="00FA13DA">
              <w:rPr>
                <w:rStyle w:val="Hyperlink"/>
                <w:rFonts w:asciiTheme="minorBidi" w:hAnsiTheme="minorBidi" w:cstheme="minorBidi"/>
                <w:b/>
                <w:bCs/>
                <w:noProof/>
                <w:sz w:val="22"/>
                <w:szCs w:val="22"/>
              </w:rPr>
              <w:t>CHAPTER 4: DATA EXTRACTION AND QUALITY APPRAISAL</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_Toc238647399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16</w:t>
            </w:r>
            <w:r w:rsidRPr="00FA13DA">
              <w:rPr>
                <w:rFonts w:asciiTheme="minorBidi" w:hAnsiTheme="minorBidi" w:cstheme="minorBidi"/>
                <w:noProof/>
                <w:webHidden/>
                <w:sz w:val="22"/>
                <w:szCs w:val="22"/>
              </w:rPr>
              <w:fldChar w:fldCharType="end"/>
            </w:r>
          </w:hyperlink>
        </w:p>
        <w:p w14:paraId="6E29FC14"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0" w:history="1">
            <w:r w:rsidRPr="00FA13DA">
              <w:rPr>
                <w:rStyle w:val="Hyperlink"/>
                <w:rFonts w:asciiTheme="minorBidi" w:hAnsiTheme="minorBidi" w:cstheme="minorBidi"/>
                <w:b/>
                <w:bCs/>
                <w:i/>
                <w:iCs/>
                <w:noProof/>
                <w:sz w:val="22"/>
                <w:szCs w:val="22"/>
              </w:rPr>
              <w:t>4.1 Introduction to Chapter</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16</w:t>
            </w:r>
            <w:r w:rsidRPr="00FA13DA">
              <w:rPr>
                <w:rFonts w:asciiTheme="minorBidi" w:hAnsiTheme="minorBidi" w:cstheme="minorBidi"/>
                <w:noProof/>
                <w:webHidden/>
                <w:sz w:val="22"/>
                <w:szCs w:val="22"/>
              </w:rPr>
              <w:fldChar w:fldCharType="end"/>
            </w:r>
          </w:hyperlink>
        </w:p>
        <w:p w14:paraId="5BB87B82"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1" w:history="1">
            <w:r w:rsidRPr="00FA13DA">
              <w:rPr>
                <w:rStyle w:val="Hyperlink"/>
                <w:rFonts w:asciiTheme="minorBidi" w:hAnsiTheme="minorBidi" w:cstheme="minorBidi"/>
                <w:b/>
                <w:bCs/>
                <w:i/>
                <w:iCs/>
                <w:noProof/>
                <w:sz w:val="22"/>
                <w:szCs w:val="22"/>
              </w:rPr>
              <w:t>4.2 Data Extraction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16</w:t>
            </w:r>
            <w:r w:rsidRPr="00FA13DA">
              <w:rPr>
                <w:rFonts w:asciiTheme="minorBidi" w:hAnsiTheme="minorBidi" w:cstheme="minorBidi"/>
                <w:noProof/>
                <w:webHidden/>
                <w:sz w:val="22"/>
                <w:szCs w:val="22"/>
              </w:rPr>
              <w:fldChar w:fldCharType="end"/>
            </w:r>
          </w:hyperlink>
        </w:p>
        <w:p w14:paraId="4F6707F6"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2" w:history="1">
            <w:r w:rsidRPr="00FA13DA">
              <w:rPr>
                <w:rStyle w:val="Hyperlink"/>
                <w:rFonts w:asciiTheme="minorBidi" w:hAnsiTheme="minorBidi" w:cstheme="minorBidi"/>
                <w:b/>
                <w:bCs/>
                <w:i/>
                <w:iCs/>
                <w:noProof/>
                <w:sz w:val="22"/>
                <w:szCs w:val="22"/>
              </w:rPr>
              <w:t>4.3 Brief Introduction to Critical Appraisal and Paper Quality Assessment</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16</w:t>
            </w:r>
            <w:r w:rsidRPr="00FA13DA">
              <w:rPr>
                <w:rFonts w:asciiTheme="minorBidi" w:hAnsiTheme="minorBidi" w:cstheme="minorBidi"/>
                <w:noProof/>
                <w:webHidden/>
                <w:sz w:val="22"/>
                <w:szCs w:val="22"/>
              </w:rPr>
              <w:fldChar w:fldCharType="end"/>
            </w:r>
          </w:hyperlink>
        </w:p>
        <w:p w14:paraId="3EA94B2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3" w:history="1">
            <w:r w:rsidRPr="00FA13DA">
              <w:rPr>
                <w:rStyle w:val="Hyperlink"/>
                <w:rFonts w:asciiTheme="minorBidi" w:hAnsiTheme="minorBidi" w:cstheme="minorBidi"/>
                <w:b/>
                <w:bCs/>
                <w:i/>
                <w:iCs/>
                <w:noProof/>
                <w:sz w:val="22"/>
                <w:szCs w:val="22"/>
              </w:rPr>
              <w:t>4.4 Evaluation of Quantitative and Mixed Methods Studies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23</w:t>
            </w:r>
            <w:r w:rsidRPr="00FA13DA">
              <w:rPr>
                <w:rFonts w:asciiTheme="minorBidi" w:hAnsiTheme="minorBidi" w:cstheme="minorBidi"/>
                <w:noProof/>
                <w:webHidden/>
                <w:sz w:val="22"/>
                <w:szCs w:val="22"/>
              </w:rPr>
              <w:fldChar w:fldCharType="end"/>
            </w:r>
          </w:hyperlink>
        </w:p>
        <w:p w14:paraId="7FB3CD88"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4" w:history="1">
            <w:r w:rsidRPr="00FA13DA">
              <w:rPr>
                <w:rStyle w:val="Hyperlink"/>
                <w:rFonts w:asciiTheme="minorBidi" w:hAnsiTheme="minorBidi" w:cstheme="minorBidi"/>
                <w:b/>
                <w:bCs/>
                <w:i/>
                <w:iCs/>
                <w:noProof/>
                <w:sz w:val="22"/>
                <w:szCs w:val="22"/>
              </w:rPr>
              <w:t>4.4.1 Introduction to Critical Appraisal of Quantitative and Mixed Methods Studies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23</w:t>
            </w:r>
            <w:r w:rsidRPr="00FA13DA">
              <w:rPr>
                <w:rFonts w:asciiTheme="minorBidi" w:hAnsiTheme="minorBidi" w:cstheme="minorBidi"/>
                <w:noProof/>
                <w:webHidden/>
                <w:sz w:val="22"/>
                <w:szCs w:val="22"/>
              </w:rPr>
              <w:fldChar w:fldCharType="end"/>
            </w:r>
          </w:hyperlink>
        </w:p>
        <w:p w14:paraId="2FE0E27A"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5" w:history="1">
            <w:r w:rsidRPr="00FA13DA">
              <w:rPr>
                <w:rStyle w:val="Hyperlink"/>
                <w:rFonts w:asciiTheme="minorBidi" w:hAnsiTheme="minorBidi" w:cstheme="minorBidi"/>
                <w:b/>
                <w:bCs/>
                <w:i/>
                <w:iCs/>
                <w:noProof/>
                <w:sz w:val="22"/>
                <w:szCs w:val="22"/>
              </w:rPr>
              <w:t>4.4.2 Study Designs and Methodological Appropriateness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23</w:t>
            </w:r>
            <w:r w:rsidRPr="00FA13DA">
              <w:rPr>
                <w:rFonts w:asciiTheme="minorBidi" w:hAnsiTheme="minorBidi" w:cstheme="minorBidi"/>
                <w:noProof/>
                <w:webHidden/>
                <w:sz w:val="22"/>
                <w:szCs w:val="22"/>
              </w:rPr>
              <w:fldChar w:fldCharType="end"/>
            </w:r>
          </w:hyperlink>
        </w:p>
        <w:p w14:paraId="615D36C3"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6" w:history="1">
            <w:r w:rsidRPr="00FA13DA">
              <w:rPr>
                <w:rStyle w:val="Hyperlink"/>
                <w:rFonts w:asciiTheme="minorBidi" w:hAnsiTheme="minorBidi" w:cstheme="minorBidi"/>
                <w:b/>
                <w:bCs/>
                <w:i/>
                <w:iCs/>
                <w:noProof/>
                <w:sz w:val="22"/>
                <w:szCs w:val="22"/>
              </w:rPr>
              <w:t>4.4.3 Critical Evaluation of Article 1: Khan et al. (2021)</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24</w:t>
            </w:r>
            <w:r w:rsidRPr="00FA13DA">
              <w:rPr>
                <w:rFonts w:asciiTheme="minorBidi" w:hAnsiTheme="minorBidi" w:cstheme="minorBidi"/>
                <w:noProof/>
                <w:webHidden/>
                <w:sz w:val="22"/>
                <w:szCs w:val="22"/>
              </w:rPr>
              <w:fldChar w:fldCharType="end"/>
            </w:r>
          </w:hyperlink>
        </w:p>
        <w:p w14:paraId="500ACBE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7" w:history="1">
            <w:r w:rsidRPr="00FA13DA">
              <w:rPr>
                <w:rStyle w:val="Hyperlink"/>
                <w:rFonts w:asciiTheme="minorBidi" w:hAnsiTheme="minorBidi" w:cstheme="minorBidi"/>
                <w:b/>
                <w:bCs/>
                <w:i/>
                <w:iCs/>
                <w:noProof/>
                <w:sz w:val="22"/>
                <w:szCs w:val="22"/>
              </w:rPr>
              <w:t>4.4.4 Critical Evaluation of Article 2: Nabeel et al. (2024)</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25</w:t>
            </w:r>
            <w:r w:rsidRPr="00FA13DA">
              <w:rPr>
                <w:rFonts w:asciiTheme="minorBidi" w:hAnsiTheme="minorBidi" w:cstheme="minorBidi"/>
                <w:noProof/>
                <w:webHidden/>
                <w:sz w:val="22"/>
                <w:szCs w:val="22"/>
              </w:rPr>
              <w:fldChar w:fldCharType="end"/>
            </w:r>
          </w:hyperlink>
        </w:p>
        <w:p w14:paraId="493C45F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8" w:history="1">
            <w:r w:rsidRPr="00FA13DA">
              <w:rPr>
                <w:rStyle w:val="Hyperlink"/>
                <w:rFonts w:asciiTheme="minorBidi" w:hAnsiTheme="minorBidi" w:cstheme="minorBidi"/>
                <w:b/>
                <w:bCs/>
                <w:i/>
                <w:iCs/>
                <w:noProof/>
                <w:sz w:val="22"/>
                <w:szCs w:val="22"/>
              </w:rPr>
              <w:t>4.4.5 Critical Evaluation of Article 3: Shahid et al. (2025).</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25</w:t>
            </w:r>
            <w:r w:rsidRPr="00FA13DA">
              <w:rPr>
                <w:rFonts w:asciiTheme="minorBidi" w:hAnsiTheme="minorBidi" w:cstheme="minorBidi"/>
                <w:noProof/>
                <w:webHidden/>
                <w:sz w:val="22"/>
                <w:szCs w:val="22"/>
              </w:rPr>
              <w:fldChar w:fldCharType="end"/>
            </w:r>
          </w:hyperlink>
        </w:p>
        <w:p w14:paraId="2853E1CE"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09" w:history="1">
            <w:r w:rsidRPr="00FA13DA">
              <w:rPr>
                <w:rStyle w:val="Hyperlink"/>
                <w:rFonts w:asciiTheme="minorBidi" w:hAnsiTheme="minorBidi" w:cstheme="minorBidi"/>
                <w:b/>
                <w:bCs/>
                <w:i/>
                <w:iCs/>
                <w:noProof/>
                <w:sz w:val="22"/>
                <w:szCs w:val="22"/>
              </w:rPr>
              <w:t>4.4.6 Critical Evaluation of Article 4: Waseem et al. (2019).</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_Toc238647409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25</w:t>
            </w:r>
            <w:r w:rsidRPr="00FA13DA">
              <w:rPr>
                <w:rFonts w:asciiTheme="minorBidi" w:hAnsiTheme="minorBidi" w:cstheme="minorBidi"/>
                <w:noProof/>
                <w:webHidden/>
                <w:sz w:val="22"/>
                <w:szCs w:val="22"/>
              </w:rPr>
              <w:fldChar w:fldCharType="end"/>
            </w:r>
          </w:hyperlink>
        </w:p>
        <w:p w14:paraId="350A589B"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0" w:history="1">
            <w:r w:rsidRPr="00FA13DA">
              <w:rPr>
                <w:rStyle w:val="Hyperlink"/>
                <w:rFonts w:asciiTheme="minorBidi" w:hAnsiTheme="minorBidi" w:cstheme="minorBidi"/>
                <w:b/>
                <w:bCs/>
                <w:i/>
                <w:iCs/>
                <w:noProof/>
                <w:sz w:val="22"/>
                <w:szCs w:val="22"/>
              </w:rPr>
              <w:t>4.4.7 Critical Evaluation of Article 5: Saif et al. 2024</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26</w:t>
            </w:r>
            <w:r w:rsidRPr="00FA13DA">
              <w:rPr>
                <w:rFonts w:asciiTheme="minorBidi" w:hAnsiTheme="minorBidi" w:cstheme="minorBidi"/>
                <w:noProof/>
                <w:webHidden/>
                <w:sz w:val="22"/>
                <w:szCs w:val="22"/>
              </w:rPr>
              <w:fldChar w:fldCharType="end"/>
            </w:r>
          </w:hyperlink>
        </w:p>
        <w:p w14:paraId="68F5F1B2"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1" w:history="1">
            <w:r w:rsidRPr="00FA13DA">
              <w:rPr>
                <w:rStyle w:val="Hyperlink"/>
                <w:rFonts w:asciiTheme="minorBidi" w:hAnsiTheme="minorBidi" w:cstheme="minorBidi"/>
                <w:b/>
                <w:bCs/>
                <w:i/>
                <w:iCs/>
                <w:noProof/>
                <w:sz w:val="22"/>
                <w:szCs w:val="22"/>
              </w:rPr>
              <w:t>4.4.8 Critical Evaluation of Article 6: Faizullah et al. (2017)</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26</w:t>
            </w:r>
            <w:r w:rsidRPr="00FA13DA">
              <w:rPr>
                <w:rFonts w:asciiTheme="minorBidi" w:hAnsiTheme="minorBidi" w:cstheme="minorBidi"/>
                <w:noProof/>
                <w:webHidden/>
                <w:sz w:val="22"/>
                <w:szCs w:val="22"/>
              </w:rPr>
              <w:fldChar w:fldCharType="end"/>
            </w:r>
          </w:hyperlink>
        </w:p>
        <w:p w14:paraId="3E462D2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2" w:history="1">
            <w:r w:rsidRPr="00FA13DA">
              <w:rPr>
                <w:rStyle w:val="Hyperlink"/>
                <w:rFonts w:asciiTheme="minorBidi" w:hAnsiTheme="minorBidi" w:cstheme="minorBidi"/>
                <w:b/>
                <w:bCs/>
                <w:i/>
                <w:iCs/>
                <w:noProof/>
                <w:sz w:val="22"/>
                <w:szCs w:val="22"/>
              </w:rPr>
              <w:t>4.4.9 Critical Evaluation of Article 7: Ashraf et al. (2022)</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26</w:t>
            </w:r>
            <w:r w:rsidRPr="00FA13DA">
              <w:rPr>
                <w:rFonts w:asciiTheme="minorBidi" w:hAnsiTheme="minorBidi" w:cstheme="minorBidi"/>
                <w:noProof/>
                <w:webHidden/>
                <w:sz w:val="22"/>
                <w:szCs w:val="22"/>
              </w:rPr>
              <w:fldChar w:fldCharType="end"/>
            </w:r>
          </w:hyperlink>
        </w:p>
        <w:p w14:paraId="253E214F"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3" w:history="1">
            <w:r w:rsidRPr="00FA13DA">
              <w:rPr>
                <w:rStyle w:val="Hyperlink"/>
                <w:rFonts w:asciiTheme="minorBidi" w:hAnsiTheme="minorBidi" w:cstheme="minorBidi"/>
                <w:b/>
                <w:bCs/>
                <w:i/>
                <w:iCs/>
                <w:noProof/>
                <w:sz w:val="22"/>
                <w:szCs w:val="22"/>
              </w:rPr>
              <w:t>4.4.10 Critical Evaluation of Article 8: Gillani et al. (2021)</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27</w:t>
            </w:r>
            <w:r w:rsidRPr="00FA13DA">
              <w:rPr>
                <w:rFonts w:asciiTheme="minorBidi" w:hAnsiTheme="minorBidi" w:cstheme="minorBidi"/>
                <w:noProof/>
                <w:webHidden/>
                <w:sz w:val="22"/>
                <w:szCs w:val="22"/>
              </w:rPr>
              <w:fldChar w:fldCharType="end"/>
            </w:r>
          </w:hyperlink>
        </w:p>
        <w:p w14:paraId="5B9090C4"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4" w:history="1">
            <w:r w:rsidRPr="00FA13DA">
              <w:rPr>
                <w:rStyle w:val="Hyperlink"/>
                <w:rFonts w:asciiTheme="minorBidi" w:hAnsiTheme="minorBidi" w:cstheme="minorBidi"/>
                <w:b/>
                <w:bCs/>
                <w:i/>
                <w:iCs/>
                <w:noProof/>
                <w:sz w:val="22"/>
                <w:szCs w:val="22"/>
              </w:rPr>
              <w:t>4.4.11 Critical Evaluation of Article 9: Shah et al. (2022)</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27</w:t>
            </w:r>
            <w:r w:rsidRPr="00FA13DA">
              <w:rPr>
                <w:rFonts w:asciiTheme="minorBidi" w:hAnsiTheme="minorBidi" w:cstheme="minorBidi"/>
                <w:noProof/>
                <w:webHidden/>
                <w:sz w:val="22"/>
                <w:szCs w:val="22"/>
              </w:rPr>
              <w:fldChar w:fldCharType="end"/>
            </w:r>
          </w:hyperlink>
        </w:p>
        <w:p w14:paraId="540E8A77"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5" w:history="1">
            <w:r w:rsidRPr="00FA13DA">
              <w:rPr>
                <w:rStyle w:val="Hyperlink"/>
                <w:rFonts w:asciiTheme="minorBidi" w:hAnsiTheme="minorBidi" w:cstheme="minorBidi"/>
                <w:b/>
                <w:bCs/>
                <w:i/>
                <w:iCs/>
                <w:noProof/>
                <w:sz w:val="22"/>
                <w:szCs w:val="22"/>
              </w:rPr>
              <w:t>4.4.12 Critical Evaluation of Article 10: Khan et al. (2020)</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28</w:t>
            </w:r>
            <w:r w:rsidRPr="00FA13DA">
              <w:rPr>
                <w:rFonts w:asciiTheme="minorBidi" w:hAnsiTheme="minorBidi" w:cstheme="minorBidi"/>
                <w:noProof/>
                <w:webHidden/>
                <w:sz w:val="22"/>
                <w:szCs w:val="22"/>
              </w:rPr>
              <w:fldChar w:fldCharType="end"/>
            </w:r>
          </w:hyperlink>
        </w:p>
        <w:p w14:paraId="4CE2DA36"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6" w:history="1">
            <w:r w:rsidRPr="00FA13DA">
              <w:rPr>
                <w:rStyle w:val="Hyperlink"/>
                <w:rFonts w:asciiTheme="minorBidi" w:hAnsiTheme="minorBidi" w:cstheme="minorBidi"/>
                <w:b/>
                <w:bCs/>
                <w:noProof/>
                <w:sz w:val="22"/>
                <w:szCs w:val="22"/>
              </w:rPr>
              <w:t>4.5 Chapter Summary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28</w:t>
            </w:r>
            <w:r w:rsidRPr="00FA13DA">
              <w:rPr>
                <w:rFonts w:asciiTheme="minorBidi" w:hAnsiTheme="minorBidi" w:cstheme="minorBidi"/>
                <w:noProof/>
                <w:webHidden/>
                <w:sz w:val="22"/>
                <w:szCs w:val="22"/>
              </w:rPr>
              <w:fldChar w:fldCharType="end"/>
            </w:r>
          </w:hyperlink>
        </w:p>
        <w:p w14:paraId="35DA216F"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417" w:history="1">
            <w:r w:rsidRPr="00FA13DA">
              <w:rPr>
                <w:rStyle w:val="Hyperlink"/>
                <w:rFonts w:asciiTheme="minorBidi" w:hAnsiTheme="minorBidi" w:cstheme="minorBidi"/>
                <w:b/>
                <w:bCs/>
                <w:noProof/>
                <w:sz w:val="22"/>
                <w:szCs w:val="22"/>
              </w:rPr>
              <w:t>Chapter 5: Data Analysis and Synthesis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29</w:t>
            </w:r>
            <w:r w:rsidRPr="00FA13DA">
              <w:rPr>
                <w:rFonts w:asciiTheme="minorBidi" w:hAnsiTheme="minorBidi" w:cstheme="minorBidi"/>
                <w:noProof/>
                <w:webHidden/>
                <w:sz w:val="22"/>
                <w:szCs w:val="22"/>
              </w:rPr>
              <w:fldChar w:fldCharType="end"/>
            </w:r>
          </w:hyperlink>
        </w:p>
        <w:p w14:paraId="0C4174AC"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8" w:history="1">
            <w:r w:rsidRPr="00FA13DA">
              <w:rPr>
                <w:rStyle w:val="Hyperlink"/>
                <w:rFonts w:asciiTheme="minorBidi" w:hAnsiTheme="minorBidi" w:cstheme="minorBidi"/>
                <w:b/>
                <w:bCs/>
                <w:i/>
                <w:iCs/>
                <w:noProof/>
                <w:sz w:val="22"/>
                <w:szCs w:val="22"/>
              </w:rPr>
              <w:t>5.1 Introduction to Chapter</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29</w:t>
            </w:r>
            <w:r w:rsidRPr="00FA13DA">
              <w:rPr>
                <w:rFonts w:asciiTheme="minorBidi" w:hAnsiTheme="minorBidi" w:cstheme="minorBidi"/>
                <w:noProof/>
                <w:webHidden/>
                <w:sz w:val="22"/>
                <w:szCs w:val="22"/>
              </w:rPr>
              <w:fldChar w:fldCharType="end"/>
            </w:r>
          </w:hyperlink>
        </w:p>
        <w:p w14:paraId="462599B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19" w:history="1">
            <w:r w:rsidRPr="00FA13DA">
              <w:rPr>
                <w:rStyle w:val="Hyperlink"/>
                <w:rFonts w:asciiTheme="minorBidi" w:hAnsiTheme="minorBidi" w:cstheme="minorBidi"/>
                <w:b/>
                <w:bCs/>
                <w:i/>
                <w:iCs/>
                <w:noProof/>
                <w:sz w:val="22"/>
                <w:szCs w:val="22"/>
              </w:rPr>
              <w:t>5.2 Descriptive Analysis of Quantitative Studies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_Toc238647419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29</w:t>
            </w:r>
            <w:r w:rsidRPr="00FA13DA">
              <w:rPr>
                <w:rFonts w:asciiTheme="minorBidi" w:hAnsiTheme="minorBidi" w:cstheme="minorBidi"/>
                <w:noProof/>
                <w:webHidden/>
                <w:sz w:val="22"/>
                <w:szCs w:val="22"/>
              </w:rPr>
              <w:fldChar w:fldCharType="end"/>
            </w:r>
          </w:hyperlink>
        </w:p>
        <w:p w14:paraId="2B85DF6A"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0" w:history="1">
            <w:r w:rsidRPr="00FA13DA">
              <w:rPr>
                <w:rStyle w:val="Hyperlink"/>
                <w:rFonts w:asciiTheme="minorBidi" w:hAnsiTheme="minorBidi" w:cstheme="minorBidi"/>
                <w:b/>
                <w:bCs/>
                <w:i/>
                <w:iCs/>
                <w:noProof/>
                <w:sz w:val="22"/>
                <w:szCs w:val="22"/>
              </w:rPr>
              <w:t>5.3 Data Cleaning Summary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36</w:t>
            </w:r>
            <w:r w:rsidRPr="00FA13DA">
              <w:rPr>
                <w:rFonts w:asciiTheme="minorBidi" w:hAnsiTheme="minorBidi" w:cstheme="minorBidi"/>
                <w:noProof/>
                <w:webHidden/>
                <w:sz w:val="22"/>
                <w:szCs w:val="22"/>
              </w:rPr>
              <w:fldChar w:fldCharType="end"/>
            </w:r>
          </w:hyperlink>
        </w:p>
        <w:p w14:paraId="49D89D4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1" w:history="1">
            <w:r w:rsidRPr="00FA13DA">
              <w:rPr>
                <w:rStyle w:val="Hyperlink"/>
                <w:rFonts w:asciiTheme="minorBidi" w:hAnsiTheme="minorBidi" w:cstheme="minorBidi"/>
                <w:b/>
                <w:bCs/>
                <w:i/>
                <w:iCs/>
                <w:noProof/>
                <w:sz w:val="22"/>
                <w:szCs w:val="22"/>
              </w:rPr>
              <w:t>5.4 Preliminary observation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37</w:t>
            </w:r>
            <w:r w:rsidRPr="00FA13DA">
              <w:rPr>
                <w:rFonts w:asciiTheme="minorBidi" w:hAnsiTheme="minorBidi" w:cstheme="minorBidi"/>
                <w:noProof/>
                <w:webHidden/>
                <w:sz w:val="22"/>
                <w:szCs w:val="22"/>
              </w:rPr>
              <w:fldChar w:fldCharType="end"/>
            </w:r>
          </w:hyperlink>
        </w:p>
        <w:p w14:paraId="1615A5DA"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2" w:history="1">
            <w:r w:rsidRPr="00FA13DA">
              <w:rPr>
                <w:rStyle w:val="Hyperlink"/>
                <w:rFonts w:asciiTheme="minorBidi" w:hAnsiTheme="minorBidi" w:cstheme="minorBidi"/>
                <w:b/>
                <w:bCs/>
                <w:i/>
                <w:iCs/>
                <w:noProof/>
                <w:sz w:val="22"/>
                <w:szCs w:val="22"/>
              </w:rPr>
              <w:t>5.5 Thematic Analysis of Included Studies.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38</w:t>
            </w:r>
            <w:r w:rsidRPr="00FA13DA">
              <w:rPr>
                <w:rFonts w:asciiTheme="minorBidi" w:hAnsiTheme="minorBidi" w:cstheme="minorBidi"/>
                <w:noProof/>
                <w:webHidden/>
                <w:sz w:val="22"/>
                <w:szCs w:val="22"/>
              </w:rPr>
              <w:fldChar w:fldCharType="end"/>
            </w:r>
          </w:hyperlink>
        </w:p>
        <w:p w14:paraId="57884A8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3" w:history="1">
            <w:r w:rsidRPr="00FA13DA">
              <w:rPr>
                <w:rStyle w:val="Hyperlink"/>
                <w:rFonts w:asciiTheme="minorBidi" w:hAnsiTheme="minorBidi" w:cstheme="minorBidi"/>
                <w:b/>
                <w:bCs/>
                <w:i/>
                <w:iCs/>
                <w:noProof/>
                <w:sz w:val="22"/>
                <w:szCs w:val="22"/>
              </w:rPr>
              <w:t>5.5.1 Theme 1: Knowledge Regarding Antimicrobial Resistance and Utilization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39</w:t>
            </w:r>
            <w:r w:rsidRPr="00FA13DA">
              <w:rPr>
                <w:rFonts w:asciiTheme="minorBidi" w:hAnsiTheme="minorBidi" w:cstheme="minorBidi"/>
                <w:noProof/>
                <w:webHidden/>
                <w:sz w:val="22"/>
                <w:szCs w:val="22"/>
              </w:rPr>
              <w:fldChar w:fldCharType="end"/>
            </w:r>
          </w:hyperlink>
        </w:p>
        <w:p w14:paraId="229EF415"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4" w:history="1">
            <w:r w:rsidRPr="00FA13DA">
              <w:rPr>
                <w:rStyle w:val="Hyperlink"/>
                <w:rFonts w:asciiTheme="minorBidi" w:hAnsiTheme="minorBidi" w:cstheme="minorBidi"/>
                <w:b/>
                <w:bCs/>
                <w:i/>
                <w:iCs/>
                <w:noProof/>
                <w:sz w:val="22"/>
                <w:szCs w:val="22"/>
              </w:rPr>
              <w:t>5.5.2 Theme 2: Attitudes Toward Antibiotic Use and Stewardship</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42</w:t>
            </w:r>
            <w:r w:rsidRPr="00FA13DA">
              <w:rPr>
                <w:rFonts w:asciiTheme="minorBidi" w:hAnsiTheme="minorBidi" w:cstheme="minorBidi"/>
                <w:noProof/>
                <w:webHidden/>
                <w:sz w:val="22"/>
                <w:szCs w:val="22"/>
              </w:rPr>
              <w:fldChar w:fldCharType="end"/>
            </w:r>
          </w:hyperlink>
        </w:p>
        <w:p w14:paraId="47068C77"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5" w:history="1">
            <w:r w:rsidRPr="00FA13DA">
              <w:rPr>
                <w:rStyle w:val="Hyperlink"/>
                <w:rFonts w:asciiTheme="minorBidi" w:hAnsiTheme="minorBidi" w:cstheme="minorBidi"/>
                <w:b/>
                <w:bCs/>
                <w:i/>
                <w:iCs/>
                <w:noProof/>
                <w:sz w:val="22"/>
                <w:szCs w:val="22"/>
              </w:rPr>
              <w:t>5.5.3 Theme 3: Practices Related to Antibiotic Use and Dispensing</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42</w:t>
            </w:r>
            <w:r w:rsidRPr="00FA13DA">
              <w:rPr>
                <w:rFonts w:asciiTheme="minorBidi" w:hAnsiTheme="minorBidi" w:cstheme="minorBidi"/>
                <w:noProof/>
                <w:webHidden/>
                <w:sz w:val="22"/>
                <w:szCs w:val="22"/>
              </w:rPr>
              <w:fldChar w:fldCharType="end"/>
            </w:r>
          </w:hyperlink>
        </w:p>
        <w:p w14:paraId="61478BF8"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6" w:history="1">
            <w:r w:rsidRPr="00FA13DA">
              <w:rPr>
                <w:rStyle w:val="Hyperlink"/>
                <w:rFonts w:asciiTheme="minorBidi" w:hAnsiTheme="minorBidi" w:cstheme="minorBidi"/>
                <w:b/>
                <w:bCs/>
                <w:i/>
                <w:iCs/>
                <w:noProof/>
                <w:sz w:val="22"/>
                <w:szCs w:val="22"/>
              </w:rPr>
              <w:t>5.5.4 Theme 4: Upstream Structural and Sociodemographic Determinants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43</w:t>
            </w:r>
            <w:r w:rsidRPr="00FA13DA">
              <w:rPr>
                <w:rFonts w:asciiTheme="minorBidi" w:hAnsiTheme="minorBidi" w:cstheme="minorBidi"/>
                <w:noProof/>
                <w:webHidden/>
                <w:sz w:val="22"/>
                <w:szCs w:val="22"/>
              </w:rPr>
              <w:fldChar w:fldCharType="end"/>
            </w:r>
          </w:hyperlink>
        </w:p>
        <w:p w14:paraId="10D181AA"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7" w:history="1">
            <w:r w:rsidRPr="00FA13DA">
              <w:rPr>
                <w:rStyle w:val="Hyperlink"/>
                <w:rFonts w:asciiTheme="minorBidi" w:hAnsiTheme="minorBidi" w:cstheme="minorBidi"/>
                <w:b/>
                <w:bCs/>
                <w:noProof/>
                <w:sz w:val="22"/>
                <w:szCs w:val="22"/>
              </w:rPr>
              <w:t>5.6 Chapter Summary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43</w:t>
            </w:r>
            <w:r w:rsidRPr="00FA13DA">
              <w:rPr>
                <w:rFonts w:asciiTheme="minorBidi" w:hAnsiTheme="minorBidi" w:cstheme="minorBidi"/>
                <w:noProof/>
                <w:webHidden/>
                <w:sz w:val="22"/>
                <w:szCs w:val="22"/>
              </w:rPr>
              <w:fldChar w:fldCharType="end"/>
            </w:r>
          </w:hyperlink>
        </w:p>
        <w:p w14:paraId="5067FEB2"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428" w:history="1">
            <w:r w:rsidRPr="00FA13DA">
              <w:rPr>
                <w:rStyle w:val="Hyperlink"/>
                <w:rFonts w:asciiTheme="minorBidi" w:hAnsiTheme="minorBidi" w:cstheme="minorBidi"/>
                <w:b/>
                <w:bCs/>
                <w:noProof/>
                <w:sz w:val="22"/>
                <w:szCs w:val="22"/>
              </w:rPr>
              <w:t>CHAPTER 6: DISCUSSION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44</w:t>
            </w:r>
            <w:r w:rsidRPr="00FA13DA">
              <w:rPr>
                <w:rFonts w:asciiTheme="minorBidi" w:hAnsiTheme="minorBidi" w:cstheme="minorBidi"/>
                <w:noProof/>
                <w:webHidden/>
                <w:sz w:val="22"/>
                <w:szCs w:val="22"/>
              </w:rPr>
              <w:fldChar w:fldCharType="end"/>
            </w:r>
          </w:hyperlink>
        </w:p>
        <w:p w14:paraId="40A2C563"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29" w:history="1">
            <w:r w:rsidRPr="00FA13DA">
              <w:rPr>
                <w:rStyle w:val="Hyperlink"/>
                <w:rFonts w:asciiTheme="minorBidi" w:hAnsiTheme="minorBidi" w:cstheme="minorBidi"/>
                <w:b/>
                <w:bCs/>
                <w:i/>
                <w:iCs/>
                <w:noProof/>
                <w:sz w:val="22"/>
                <w:szCs w:val="22"/>
              </w:rPr>
              <w:t>6.1 Introduction to Chapter</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_Toc238647429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44</w:t>
            </w:r>
            <w:r w:rsidRPr="00FA13DA">
              <w:rPr>
                <w:rFonts w:asciiTheme="minorBidi" w:hAnsiTheme="minorBidi" w:cstheme="minorBidi"/>
                <w:noProof/>
                <w:webHidden/>
                <w:sz w:val="22"/>
                <w:szCs w:val="22"/>
              </w:rPr>
              <w:fldChar w:fldCharType="end"/>
            </w:r>
          </w:hyperlink>
        </w:p>
        <w:p w14:paraId="3F7B2ED2"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0" w:history="1">
            <w:r w:rsidRPr="00FA13DA">
              <w:rPr>
                <w:rStyle w:val="Hyperlink"/>
                <w:rFonts w:asciiTheme="minorBidi" w:hAnsiTheme="minorBidi" w:cstheme="minorBidi"/>
                <w:b/>
                <w:bCs/>
                <w:i/>
                <w:iCs/>
                <w:noProof/>
                <w:sz w:val="22"/>
                <w:szCs w:val="22"/>
              </w:rPr>
              <w:t>6.2 Discussion of Key Findings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44</w:t>
            </w:r>
            <w:r w:rsidRPr="00FA13DA">
              <w:rPr>
                <w:rFonts w:asciiTheme="minorBidi" w:hAnsiTheme="minorBidi" w:cstheme="minorBidi"/>
                <w:noProof/>
                <w:webHidden/>
                <w:sz w:val="22"/>
                <w:szCs w:val="22"/>
              </w:rPr>
              <w:fldChar w:fldCharType="end"/>
            </w:r>
          </w:hyperlink>
        </w:p>
        <w:p w14:paraId="73C00F8B"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1" w:history="1">
            <w:r w:rsidRPr="00FA13DA">
              <w:rPr>
                <w:rStyle w:val="Hyperlink"/>
                <w:rFonts w:asciiTheme="minorBidi" w:hAnsiTheme="minorBidi" w:cstheme="minorBidi"/>
                <w:b/>
                <w:bCs/>
                <w:i/>
                <w:iCs/>
                <w:noProof/>
                <w:sz w:val="22"/>
                <w:szCs w:val="22"/>
              </w:rPr>
              <w:t>6.2.1 Interpretation of Results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44</w:t>
            </w:r>
            <w:r w:rsidRPr="00FA13DA">
              <w:rPr>
                <w:rFonts w:asciiTheme="minorBidi" w:hAnsiTheme="minorBidi" w:cstheme="minorBidi"/>
                <w:noProof/>
                <w:webHidden/>
                <w:sz w:val="22"/>
                <w:szCs w:val="22"/>
              </w:rPr>
              <w:fldChar w:fldCharType="end"/>
            </w:r>
          </w:hyperlink>
        </w:p>
        <w:p w14:paraId="2A213EDC"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2" w:history="1">
            <w:r w:rsidRPr="00FA13DA">
              <w:rPr>
                <w:rStyle w:val="Hyperlink"/>
                <w:rFonts w:asciiTheme="minorBidi" w:hAnsiTheme="minorBidi" w:cstheme="minorBidi"/>
                <w:b/>
                <w:bCs/>
                <w:i/>
                <w:iCs/>
                <w:noProof/>
                <w:sz w:val="22"/>
                <w:szCs w:val="22"/>
              </w:rPr>
              <w:t>6.2.2 Comparison of Literature</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44</w:t>
            </w:r>
            <w:r w:rsidRPr="00FA13DA">
              <w:rPr>
                <w:rFonts w:asciiTheme="minorBidi" w:hAnsiTheme="minorBidi" w:cstheme="minorBidi"/>
                <w:noProof/>
                <w:webHidden/>
                <w:sz w:val="22"/>
                <w:szCs w:val="22"/>
              </w:rPr>
              <w:fldChar w:fldCharType="end"/>
            </w:r>
          </w:hyperlink>
        </w:p>
        <w:p w14:paraId="58753F09"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3" w:history="1">
            <w:r w:rsidRPr="00FA13DA">
              <w:rPr>
                <w:rStyle w:val="Hyperlink"/>
                <w:rFonts w:asciiTheme="minorBidi" w:hAnsiTheme="minorBidi" w:cstheme="minorBidi"/>
                <w:b/>
                <w:bCs/>
                <w:i/>
                <w:iCs/>
                <w:noProof/>
                <w:sz w:val="22"/>
                <w:szCs w:val="22"/>
              </w:rPr>
              <w:t>6.2.2.1 Theme 1: Knowledge Regarding Antimicrobial Resistance and Utilization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46</w:t>
            </w:r>
            <w:r w:rsidRPr="00FA13DA">
              <w:rPr>
                <w:rFonts w:asciiTheme="minorBidi" w:hAnsiTheme="minorBidi" w:cstheme="minorBidi"/>
                <w:noProof/>
                <w:webHidden/>
                <w:sz w:val="22"/>
                <w:szCs w:val="22"/>
              </w:rPr>
              <w:fldChar w:fldCharType="end"/>
            </w:r>
          </w:hyperlink>
        </w:p>
        <w:p w14:paraId="2500103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4" w:history="1">
            <w:r w:rsidRPr="00FA13DA">
              <w:rPr>
                <w:rStyle w:val="Hyperlink"/>
                <w:rFonts w:asciiTheme="minorBidi" w:hAnsiTheme="minorBidi" w:cstheme="minorBidi"/>
                <w:b/>
                <w:bCs/>
                <w:i/>
                <w:iCs/>
                <w:noProof/>
                <w:sz w:val="22"/>
                <w:szCs w:val="22"/>
              </w:rPr>
              <w:t>6.2.2.2 Theme 2: Attitudes Toward Antibiotic Use and Stewardship</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46</w:t>
            </w:r>
            <w:r w:rsidRPr="00FA13DA">
              <w:rPr>
                <w:rFonts w:asciiTheme="minorBidi" w:hAnsiTheme="minorBidi" w:cstheme="minorBidi"/>
                <w:noProof/>
                <w:webHidden/>
                <w:sz w:val="22"/>
                <w:szCs w:val="22"/>
              </w:rPr>
              <w:fldChar w:fldCharType="end"/>
            </w:r>
          </w:hyperlink>
        </w:p>
        <w:p w14:paraId="0E79EC10"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5" w:history="1">
            <w:r w:rsidRPr="00FA13DA">
              <w:rPr>
                <w:rStyle w:val="Hyperlink"/>
                <w:rFonts w:asciiTheme="minorBidi" w:hAnsiTheme="minorBidi" w:cstheme="minorBidi"/>
                <w:b/>
                <w:bCs/>
                <w:i/>
                <w:iCs/>
                <w:noProof/>
                <w:sz w:val="22"/>
                <w:szCs w:val="22"/>
              </w:rPr>
              <w:t>6.2.2.3 Theme 3: Practices Related to Antibiotic Use and Dispensing</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47</w:t>
            </w:r>
            <w:r w:rsidRPr="00FA13DA">
              <w:rPr>
                <w:rFonts w:asciiTheme="minorBidi" w:hAnsiTheme="minorBidi" w:cstheme="minorBidi"/>
                <w:noProof/>
                <w:webHidden/>
                <w:sz w:val="22"/>
                <w:szCs w:val="22"/>
              </w:rPr>
              <w:fldChar w:fldCharType="end"/>
            </w:r>
          </w:hyperlink>
        </w:p>
        <w:p w14:paraId="7661E77E"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6" w:history="1">
            <w:r w:rsidRPr="00FA13DA">
              <w:rPr>
                <w:rStyle w:val="Hyperlink"/>
                <w:rFonts w:asciiTheme="minorBidi" w:hAnsiTheme="minorBidi" w:cstheme="minorBidi"/>
                <w:b/>
                <w:bCs/>
                <w:i/>
                <w:iCs/>
                <w:noProof/>
                <w:sz w:val="22"/>
                <w:szCs w:val="22"/>
              </w:rPr>
              <w:t>6.2.2.4 Theme 4: Upstream Structural and Sociodemographic Determinants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47</w:t>
            </w:r>
            <w:r w:rsidRPr="00FA13DA">
              <w:rPr>
                <w:rFonts w:asciiTheme="minorBidi" w:hAnsiTheme="minorBidi" w:cstheme="minorBidi"/>
                <w:noProof/>
                <w:webHidden/>
                <w:sz w:val="22"/>
                <w:szCs w:val="22"/>
              </w:rPr>
              <w:fldChar w:fldCharType="end"/>
            </w:r>
          </w:hyperlink>
        </w:p>
        <w:p w14:paraId="24FACA2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7" w:history="1">
            <w:r w:rsidRPr="00FA13DA">
              <w:rPr>
                <w:rStyle w:val="Hyperlink"/>
                <w:rFonts w:asciiTheme="minorBidi" w:hAnsiTheme="minorBidi" w:cstheme="minorBidi"/>
                <w:b/>
                <w:bCs/>
                <w:i/>
                <w:iCs/>
                <w:noProof/>
                <w:sz w:val="22"/>
                <w:szCs w:val="22"/>
              </w:rPr>
              <w:t>6.2.3 Methodological Reflection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48</w:t>
            </w:r>
            <w:r w:rsidRPr="00FA13DA">
              <w:rPr>
                <w:rFonts w:asciiTheme="minorBidi" w:hAnsiTheme="minorBidi" w:cstheme="minorBidi"/>
                <w:noProof/>
                <w:webHidden/>
                <w:sz w:val="22"/>
                <w:szCs w:val="22"/>
              </w:rPr>
              <w:fldChar w:fldCharType="end"/>
            </w:r>
          </w:hyperlink>
        </w:p>
        <w:p w14:paraId="4429297B"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8" w:history="1">
            <w:r w:rsidRPr="00FA13DA">
              <w:rPr>
                <w:rStyle w:val="Hyperlink"/>
                <w:rFonts w:asciiTheme="minorBidi" w:hAnsiTheme="minorBidi" w:cstheme="minorBidi"/>
                <w:b/>
                <w:bCs/>
                <w:i/>
                <w:iCs/>
                <w:noProof/>
                <w:sz w:val="22"/>
                <w:szCs w:val="22"/>
              </w:rPr>
              <w:t>6.2.4 Unexpected Findings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48</w:t>
            </w:r>
            <w:r w:rsidRPr="00FA13DA">
              <w:rPr>
                <w:rFonts w:asciiTheme="minorBidi" w:hAnsiTheme="minorBidi" w:cstheme="minorBidi"/>
                <w:noProof/>
                <w:webHidden/>
                <w:sz w:val="22"/>
                <w:szCs w:val="22"/>
              </w:rPr>
              <w:fldChar w:fldCharType="end"/>
            </w:r>
          </w:hyperlink>
        </w:p>
        <w:p w14:paraId="7A29372F"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39" w:history="1">
            <w:r w:rsidRPr="00FA13DA">
              <w:rPr>
                <w:rStyle w:val="Hyperlink"/>
                <w:rFonts w:asciiTheme="minorBidi" w:hAnsiTheme="minorBidi" w:cstheme="minorBidi"/>
                <w:b/>
                <w:bCs/>
                <w:i/>
                <w:iCs/>
                <w:noProof/>
                <w:sz w:val="22"/>
                <w:szCs w:val="22"/>
              </w:rPr>
              <w:t>6.3 Strengths and Limitations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_Toc238647439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48</w:t>
            </w:r>
            <w:r w:rsidRPr="00FA13DA">
              <w:rPr>
                <w:rFonts w:asciiTheme="minorBidi" w:hAnsiTheme="minorBidi" w:cstheme="minorBidi"/>
                <w:noProof/>
                <w:webHidden/>
                <w:sz w:val="22"/>
                <w:szCs w:val="22"/>
              </w:rPr>
              <w:fldChar w:fldCharType="end"/>
            </w:r>
          </w:hyperlink>
        </w:p>
        <w:p w14:paraId="1A370EAC"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0" w:history="1">
            <w:r w:rsidRPr="00FA13DA">
              <w:rPr>
                <w:rStyle w:val="Hyperlink"/>
                <w:rFonts w:asciiTheme="minorBidi" w:hAnsiTheme="minorBidi" w:cstheme="minorBidi"/>
                <w:b/>
                <w:bCs/>
                <w:noProof/>
                <w:sz w:val="22"/>
                <w:szCs w:val="22"/>
              </w:rPr>
              <w:t>6.4 Chapter Summary</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49</w:t>
            </w:r>
            <w:r w:rsidRPr="00FA13DA">
              <w:rPr>
                <w:rFonts w:asciiTheme="minorBidi" w:hAnsiTheme="minorBidi" w:cstheme="minorBidi"/>
                <w:noProof/>
                <w:webHidden/>
                <w:sz w:val="22"/>
                <w:szCs w:val="22"/>
              </w:rPr>
              <w:fldChar w:fldCharType="end"/>
            </w:r>
          </w:hyperlink>
        </w:p>
        <w:p w14:paraId="4D3A950E"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441" w:history="1">
            <w:r w:rsidRPr="00FA13DA">
              <w:rPr>
                <w:rStyle w:val="Hyperlink"/>
                <w:rFonts w:asciiTheme="minorBidi" w:hAnsiTheme="minorBidi" w:cstheme="minorBidi"/>
                <w:b/>
                <w:bCs/>
                <w:noProof/>
                <w:sz w:val="22"/>
                <w:szCs w:val="22"/>
              </w:rPr>
              <w:t>CHAPTER 7: RECOMMENDATIONS AND CONCLUSION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_Toc238647441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50</w:t>
            </w:r>
            <w:r w:rsidRPr="00FA13DA">
              <w:rPr>
                <w:rFonts w:asciiTheme="minorBidi" w:hAnsiTheme="minorBidi" w:cstheme="minorBidi"/>
                <w:noProof/>
                <w:webHidden/>
                <w:sz w:val="22"/>
                <w:szCs w:val="22"/>
              </w:rPr>
              <w:fldChar w:fldCharType="end"/>
            </w:r>
          </w:hyperlink>
        </w:p>
        <w:p w14:paraId="5B75193E"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2" w:history="1">
            <w:r w:rsidRPr="00FA13DA">
              <w:rPr>
                <w:rStyle w:val="Hyperlink"/>
                <w:rFonts w:asciiTheme="minorBidi" w:hAnsiTheme="minorBidi" w:cstheme="minorBidi"/>
                <w:b/>
                <w:bCs/>
                <w:i/>
                <w:iCs/>
                <w:noProof/>
                <w:sz w:val="22"/>
                <w:szCs w:val="22"/>
              </w:rPr>
              <w:t>7.1 Introduction to Chapter</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_Toc238647442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50</w:t>
            </w:r>
            <w:r w:rsidRPr="00FA13DA">
              <w:rPr>
                <w:rFonts w:asciiTheme="minorBidi" w:hAnsiTheme="minorBidi" w:cstheme="minorBidi"/>
                <w:noProof/>
                <w:webHidden/>
                <w:sz w:val="22"/>
                <w:szCs w:val="22"/>
              </w:rPr>
              <w:fldChar w:fldCharType="end"/>
            </w:r>
          </w:hyperlink>
        </w:p>
        <w:p w14:paraId="36565397"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3" w:history="1">
            <w:r w:rsidRPr="00FA13DA">
              <w:rPr>
                <w:rStyle w:val="Hyperlink"/>
                <w:rFonts w:asciiTheme="minorBidi" w:hAnsiTheme="minorBidi" w:cstheme="minorBidi"/>
                <w:b/>
                <w:bCs/>
                <w:i/>
                <w:iCs/>
                <w:noProof/>
                <w:sz w:val="22"/>
                <w:szCs w:val="22"/>
              </w:rPr>
              <w:t>7.2 Implications of Findings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_Toc238647443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51</w:t>
            </w:r>
            <w:r w:rsidRPr="00FA13DA">
              <w:rPr>
                <w:rFonts w:asciiTheme="minorBidi" w:hAnsiTheme="minorBidi" w:cstheme="minorBidi"/>
                <w:noProof/>
                <w:webHidden/>
                <w:sz w:val="22"/>
                <w:szCs w:val="22"/>
              </w:rPr>
              <w:fldChar w:fldCharType="end"/>
            </w:r>
          </w:hyperlink>
        </w:p>
        <w:p w14:paraId="28D18932"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4" w:history="1">
            <w:r w:rsidRPr="00FA13DA">
              <w:rPr>
                <w:rStyle w:val="Hyperlink"/>
                <w:rFonts w:asciiTheme="minorBidi" w:hAnsiTheme="minorBidi" w:cstheme="minorBidi"/>
                <w:b/>
                <w:bCs/>
                <w:i/>
                <w:iCs/>
                <w:noProof/>
                <w:sz w:val="22"/>
                <w:szCs w:val="22"/>
              </w:rPr>
              <w:t>7.3 Scope and Limitation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_Toc238647444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52</w:t>
            </w:r>
            <w:r w:rsidRPr="00FA13DA">
              <w:rPr>
                <w:rFonts w:asciiTheme="minorBidi" w:hAnsiTheme="minorBidi" w:cstheme="minorBidi"/>
                <w:noProof/>
                <w:webHidden/>
                <w:sz w:val="22"/>
                <w:szCs w:val="22"/>
              </w:rPr>
              <w:fldChar w:fldCharType="end"/>
            </w:r>
          </w:hyperlink>
        </w:p>
        <w:p w14:paraId="098905A1"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5" w:history="1">
            <w:r w:rsidRPr="00FA13DA">
              <w:rPr>
                <w:rStyle w:val="Hyperlink"/>
                <w:rFonts w:asciiTheme="minorBidi" w:hAnsiTheme="minorBidi" w:cstheme="minorBidi"/>
                <w:b/>
                <w:bCs/>
                <w:i/>
                <w:iCs/>
                <w:noProof/>
                <w:sz w:val="22"/>
                <w:szCs w:val="22"/>
              </w:rPr>
              <w:t>7.3.1 Scope</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_Toc238647445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52</w:t>
            </w:r>
            <w:r w:rsidRPr="00FA13DA">
              <w:rPr>
                <w:rFonts w:asciiTheme="minorBidi" w:hAnsiTheme="minorBidi" w:cstheme="minorBidi"/>
                <w:noProof/>
                <w:webHidden/>
                <w:sz w:val="22"/>
                <w:szCs w:val="22"/>
              </w:rPr>
              <w:fldChar w:fldCharType="end"/>
            </w:r>
          </w:hyperlink>
        </w:p>
        <w:p w14:paraId="68A9A962"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6" w:history="1">
            <w:r w:rsidRPr="00FA13DA">
              <w:rPr>
                <w:rStyle w:val="Hyperlink"/>
                <w:rFonts w:asciiTheme="minorBidi" w:hAnsiTheme="minorBidi" w:cstheme="minorBidi"/>
                <w:b/>
                <w:bCs/>
                <w:i/>
                <w:iCs/>
                <w:noProof/>
                <w:sz w:val="22"/>
                <w:szCs w:val="22"/>
              </w:rPr>
              <w:t>7.3.2 Limitations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_Toc238647446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52</w:t>
            </w:r>
            <w:r w:rsidRPr="00FA13DA">
              <w:rPr>
                <w:rFonts w:asciiTheme="minorBidi" w:hAnsiTheme="minorBidi" w:cstheme="minorBidi"/>
                <w:noProof/>
                <w:webHidden/>
                <w:sz w:val="22"/>
                <w:szCs w:val="22"/>
              </w:rPr>
              <w:fldChar w:fldCharType="end"/>
            </w:r>
          </w:hyperlink>
        </w:p>
        <w:p w14:paraId="4FD401C5"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7" w:history="1">
            <w:r w:rsidRPr="00FA13DA">
              <w:rPr>
                <w:rStyle w:val="Hyperlink"/>
                <w:rFonts w:asciiTheme="minorBidi" w:hAnsiTheme="minorBidi" w:cstheme="minorBidi"/>
                <w:b/>
                <w:bCs/>
                <w:i/>
                <w:iCs/>
                <w:noProof/>
                <w:sz w:val="22"/>
                <w:szCs w:val="22"/>
              </w:rPr>
              <w:t>7.4 Recommendations for Practice</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_Toc238647447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52</w:t>
            </w:r>
            <w:r w:rsidRPr="00FA13DA">
              <w:rPr>
                <w:rFonts w:asciiTheme="minorBidi" w:hAnsiTheme="minorBidi" w:cstheme="minorBidi"/>
                <w:noProof/>
                <w:webHidden/>
                <w:sz w:val="22"/>
                <w:szCs w:val="22"/>
              </w:rPr>
              <w:fldChar w:fldCharType="end"/>
            </w:r>
          </w:hyperlink>
        </w:p>
        <w:p w14:paraId="1354D55C"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8" w:history="1">
            <w:r w:rsidRPr="00FA13DA">
              <w:rPr>
                <w:rStyle w:val="Hyperlink"/>
                <w:rFonts w:asciiTheme="minorBidi" w:hAnsiTheme="minorBidi" w:cstheme="minorBidi"/>
                <w:b/>
                <w:bCs/>
                <w:i/>
                <w:iCs/>
                <w:noProof/>
                <w:sz w:val="22"/>
                <w:szCs w:val="22"/>
              </w:rPr>
              <w:t>7.5 Recommendations for Future Research</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_Toc238647448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53</w:t>
            </w:r>
            <w:r w:rsidRPr="00FA13DA">
              <w:rPr>
                <w:rFonts w:asciiTheme="minorBidi" w:hAnsiTheme="minorBidi" w:cstheme="minorBidi"/>
                <w:noProof/>
                <w:webHidden/>
                <w:sz w:val="22"/>
                <w:szCs w:val="22"/>
              </w:rPr>
              <w:fldChar w:fldCharType="end"/>
            </w:r>
          </w:hyperlink>
        </w:p>
        <w:p w14:paraId="3889E863" w14:textId="77777777" w:rsidR="00FA13DA" w:rsidRPr="00FA13DA" w:rsidRDefault="00FA13DA">
          <w:pPr>
            <w:pStyle w:val="TOC2"/>
            <w:tabs>
              <w:tab w:val="right" w:leader="dot" w:pos="9679"/>
            </w:tabs>
            <w:rPr>
              <w:rFonts w:asciiTheme="minorBidi" w:eastAsiaTheme="minorEastAsia" w:hAnsiTheme="minorBidi" w:cstheme="minorBidi"/>
              <w:noProof/>
              <w:kern w:val="0"/>
              <w:sz w:val="22"/>
              <w:szCs w:val="22"/>
            </w:rPr>
          </w:pPr>
          <w:hyperlink w:anchor="_Toc238647449" w:history="1">
            <w:r w:rsidRPr="00FA13DA">
              <w:rPr>
                <w:rStyle w:val="Hyperlink"/>
                <w:rFonts w:asciiTheme="minorBidi" w:hAnsiTheme="minorBidi" w:cstheme="minorBidi"/>
                <w:b/>
                <w:bCs/>
                <w:i/>
                <w:iCs/>
                <w:noProof/>
                <w:sz w:val="22"/>
                <w:szCs w:val="22"/>
              </w:rPr>
              <w:t>7.6 Conclusion</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_Toc238647449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53</w:t>
            </w:r>
            <w:r w:rsidRPr="00FA13DA">
              <w:rPr>
                <w:rFonts w:asciiTheme="minorBidi" w:hAnsiTheme="minorBidi" w:cstheme="minorBidi"/>
                <w:noProof/>
                <w:webHidden/>
                <w:sz w:val="22"/>
                <w:szCs w:val="22"/>
              </w:rPr>
              <w:fldChar w:fldCharType="end"/>
            </w:r>
          </w:hyperlink>
        </w:p>
        <w:p w14:paraId="1DA50020" w14:textId="77777777" w:rsidR="00FA13DA" w:rsidRPr="00FA13DA" w:rsidRDefault="00FA13DA">
          <w:pPr>
            <w:pStyle w:val="TOC1"/>
            <w:tabs>
              <w:tab w:val="right" w:leader="dot" w:pos="9679"/>
            </w:tabs>
            <w:rPr>
              <w:rFonts w:asciiTheme="minorBidi" w:eastAsiaTheme="minorEastAsia" w:hAnsiTheme="minorBidi" w:cstheme="minorBidi"/>
              <w:noProof/>
              <w:kern w:val="0"/>
              <w:sz w:val="22"/>
              <w:szCs w:val="22"/>
            </w:rPr>
          </w:pPr>
          <w:hyperlink w:anchor="_Toc238647450" w:history="1">
            <w:r w:rsidRPr="00FA13DA">
              <w:rPr>
                <w:rStyle w:val="Hyperlink"/>
                <w:rFonts w:asciiTheme="minorBidi" w:hAnsiTheme="minorBidi" w:cstheme="minorBidi"/>
                <w:b/>
                <w:bCs/>
                <w:noProof/>
                <w:sz w:val="22"/>
                <w:szCs w:val="22"/>
              </w:rPr>
              <w:t>References:</w:t>
            </w:r>
            <w:r w:rsidRPr="00FA13DA">
              <w:rPr>
                <w:rFonts w:asciiTheme="minorBidi" w:hAnsiTheme="minorBidi" w:cstheme="minorBidi"/>
                <w:noProof/>
                <w:webHidden/>
                <w:sz w:val="22"/>
                <w:szCs w:val="22"/>
              </w:rPr>
              <w:tab/>
            </w:r>
            <w:r w:rsidRPr="00FA13DA">
              <w:rPr>
                <w:rFonts w:asciiTheme="minorBidi" w:hAnsiTheme="minorBidi" w:cstheme="minorBidi"/>
                <w:noProof/>
                <w:webHidden/>
                <w:sz w:val="22"/>
                <w:szCs w:val="22"/>
              </w:rPr>
              <w:fldChar w:fldCharType="begin"/>
            </w:r>
            <w:r w:rsidRPr="00FA13DA">
              <w:rPr>
                <w:rFonts w:asciiTheme="minorBidi" w:hAnsiTheme="minorBidi" w:cstheme="minorBidi"/>
                <w:noProof/>
                <w:webHidden/>
                <w:sz w:val="22"/>
                <w:szCs w:val="22"/>
              </w:rPr>
              <w:instrText xml:space="preserve"> PAGEREF _Toc238647450 \h </w:instrText>
            </w:r>
            <w:r w:rsidRPr="00FA13DA">
              <w:rPr>
                <w:rFonts w:asciiTheme="minorBidi" w:hAnsiTheme="minorBidi" w:cstheme="minorBidi"/>
                <w:noProof/>
                <w:webHidden/>
                <w:sz w:val="22"/>
                <w:szCs w:val="22"/>
              </w:rPr>
            </w:r>
            <w:r w:rsidRPr="00FA13DA">
              <w:rPr>
                <w:rFonts w:asciiTheme="minorBidi" w:hAnsiTheme="minorBidi" w:cstheme="minorBidi"/>
                <w:noProof/>
                <w:webHidden/>
                <w:sz w:val="22"/>
                <w:szCs w:val="22"/>
              </w:rPr>
              <w:fldChar w:fldCharType="separate"/>
            </w:r>
            <w:r w:rsidRPr="00FA13DA">
              <w:rPr>
                <w:rFonts w:asciiTheme="minorBidi" w:hAnsiTheme="minorBidi" w:cstheme="minorBidi"/>
                <w:noProof/>
                <w:webHidden/>
                <w:sz w:val="22"/>
                <w:szCs w:val="22"/>
              </w:rPr>
              <w:t>55</w:t>
            </w:r>
            <w:r w:rsidRPr="00FA13DA">
              <w:rPr>
                <w:rFonts w:asciiTheme="minorBidi" w:hAnsiTheme="minorBidi" w:cstheme="minorBidi"/>
                <w:noProof/>
                <w:webHidden/>
                <w:sz w:val="22"/>
                <w:szCs w:val="22"/>
              </w:rPr>
              <w:fldChar w:fldCharType="end"/>
            </w:r>
          </w:hyperlink>
        </w:p>
        <w:p w14:paraId="60192538" w14:textId="770C3AE4" w:rsidR="00FA13DA" w:rsidRDefault="00FA13DA">
          <w:r w:rsidRPr="00FA13DA">
            <w:rPr>
              <w:rFonts w:asciiTheme="minorBidi" w:hAnsiTheme="minorBidi" w:cstheme="minorBidi"/>
              <w:b/>
              <w:bCs/>
              <w:noProof/>
              <w:sz w:val="22"/>
              <w:szCs w:val="22"/>
            </w:rPr>
            <w:fldChar w:fldCharType="end"/>
          </w:r>
        </w:p>
      </w:sdtContent>
    </w:sdt>
    <w:p w14:paraId="618E744D" w14:textId="4EDB3E13" w:rsidR="00524BA8" w:rsidRPr="00524BA8" w:rsidRDefault="00524BA8">
      <w:pPr>
        <w:rPr>
          <w:rFonts w:ascii="Arial" w:hAnsi="Arial" w:cs="Arial"/>
          <w:sz w:val="22"/>
          <w:szCs w:val="22"/>
        </w:rPr>
      </w:pPr>
    </w:p>
    <w:p w14:paraId="3110899C" w14:textId="77777777" w:rsidR="00FB4674" w:rsidRDefault="00FB4674" w:rsidP="0047047B">
      <w:pPr>
        <w:spacing w:line="360" w:lineRule="auto"/>
        <w:jc w:val="both"/>
        <w:rPr>
          <w:rFonts w:ascii="Arial" w:hAnsi="Arial" w:cs="Arial"/>
          <w:b/>
          <w:bCs/>
          <w:sz w:val="22"/>
          <w:szCs w:val="22"/>
        </w:rPr>
      </w:pPr>
    </w:p>
    <w:p w14:paraId="627C0521" w14:textId="77777777" w:rsidR="00345E44" w:rsidRDefault="00345E44" w:rsidP="0047047B">
      <w:pPr>
        <w:spacing w:line="360" w:lineRule="auto"/>
        <w:jc w:val="both"/>
        <w:rPr>
          <w:rFonts w:ascii="Arial" w:hAnsi="Arial" w:cs="Arial"/>
          <w:b/>
          <w:bCs/>
          <w:sz w:val="22"/>
          <w:szCs w:val="22"/>
        </w:rPr>
      </w:pPr>
    </w:p>
    <w:p w14:paraId="4ADDAC90" w14:textId="77777777" w:rsidR="00345E44" w:rsidRDefault="00345E44" w:rsidP="0047047B">
      <w:pPr>
        <w:spacing w:line="360" w:lineRule="auto"/>
        <w:jc w:val="both"/>
        <w:rPr>
          <w:rFonts w:ascii="Arial" w:hAnsi="Arial" w:cs="Arial"/>
          <w:b/>
          <w:bCs/>
          <w:sz w:val="22"/>
          <w:szCs w:val="22"/>
        </w:rPr>
      </w:pPr>
    </w:p>
    <w:p w14:paraId="5AB7D9F3" w14:textId="77777777" w:rsidR="00FA13DA" w:rsidRDefault="00FA13DA" w:rsidP="0047047B">
      <w:pPr>
        <w:spacing w:line="360" w:lineRule="auto"/>
        <w:jc w:val="both"/>
        <w:rPr>
          <w:rFonts w:ascii="Arial" w:hAnsi="Arial" w:cs="Arial"/>
          <w:b/>
          <w:bCs/>
          <w:sz w:val="22"/>
          <w:szCs w:val="22"/>
        </w:rPr>
      </w:pPr>
    </w:p>
    <w:p w14:paraId="649B621D" w14:textId="77777777" w:rsidR="00FA13DA" w:rsidRDefault="00FA13DA" w:rsidP="0047047B">
      <w:pPr>
        <w:spacing w:line="360" w:lineRule="auto"/>
        <w:jc w:val="both"/>
        <w:rPr>
          <w:rFonts w:ascii="Arial" w:hAnsi="Arial" w:cs="Arial"/>
          <w:b/>
          <w:bCs/>
          <w:sz w:val="22"/>
          <w:szCs w:val="22"/>
        </w:rPr>
      </w:pPr>
    </w:p>
    <w:p w14:paraId="380FEB9F" w14:textId="77777777" w:rsidR="00FA13DA" w:rsidRDefault="00FA13DA" w:rsidP="0047047B">
      <w:pPr>
        <w:spacing w:line="360" w:lineRule="auto"/>
        <w:jc w:val="both"/>
        <w:rPr>
          <w:rFonts w:ascii="Arial" w:hAnsi="Arial" w:cs="Arial"/>
          <w:b/>
          <w:bCs/>
          <w:sz w:val="22"/>
          <w:szCs w:val="22"/>
        </w:rPr>
      </w:pPr>
    </w:p>
    <w:p w14:paraId="55CEFA9E" w14:textId="77777777" w:rsidR="00FA13DA" w:rsidRDefault="00FA13DA" w:rsidP="0047047B">
      <w:pPr>
        <w:spacing w:line="360" w:lineRule="auto"/>
        <w:jc w:val="both"/>
        <w:rPr>
          <w:rFonts w:ascii="Arial" w:hAnsi="Arial" w:cs="Arial"/>
          <w:b/>
          <w:bCs/>
          <w:sz w:val="22"/>
          <w:szCs w:val="22"/>
        </w:rPr>
      </w:pPr>
    </w:p>
    <w:p w14:paraId="007160A9" w14:textId="77777777" w:rsidR="00FA13DA" w:rsidRDefault="00FA13DA" w:rsidP="0047047B">
      <w:pPr>
        <w:spacing w:line="360" w:lineRule="auto"/>
        <w:jc w:val="both"/>
        <w:rPr>
          <w:rFonts w:ascii="Arial" w:hAnsi="Arial" w:cs="Arial"/>
          <w:b/>
          <w:bCs/>
          <w:sz w:val="22"/>
          <w:szCs w:val="22"/>
        </w:rPr>
      </w:pPr>
    </w:p>
    <w:p w14:paraId="1895DE08" w14:textId="77777777" w:rsidR="00FA13DA" w:rsidRDefault="00FA13DA" w:rsidP="0047047B">
      <w:pPr>
        <w:spacing w:line="360" w:lineRule="auto"/>
        <w:jc w:val="both"/>
        <w:rPr>
          <w:rFonts w:ascii="Arial" w:hAnsi="Arial" w:cs="Arial"/>
          <w:b/>
          <w:bCs/>
          <w:sz w:val="22"/>
          <w:szCs w:val="22"/>
        </w:rPr>
      </w:pPr>
    </w:p>
    <w:p w14:paraId="487399F2" w14:textId="77777777" w:rsidR="00FA13DA" w:rsidRDefault="00FA13DA" w:rsidP="0047047B">
      <w:pPr>
        <w:spacing w:line="360" w:lineRule="auto"/>
        <w:jc w:val="both"/>
        <w:rPr>
          <w:rFonts w:ascii="Arial" w:hAnsi="Arial" w:cs="Arial"/>
          <w:b/>
          <w:bCs/>
          <w:sz w:val="22"/>
          <w:szCs w:val="22"/>
        </w:rPr>
      </w:pPr>
    </w:p>
    <w:p w14:paraId="15E5B15F" w14:textId="77777777" w:rsidR="00FA13DA" w:rsidRDefault="00FA13DA" w:rsidP="0047047B">
      <w:pPr>
        <w:spacing w:line="360" w:lineRule="auto"/>
        <w:jc w:val="both"/>
        <w:rPr>
          <w:rFonts w:ascii="Arial" w:hAnsi="Arial" w:cs="Arial"/>
          <w:b/>
          <w:bCs/>
          <w:sz w:val="22"/>
          <w:szCs w:val="22"/>
        </w:rPr>
      </w:pPr>
    </w:p>
    <w:p w14:paraId="27D23A38" w14:textId="77777777" w:rsidR="00FA13DA" w:rsidRDefault="00FA13DA" w:rsidP="0047047B">
      <w:pPr>
        <w:spacing w:line="360" w:lineRule="auto"/>
        <w:jc w:val="both"/>
        <w:rPr>
          <w:rFonts w:ascii="Arial" w:hAnsi="Arial" w:cs="Arial"/>
          <w:b/>
          <w:bCs/>
          <w:sz w:val="22"/>
          <w:szCs w:val="22"/>
        </w:rPr>
      </w:pPr>
    </w:p>
    <w:p w14:paraId="47102C5E" w14:textId="77777777" w:rsidR="00FA13DA" w:rsidRDefault="00FA13DA" w:rsidP="0047047B">
      <w:pPr>
        <w:spacing w:line="360" w:lineRule="auto"/>
        <w:jc w:val="both"/>
        <w:rPr>
          <w:rFonts w:ascii="Arial" w:hAnsi="Arial" w:cs="Arial"/>
          <w:b/>
          <w:bCs/>
          <w:sz w:val="22"/>
          <w:szCs w:val="22"/>
        </w:rPr>
      </w:pPr>
    </w:p>
    <w:p w14:paraId="5282EA90" w14:textId="77777777" w:rsidR="00FA13DA" w:rsidRDefault="00FA13DA" w:rsidP="0047047B">
      <w:pPr>
        <w:spacing w:line="360" w:lineRule="auto"/>
        <w:jc w:val="both"/>
        <w:rPr>
          <w:rFonts w:ascii="Arial" w:hAnsi="Arial" w:cs="Arial"/>
          <w:b/>
          <w:bCs/>
          <w:sz w:val="22"/>
          <w:szCs w:val="22"/>
        </w:rPr>
      </w:pPr>
    </w:p>
    <w:p w14:paraId="036D7D0B" w14:textId="77777777" w:rsidR="00FA13DA" w:rsidRDefault="00FA13DA" w:rsidP="0047047B">
      <w:pPr>
        <w:spacing w:line="360" w:lineRule="auto"/>
        <w:jc w:val="both"/>
        <w:rPr>
          <w:rFonts w:ascii="Arial" w:hAnsi="Arial" w:cs="Arial"/>
          <w:b/>
          <w:bCs/>
          <w:sz w:val="22"/>
          <w:szCs w:val="22"/>
        </w:rPr>
      </w:pPr>
    </w:p>
    <w:p w14:paraId="1A62C399" w14:textId="77777777" w:rsidR="00FA13DA" w:rsidRDefault="00FA13DA" w:rsidP="0047047B">
      <w:pPr>
        <w:spacing w:line="360" w:lineRule="auto"/>
        <w:jc w:val="both"/>
        <w:rPr>
          <w:rFonts w:ascii="Arial" w:hAnsi="Arial" w:cs="Arial"/>
          <w:b/>
          <w:bCs/>
          <w:sz w:val="22"/>
          <w:szCs w:val="22"/>
        </w:rPr>
      </w:pPr>
    </w:p>
    <w:p w14:paraId="59F68BB0" w14:textId="77777777" w:rsidR="00FA13DA" w:rsidRDefault="00FA13DA" w:rsidP="0047047B">
      <w:pPr>
        <w:spacing w:line="360" w:lineRule="auto"/>
        <w:jc w:val="both"/>
        <w:rPr>
          <w:rFonts w:ascii="Arial" w:hAnsi="Arial" w:cs="Arial"/>
          <w:b/>
          <w:bCs/>
          <w:sz w:val="22"/>
          <w:szCs w:val="22"/>
        </w:rPr>
      </w:pPr>
    </w:p>
    <w:p w14:paraId="6259C73C" w14:textId="77777777" w:rsidR="00FA13DA" w:rsidRDefault="00FA13DA" w:rsidP="0047047B">
      <w:pPr>
        <w:spacing w:line="360" w:lineRule="auto"/>
        <w:jc w:val="both"/>
        <w:rPr>
          <w:rFonts w:ascii="Arial" w:hAnsi="Arial" w:cs="Arial"/>
          <w:b/>
          <w:bCs/>
          <w:sz w:val="22"/>
          <w:szCs w:val="22"/>
        </w:rPr>
      </w:pPr>
    </w:p>
    <w:p w14:paraId="293D4302" w14:textId="77777777" w:rsidR="00FA13DA" w:rsidRDefault="00FA13DA" w:rsidP="0047047B">
      <w:pPr>
        <w:spacing w:line="360" w:lineRule="auto"/>
        <w:jc w:val="both"/>
        <w:rPr>
          <w:rFonts w:ascii="Arial" w:hAnsi="Arial" w:cs="Arial"/>
          <w:b/>
          <w:bCs/>
          <w:sz w:val="22"/>
          <w:szCs w:val="22"/>
        </w:rPr>
      </w:pPr>
    </w:p>
    <w:p w14:paraId="2E406105" w14:textId="77777777" w:rsidR="00FA13DA" w:rsidRDefault="00FA13DA" w:rsidP="0047047B">
      <w:pPr>
        <w:spacing w:line="360" w:lineRule="auto"/>
        <w:jc w:val="both"/>
        <w:rPr>
          <w:rFonts w:ascii="Arial" w:hAnsi="Arial" w:cs="Arial"/>
          <w:b/>
          <w:bCs/>
          <w:sz w:val="22"/>
          <w:szCs w:val="22"/>
        </w:rPr>
      </w:pPr>
    </w:p>
    <w:p w14:paraId="288E9861" w14:textId="77777777" w:rsidR="00FA13DA" w:rsidRDefault="00FA13DA" w:rsidP="0047047B">
      <w:pPr>
        <w:spacing w:line="360" w:lineRule="auto"/>
        <w:jc w:val="both"/>
        <w:rPr>
          <w:rFonts w:ascii="Arial" w:hAnsi="Arial" w:cs="Arial"/>
          <w:b/>
          <w:bCs/>
          <w:sz w:val="22"/>
          <w:szCs w:val="22"/>
        </w:rPr>
      </w:pPr>
    </w:p>
    <w:p w14:paraId="3531E788" w14:textId="77777777" w:rsidR="001F2689" w:rsidRPr="00E20028" w:rsidRDefault="001F2689" w:rsidP="009F039E">
      <w:pPr>
        <w:pStyle w:val="TOCHeading"/>
        <w:spacing w:before="0"/>
        <w:jc w:val="center"/>
        <w:rPr>
          <w:rFonts w:ascii="Arial" w:hAnsi="Arial" w:cs="Arial"/>
          <w:b/>
          <w:bCs/>
          <w:color w:val="000000"/>
          <w:sz w:val="22"/>
          <w:szCs w:val="22"/>
        </w:rPr>
      </w:pPr>
      <w:r w:rsidRPr="00E20028">
        <w:rPr>
          <w:rFonts w:ascii="Arial" w:hAnsi="Arial" w:cs="Arial"/>
          <w:b/>
          <w:bCs/>
          <w:color w:val="000000"/>
          <w:sz w:val="22"/>
          <w:szCs w:val="22"/>
        </w:rPr>
        <w:lastRenderedPageBreak/>
        <w:t>List of Tables</w:t>
      </w:r>
    </w:p>
    <w:p w14:paraId="568C105D" w14:textId="60485021" w:rsidR="00A063DE" w:rsidRPr="00E20028" w:rsidRDefault="00A063DE" w:rsidP="00FA13DA">
      <w:pPr>
        <w:rPr>
          <w:rFonts w:ascii="Arial" w:hAnsi="Arial" w:cs="Arial"/>
          <w:sz w:val="22"/>
          <w:szCs w:val="22"/>
        </w:rPr>
      </w:pPr>
      <w:r w:rsidRPr="00E20028">
        <w:rPr>
          <w:rFonts w:ascii="Arial" w:hAnsi="Arial" w:cs="Arial"/>
          <w:sz w:val="22"/>
          <w:szCs w:val="22"/>
        </w:rPr>
        <w:t>Table 1:</w:t>
      </w:r>
      <w:r w:rsidR="004F2021" w:rsidRPr="008D25AD">
        <w:rPr>
          <w:rFonts w:ascii="Arial" w:hAnsi="Arial"/>
        </w:rPr>
        <w:t xml:space="preserve"> </w:t>
      </w:r>
      <w:r w:rsidR="004F2021" w:rsidRPr="004F2021">
        <w:rPr>
          <w:rFonts w:ascii="Arial" w:hAnsi="Arial"/>
        </w:rPr>
        <w:t xml:space="preserve">Key Differences </w:t>
      </w:r>
      <w:proofErr w:type="gramStart"/>
      <w:r w:rsidR="004F2021" w:rsidRPr="004F2021">
        <w:rPr>
          <w:rFonts w:ascii="Arial" w:hAnsi="Arial"/>
        </w:rPr>
        <w:t>Between</w:t>
      </w:r>
      <w:proofErr w:type="gramEnd"/>
      <w:r w:rsidR="004F2021" w:rsidRPr="004F2021">
        <w:rPr>
          <w:rFonts w:ascii="Arial" w:hAnsi="Arial"/>
        </w:rPr>
        <w:t xml:space="preserve"> a Traditional Literature Review and a Systematic Literature Review</w:t>
      </w:r>
      <w:r w:rsidR="004F2021" w:rsidRPr="00E20028">
        <w:rPr>
          <w:rFonts w:ascii="Arial" w:hAnsi="Arial" w:cs="Arial"/>
          <w:sz w:val="22"/>
          <w:szCs w:val="22"/>
        </w:rPr>
        <w:t xml:space="preserve"> </w:t>
      </w:r>
      <w:r w:rsidRPr="00E20028">
        <w:rPr>
          <w:rFonts w:ascii="Arial" w:hAnsi="Arial" w:cs="Arial"/>
          <w:sz w:val="22"/>
          <w:szCs w:val="22"/>
        </w:rPr>
        <w:t>…………</w:t>
      </w:r>
      <w:r w:rsidR="004F2021">
        <w:rPr>
          <w:rFonts w:ascii="Arial" w:hAnsi="Arial" w:cs="Arial"/>
          <w:sz w:val="22"/>
          <w:szCs w:val="22"/>
        </w:rPr>
        <w:t>……………………………………………………………………………</w:t>
      </w:r>
      <w:r w:rsidR="000E059E">
        <w:rPr>
          <w:rFonts w:ascii="Arial" w:hAnsi="Arial" w:cs="Arial"/>
          <w:sz w:val="22"/>
          <w:szCs w:val="22"/>
        </w:rPr>
        <w:t>…0</w:t>
      </w:r>
      <w:r w:rsidR="00FA13DA">
        <w:rPr>
          <w:rFonts w:ascii="Arial" w:hAnsi="Arial" w:cs="Arial"/>
          <w:sz w:val="22"/>
          <w:szCs w:val="22"/>
        </w:rPr>
        <w:t>2</w:t>
      </w:r>
    </w:p>
    <w:p w14:paraId="565CB652" w14:textId="58DF19C8" w:rsidR="001F2689" w:rsidRPr="00E20028" w:rsidRDefault="00A063DE" w:rsidP="00FA13DA">
      <w:pPr>
        <w:rPr>
          <w:rFonts w:ascii="Arial" w:hAnsi="Arial" w:cs="Arial"/>
          <w:sz w:val="22"/>
          <w:szCs w:val="22"/>
        </w:rPr>
      </w:pPr>
      <w:r w:rsidRPr="00E20028">
        <w:rPr>
          <w:rFonts w:ascii="Arial" w:hAnsi="Arial" w:cs="Arial"/>
          <w:sz w:val="22"/>
          <w:szCs w:val="22"/>
        </w:rPr>
        <w:t>Table 2</w:t>
      </w:r>
      <w:r w:rsidR="001F2689" w:rsidRPr="00E20028">
        <w:rPr>
          <w:rFonts w:ascii="Arial" w:hAnsi="Arial" w:cs="Arial"/>
          <w:sz w:val="22"/>
          <w:szCs w:val="22"/>
        </w:rPr>
        <w:t>: PEO Search Framework and data Mapping</w:t>
      </w:r>
      <w:r w:rsidRPr="00E20028">
        <w:rPr>
          <w:rFonts w:ascii="Arial" w:hAnsi="Arial" w:cs="Arial"/>
          <w:sz w:val="22"/>
          <w:szCs w:val="22"/>
        </w:rPr>
        <w:t>……………………………………………………</w:t>
      </w:r>
      <w:r w:rsidR="00FA13DA">
        <w:rPr>
          <w:rFonts w:ascii="Arial" w:hAnsi="Arial" w:cs="Arial"/>
          <w:sz w:val="22"/>
          <w:szCs w:val="22"/>
        </w:rPr>
        <w:t>12</w:t>
      </w:r>
    </w:p>
    <w:p w14:paraId="3DCB4F44" w14:textId="1850917D" w:rsidR="001F2689" w:rsidRPr="00E20028" w:rsidRDefault="00A063DE" w:rsidP="00F7353D">
      <w:pPr>
        <w:rPr>
          <w:rFonts w:ascii="Arial" w:hAnsi="Arial" w:cs="Arial"/>
          <w:sz w:val="22"/>
          <w:szCs w:val="22"/>
        </w:rPr>
      </w:pPr>
      <w:r w:rsidRPr="00E20028">
        <w:rPr>
          <w:rFonts w:ascii="Arial" w:hAnsi="Arial" w:cs="Arial"/>
          <w:sz w:val="22"/>
          <w:szCs w:val="22"/>
        </w:rPr>
        <w:t>Table 3</w:t>
      </w:r>
      <w:r w:rsidR="001F2689" w:rsidRPr="00E20028">
        <w:rPr>
          <w:rFonts w:ascii="Arial" w:hAnsi="Arial" w:cs="Arial"/>
          <w:sz w:val="22"/>
          <w:szCs w:val="22"/>
        </w:rPr>
        <w:t>: Methodological Quality Assessment of Included Studies Using the JBI Critical Appraisal Tool for Analytical Cross-Sectional Studies (n=10)</w:t>
      </w:r>
      <w:r w:rsidRPr="00E20028">
        <w:rPr>
          <w:rFonts w:ascii="Arial" w:hAnsi="Arial" w:cs="Arial"/>
          <w:sz w:val="22"/>
          <w:szCs w:val="22"/>
        </w:rPr>
        <w:t>………………………………………………………</w:t>
      </w:r>
      <w:r w:rsidR="00F7353D">
        <w:rPr>
          <w:rFonts w:ascii="Arial" w:hAnsi="Arial" w:cs="Arial"/>
          <w:sz w:val="22"/>
          <w:szCs w:val="22"/>
        </w:rPr>
        <w:t>19</w:t>
      </w:r>
    </w:p>
    <w:p w14:paraId="3BACB7A0" w14:textId="6797BA80" w:rsidR="00A063DE" w:rsidRPr="00E20028" w:rsidRDefault="00A063DE" w:rsidP="00F56D2B">
      <w:pPr>
        <w:rPr>
          <w:rFonts w:ascii="Arial" w:hAnsi="Arial" w:cs="Arial"/>
          <w:sz w:val="22"/>
          <w:szCs w:val="22"/>
        </w:rPr>
      </w:pPr>
      <w:r w:rsidRPr="00E20028">
        <w:rPr>
          <w:rFonts w:ascii="Arial" w:hAnsi="Arial" w:cs="Arial"/>
          <w:sz w:val="22"/>
          <w:szCs w:val="22"/>
        </w:rPr>
        <w:t>Table 4</w:t>
      </w:r>
      <w:r w:rsidR="001F2689" w:rsidRPr="00E20028">
        <w:rPr>
          <w:rFonts w:ascii="Arial" w:hAnsi="Arial" w:cs="Arial"/>
          <w:sz w:val="22"/>
          <w:szCs w:val="22"/>
        </w:rPr>
        <w:t>: Methodological Quality and Risk of Bias Assessment of Included Studies (n=10) using MMAT Tool</w:t>
      </w:r>
      <w:r w:rsidRPr="00E20028">
        <w:rPr>
          <w:rFonts w:ascii="Arial" w:hAnsi="Arial" w:cs="Arial"/>
          <w:sz w:val="22"/>
          <w:szCs w:val="22"/>
        </w:rPr>
        <w:t>…………………………………………………………………………………………………...</w:t>
      </w:r>
      <w:r w:rsidR="00F56D2B">
        <w:rPr>
          <w:rFonts w:ascii="Arial" w:hAnsi="Arial" w:cs="Arial"/>
          <w:sz w:val="22"/>
          <w:szCs w:val="22"/>
        </w:rPr>
        <w:t>21</w:t>
      </w:r>
    </w:p>
    <w:p w14:paraId="6C0D3962" w14:textId="36AD0677" w:rsidR="001F2689" w:rsidRPr="00E20028" w:rsidRDefault="00A063DE" w:rsidP="00F56D2B">
      <w:pPr>
        <w:rPr>
          <w:rFonts w:ascii="Arial" w:hAnsi="Arial" w:cs="Arial"/>
          <w:sz w:val="22"/>
          <w:szCs w:val="22"/>
        </w:rPr>
      </w:pPr>
      <w:r w:rsidRPr="00E20028">
        <w:rPr>
          <w:rFonts w:ascii="Arial" w:hAnsi="Arial" w:cs="Arial"/>
          <w:sz w:val="22"/>
          <w:szCs w:val="22"/>
        </w:rPr>
        <w:t>Table 5</w:t>
      </w:r>
      <w:r w:rsidR="001F2689" w:rsidRPr="00E20028">
        <w:rPr>
          <w:rFonts w:ascii="Arial" w:hAnsi="Arial" w:cs="Arial"/>
          <w:sz w:val="22"/>
          <w:szCs w:val="22"/>
        </w:rPr>
        <w:t>: Characteristics of Studies Investigating KAP regarding AMR</w:t>
      </w:r>
      <w:r w:rsidRPr="00E20028">
        <w:rPr>
          <w:rFonts w:ascii="Arial" w:hAnsi="Arial" w:cs="Arial"/>
          <w:sz w:val="22"/>
          <w:szCs w:val="22"/>
        </w:rPr>
        <w:t>………………………………</w:t>
      </w:r>
      <w:r w:rsidR="002178B1" w:rsidRPr="00E20028">
        <w:rPr>
          <w:rFonts w:ascii="Arial" w:hAnsi="Arial" w:cs="Arial"/>
          <w:sz w:val="22"/>
          <w:szCs w:val="22"/>
        </w:rPr>
        <w:t>..</w:t>
      </w:r>
      <w:r w:rsidR="00F56D2B">
        <w:rPr>
          <w:rFonts w:ascii="Arial" w:hAnsi="Arial" w:cs="Arial"/>
          <w:sz w:val="22"/>
          <w:szCs w:val="22"/>
        </w:rPr>
        <w:t>30</w:t>
      </w:r>
    </w:p>
    <w:p w14:paraId="525F50A6" w14:textId="66CB9E5D" w:rsidR="001F2689" w:rsidRPr="00E20028" w:rsidRDefault="002178B1" w:rsidP="00F56D2B">
      <w:pPr>
        <w:rPr>
          <w:rFonts w:ascii="Arial" w:hAnsi="Arial" w:cs="Arial"/>
          <w:sz w:val="22"/>
          <w:szCs w:val="22"/>
        </w:rPr>
      </w:pPr>
      <w:r w:rsidRPr="00E20028">
        <w:rPr>
          <w:rFonts w:ascii="Arial" w:hAnsi="Arial" w:cs="Arial"/>
          <w:sz w:val="22"/>
          <w:szCs w:val="22"/>
        </w:rPr>
        <w:t>Table 6</w:t>
      </w:r>
      <w:r w:rsidR="001F2689" w:rsidRPr="00E20028">
        <w:rPr>
          <w:rFonts w:ascii="Arial" w:hAnsi="Arial" w:cs="Arial"/>
          <w:sz w:val="22"/>
          <w:szCs w:val="22"/>
        </w:rPr>
        <w:t>: Descriptive Statistics of identifies Studies</w:t>
      </w:r>
      <w:r w:rsidR="00A063DE" w:rsidRPr="00E20028">
        <w:rPr>
          <w:rFonts w:ascii="Arial" w:hAnsi="Arial" w:cs="Arial"/>
          <w:sz w:val="22"/>
          <w:szCs w:val="22"/>
        </w:rPr>
        <w:t>……………………………………………………</w:t>
      </w:r>
      <w:r w:rsidRPr="00E20028">
        <w:rPr>
          <w:rFonts w:ascii="Arial" w:hAnsi="Arial" w:cs="Arial"/>
          <w:sz w:val="22"/>
          <w:szCs w:val="22"/>
        </w:rPr>
        <w:t>...</w:t>
      </w:r>
      <w:r w:rsidR="00F56D2B">
        <w:rPr>
          <w:rFonts w:ascii="Arial" w:hAnsi="Arial" w:cs="Arial"/>
          <w:sz w:val="22"/>
          <w:szCs w:val="22"/>
        </w:rPr>
        <w:t>31</w:t>
      </w:r>
    </w:p>
    <w:p w14:paraId="2DA5C773" w14:textId="5954C244" w:rsidR="001F2689" w:rsidRPr="00E20028" w:rsidRDefault="002178B1" w:rsidP="00F56D2B">
      <w:pPr>
        <w:rPr>
          <w:rFonts w:ascii="Arial" w:hAnsi="Arial" w:cs="Arial"/>
          <w:sz w:val="22"/>
          <w:szCs w:val="22"/>
        </w:rPr>
      </w:pPr>
      <w:r w:rsidRPr="00E20028">
        <w:rPr>
          <w:rFonts w:ascii="Arial" w:hAnsi="Arial" w:cs="Arial"/>
          <w:sz w:val="22"/>
          <w:szCs w:val="22"/>
        </w:rPr>
        <w:t>Table 7</w:t>
      </w:r>
      <w:r w:rsidR="001F2689" w:rsidRPr="00E20028">
        <w:rPr>
          <w:rFonts w:ascii="Arial" w:hAnsi="Arial" w:cs="Arial"/>
          <w:sz w:val="22"/>
          <w:szCs w:val="22"/>
        </w:rPr>
        <w:t>: Distribution of KAP Outcomes among included Studies (n=10)</w:t>
      </w:r>
      <w:r w:rsidRPr="00E20028">
        <w:rPr>
          <w:rFonts w:ascii="Arial" w:hAnsi="Arial" w:cs="Arial"/>
          <w:sz w:val="22"/>
          <w:szCs w:val="22"/>
        </w:rPr>
        <w:t>……………………………..</w:t>
      </w:r>
      <w:r w:rsidR="00F56D2B">
        <w:rPr>
          <w:rFonts w:ascii="Arial" w:hAnsi="Arial" w:cs="Arial"/>
          <w:sz w:val="22"/>
          <w:szCs w:val="22"/>
        </w:rPr>
        <w:t>32</w:t>
      </w:r>
    </w:p>
    <w:p w14:paraId="4BE143C5" w14:textId="08CD73B7" w:rsidR="001F2689" w:rsidRPr="00E20028" w:rsidRDefault="002178B1" w:rsidP="00F56D2B">
      <w:pPr>
        <w:rPr>
          <w:rFonts w:ascii="Arial" w:hAnsi="Arial" w:cs="Arial"/>
          <w:sz w:val="22"/>
          <w:szCs w:val="22"/>
        </w:rPr>
      </w:pPr>
      <w:r w:rsidRPr="00E20028">
        <w:rPr>
          <w:rFonts w:ascii="Arial" w:hAnsi="Arial" w:cs="Arial"/>
          <w:sz w:val="22"/>
          <w:szCs w:val="22"/>
        </w:rPr>
        <w:t>Table 8</w:t>
      </w:r>
      <w:r w:rsidR="001F2689" w:rsidRPr="00E20028">
        <w:rPr>
          <w:rFonts w:ascii="Arial" w:hAnsi="Arial" w:cs="Arial"/>
          <w:sz w:val="22"/>
          <w:szCs w:val="22"/>
        </w:rPr>
        <w:t>: Overall Distribution Metrics of AMR-Related KAP (n=10)</w:t>
      </w:r>
      <w:r w:rsidRPr="00E20028">
        <w:rPr>
          <w:rFonts w:ascii="Arial" w:hAnsi="Arial" w:cs="Arial"/>
          <w:sz w:val="22"/>
          <w:szCs w:val="22"/>
        </w:rPr>
        <w:t>…………………………………….</w:t>
      </w:r>
      <w:r w:rsidR="00F56D2B">
        <w:rPr>
          <w:rFonts w:ascii="Arial" w:hAnsi="Arial" w:cs="Arial"/>
          <w:sz w:val="22"/>
          <w:szCs w:val="22"/>
        </w:rPr>
        <w:t>33</w:t>
      </w:r>
    </w:p>
    <w:p w14:paraId="1BF1B0DD" w14:textId="0AA280B7" w:rsidR="001F2689" w:rsidRPr="00E20028" w:rsidRDefault="002178B1" w:rsidP="00F56D2B">
      <w:pPr>
        <w:rPr>
          <w:rFonts w:ascii="Arial" w:hAnsi="Arial" w:cs="Arial"/>
          <w:sz w:val="22"/>
          <w:szCs w:val="22"/>
        </w:rPr>
      </w:pPr>
      <w:r w:rsidRPr="00E20028">
        <w:rPr>
          <w:rFonts w:ascii="Arial" w:hAnsi="Arial" w:cs="Arial"/>
          <w:sz w:val="22"/>
          <w:szCs w:val="22"/>
        </w:rPr>
        <w:t>Table 9</w:t>
      </w:r>
      <w:r w:rsidR="001F2689" w:rsidRPr="00E20028">
        <w:rPr>
          <w:rFonts w:ascii="Arial" w:hAnsi="Arial" w:cs="Arial"/>
          <w:sz w:val="22"/>
          <w:szCs w:val="22"/>
        </w:rPr>
        <w:t>: Data Cleaning Summary</w:t>
      </w:r>
      <w:r w:rsidRPr="00E20028">
        <w:rPr>
          <w:rFonts w:ascii="Arial" w:hAnsi="Arial" w:cs="Arial"/>
          <w:sz w:val="22"/>
          <w:szCs w:val="22"/>
        </w:rPr>
        <w:t>…………………………………………………………………………</w:t>
      </w:r>
      <w:r w:rsidR="00F56D2B">
        <w:rPr>
          <w:rFonts w:ascii="Arial" w:hAnsi="Arial" w:cs="Arial"/>
          <w:sz w:val="22"/>
          <w:szCs w:val="22"/>
        </w:rPr>
        <w:t>37</w:t>
      </w:r>
    </w:p>
    <w:p w14:paraId="221ACF06" w14:textId="17B8CE8A" w:rsidR="001F2689" w:rsidRPr="00E20028" w:rsidRDefault="002178B1" w:rsidP="00F56D2B">
      <w:pPr>
        <w:rPr>
          <w:rFonts w:ascii="Arial" w:hAnsi="Arial" w:cs="Arial"/>
          <w:sz w:val="22"/>
          <w:szCs w:val="22"/>
        </w:rPr>
      </w:pPr>
      <w:r w:rsidRPr="00E20028">
        <w:rPr>
          <w:rFonts w:ascii="Arial" w:hAnsi="Arial" w:cs="Arial"/>
          <w:sz w:val="22"/>
          <w:szCs w:val="22"/>
        </w:rPr>
        <w:t>Table 10</w:t>
      </w:r>
      <w:r w:rsidR="001F2689" w:rsidRPr="00E20028">
        <w:rPr>
          <w:rFonts w:ascii="Arial" w:hAnsi="Arial" w:cs="Arial"/>
          <w:sz w:val="22"/>
          <w:szCs w:val="22"/>
        </w:rPr>
        <w:t>: Preliminary Observations</w:t>
      </w:r>
      <w:proofErr w:type="gramStart"/>
      <w:r w:rsidRPr="00E20028">
        <w:rPr>
          <w:rFonts w:ascii="Arial" w:hAnsi="Arial" w:cs="Arial"/>
          <w:sz w:val="22"/>
          <w:szCs w:val="22"/>
        </w:rPr>
        <w:t>…………………………………………………………………..…</w:t>
      </w:r>
      <w:proofErr w:type="gramEnd"/>
      <w:r w:rsidRPr="00E20028">
        <w:rPr>
          <w:rFonts w:ascii="Arial" w:hAnsi="Arial" w:cs="Arial"/>
          <w:sz w:val="22"/>
          <w:szCs w:val="22"/>
        </w:rPr>
        <w:t>..</w:t>
      </w:r>
      <w:r w:rsidR="00F56D2B">
        <w:rPr>
          <w:rFonts w:ascii="Arial" w:hAnsi="Arial" w:cs="Arial"/>
          <w:sz w:val="22"/>
          <w:szCs w:val="22"/>
        </w:rPr>
        <w:t>38</w:t>
      </w:r>
    </w:p>
    <w:p w14:paraId="7984F09E" w14:textId="218B33CD" w:rsidR="001F2689" w:rsidRPr="00E20028" w:rsidRDefault="002178B1" w:rsidP="00F56D2B">
      <w:pPr>
        <w:rPr>
          <w:rFonts w:ascii="Arial" w:hAnsi="Arial" w:cs="Arial"/>
          <w:sz w:val="22"/>
          <w:szCs w:val="22"/>
        </w:rPr>
      </w:pPr>
      <w:r w:rsidRPr="00E20028">
        <w:rPr>
          <w:rFonts w:ascii="Arial" w:hAnsi="Arial" w:cs="Arial"/>
          <w:sz w:val="22"/>
          <w:szCs w:val="22"/>
        </w:rPr>
        <w:t>Table 11</w:t>
      </w:r>
      <w:r w:rsidR="001F2689" w:rsidRPr="00E20028">
        <w:rPr>
          <w:rFonts w:ascii="Arial" w:hAnsi="Arial" w:cs="Arial"/>
          <w:sz w:val="22"/>
          <w:szCs w:val="22"/>
        </w:rPr>
        <w:t>: Thematic Synthesis of Findings on KAP and Determinants Regarding Antimicrobial Resistance (n = 10)</w:t>
      </w:r>
      <w:r w:rsidRPr="00E20028">
        <w:rPr>
          <w:rFonts w:ascii="Arial" w:hAnsi="Arial" w:cs="Arial"/>
          <w:sz w:val="22"/>
          <w:szCs w:val="22"/>
        </w:rPr>
        <w:t>…………………………………………………………………………………………</w:t>
      </w:r>
      <w:r w:rsidR="00F56D2B">
        <w:rPr>
          <w:rFonts w:ascii="Arial" w:hAnsi="Arial" w:cs="Arial"/>
          <w:sz w:val="22"/>
          <w:szCs w:val="22"/>
        </w:rPr>
        <w:t>39</w:t>
      </w:r>
    </w:p>
    <w:p w14:paraId="7C0FDCA0" w14:textId="695DAEE3" w:rsidR="001F2689" w:rsidRPr="00E20028" w:rsidRDefault="002178B1" w:rsidP="00F56D2B">
      <w:pPr>
        <w:rPr>
          <w:rFonts w:ascii="Arial" w:hAnsi="Arial" w:cs="Arial"/>
          <w:sz w:val="22"/>
          <w:szCs w:val="22"/>
        </w:rPr>
      </w:pPr>
      <w:r w:rsidRPr="00E20028">
        <w:rPr>
          <w:rFonts w:ascii="Arial" w:hAnsi="Arial" w:cs="Arial"/>
          <w:sz w:val="22"/>
          <w:szCs w:val="22"/>
        </w:rPr>
        <w:t>Table 12</w:t>
      </w:r>
      <w:r w:rsidR="001F2689" w:rsidRPr="00E20028">
        <w:rPr>
          <w:rFonts w:ascii="Arial" w:hAnsi="Arial" w:cs="Arial"/>
          <w:sz w:val="22"/>
          <w:szCs w:val="22"/>
        </w:rPr>
        <w:t xml:space="preserve"> Summary of Research Objectives, Identified Barriers and Key Finding</w:t>
      </w:r>
      <w:r w:rsidRPr="00E20028">
        <w:rPr>
          <w:rFonts w:ascii="Arial" w:hAnsi="Arial" w:cs="Arial"/>
          <w:sz w:val="22"/>
          <w:szCs w:val="22"/>
        </w:rPr>
        <w:t>……………………</w:t>
      </w:r>
      <w:r w:rsidR="00F56D2B">
        <w:rPr>
          <w:rFonts w:ascii="Arial" w:hAnsi="Arial" w:cs="Arial"/>
          <w:sz w:val="22"/>
          <w:szCs w:val="22"/>
        </w:rPr>
        <w:t>50</w:t>
      </w:r>
    </w:p>
    <w:p w14:paraId="078FD074" w14:textId="72DD35A5" w:rsidR="001F2689" w:rsidRPr="00E20028" w:rsidRDefault="001F2689" w:rsidP="009F039E">
      <w:pPr>
        <w:jc w:val="center"/>
        <w:rPr>
          <w:rFonts w:ascii="Arial" w:hAnsi="Arial" w:cs="Arial"/>
          <w:b/>
          <w:bCs/>
          <w:sz w:val="22"/>
          <w:szCs w:val="22"/>
        </w:rPr>
      </w:pPr>
      <w:bookmarkStart w:id="14" w:name="_GoBack"/>
      <w:r w:rsidRPr="00E20028">
        <w:rPr>
          <w:rFonts w:ascii="Arial" w:hAnsi="Arial" w:cs="Arial"/>
          <w:b/>
          <w:bCs/>
          <w:sz w:val="22"/>
          <w:szCs w:val="22"/>
        </w:rPr>
        <w:t>List of Figures</w:t>
      </w:r>
    </w:p>
    <w:bookmarkEnd w:id="14"/>
    <w:p w14:paraId="333C9C07" w14:textId="250B4237" w:rsidR="001F2689" w:rsidRPr="00E20028" w:rsidRDefault="001F2689" w:rsidP="00FA13DA">
      <w:pPr>
        <w:rPr>
          <w:rFonts w:ascii="Arial" w:hAnsi="Arial" w:cs="Arial"/>
          <w:sz w:val="22"/>
          <w:szCs w:val="22"/>
        </w:rPr>
      </w:pPr>
      <w:r w:rsidRPr="00E20028">
        <w:rPr>
          <w:rFonts w:ascii="Arial" w:hAnsi="Arial" w:cs="Arial"/>
          <w:sz w:val="22"/>
          <w:szCs w:val="22"/>
        </w:rPr>
        <w:t xml:space="preserve">Figure </w:t>
      </w:r>
      <w:r w:rsidRPr="00E20028">
        <w:rPr>
          <w:rFonts w:ascii="Arial" w:hAnsi="Arial" w:cs="Arial"/>
          <w:sz w:val="22"/>
          <w:szCs w:val="22"/>
        </w:rPr>
        <w:fldChar w:fldCharType="begin"/>
      </w:r>
      <w:r w:rsidRPr="00E20028">
        <w:rPr>
          <w:rFonts w:ascii="Arial" w:hAnsi="Arial" w:cs="Arial"/>
          <w:sz w:val="22"/>
          <w:szCs w:val="22"/>
        </w:rPr>
        <w:instrText xml:space="preserve"> SEQ Figure \* ARABIC </w:instrText>
      </w:r>
      <w:r w:rsidRPr="00E20028">
        <w:rPr>
          <w:rFonts w:ascii="Arial" w:hAnsi="Arial" w:cs="Arial"/>
          <w:sz w:val="22"/>
          <w:szCs w:val="22"/>
        </w:rPr>
        <w:fldChar w:fldCharType="separate"/>
      </w:r>
      <w:r w:rsidR="000E059E">
        <w:rPr>
          <w:rFonts w:ascii="Arial" w:hAnsi="Arial" w:cs="Arial"/>
          <w:noProof/>
          <w:sz w:val="22"/>
          <w:szCs w:val="22"/>
        </w:rPr>
        <w:t>1</w:t>
      </w:r>
      <w:r w:rsidRPr="00E20028">
        <w:rPr>
          <w:rFonts w:ascii="Arial" w:hAnsi="Arial" w:cs="Arial"/>
          <w:sz w:val="22"/>
          <w:szCs w:val="22"/>
        </w:rPr>
        <w:fldChar w:fldCharType="end"/>
      </w:r>
      <w:r w:rsidRPr="00E20028">
        <w:rPr>
          <w:rFonts w:ascii="Arial" w:hAnsi="Arial" w:cs="Arial"/>
          <w:sz w:val="22"/>
          <w:szCs w:val="22"/>
        </w:rPr>
        <w:t xml:space="preserve">: PRISMA diagram of Search Results for Systematic Review </w:t>
      </w:r>
      <w:r w:rsidR="00A063DE" w:rsidRPr="00E20028">
        <w:rPr>
          <w:rFonts w:ascii="Arial" w:hAnsi="Arial" w:cs="Arial"/>
          <w:sz w:val="22"/>
          <w:szCs w:val="22"/>
        </w:rPr>
        <w:t>……………………………….</w:t>
      </w:r>
      <w:r w:rsidR="00FA13DA">
        <w:rPr>
          <w:rFonts w:ascii="Arial" w:hAnsi="Arial" w:cs="Arial"/>
          <w:sz w:val="22"/>
          <w:szCs w:val="22"/>
        </w:rPr>
        <w:t>15</w:t>
      </w:r>
    </w:p>
    <w:p w14:paraId="373A80A0" w14:textId="77777777" w:rsidR="001F2689" w:rsidRDefault="001F2689" w:rsidP="001F2689">
      <w:pPr>
        <w:pStyle w:val="TOC3"/>
        <w:spacing w:after="100" w:line="259" w:lineRule="auto"/>
      </w:pPr>
    </w:p>
    <w:p w14:paraId="5A6549EC" w14:textId="77777777" w:rsidR="00FB4674" w:rsidRDefault="00FB4674" w:rsidP="0047047B">
      <w:pPr>
        <w:spacing w:line="360" w:lineRule="auto"/>
        <w:jc w:val="both"/>
        <w:rPr>
          <w:rFonts w:ascii="Arial" w:hAnsi="Arial" w:cs="Arial"/>
          <w:b/>
          <w:bCs/>
          <w:sz w:val="22"/>
          <w:szCs w:val="22"/>
        </w:rPr>
      </w:pPr>
    </w:p>
    <w:p w14:paraId="7AD1CDBB" w14:textId="77777777" w:rsidR="00FB4674" w:rsidRDefault="00FB4674" w:rsidP="0047047B">
      <w:pPr>
        <w:spacing w:line="360" w:lineRule="auto"/>
        <w:jc w:val="both"/>
        <w:rPr>
          <w:rFonts w:ascii="Arial" w:hAnsi="Arial" w:cs="Arial"/>
          <w:b/>
          <w:bCs/>
          <w:sz w:val="22"/>
          <w:szCs w:val="22"/>
        </w:rPr>
      </w:pPr>
    </w:p>
    <w:p w14:paraId="5DCE6775" w14:textId="77777777" w:rsidR="00043842" w:rsidRDefault="00043842" w:rsidP="0047047B">
      <w:pPr>
        <w:spacing w:line="360" w:lineRule="auto"/>
        <w:jc w:val="both"/>
        <w:rPr>
          <w:rFonts w:ascii="Arial" w:hAnsi="Arial" w:cs="Arial"/>
          <w:b/>
          <w:bCs/>
          <w:sz w:val="22"/>
          <w:szCs w:val="22"/>
        </w:rPr>
      </w:pPr>
    </w:p>
    <w:p w14:paraId="5263DC54" w14:textId="77777777" w:rsidR="00043842" w:rsidRDefault="00043842" w:rsidP="0047047B">
      <w:pPr>
        <w:spacing w:line="360" w:lineRule="auto"/>
        <w:jc w:val="both"/>
        <w:rPr>
          <w:rFonts w:ascii="Arial" w:hAnsi="Arial" w:cs="Arial"/>
          <w:b/>
          <w:bCs/>
          <w:sz w:val="22"/>
          <w:szCs w:val="22"/>
        </w:rPr>
      </w:pPr>
    </w:p>
    <w:p w14:paraId="5C0860C6" w14:textId="77777777" w:rsidR="00043842" w:rsidRDefault="00043842" w:rsidP="0047047B">
      <w:pPr>
        <w:spacing w:line="360" w:lineRule="auto"/>
        <w:jc w:val="both"/>
        <w:rPr>
          <w:rFonts w:ascii="Arial" w:hAnsi="Arial" w:cs="Arial"/>
          <w:b/>
          <w:bCs/>
          <w:sz w:val="22"/>
          <w:szCs w:val="22"/>
        </w:rPr>
      </w:pPr>
    </w:p>
    <w:p w14:paraId="4875791A" w14:textId="77777777" w:rsidR="00043842" w:rsidRDefault="00043842" w:rsidP="0047047B">
      <w:pPr>
        <w:spacing w:line="360" w:lineRule="auto"/>
        <w:jc w:val="both"/>
        <w:rPr>
          <w:rFonts w:ascii="Arial" w:hAnsi="Arial" w:cs="Arial"/>
          <w:b/>
          <w:bCs/>
          <w:sz w:val="22"/>
          <w:szCs w:val="22"/>
        </w:rPr>
      </w:pPr>
    </w:p>
    <w:p w14:paraId="5DB3A6DF" w14:textId="77777777" w:rsidR="00043842" w:rsidRDefault="00043842" w:rsidP="0047047B">
      <w:pPr>
        <w:spacing w:line="360" w:lineRule="auto"/>
        <w:jc w:val="both"/>
        <w:rPr>
          <w:rFonts w:ascii="Arial" w:hAnsi="Arial" w:cs="Arial"/>
          <w:b/>
          <w:bCs/>
          <w:sz w:val="22"/>
          <w:szCs w:val="22"/>
        </w:rPr>
      </w:pPr>
    </w:p>
    <w:p w14:paraId="50159D57" w14:textId="77777777" w:rsidR="00043842" w:rsidRDefault="00043842" w:rsidP="0047047B">
      <w:pPr>
        <w:spacing w:line="360" w:lineRule="auto"/>
        <w:jc w:val="both"/>
        <w:rPr>
          <w:rFonts w:ascii="Arial" w:hAnsi="Arial" w:cs="Arial"/>
          <w:b/>
          <w:bCs/>
          <w:sz w:val="22"/>
          <w:szCs w:val="22"/>
        </w:rPr>
      </w:pPr>
    </w:p>
    <w:p w14:paraId="6841F4C2" w14:textId="77777777" w:rsidR="00043842" w:rsidRDefault="00043842" w:rsidP="0047047B">
      <w:pPr>
        <w:spacing w:line="360" w:lineRule="auto"/>
        <w:jc w:val="both"/>
        <w:rPr>
          <w:rFonts w:ascii="Arial" w:hAnsi="Arial" w:cs="Arial"/>
          <w:b/>
          <w:bCs/>
          <w:sz w:val="22"/>
          <w:szCs w:val="22"/>
        </w:rPr>
      </w:pPr>
    </w:p>
    <w:p w14:paraId="4557B4BB" w14:textId="77777777" w:rsidR="00043842" w:rsidRPr="00E20028" w:rsidRDefault="00043842" w:rsidP="00043842">
      <w:pPr>
        <w:pStyle w:val="Heading4"/>
        <w:ind w:right="496"/>
        <w:jc w:val="center"/>
        <w:rPr>
          <w:rFonts w:ascii="Arial" w:hAnsi="Arial" w:cs="Arial"/>
          <w:b/>
          <w:bCs/>
          <w:i w:val="0"/>
          <w:iCs w:val="0"/>
          <w:color w:val="000000"/>
          <w:spacing w:val="-2"/>
          <w:sz w:val="22"/>
          <w:szCs w:val="22"/>
        </w:rPr>
      </w:pPr>
      <w:r w:rsidRPr="00E20028">
        <w:rPr>
          <w:rFonts w:ascii="Arial" w:hAnsi="Arial" w:cs="Arial"/>
          <w:b/>
          <w:bCs/>
          <w:i w:val="0"/>
          <w:iCs w:val="0"/>
          <w:color w:val="000000"/>
          <w:spacing w:val="-2"/>
          <w:sz w:val="22"/>
          <w:szCs w:val="22"/>
        </w:rPr>
        <w:lastRenderedPageBreak/>
        <w:t>ABBREVIATIONS</w:t>
      </w:r>
    </w:p>
    <w:p w14:paraId="50BD463F" w14:textId="77777777" w:rsidR="00043842" w:rsidRPr="00043842" w:rsidRDefault="00043842" w:rsidP="00043842"/>
    <w:tbl>
      <w:tblPr>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52"/>
        <w:gridCol w:w="4953"/>
      </w:tblGrid>
      <w:tr w:rsidR="00043842" w:rsidRPr="00E20028" w14:paraId="57DA9528" w14:textId="77777777" w:rsidTr="00E20028">
        <w:tc>
          <w:tcPr>
            <w:tcW w:w="4952" w:type="dxa"/>
            <w:shd w:val="clear" w:color="auto" w:fill="D9D9D9"/>
          </w:tcPr>
          <w:p w14:paraId="083CB056" w14:textId="77777777" w:rsidR="00043842" w:rsidRPr="00E20028" w:rsidRDefault="00043842" w:rsidP="00E20028">
            <w:pPr>
              <w:jc w:val="center"/>
              <w:rPr>
                <w:rFonts w:ascii="Arial" w:hAnsi="Arial" w:cs="Arial"/>
                <w:b/>
                <w:bCs/>
                <w:sz w:val="22"/>
                <w:szCs w:val="22"/>
              </w:rPr>
            </w:pPr>
            <w:r w:rsidRPr="00E20028">
              <w:rPr>
                <w:rFonts w:ascii="Arial" w:hAnsi="Arial" w:cs="Arial"/>
                <w:b/>
                <w:bCs/>
                <w:sz w:val="22"/>
                <w:szCs w:val="22"/>
              </w:rPr>
              <w:t>Full Form</w:t>
            </w:r>
          </w:p>
        </w:tc>
        <w:tc>
          <w:tcPr>
            <w:tcW w:w="4953" w:type="dxa"/>
            <w:shd w:val="clear" w:color="auto" w:fill="D9D9D9"/>
          </w:tcPr>
          <w:p w14:paraId="1B4597BB" w14:textId="77777777" w:rsidR="00043842" w:rsidRPr="00E20028" w:rsidRDefault="00043842" w:rsidP="00E20028">
            <w:pPr>
              <w:jc w:val="center"/>
              <w:rPr>
                <w:rFonts w:ascii="Arial" w:hAnsi="Arial" w:cs="Arial"/>
                <w:b/>
                <w:bCs/>
                <w:sz w:val="22"/>
                <w:szCs w:val="22"/>
              </w:rPr>
            </w:pPr>
            <w:r w:rsidRPr="00E20028">
              <w:rPr>
                <w:rFonts w:ascii="Arial" w:hAnsi="Arial" w:cs="Arial"/>
                <w:b/>
                <w:bCs/>
                <w:sz w:val="22"/>
                <w:szCs w:val="22"/>
              </w:rPr>
              <w:t>Abbreviations</w:t>
            </w:r>
          </w:p>
        </w:tc>
      </w:tr>
      <w:tr w:rsidR="00043842" w:rsidRPr="00E20028" w14:paraId="30EA4BC1" w14:textId="77777777" w:rsidTr="00E20028">
        <w:tc>
          <w:tcPr>
            <w:tcW w:w="4952" w:type="dxa"/>
          </w:tcPr>
          <w:p w14:paraId="77991085"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Antimicrobial Resistance</w:t>
            </w:r>
          </w:p>
        </w:tc>
        <w:tc>
          <w:tcPr>
            <w:tcW w:w="4953" w:type="dxa"/>
          </w:tcPr>
          <w:p w14:paraId="461BBB39"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AMR</w:t>
            </w:r>
          </w:p>
        </w:tc>
      </w:tr>
      <w:tr w:rsidR="00043842" w:rsidRPr="00E20028" w14:paraId="7169A83E" w14:textId="77777777" w:rsidTr="00E20028">
        <w:tc>
          <w:tcPr>
            <w:tcW w:w="4952" w:type="dxa"/>
          </w:tcPr>
          <w:p w14:paraId="276900FC"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World Health Organization</w:t>
            </w:r>
          </w:p>
        </w:tc>
        <w:tc>
          <w:tcPr>
            <w:tcW w:w="4953" w:type="dxa"/>
          </w:tcPr>
          <w:p w14:paraId="02577D2C"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WHO</w:t>
            </w:r>
          </w:p>
        </w:tc>
      </w:tr>
      <w:tr w:rsidR="00043842" w:rsidRPr="00E20028" w14:paraId="5157593A" w14:textId="77777777" w:rsidTr="00E20028">
        <w:tc>
          <w:tcPr>
            <w:tcW w:w="4952" w:type="dxa"/>
          </w:tcPr>
          <w:p w14:paraId="7D68599E"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Knowledge Attitude Practice</w:t>
            </w:r>
          </w:p>
        </w:tc>
        <w:tc>
          <w:tcPr>
            <w:tcW w:w="4953" w:type="dxa"/>
          </w:tcPr>
          <w:p w14:paraId="27430659"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KAP</w:t>
            </w:r>
          </w:p>
        </w:tc>
      </w:tr>
      <w:tr w:rsidR="00043842" w:rsidRPr="00E20028" w14:paraId="030BC515" w14:textId="77777777" w:rsidTr="00E20028">
        <w:tc>
          <w:tcPr>
            <w:tcW w:w="4952" w:type="dxa"/>
          </w:tcPr>
          <w:p w14:paraId="1F06D832"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Healthcare Professionals</w:t>
            </w:r>
          </w:p>
        </w:tc>
        <w:tc>
          <w:tcPr>
            <w:tcW w:w="4953" w:type="dxa"/>
          </w:tcPr>
          <w:p w14:paraId="64A0ACA3"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HCPs</w:t>
            </w:r>
          </w:p>
        </w:tc>
      </w:tr>
      <w:tr w:rsidR="00043842" w:rsidRPr="00E20028" w14:paraId="5B61876D" w14:textId="77777777" w:rsidTr="00E20028">
        <w:tc>
          <w:tcPr>
            <w:tcW w:w="4952" w:type="dxa"/>
          </w:tcPr>
          <w:p w14:paraId="75945E43"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Joanna Briggs Institute</w:t>
            </w:r>
          </w:p>
        </w:tc>
        <w:tc>
          <w:tcPr>
            <w:tcW w:w="4953" w:type="dxa"/>
          </w:tcPr>
          <w:p w14:paraId="57F133EA"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JBI</w:t>
            </w:r>
          </w:p>
        </w:tc>
      </w:tr>
      <w:tr w:rsidR="00043842" w:rsidRPr="00E20028" w14:paraId="73B6FC07" w14:textId="77777777" w:rsidTr="00E20028">
        <w:tc>
          <w:tcPr>
            <w:tcW w:w="4952"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43842" w:rsidRPr="00E20028" w14:paraId="438245C4" w14:textId="77777777" w:rsidTr="00043842">
              <w:trPr>
                <w:tblCellSpacing w:w="15" w:type="dxa"/>
              </w:trPr>
              <w:tc>
                <w:tcPr>
                  <w:tcW w:w="0" w:type="auto"/>
                  <w:vAlign w:val="center"/>
                  <w:hideMark/>
                </w:tcPr>
                <w:p w14:paraId="47953E42" w14:textId="77777777" w:rsidR="00043842" w:rsidRPr="00E20028" w:rsidRDefault="00043842" w:rsidP="00594364">
                  <w:pPr>
                    <w:jc w:val="center"/>
                    <w:rPr>
                      <w:rFonts w:ascii="Arial" w:hAnsi="Arial" w:cs="Arial"/>
                      <w:sz w:val="22"/>
                      <w:szCs w:val="22"/>
                    </w:rPr>
                  </w:pPr>
                </w:p>
              </w:tc>
            </w:tr>
          </w:tbl>
          <w:p w14:paraId="77BB373B" w14:textId="77777777" w:rsidR="00043842" w:rsidRPr="00E20028" w:rsidRDefault="00043842" w:rsidP="004255BA">
            <w:pPr>
              <w:jc w:val="center"/>
              <w:rPr>
                <w:rFonts w:ascii="Arial" w:hAnsi="Arial" w:cs="Arial"/>
                <w:sz w:val="22"/>
                <w:szCs w:val="22"/>
              </w:rPr>
            </w:pPr>
            <w:r w:rsidRPr="00E20028">
              <w:rPr>
                <w:rFonts w:ascii="Arial" w:hAnsi="Arial" w:cs="Arial"/>
                <w:sz w:val="22"/>
                <w:szCs w:val="22"/>
              </w:rPr>
              <w:t>Low middle income Country</w:t>
            </w:r>
          </w:p>
        </w:tc>
        <w:tc>
          <w:tcPr>
            <w:tcW w:w="4953" w:type="dxa"/>
          </w:tcPr>
          <w:p w14:paraId="6442DA20"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LMICs</w:t>
            </w:r>
          </w:p>
        </w:tc>
      </w:tr>
      <w:tr w:rsidR="00043842" w:rsidRPr="00E20028" w14:paraId="65A80B9D" w14:textId="77777777" w:rsidTr="00E20028">
        <w:tc>
          <w:tcPr>
            <w:tcW w:w="4952" w:type="dxa"/>
          </w:tcPr>
          <w:p w14:paraId="4DEF82CA"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Mixed Methods Appraisal Tool</w:t>
            </w:r>
          </w:p>
        </w:tc>
        <w:tc>
          <w:tcPr>
            <w:tcW w:w="4953" w:type="dxa"/>
          </w:tcPr>
          <w:p w14:paraId="78796F19"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MMAT</w:t>
            </w:r>
          </w:p>
        </w:tc>
      </w:tr>
      <w:tr w:rsidR="00043842" w:rsidRPr="00E20028" w14:paraId="55EE90E9" w14:textId="77777777" w:rsidTr="00E20028">
        <w:tc>
          <w:tcPr>
            <w:tcW w:w="4952" w:type="dxa"/>
          </w:tcPr>
          <w:p w14:paraId="7AD277D9" w14:textId="77777777" w:rsidR="00043842" w:rsidRPr="00E20028" w:rsidRDefault="00043842" w:rsidP="00E20028">
            <w:pPr>
              <w:jc w:val="center"/>
              <w:rPr>
                <w:rFonts w:ascii="Arial" w:hAnsi="Arial" w:cs="Arial"/>
                <w:sz w:val="22"/>
                <w:szCs w:val="22"/>
              </w:rPr>
            </w:pPr>
            <w:r w:rsidRPr="00E20028">
              <w:rPr>
                <w:rFonts w:ascii="Arial" w:hAnsi="Arial" w:cs="Arial"/>
                <w:sz w:val="22"/>
                <w:szCs w:val="22"/>
              </w:rPr>
              <w:t>Preferred Reporting Items for Systematic Reviews and Meta-Analyses</w:t>
            </w:r>
          </w:p>
        </w:tc>
        <w:tc>
          <w:tcPr>
            <w:tcW w:w="4953" w:type="dxa"/>
          </w:tcPr>
          <w:p w14:paraId="774CBCA9" w14:textId="77777777" w:rsidR="00043842" w:rsidRPr="00E20028" w:rsidRDefault="00594364" w:rsidP="00E20028">
            <w:pPr>
              <w:jc w:val="center"/>
              <w:rPr>
                <w:rFonts w:ascii="Arial" w:hAnsi="Arial" w:cs="Arial"/>
                <w:sz w:val="22"/>
                <w:szCs w:val="22"/>
              </w:rPr>
            </w:pPr>
            <w:r w:rsidRPr="00E20028">
              <w:rPr>
                <w:rFonts w:ascii="Arial" w:hAnsi="Arial" w:cs="Arial"/>
                <w:sz w:val="22"/>
                <w:szCs w:val="22"/>
              </w:rPr>
              <w:t>PRISMA</w:t>
            </w:r>
          </w:p>
        </w:tc>
      </w:tr>
    </w:tbl>
    <w:p w14:paraId="3C3A1BAD" w14:textId="77777777" w:rsidR="00043842" w:rsidRDefault="00043842" w:rsidP="0047047B">
      <w:pPr>
        <w:spacing w:line="360" w:lineRule="auto"/>
        <w:jc w:val="both"/>
        <w:rPr>
          <w:rFonts w:ascii="Arial" w:hAnsi="Arial" w:cs="Arial"/>
          <w:b/>
          <w:bCs/>
          <w:sz w:val="22"/>
          <w:szCs w:val="22"/>
        </w:rPr>
      </w:pPr>
    </w:p>
    <w:p w14:paraId="1C449E4E" w14:textId="77777777" w:rsidR="00043842" w:rsidRDefault="00043842" w:rsidP="0047047B">
      <w:pPr>
        <w:spacing w:line="360" w:lineRule="auto"/>
        <w:jc w:val="both"/>
        <w:rPr>
          <w:rFonts w:ascii="Arial" w:hAnsi="Arial" w:cs="Arial"/>
          <w:b/>
          <w:bCs/>
          <w:sz w:val="22"/>
          <w:szCs w:val="22"/>
        </w:rPr>
      </w:pPr>
    </w:p>
    <w:p w14:paraId="0F79E3BD" w14:textId="77777777" w:rsidR="00043842" w:rsidRDefault="00043842" w:rsidP="0047047B">
      <w:pPr>
        <w:spacing w:line="360" w:lineRule="auto"/>
        <w:jc w:val="both"/>
        <w:rPr>
          <w:rFonts w:ascii="Arial" w:hAnsi="Arial" w:cs="Arial"/>
          <w:b/>
          <w:bCs/>
          <w:sz w:val="22"/>
          <w:szCs w:val="22"/>
        </w:rPr>
      </w:pPr>
    </w:p>
    <w:p w14:paraId="5222957D" w14:textId="77777777" w:rsidR="00043842" w:rsidRDefault="00043842" w:rsidP="0047047B">
      <w:pPr>
        <w:spacing w:line="360" w:lineRule="auto"/>
        <w:jc w:val="both"/>
        <w:rPr>
          <w:rFonts w:ascii="Arial" w:hAnsi="Arial" w:cs="Arial"/>
          <w:b/>
          <w:bCs/>
          <w:sz w:val="22"/>
          <w:szCs w:val="22"/>
        </w:rPr>
      </w:pPr>
    </w:p>
    <w:p w14:paraId="13CDAF5C" w14:textId="77777777" w:rsidR="00043842" w:rsidRDefault="00043842" w:rsidP="0047047B">
      <w:pPr>
        <w:spacing w:line="360" w:lineRule="auto"/>
        <w:jc w:val="both"/>
        <w:rPr>
          <w:rFonts w:ascii="Arial" w:hAnsi="Arial" w:cs="Arial"/>
          <w:b/>
          <w:bCs/>
          <w:sz w:val="22"/>
          <w:szCs w:val="22"/>
        </w:rPr>
      </w:pPr>
    </w:p>
    <w:p w14:paraId="54CD12D2" w14:textId="77777777" w:rsidR="00043842" w:rsidRDefault="00043842" w:rsidP="0047047B">
      <w:pPr>
        <w:spacing w:line="360" w:lineRule="auto"/>
        <w:jc w:val="both"/>
        <w:rPr>
          <w:rFonts w:ascii="Arial" w:hAnsi="Arial" w:cs="Arial"/>
          <w:b/>
          <w:bCs/>
          <w:sz w:val="22"/>
          <w:szCs w:val="22"/>
        </w:rPr>
      </w:pPr>
    </w:p>
    <w:p w14:paraId="5A57D72E" w14:textId="77777777" w:rsidR="00043842" w:rsidRDefault="00043842" w:rsidP="0047047B">
      <w:pPr>
        <w:spacing w:line="360" w:lineRule="auto"/>
        <w:jc w:val="both"/>
        <w:rPr>
          <w:rFonts w:ascii="Arial" w:hAnsi="Arial" w:cs="Arial"/>
          <w:b/>
          <w:bCs/>
          <w:sz w:val="22"/>
          <w:szCs w:val="22"/>
        </w:rPr>
      </w:pPr>
    </w:p>
    <w:p w14:paraId="76E6F831" w14:textId="77777777" w:rsidR="00043842" w:rsidRDefault="00043842" w:rsidP="0047047B">
      <w:pPr>
        <w:spacing w:line="360" w:lineRule="auto"/>
        <w:jc w:val="both"/>
        <w:rPr>
          <w:rFonts w:ascii="Arial" w:hAnsi="Arial" w:cs="Arial"/>
          <w:b/>
          <w:bCs/>
          <w:sz w:val="22"/>
          <w:szCs w:val="22"/>
        </w:rPr>
      </w:pPr>
    </w:p>
    <w:p w14:paraId="15CC7301" w14:textId="77777777" w:rsidR="00043842" w:rsidRDefault="00043842" w:rsidP="0047047B">
      <w:pPr>
        <w:spacing w:line="360" w:lineRule="auto"/>
        <w:jc w:val="both"/>
        <w:rPr>
          <w:rFonts w:ascii="Arial" w:hAnsi="Arial" w:cs="Arial"/>
          <w:b/>
          <w:bCs/>
          <w:sz w:val="22"/>
          <w:szCs w:val="22"/>
        </w:rPr>
      </w:pPr>
    </w:p>
    <w:p w14:paraId="5F64A2EF" w14:textId="77777777" w:rsidR="00043842" w:rsidRDefault="00043842" w:rsidP="0047047B">
      <w:pPr>
        <w:spacing w:line="360" w:lineRule="auto"/>
        <w:jc w:val="both"/>
        <w:rPr>
          <w:rFonts w:ascii="Arial" w:hAnsi="Arial" w:cs="Arial"/>
          <w:b/>
          <w:bCs/>
          <w:sz w:val="22"/>
          <w:szCs w:val="22"/>
        </w:rPr>
      </w:pPr>
    </w:p>
    <w:p w14:paraId="32CBA628" w14:textId="77777777" w:rsidR="00043842" w:rsidRDefault="00043842" w:rsidP="0047047B">
      <w:pPr>
        <w:spacing w:line="360" w:lineRule="auto"/>
        <w:jc w:val="both"/>
        <w:rPr>
          <w:rFonts w:ascii="Arial" w:hAnsi="Arial" w:cs="Arial"/>
          <w:b/>
          <w:bCs/>
          <w:sz w:val="22"/>
          <w:szCs w:val="22"/>
        </w:rPr>
      </w:pPr>
    </w:p>
    <w:p w14:paraId="67F4116D" w14:textId="77777777" w:rsidR="00345E44" w:rsidRPr="0047047B" w:rsidRDefault="00345E44" w:rsidP="0047047B">
      <w:pPr>
        <w:spacing w:line="360" w:lineRule="auto"/>
        <w:jc w:val="both"/>
        <w:rPr>
          <w:rFonts w:ascii="Arial" w:hAnsi="Arial" w:cs="Arial"/>
          <w:b/>
          <w:bCs/>
          <w:sz w:val="22"/>
          <w:szCs w:val="22"/>
        </w:rPr>
      </w:pPr>
    </w:p>
    <w:p w14:paraId="08CECED2" w14:textId="4A92B136" w:rsidR="003C2D2A" w:rsidRDefault="003C2D2A" w:rsidP="00D340EB">
      <w:pPr>
        <w:spacing w:line="360" w:lineRule="auto"/>
        <w:jc w:val="center"/>
        <w:rPr>
          <w:rFonts w:ascii="Arial" w:hAnsi="Arial" w:cs="Arial"/>
          <w:b/>
          <w:bCs/>
          <w:sz w:val="22"/>
          <w:szCs w:val="22"/>
        </w:rPr>
        <w:sectPr w:rsidR="003C2D2A" w:rsidSect="003C2D2A">
          <w:footerReference w:type="default" r:id="rId9"/>
          <w:footerReference w:type="first" r:id="rId10"/>
          <w:pgSz w:w="12240" w:h="15840"/>
          <w:pgMar w:top="1134" w:right="850" w:bottom="1134" w:left="1701" w:header="720" w:footer="720" w:gutter="0"/>
          <w:pgNumType w:fmt="lowerRoman"/>
          <w:cols w:space="720"/>
          <w:docGrid w:linePitch="360"/>
        </w:sectPr>
      </w:pPr>
      <w:bookmarkStart w:id="15" w:name="_Toc238590305"/>
      <w:bookmarkStart w:id="16" w:name="_Toc238628455"/>
      <w:bookmarkStart w:id="17" w:name="_Toc238628658"/>
      <w:bookmarkStart w:id="18" w:name="_Toc238628742"/>
    </w:p>
    <w:p w14:paraId="194D7192" w14:textId="4396BC9E" w:rsidR="00D340EB" w:rsidRPr="00A55E23" w:rsidRDefault="00D340EB" w:rsidP="00A55E23">
      <w:pPr>
        <w:pStyle w:val="Heading1"/>
        <w:jc w:val="center"/>
        <w:rPr>
          <w:rFonts w:asciiTheme="minorBidi" w:hAnsiTheme="minorBidi" w:cstheme="minorBidi"/>
          <w:b/>
          <w:bCs/>
          <w:color w:val="000000" w:themeColor="text1"/>
          <w:sz w:val="22"/>
          <w:szCs w:val="22"/>
        </w:rPr>
      </w:pPr>
      <w:bookmarkStart w:id="19" w:name="_Toc238647366"/>
      <w:r w:rsidRPr="00A55E23">
        <w:rPr>
          <w:rFonts w:asciiTheme="minorBidi" w:hAnsiTheme="minorBidi" w:cstheme="minorBidi"/>
          <w:b/>
          <w:bCs/>
          <w:color w:val="000000" w:themeColor="text1"/>
          <w:sz w:val="22"/>
          <w:szCs w:val="22"/>
        </w:rPr>
        <w:lastRenderedPageBreak/>
        <w:t>CHAPTER 1: INTRODUCTION AND BACKGROUND</w:t>
      </w:r>
      <w:bookmarkEnd w:id="19"/>
    </w:p>
    <w:p w14:paraId="4B0AA1E4"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0" w:name="_Toc238647367"/>
      <w:r w:rsidRPr="00A55E23">
        <w:rPr>
          <w:rFonts w:asciiTheme="minorBidi" w:hAnsiTheme="minorBidi" w:cstheme="minorBidi"/>
          <w:b/>
          <w:bCs/>
          <w:i/>
          <w:iCs/>
          <w:color w:val="000000" w:themeColor="text1"/>
          <w:sz w:val="22"/>
          <w:szCs w:val="22"/>
        </w:rPr>
        <w:t>1.1 Introduction to the topic</w:t>
      </w:r>
      <w:bookmarkEnd w:id="20"/>
    </w:p>
    <w:p w14:paraId="71F175FA" w14:textId="77777777" w:rsidR="00D340EB" w:rsidRPr="0047047B" w:rsidRDefault="00D340EB" w:rsidP="00D340EB">
      <w:pPr>
        <w:spacing w:line="360" w:lineRule="auto"/>
        <w:jc w:val="both"/>
        <w:rPr>
          <w:rFonts w:ascii="Arial" w:hAnsi="Arial" w:cs="Arial"/>
          <w:sz w:val="22"/>
          <w:szCs w:val="22"/>
        </w:rPr>
      </w:pPr>
      <w:r w:rsidRPr="0047047B">
        <w:rPr>
          <w:rFonts w:ascii="Arial" w:hAnsi="Arial" w:cs="Arial"/>
          <w:sz w:val="22"/>
          <w:szCs w:val="22"/>
        </w:rPr>
        <w:t>Antimicrobial resistance (AMR) is one of the most critical global health issues in the 21st century, which has the potential to wipe out many years of progress in the field of infectious diseases (WHO, 2021). The definition of AMR is when living pathogens such as bacteria, viruses, fungi, or parasites evolve over time which results in failure to respond to medication (WHO, 2021)</w:t>
      </w:r>
      <w:r>
        <w:rPr>
          <w:rFonts w:ascii="Arial" w:hAnsi="Arial" w:cs="Arial"/>
          <w:sz w:val="22"/>
          <w:szCs w:val="22"/>
        </w:rPr>
        <w:t>,</w:t>
      </w:r>
      <w:r w:rsidRPr="0047047B">
        <w:rPr>
          <w:rFonts w:ascii="Arial" w:hAnsi="Arial" w:cs="Arial"/>
          <w:sz w:val="22"/>
          <w:szCs w:val="22"/>
        </w:rPr>
        <w:t xml:space="preserve"> While AMR was historically considered a merely pharmacological and microbiological problem, public health studies of today establish AMR as being of great social Problem (</w:t>
      </w:r>
      <w:proofErr w:type="spellStart"/>
      <w:r w:rsidRPr="0047047B">
        <w:rPr>
          <w:rFonts w:ascii="Arial" w:hAnsi="Arial" w:cs="Arial"/>
          <w:sz w:val="22"/>
          <w:szCs w:val="22"/>
        </w:rPr>
        <w:t>Zaheer</w:t>
      </w:r>
      <w:proofErr w:type="spellEnd"/>
      <w:r w:rsidRPr="0047047B">
        <w:rPr>
          <w:rFonts w:ascii="Arial" w:hAnsi="Arial" w:cs="Arial"/>
          <w:sz w:val="22"/>
          <w:szCs w:val="22"/>
        </w:rPr>
        <w:t>, 2026). The major causes of increasing resistance are the inappropriate usage of antimicrobial drugs in general and surgical medication, veterinary practices, and agriculture industry (</w:t>
      </w:r>
      <w:proofErr w:type="spellStart"/>
      <w:r w:rsidRPr="0047047B">
        <w:rPr>
          <w:rFonts w:ascii="Arial" w:hAnsi="Arial" w:cs="Arial"/>
          <w:sz w:val="22"/>
          <w:szCs w:val="22"/>
        </w:rPr>
        <w:t>Chandipwisa</w:t>
      </w:r>
      <w:proofErr w:type="spellEnd"/>
      <w:r w:rsidRPr="0047047B">
        <w:rPr>
          <w:rFonts w:ascii="Arial" w:hAnsi="Arial" w:cs="Arial"/>
          <w:sz w:val="22"/>
          <w:szCs w:val="22"/>
        </w:rPr>
        <w:t xml:space="preserve"> et al. 2026). However, it is to be noted that the contributions of these behaviors are conditioned by human knowledge, attitudes, and practices (KAP) related to antibiotics (</w:t>
      </w:r>
      <w:proofErr w:type="spellStart"/>
      <w:r w:rsidRPr="0047047B">
        <w:rPr>
          <w:rFonts w:ascii="Arial" w:hAnsi="Arial" w:cs="Arial"/>
          <w:sz w:val="22"/>
          <w:szCs w:val="22"/>
        </w:rPr>
        <w:t>Zaheer</w:t>
      </w:r>
      <w:proofErr w:type="spellEnd"/>
      <w:r w:rsidRPr="0047047B">
        <w:rPr>
          <w:rFonts w:ascii="Arial" w:hAnsi="Arial" w:cs="Arial"/>
          <w:sz w:val="22"/>
          <w:szCs w:val="22"/>
        </w:rPr>
        <w:t xml:space="preserve"> et al., 2026). The present literature review aims at studying the way and the extent to which social determinants within the context of Pakistan affect KAP of both the individuals and medical practitioners in terms of AMR and fills the gap between social context and behavioral aspects related to AMR.</w:t>
      </w:r>
    </w:p>
    <w:p w14:paraId="5747E2F7"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1" w:name="_Toc238647368"/>
      <w:r w:rsidRPr="00A55E23">
        <w:rPr>
          <w:rFonts w:asciiTheme="minorBidi" w:hAnsiTheme="minorBidi" w:cstheme="minorBidi"/>
          <w:b/>
          <w:bCs/>
          <w:i/>
          <w:iCs/>
          <w:color w:val="000000" w:themeColor="text1"/>
          <w:sz w:val="22"/>
          <w:szCs w:val="22"/>
        </w:rPr>
        <w:t>1.2 Background and Current Context</w:t>
      </w:r>
      <w:bookmarkEnd w:id="21"/>
    </w:p>
    <w:p w14:paraId="7BDB1457" w14:textId="094B1C16" w:rsidR="00EF616A" w:rsidRDefault="00EF616A" w:rsidP="000E059E">
      <w:pPr>
        <w:spacing w:line="360" w:lineRule="auto"/>
        <w:ind w:firstLine="720"/>
        <w:jc w:val="both"/>
        <w:rPr>
          <w:rFonts w:ascii="Arial" w:hAnsi="Arial" w:cs="Arial"/>
          <w:sz w:val="22"/>
          <w:szCs w:val="22"/>
        </w:rPr>
      </w:pPr>
      <w:r>
        <w:rPr>
          <w:rFonts w:ascii="Arial" w:hAnsi="Arial" w:cs="Arial"/>
          <w:sz w:val="22"/>
          <w:szCs w:val="22"/>
        </w:rPr>
        <w:t>Both literature reviews and systematic reviews act as literature synthesizers, but they behave differently in their goals, methods, and transparency. A literature review provides a general insight into the relevant studies by presenting a critical synthesis of them and may utilize various combinations of selection methods for collecting and analyzing literature to find the main issues in it</w:t>
      </w:r>
      <w:r w:rsidR="000E059E">
        <w:rPr>
          <w:rFonts w:ascii="Arial" w:hAnsi="Arial" w:cs="Arial"/>
          <w:sz w:val="22"/>
          <w:szCs w:val="22"/>
        </w:rPr>
        <w:t xml:space="preserve"> (Barry, </w:t>
      </w:r>
      <w:proofErr w:type="spellStart"/>
      <w:r w:rsidR="000E059E">
        <w:rPr>
          <w:rFonts w:ascii="Arial" w:hAnsi="Arial" w:cs="Arial"/>
          <w:sz w:val="22"/>
          <w:szCs w:val="22"/>
        </w:rPr>
        <w:t>Merkebu</w:t>
      </w:r>
      <w:proofErr w:type="spellEnd"/>
      <w:r w:rsidR="000E059E">
        <w:rPr>
          <w:rFonts w:ascii="Arial" w:hAnsi="Arial" w:cs="Arial"/>
          <w:sz w:val="22"/>
          <w:szCs w:val="22"/>
        </w:rPr>
        <w:t xml:space="preserve">, &amp; </w:t>
      </w:r>
      <w:proofErr w:type="spellStart"/>
      <w:r w:rsidR="000E059E">
        <w:rPr>
          <w:rFonts w:ascii="Arial" w:hAnsi="Arial" w:cs="Arial"/>
          <w:sz w:val="22"/>
          <w:szCs w:val="22"/>
        </w:rPr>
        <w:t>Varpio</w:t>
      </w:r>
      <w:proofErr w:type="spellEnd"/>
      <w:r w:rsidR="000E059E">
        <w:rPr>
          <w:rFonts w:ascii="Arial" w:hAnsi="Arial" w:cs="Arial"/>
          <w:sz w:val="22"/>
          <w:szCs w:val="22"/>
        </w:rPr>
        <w:t>, 2022)</w:t>
      </w:r>
      <w:r>
        <w:rPr>
          <w:rFonts w:ascii="Arial" w:hAnsi="Arial" w:cs="Arial"/>
          <w:sz w:val="22"/>
          <w:szCs w:val="22"/>
        </w:rPr>
        <w:t>. On the contrary, a SLR applies to pre-defined and replicable method for searching, selecting, evaluating, and synthesizing data and is usually built from a research question and reporting system such as PRISMA</w:t>
      </w:r>
      <w:r w:rsidR="000E059E">
        <w:rPr>
          <w:rFonts w:ascii="Arial" w:hAnsi="Arial" w:cs="Arial"/>
          <w:sz w:val="22"/>
          <w:szCs w:val="22"/>
        </w:rPr>
        <w:t xml:space="preserve"> (Page et al., 2021; Smith &amp; Duncan, 2022)</w:t>
      </w:r>
      <w:r>
        <w:rPr>
          <w:rFonts w:ascii="Arial" w:hAnsi="Arial" w:cs="Arial"/>
          <w:sz w:val="22"/>
          <w:szCs w:val="22"/>
        </w:rPr>
        <w:t>. The difference detailed in Table 1 is significant in proving the research choice the latter should satisfy the research question, available knowledge, and the required methodological quality level.</w:t>
      </w:r>
    </w:p>
    <w:p w14:paraId="1EA83C0D" w14:textId="77777777" w:rsidR="00D340EB" w:rsidRPr="0047047B" w:rsidRDefault="00D340EB" w:rsidP="00D340EB">
      <w:pPr>
        <w:pStyle w:val="NormalWeb"/>
        <w:spacing w:line="360" w:lineRule="auto"/>
        <w:ind w:firstLine="720"/>
        <w:jc w:val="both"/>
        <w:rPr>
          <w:rFonts w:ascii="Arial" w:hAnsi="Arial" w:cs="Arial"/>
          <w:sz w:val="22"/>
          <w:szCs w:val="22"/>
        </w:rPr>
      </w:pPr>
      <w:r w:rsidRPr="0047047B">
        <w:rPr>
          <w:rFonts w:ascii="Arial" w:hAnsi="Arial" w:cs="Arial"/>
          <w:sz w:val="22"/>
          <w:szCs w:val="22"/>
        </w:rPr>
        <w:t>The problem of AMR has reached alarming levels around the world as structural estimates suggest that resistant bacteria are responsible for millions of deaths per year (WHO, 2022). Typically, interventions against AMR focused on individual-level behavior change strategies, such as clinical stewardship programs to change prescribing practices (WHO, 2022). Although these approaches form the basis of early approaches to AMR, they often have limited efficacy since they ignore the structural pressures that shape individual behavior (</w:t>
      </w:r>
      <w:proofErr w:type="spellStart"/>
      <w:r w:rsidRPr="0047047B">
        <w:rPr>
          <w:rFonts w:ascii="Arial" w:hAnsi="Arial" w:cs="Arial"/>
          <w:sz w:val="22"/>
          <w:szCs w:val="22"/>
        </w:rPr>
        <w:t>Zaheer</w:t>
      </w:r>
      <w:proofErr w:type="spellEnd"/>
      <w:r w:rsidRPr="0047047B">
        <w:rPr>
          <w:rFonts w:ascii="Arial" w:hAnsi="Arial" w:cs="Arial"/>
          <w:sz w:val="22"/>
          <w:szCs w:val="22"/>
        </w:rPr>
        <w:t>, 2026).</w:t>
      </w:r>
    </w:p>
    <w:p w14:paraId="37148EAC" w14:textId="77777777" w:rsidR="00D340EB" w:rsidRDefault="00D340EB" w:rsidP="00D340EB">
      <w:pPr>
        <w:pStyle w:val="NormalWeb"/>
        <w:spacing w:line="360" w:lineRule="auto"/>
        <w:ind w:firstLine="720"/>
        <w:jc w:val="both"/>
        <w:rPr>
          <w:rFonts w:ascii="Arial" w:hAnsi="Arial" w:cs="Arial"/>
          <w:sz w:val="22"/>
          <w:szCs w:val="22"/>
        </w:rPr>
      </w:pPr>
      <w:r w:rsidRPr="0047047B">
        <w:rPr>
          <w:rFonts w:ascii="Arial" w:hAnsi="Arial" w:cs="Arial"/>
          <w:sz w:val="22"/>
          <w:szCs w:val="22"/>
        </w:rPr>
        <w:lastRenderedPageBreak/>
        <w:t>People living in low-middle income countries (LMICs) like Pakistan are affected by unique contextual challenges including access to prescription drugs without regulation, absence of diagnostic capacity, and poverty leading to self-medication (</w:t>
      </w:r>
      <w:proofErr w:type="spellStart"/>
      <w:r w:rsidRPr="0047047B">
        <w:rPr>
          <w:rFonts w:ascii="Arial" w:hAnsi="Arial" w:cs="Arial"/>
          <w:sz w:val="22"/>
          <w:szCs w:val="22"/>
        </w:rPr>
        <w:t>Saleem</w:t>
      </w:r>
      <w:proofErr w:type="spellEnd"/>
      <w:r w:rsidRPr="0047047B">
        <w:rPr>
          <w:rFonts w:ascii="Arial" w:hAnsi="Arial" w:cs="Arial"/>
          <w:sz w:val="22"/>
          <w:szCs w:val="22"/>
        </w:rPr>
        <w:t xml:space="preserve"> et al., 2026). The social determinants of health (SDOH) framework can provide insights into the complex pathway through which social context affects AMR behavior (</w:t>
      </w:r>
      <w:proofErr w:type="spellStart"/>
      <w:r w:rsidRPr="0047047B">
        <w:rPr>
          <w:rFonts w:ascii="Arial" w:hAnsi="Arial" w:cs="Arial"/>
          <w:sz w:val="22"/>
          <w:szCs w:val="22"/>
        </w:rPr>
        <w:t>Alam</w:t>
      </w:r>
      <w:proofErr w:type="spellEnd"/>
      <w:r w:rsidRPr="0047047B">
        <w:rPr>
          <w:rFonts w:ascii="Arial" w:hAnsi="Arial" w:cs="Arial"/>
          <w:sz w:val="22"/>
          <w:szCs w:val="22"/>
        </w:rPr>
        <w:t xml:space="preserve"> et al., 2026). Socio-economic status, education level, jobs, gender norms, and geography play a significant role in how people in various </w:t>
      </w:r>
      <w:r w:rsidR="00345E44" w:rsidRPr="0047047B">
        <w:rPr>
          <w:rFonts w:ascii="Arial" w:hAnsi="Arial" w:cs="Arial"/>
          <w:sz w:val="22"/>
          <w:szCs w:val="22"/>
        </w:rPr>
        <w:t>backgrounds</w:t>
      </w:r>
      <w:r w:rsidRPr="0047047B">
        <w:rPr>
          <w:rFonts w:ascii="Arial" w:hAnsi="Arial" w:cs="Arial"/>
          <w:sz w:val="22"/>
          <w:szCs w:val="22"/>
        </w:rPr>
        <w:t xml:space="preserve"> receive and utilize information about antimicrobials (</w:t>
      </w:r>
      <w:proofErr w:type="spellStart"/>
      <w:r w:rsidRPr="0047047B">
        <w:rPr>
          <w:rFonts w:ascii="Arial" w:hAnsi="Arial" w:cs="Arial"/>
          <w:sz w:val="22"/>
          <w:szCs w:val="22"/>
        </w:rPr>
        <w:t>Zaheer</w:t>
      </w:r>
      <w:proofErr w:type="spellEnd"/>
      <w:r w:rsidRPr="0047047B">
        <w:rPr>
          <w:rFonts w:ascii="Arial" w:hAnsi="Arial" w:cs="Arial"/>
          <w:sz w:val="22"/>
          <w:szCs w:val="22"/>
        </w:rPr>
        <w:t>, 2026).</w:t>
      </w:r>
    </w:p>
    <w:p w14:paraId="2AB22F0F" w14:textId="77777777" w:rsidR="008E0A61" w:rsidRPr="008D25AD" w:rsidRDefault="008E0A61" w:rsidP="008E0A61">
      <w:pPr>
        <w:rPr>
          <w:rFonts w:ascii="Arial" w:hAnsi="Arial" w:cs="Arial"/>
          <w:sz w:val="22"/>
          <w:szCs w:val="22"/>
        </w:rPr>
      </w:pPr>
      <w:r w:rsidRPr="008D25AD">
        <w:rPr>
          <w:rFonts w:ascii="Arial" w:hAnsi="Arial" w:cs="Arial"/>
          <w:sz w:val="22"/>
          <w:szCs w:val="22"/>
        </w:rPr>
        <w:t xml:space="preserve">Table 1. Key Differences </w:t>
      </w:r>
      <w:proofErr w:type="gramStart"/>
      <w:r w:rsidRPr="008D25AD">
        <w:rPr>
          <w:rFonts w:ascii="Arial" w:hAnsi="Arial" w:cs="Arial"/>
          <w:sz w:val="22"/>
          <w:szCs w:val="22"/>
        </w:rPr>
        <w:t>Between</w:t>
      </w:r>
      <w:proofErr w:type="gramEnd"/>
      <w:r w:rsidRPr="008D25AD">
        <w:rPr>
          <w:rFonts w:ascii="Arial" w:hAnsi="Arial" w:cs="Arial"/>
          <w:sz w:val="22"/>
          <w:szCs w:val="22"/>
        </w:rPr>
        <w:t xml:space="preserve"> a Traditional Literature Review and a Systematic Literature Review</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53"/>
        <w:gridCol w:w="3759"/>
        <w:gridCol w:w="4367"/>
      </w:tblGrid>
      <w:tr w:rsidR="00EF616A" w14:paraId="689C72AA" w14:textId="77777777" w:rsidTr="008D25AD">
        <w:trPr>
          <w:trHeight w:val="566"/>
        </w:trPr>
        <w:tc>
          <w:tcPr>
            <w:tcW w:w="784" w:type="pct"/>
            <w:shd w:val="clear" w:color="auto" w:fill="D9D9D9"/>
          </w:tcPr>
          <w:p w14:paraId="10C40C5F"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Aspect</w:t>
            </w:r>
          </w:p>
        </w:tc>
        <w:tc>
          <w:tcPr>
            <w:tcW w:w="1951" w:type="pct"/>
            <w:shd w:val="clear" w:color="auto" w:fill="D9D9D9"/>
          </w:tcPr>
          <w:p w14:paraId="4C1B5BA6"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Literature Review</w:t>
            </w:r>
          </w:p>
        </w:tc>
        <w:tc>
          <w:tcPr>
            <w:tcW w:w="2265" w:type="pct"/>
            <w:shd w:val="clear" w:color="auto" w:fill="D9D9D9"/>
          </w:tcPr>
          <w:p w14:paraId="5097BF8D"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Systematic Review</w:t>
            </w:r>
          </w:p>
        </w:tc>
      </w:tr>
      <w:tr w:rsidR="00EF616A" w14:paraId="5A9CE43C" w14:textId="77777777" w:rsidTr="008D25AD">
        <w:tc>
          <w:tcPr>
            <w:tcW w:w="784" w:type="pct"/>
          </w:tcPr>
          <w:p w14:paraId="54E7D9EB"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Purpose</w:t>
            </w:r>
          </w:p>
        </w:tc>
        <w:tc>
          <w:tcPr>
            <w:tcW w:w="1951" w:type="pct"/>
          </w:tcPr>
          <w:p w14:paraId="5D9FF75E"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Provides a broad overview, interpretation and critical discussion of existing literature.</w:t>
            </w:r>
          </w:p>
        </w:tc>
        <w:tc>
          <w:tcPr>
            <w:tcW w:w="2265" w:type="pct"/>
          </w:tcPr>
          <w:p w14:paraId="5CE1B9AC"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Answers a focused research question using a predefined and systematic methodology.</w:t>
            </w:r>
          </w:p>
        </w:tc>
      </w:tr>
      <w:tr w:rsidR="00EF616A" w14:paraId="771A46E3" w14:textId="77777777" w:rsidTr="008D25AD">
        <w:tc>
          <w:tcPr>
            <w:tcW w:w="784" w:type="pct"/>
          </w:tcPr>
          <w:p w14:paraId="4FECA916"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Research question</w:t>
            </w:r>
          </w:p>
        </w:tc>
        <w:tc>
          <w:tcPr>
            <w:tcW w:w="1951" w:type="pct"/>
          </w:tcPr>
          <w:p w14:paraId="451FA249"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May be broad, exploratory or conceptual.</w:t>
            </w:r>
          </w:p>
        </w:tc>
        <w:tc>
          <w:tcPr>
            <w:tcW w:w="2265" w:type="pct"/>
          </w:tcPr>
          <w:p w14:paraId="69A19692"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Usually specific, structured and clearly defined.</w:t>
            </w:r>
          </w:p>
        </w:tc>
      </w:tr>
      <w:tr w:rsidR="00EF616A" w14:paraId="54030148" w14:textId="77777777" w:rsidTr="008D25AD">
        <w:tc>
          <w:tcPr>
            <w:tcW w:w="784" w:type="pct"/>
          </w:tcPr>
          <w:p w14:paraId="461E693A"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Search strategy</w:t>
            </w:r>
          </w:p>
        </w:tc>
        <w:tc>
          <w:tcPr>
            <w:tcW w:w="1951" w:type="pct"/>
          </w:tcPr>
          <w:p w14:paraId="17B7AC2A"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May be flexible and may not be fully reproducible.</w:t>
            </w:r>
          </w:p>
        </w:tc>
        <w:tc>
          <w:tcPr>
            <w:tcW w:w="2265" w:type="pct"/>
          </w:tcPr>
          <w:p w14:paraId="7C5495C8"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Predefined, comprehensive and reproducible search strategy.</w:t>
            </w:r>
          </w:p>
        </w:tc>
      </w:tr>
      <w:tr w:rsidR="00EF616A" w14:paraId="44FC4E7B" w14:textId="77777777" w:rsidTr="008D25AD">
        <w:tc>
          <w:tcPr>
            <w:tcW w:w="784" w:type="pct"/>
          </w:tcPr>
          <w:p w14:paraId="12550917"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Study selection</w:t>
            </w:r>
          </w:p>
        </w:tc>
        <w:tc>
          <w:tcPr>
            <w:tcW w:w="1951" w:type="pct"/>
          </w:tcPr>
          <w:p w14:paraId="634A7A57"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 xml:space="preserve">Selection may depend on relevance and the author's </w:t>
            </w:r>
            <w:proofErr w:type="spellStart"/>
            <w:r w:rsidRPr="008D25AD">
              <w:rPr>
                <w:rFonts w:ascii="Arial" w:hAnsi="Arial" w:cs="Arial"/>
                <w:sz w:val="22"/>
                <w:szCs w:val="22"/>
              </w:rPr>
              <w:t>judgement</w:t>
            </w:r>
            <w:proofErr w:type="spellEnd"/>
            <w:r w:rsidRPr="008D25AD">
              <w:rPr>
                <w:rFonts w:ascii="Arial" w:hAnsi="Arial" w:cs="Arial"/>
                <w:sz w:val="22"/>
                <w:szCs w:val="22"/>
              </w:rPr>
              <w:t>.</w:t>
            </w:r>
          </w:p>
        </w:tc>
        <w:tc>
          <w:tcPr>
            <w:tcW w:w="2265" w:type="pct"/>
          </w:tcPr>
          <w:p w14:paraId="3B444448"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Uses explicit inclusion and exclusion criteria applied systematically.</w:t>
            </w:r>
          </w:p>
        </w:tc>
      </w:tr>
      <w:tr w:rsidR="00EF616A" w14:paraId="1754E706" w14:textId="77777777" w:rsidTr="008D25AD">
        <w:tc>
          <w:tcPr>
            <w:tcW w:w="784" w:type="pct"/>
          </w:tcPr>
          <w:p w14:paraId="1E5B93BC"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Databases</w:t>
            </w:r>
          </w:p>
        </w:tc>
        <w:tc>
          <w:tcPr>
            <w:tcW w:w="1951" w:type="pct"/>
          </w:tcPr>
          <w:p w14:paraId="3A3F5EFA"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Often uses selected databases and other relevant sources.</w:t>
            </w:r>
          </w:p>
        </w:tc>
        <w:tc>
          <w:tcPr>
            <w:tcW w:w="2265" w:type="pct"/>
          </w:tcPr>
          <w:p w14:paraId="2C2B61D5"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 xml:space="preserve">Usually </w:t>
            </w:r>
            <w:r w:rsidR="0034068C" w:rsidRPr="008D25AD">
              <w:rPr>
                <w:rFonts w:ascii="Arial" w:hAnsi="Arial" w:cs="Arial"/>
                <w:sz w:val="22"/>
                <w:szCs w:val="22"/>
              </w:rPr>
              <w:t>search</w:t>
            </w:r>
            <w:r w:rsidRPr="008D25AD">
              <w:rPr>
                <w:rFonts w:ascii="Arial" w:hAnsi="Arial" w:cs="Arial"/>
                <w:sz w:val="22"/>
                <w:szCs w:val="22"/>
              </w:rPr>
              <w:t xml:space="preserve"> multiple appropriate databases and additional sources.</w:t>
            </w:r>
          </w:p>
        </w:tc>
      </w:tr>
      <w:tr w:rsidR="00EF616A" w14:paraId="1D8E4379" w14:textId="77777777" w:rsidTr="008D25AD">
        <w:tc>
          <w:tcPr>
            <w:tcW w:w="784" w:type="pct"/>
          </w:tcPr>
          <w:p w14:paraId="2F2F7EF6"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Quality appraisal</w:t>
            </w:r>
          </w:p>
        </w:tc>
        <w:tc>
          <w:tcPr>
            <w:tcW w:w="1951" w:type="pct"/>
          </w:tcPr>
          <w:p w14:paraId="4C267C88"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May be undertaken but is not always systematic.</w:t>
            </w:r>
          </w:p>
        </w:tc>
        <w:tc>
          <w:tcPr>
            <w:tcW w:w="2265" w:type="pct"/>
          </w:tcPr>
          <w:p w14:paraId="7B844D16"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Formal critical appraisal/risk-of-bias assessment is normally expected.</w:t>
            </w:r>
          </w:p>
        </w:tc>
      </w:tr>
      <w:tr w:rsidR="00EF616A" w14:paraId="562450C6" w14:textId="77777777" w:rsidTr="008D25AD">
        <w:tc>
          <w:tcPr>
            <w:tcW w:w="784" w:type="pct"/>
          </w:tcPr>
          <w:p w14:paraId="75BF43CF"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Data extraction</w:t>
            </w:r>
          </w:p>
        </w:tc>
        <w:tc>
          <w:tcPr>
            <w:tcW w:w="1951" w:type="pct"/>
          </w:tcPr>
          <w:p w14:paraId="459947A5"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Often narrative and selective.</w:t>
            </w:r>
          </w:p>
        </w:tc>
        <w:tc>
          <w:tcPr>
            <w:tcW w:w="2265" w:type="pct"/>
          </w:tcPr>
          <w:p w14:paraId="245E7111" w14:textId="77777777" w:rsidR="00EF616A" w:rsidRPr="008D25AD" w:rsidRDefault="00A76C4D" w:rsidP="008D25AD">
            <w:pPr>
              <w:jc w:val="both"/>
              <w:rPr>
                <w:rFonts w:ascii="Arial" w:hAnsi="Arial" w:cs="Arial"/>
                <w:sz w:val="22"/>
                <w:szCs w:val="22"/>
              </w:rPr>
            </w:pPr>
            <w:r w:rsidRPr="008D25AD">
              <w:rPr>
                <w:rFonts w:ascii="Arial" w:hAnsi="Arial" w:cs="Arial"/>
                <w:sz w:val="22"/>
                <w:szCs w:val="22"/>
              </w:rPr>
              <w:t>Use</w:t>
            </w:r>
            <w:r w:rsidR="00EF616A" w:rsidRPr="008D25AD">
              <w:rPr>
                <w:rFonts w:ascii="Arial" w:hAnsi="Arial" w:cs="Arial"/>
                <w:sz w:val="22"/>
                <w:szCs w:val="22"/>
              </w:rPr>
              <w:t xml:space="preserve"> predefined or </w:t>
            </w:r>
            <w:r w:rsidRPr="008D25AD">
              <w:rPr>
                <w:rFonts w:ascii="Arial" w:hAnsi="Arial" w:cs="Arial"/>
                <w:sz w:val="22"/>
                <w:szCs w:val="22"/>
              </w:rPr>
              <w:t>standardized</w:t>
            </w:r>
            <w:r w:rsidR="00EF616A" w:rsidRPr="008D25AD">
              <w:rPr>
                <w:rFonts w:ascii="Arial" w:hAnsi="Arial" w:cs="Arial"/>
                <w:sz w:val="22"/>
                <w:szCs w:val="22"/>
              </w:rPr>
              <w:t xml:space="preserve"> data-extraction procedures.</w:t>
            </w:r>
          </w:p>
        </w:tc>
      </w:tr>
      <w:tr w:rsidR="00EF616A" w14:paraId="0BBC5956" w14:textId="77777777" w:rsidTr="008D25AD">
        <w:tc>
          <w:tcPr>
            <w:tcW w:w="784" w:type="pct"/>
          </w:tcPr>
          <w:p w14:paraId="4A3B8D3A"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Synthesis</w:t>
            </w:r>
          </w:p>
        </w:tc>
        <w:tc>
          <w:tcPr>
            <w:tcW w:w="1951" w:type="pct"/>
          </w:tcPr>
          <w:p w14:paraId="69A5C6FB"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Primarily narrative, thematic or conceptual.</w:t>
            </w:r>
          </w:p>
        </w:tc>
        <w:tc>
          <w:tcPr>
            <w:tcW w:w="2265" w:type="pct"/>
          </w:tcPr>
          <w:p w14:paraId="17CF6E04"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May use narrative synthesis, statistical synthesis or meta-analysis where appropriate.</w:t>
            </w:r>
          </w:p>
        </w:tc>
      </w:tr>
      <w:tr w:rsidR="00EF616A" w14:paraId="56904068" w14:textId="77777777" w:rsidTr="008D25AD">
        <w:tc>
          <w:tcPr>
            <w:tcW w:w="784" w:type="pct"/>
          </w:tcPr>
          <w:p w14:paraId="53BBEF77"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Transparency</w:t>
            </w:r>
          </w:p>
        </w:tc>
        <w:tc>
          <w:tcPr>
            <w:tcW w:w="1951" w:type="pct"/>
          </w:tcPr>
          <w:p w14:paraId="6BDE7D0C"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Methods may be described less comprehensively.</w:t>
            </w:r>
          </w:p>
        </w:tc>
        <w:tc>
          <w:tcPr>
            <w:tcW w:w="2265" w:type="pct"/>
          </w:tcPr>
          <w:p w14:paraId="517026E0"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Methods, decisions and results should be reported transparently</w:t>
            </w:r>
          </w:p>
        </w:tc>
      </w:tr>
      <w:tr w:rsidR="00EF616A" w14:paraId="39CBC8E5" w14:textId="77777777" w:rsidTr="008D25AD">
        <w:tc>
          <w:tcPr>
            <w:tcW w:w="784" w:type="pct"/>
          </w:tcPr>
          <w:p w14:paraId="7703B83C"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Reporting</w:t>
            </w:r>
          </w:p>
        </w:tc>
        <w:tc>
          <w:tcPr>
            <w:tcW w:w="1951" w:type="pct"/>
          </w:tcPr>
          <w:p w14:paraId="64BFC98F"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No single mandatory reporting framework.</w:t>
            </w:r>
          </w:p>
        </w:tc>
        <w:tc>
          <w:tcPr>
            <w:tcW w:w="2265" w:type="pct"/>
          </w:tcPr>
          <w:p w14:paraId="2CA46537"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PRISMA is widely used for transparent reporting of systematic reviews.</w:t>
            </w:r>
          </w:p>
        </w:tc>
      </w:tr>
      <w:tr w:rsidR="00EF616A" w14:paraId="07609784" w14:textId="77777777" w:rsidTr="008D25AD">
        <w:tc>
          <w:tcPr>
            <w:tcW w:w="784" w:type="pct"/>
          </w:tcPr>
          <w:p w14:paraId="59E6D1D5"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lastRenderedPageBreak/>
              <w:t>Risk of bias</w:t>
            </w:r>
          </w:p>
        </w:tc>
        <w:tc>
          <w:tcPr>
            <w:tcW w:w="1951" w:type="pct"/>
          </w:tcPr>
          <w:p w14:paraId="070CADA7"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Greater potential for selection and interpretation bias if methods are not explicit.</w:t>
            </w:r>
          </w:p>
        </w:tc>
        <w:tc>
          <w:tcPr>
            <w:tcW w:w="2265" w:type="pct"/>
          </w:tcPr>
          <w:p w14:paraId="0C6E87E8"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 xml:space="preserve">Attempts to </w:t>
            </w:r>
            <w:proofErr w:type="spellStart"/>
            <w:r w:rsidRPr="008D25AD">
              <w:rPr>
                <w:rFonts w:ascii="Arial" w:hAnsi="Arial" w:cs="Arial"/>
                <w:sz w:val="22"/>
                <w:szCs w:val="22"/>
              </w:rPr>
              <w:t>minimise</w:t>
            </w:r>
            <w:proofErr w:type="spellEnd"/>
            <w:r w:rsidRPr="008D25AD">
              <w:rPr>
                <w:rFonts w:ascii="Arial" w:hAnsi="Arial" w:cs="Arial"/>
                <w:sz w:val="22"/>
                <w:szCs w:val="22"/>
              </w:rPr>
              <w:t xml:space="preserve"> bias through predefined methods and independent/systematic processes.</w:t>
            </w:r>
          </w:p>
        </w:tc>
      </w:tr>
      <w:tr w:rsidR="00EF616A" w14:paraId="1004264C" w14:textId="77777777" w:rsidTr="008D25AD">
        <w:tc>
          <w:tcPr>
            <w:tcW w:w="784" w:type="pct"/>
          </w:tcPr>
          <w:p w14:paraId="1FA15A54"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Main strength</w:t>
            </w:r>
          </w:p>
        </w:tc>
        <w:tc>
          <w:tcPr>
            <w:tcW w:w="1951" w:type="pct"/>
          </w:tcPr>
          <w:p w14:paraId="0C1304E9"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Provides contextual, conceptual and critical understanding of a topic.</w:t>
            </w:r>
          </w:p>
        </w:tc>
        <w:tc>
          <w:tcPr>
            <w:tcW w:w="2265" w:type="pct"/>
          </w:tcPr>
          <w:p w14:paraId="50B0218E" w14:textId="77777777" w:rsidR="00EF616A" w:rsidRPr="008D25AD" w:rsidRDefault="00EF616A" w:rsidP="008D25AD">
            <w:pPr>
              <w:jc w:val="both"/>
              <w:rPr>
                <w:rFonts w:ascii="Arial" w:hAnsi="Arial" w:cs="Arial"/>
                <w:sz w:val="22"/>
                <w:szCs w:val="22"/>
              </w:rPr>
            </w:pPr>
            <w:r w:rsidRPr="008D25AD">
              <w:rPr>
                <w:rFonts w:ascii="Arial" w:hAnsi="Arial" w:cs="Arial"/>
                <w:sz w:val="22"/>
                <w:szCs w:val="22"/>
              </w:rPr>
              <w:t>Provides a rigorous and reproducible synthesis of available evidence.</w:t>
            </w:r>
          </w:p>
        </w:tc>
      </w:tr>
    </w:tbl>
    <w:p w14:paraId="0A3DDFB2" w14:textId="77777777" w:rsidR="00D340EB" w:rsidRPr="0047047B" w:rsidRDefault="00D340EB" w:rsidP="00D340EB">
      <w:pPr>
        <w:pStyle w:val="NormalWeb"/>
        <w:spacing w:line="360" w:lineRule="auto"/>
        <w:ind w:firstLine="720"/>
        <w:jc w:val="both"/>
        <w:rPr>
          <w:rFonts w:ascii="Arial" w:hAnsi="Arial" w:cs="Arial"/>
          <w:sz w:val="22"/>
          <w:szCs w:val="22"/>
        </w:rPr>
      </w:pPr>
      <w:r w:rsidRPr="0047047B">
        <w:rPr>
          <w:rFonts w:ascii="Arial" w:hAnsi="Arial" w:cs="Arial"/>
          <w:sz w:val="22"/>
          <w:szCs w:val="22"/>
        </w:rPr>
        <w:t>In environments with scarce resources, there is a lack of comprehension about the structural differences between the various bacterial and viral agents, leading people to mistakenly view antibiotics as a cure for all instances of acute febrile illnesses (</w:t>
      </w:r>
      <w:proofErr w:type="spellStart"/>
      <w:r w:rsidRPr="0047047B">
        <w:rPr>
          <w:rFonts w:ascii="Arial" w:hAnsi="Arial" w:cs="Arial"/>
          <w:sz w:val="22"/>
          <w:szCs w:val="22"/>
        </w:rPr>
        <w:t>Alhassan</w:t>
      </w:r>
      <w:proofErr w:type="spellEnd"/>
      <w:r w:rsidRPr="0047047B">
        <w:rPr>
          <w:rFonts w:ascii="Arial" w:hAnsi="Arial" w:cs="Arial"/>
          <w:sz w:val="22"/>
          <w:szCs w:val="22"/>
        </w:rPr>
        <w:t xml:space="preserve"> et al., 2025). The high rates of poverty in these areas are related to the inability of patients to complete treatment, as they might only purchase one dose of antibiotics from the black market instead of getting enough money to buy a full treatment regimen, thus enhancing the pressure of selective resistance (</w:t>
      </w:r>
      <w:proofErr w:type="spellStart"/>
      <w:r w:rsidRPr="0047047B">
        <w:rPr>
          <w:rFonts w:ascii="Arial" w:hAnsi="Arial" w:cs="Arial"/>
          <w:sz w:val="22"/>
          <w:szCs w:val="22"/>
        </w:rPr>
        <w:t>Saleem</w:t>
      </w:r>
      <w:proofErr w:type="spellEnd"/>
      <w:r w:rsidRPr="0047047B">
        <w:rPr>
          <w:rFonts w:ascii="Arial" w:hAnsi="Arial" w:cs="Arial"/>
          <w:sz w:val="22"/>
          <w:szCs w:val="22"/>
        </w:rPr>
        <w:t xml:space="preserve"> et al., 2026). Besides, healthcare providers in primary care often work under profit-driven system or face high patient loads and provide consultations rapidly, with the prescription of an antibiotic serving as a way for ensuring patient satisfaction (</w:t>
      </w:r>
      <w:proofErr w:type="spellStart"/>
      <w:r w:rsidRPr="0047047B">
        <w:rPr>
          <w:rFonts w:ascii="Arial" w:hAnsi="Arial" w:cs="Arial"/>
          <w:sz w:val="22"/>
          <w:szCs w:val="22"/>
        </w:rPr>
        <w:t>Saleem</w:t>
      </w:r>
      <w:proofErr w:type="spellEnd"/>
      <w:r w:rsidRPr="0047047B">
        <w:rPr>
          <w:rFonts w:ascii="Arial" w:hAnsi="Arial" w:cs="Arial"/>
          <w:sz w:val="22"/>
          <w:szCs w:val="22"/>
        </w:rPr>
        <w:t xml:space="preserve"> et al., 2026). And similar structural gaps in clean water, sanitation, and hygiene (WASH) systems lead to a constantly high level of infection thus creating a cycle of infectious diseases dependence on antibiotics (WHO, 2022). This review shows that AMR should not be seen as a clinical failure but rather because of systemic social vulnerability (</w:t>
      </w:r>
      <w:proofErr w:type="spellStart"/>
      <w:r w:rsidRPr="0047047B">
        <w:rPr>
          <w:rFonts w:ascii="Arial" w:hAnsi="Arial" w:cs="Arial"/>
          <w:sz w:val="22"/>
          <w:szCs w:val="22"/>
        </w:rPr>
        <w:t>Alhassan</w:t>
      </w:r>
      <w:proofErr w:type="spellEnd"/>
      <w:r w:rsidRPr="0047047B">
        <w:rPr>
          <w:rFonts w:ascii="Arial" w:hAnsi="Arial" w:cs="Arial"/>
          <w:sz w:val="22"/>
          <w:szCs w:val="22"/>
        </w:rPr>
        <w:t xml:space="preserve"> et al., 2025).</w:t>
      </w:r>
    </w:p>
    <w:p w14:paraId="02BB57FB"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2" w:name="_Toc238647369"/>
      <w:r w:rsidRPr="00A55E23">
        <w:rPr>
          <w:rFonts w:asciiTheme="minorBidi" w:hAnsiTheme="minorBidi" w:cstheme="minorBidi"/>
          <w:b/>
          <w:bCs/>
          <w:i/>
          <w:iCs/>
          <w:color w:val="000000" w:themeColor="text1"/>
          <w:sz w:val="22"/>
          <w:szCs w:val="22"/>
        </w:rPr>
        <w:t>1.3 Rationale for Research or Problem Statement</w:t>
      </w:r>
      <w:bookmarkEnd w:id="22"/>
    </w:p>
    <w:p w14:paraId="682AE104" w14:textId="77777777" w:rsidR="00D340EB" w:rsidRPr="0047047B" w:rsidRDefault="00D340EB" w:rsidP="00D340EB">
      <w:pPr>
        <w:spacing w:line="360" w:lineRule="auto"/>
        <w:jc w:val="both"/>
        <w:rPr>
          <w:rFonts w:ascii="Arial" w:hAnsi="Arial" w:cs="Arial"/>
          <w:sz w:val="22"/>
          <w:szCs w:val="22"/>
        </w:rPr>
      </w:pPr>
      <w:r w:rsidRPr="0047047B">
        <w:rPr>
          <w:rFonts w:ascii="Arial" w:hAnsi="Arial" w:cs="Arial"/>
          <w:sz w:val="22"/>
          <w:szCs w:val="22"/>
        </w:rPr>
        <w:t>Despite a significant number of KAP studies regarding AMR worldwide, previous research is still very compartmentalized with research only focusing on individual demographic profiles without incorporating the overall social contexts in which these phenomena occur (</w:t>
      </w:r>
      <w:proofErr w:type="spellStart"/>
      <w:r w:rsidRPr="0047047B">
        <w:rPr>
          <w:rFonts w:ascii="Arial" w:hAnsi="Arial" w:cs="Arial"/>
          <w:sz w:val="22"/>
          <w:szCs w:val="22"/>
        </w:rPr>
        <w:t>Alhassan</w:t>
      </w:r>
      <w:proofErr w:type="spellEnd"/>
      <w:r w:rsidRPr="0047047B">
        <w:rPr>
          <w:rFonts w:ascii="Arial" w:hAnsi="Arial" w:cs="Arial"/>
          <w:sz w:val="22"/>
          <w:szCs w:val="22"/>
        </w:rPr>
        <w:t xml:space="preserve"> et al., 2025). Therefore, there is a crucial need to find and present information about the challenges being faced by Pakistan, where distinctive cultural and structural differences determine health-related behaviors (</w:t>
      </w:r>
      <w:proofErr w:type="spellStart"/>
      <w:r w:rsidRPr="0047047B">
        <w:rPr>
          <w:rFonts w:ascii="Arial" w:hAnsi="Arial" w:cs="Arial"/>
          <w:sz w:val="22"/>
          <w:szCs w:val="22"/>
        </w:rPr>
        <w:t>Saleem</w:t>
      </w:r>
      <w:proofErr w:type="spellEnd"/>
      <w:r w:rsidRPr="0047047B">
        <w:rPr>
          <w:rFonts w:ascii="Arial" w:hAnsi="Arial" w:cs="Arial"/>
          <w:sz w:val="22"/>
          <w:szCs w:val="22"/>
        </w:rPr>
        <w:t xml:space="preserve"> et al., 2026). </w:t>
      </w:r>
    </w:p>
    <w:p w14:paraId="5007566F" w14:textId="77777777" w:rsidR="00D340EB" w:rsidRPr="0047047B" w:rsidRDefault="00D340EB" w:rsidP="00D340EB">
      <w:pPr>
        <w:spacing w:line="360" w:lineRule="auto"/>
        <w:jc w:val="both"/>
        <w:rPr>
          <w:rFonts w:ascii="Arial" w:hAnsi="Arial" w:cs="Arial"/>
          <w:sz w:val="22"/>
          <w:szCs w:val="22"/>
        </w:rPr>
      </w:pPr>
      <w:r w:rsidRPr="0047047B">
        <w:rPr>
          <w:rFonts w:ascii="Arial" w:hAnsi="Arial" w:cs="Arial"/>
          <w:sz w:val="22"/>
          <w:szCs w:val="22"/>
        </w:rPr>
        <w:t>Moreover, most systematic reviews engage only in clinical stewardship, thus leaving a huge gap in our knowledge of the pathways through which structural social determinants influence behavioral activities.</w:t>
      </w:r>
    </w:p>
    <w:p w14:paraId="448BB418"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3" w:name="_Toc238647370"/>
      <w:r w:rsidRPr="00A55E23">
        <w:rPr>
          <w:rFonts w:asciiTheme="minorBidi" w:hAnsiTheme="minorBidi" w:cstheme="minorBidi"/>
          <w:b/>
          <w:bCs/>
          <w:i/>
          <w:iCs/>
          <w:color w:val="000000" w:themeColor="text1"/>
          <w:sz w:val="22"/>
          <w:szCs w:val="22"/>
        </w:rPr>
        <w:t>1.4 Research Question</w:t>
      </w:r>
      <w:bookmarkEnd w:id="23"/>
    </w:p>
    <w:p w14:paraId="3E88D968" w14:textId="77777777" w:rsidR="00D340EB" w:rsidRPr="0047047B" w:rsidRDefault="00D340EB" w:rsidP="00D340EB">
      <w:pPr>
        <w:spacing w:line="360" w:lineRule="auto"/>
        <w:ind w:firstLine="720"/>
        <w:jc w:val="both"/>
        <w:rPr>
          <w:rFonts w:ascii="Arial" w:hAnsi="Arial" w:cs="Arial"/>
          <w:sz w:val="22"/>
          <w:szCs w:val="22"/>
        </w:rPr>
      </w:pPr>
      <w:r w:rsidRPr="0047047B">
        <w:rPr>
          <w:rFonts w:ascii="Arial" w:hAnsi="Arial" w:cs="Arial"/>
          <w:sz w:val="22"/>
          <w:szCs w:val="22"/>
        </w:rPr>
        <w:t>How do upstream structural social determinants (</w:t>
      </w:r>
      <w:r>
        <w:rPr>
          <w:rFonts w:ascii="Arial" w:hAnsi="Arial" w:cs="Arial"/>
          <w:sz w:val="22"/>
          <w:szCs w:val="22"/>
        </w:rPr>
        <w:t>Socioeconomic (SE)</w:t>
      </w:r>
      <w:r w:rsidRPr="0047047B">
        <w:rPr>
          <w:rFonts w:ascii="Arial" w:hAnsi="Arial" w:cs="Arial"/>
          <w:sz w:val="22"/>
          <w:szCs w:val="22"/>
        </w:rPr>
        <w:t xml:space="preserve"> status, education, institutional frameworks, and cultural contexts) influence downstream KAP regarding antimicrobial resistance and utilization in Pakistan?</w:t>
      </w:r>
    </w:p>
    <w:p w14:paraId="230938B5"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4" w:name="_Toc238647371"/>
      <w:r w:rsidRPr="00A55E23">
        <w:rPr>
          <w:rFonts w:asciiTheme="minorBidi" w:hAnsiTheme="minorBidi" w:cstheme="minorBidi"/>
          <w:b/>
          <w:bCs/>
          <w:i/>
          <w:iCs/>
          <w:color w:val="000000" w:themeColor="text1"/>
          <w:sz w:val="22"/>
          <w:szCs w:val="22"/>
        </w:rPr>
        <w:lastRenderedPageBreak/>
        <w:t>1.5 Research Aim</w:t>
      </w:r>
      <w:bookmarkEnd w:id="24"/>
    </w:p>
    <w:p w14:paraId="33D14DFF" w14:textId="77777777" w:rsidR="00D340EB" w:rsidRPr="0047047B" w:rsidRDefault="00D340EB" w:rsidP="004F2021">
      <w:pPr>
        <w:spacing w:line="360" w:lineRule="auto"/>
        <w:ind w:firstLine="720"/>
        <w:jc w:val="both"/>
        <w:rPr>
          <w:rFonts w:ascii="Arial" w:hAnsi="Arial" w:cs="Arial"/>
          <w:sz w:val="22"/>
          <w:szCs w:val="22"/>
        </w:rPr>
      </w:pPr>
      <w:r w:rsidRPr="0047047B">
        <w:rPr>
          <w:rFonts w:ascii="Arial" w:hAnsi="Arial" w:cs="Arial"/>
          <w:sz w:val="22"/>
          <w:szCs w:val="22"/>
        </w:rPr>
        <w:t>To systematically review and synthesize empirical evidence concerning the influence of social determinants on KAP regarding antimicrobial resistance in Pakistan between 2015 and 2025.</w:t>
      </w:r>
    </w:p>
    <w:p w14:paraId="7FAA0C18"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5" w:name="_Toc238647372"/>
      <w:r w:rsidRPr="00A55E23">
        <w:rPr>
          <w:rFonts w:asciiTheme="minorBidi" w:hAnsiTheme="minorBidi" w:cstheme="minorBidi"/>
          <w:b/>
          <w:bCs/>
          <w:i/>
          <w:iCs/>
          <w:color w:val="000000" w:themeColor="text1"/>
          <w:sz w:val="22"/>
          <w:szCs w:val="22"/>
        </w:rPr>
        <w:t>1.6 Research Objectives</w:t>
      </w:r>
      <w:bookmarkEnd w:id="25"/>
    </w:p>
    <w:p w14:paraId="399EFA77" w14:textId="77777777" w:rsidR="00D340EB" w:rsidRPr="0047047B" w:rsidRDefault="00D340EB" w:rsidP="00D340EB">
      <w:pPr>
        <w:pStyle w:val="NormalWeb"/>
        <w:numPr>
          <w:ilvl w:val="0"/>
          <w:numId w:val="31"/>
        </w:numPr>
        <w:spacing w:line="360" w:lineRule="auto"/>
        <w:jc w:val="both"/>
        <w:rPr>
          <w:rFonts w:ascii="Arial" w:hAnsi="Arial" w:cs="Arial"/>
          <w:sz w:val="22"/>
          <w:szCs w:val="22"/>
        </w:rPr>
      </w:pPr>
      <w:r w:rsidRPr="0047047B">
        <w:rPr>
          <w:rFonts w:ascii="Arial" w:hAnsi="Arial" w:cs="Arial"/>
          <w:sz w:val="22"/>
          <w:szCs w:val="22"/>
        </w:rPr>
        <w:t>To identify the primary social determinants of health evaluated in empirical literature that correlate with variations in community and clinical KAP regarding AMR in Pakistan.</w:t>
      </w:r>
    </w:p>
    <w:p w14:paraId="22FB89EA" w14:textId="77777777" w:rsidR="00D340EB" w:rsidRPr="0047047B" w:rsidRDefault="00D340EB" w:rsidP="00D340EB">
      <w:pPr>
        <w:pStyle w:val="NormalWeb"/>
        <w:numPr>
          <w:ilvl w:val="0"/>
          <w:numId w:val="31"/>
        </w:numPr>
        <w:spacing w:line="360" w:lineRule="auto"/>
        <w:jc w:val="both"/>
        <w:rPr>
          <w:rFonts w:ascii="Arial" w:hAnsi="Arial" w:cs="Arial"/>
          <w:sz w:val="22"/>
          <w:szCs w:val="22"/>
        </w:rPr>
      </w:pPr>
      <w:r w:rsidRPr="0047047B">
        <w:rPr>
          <w:rFonts w:ascii="Arial" w:hAnsi="Arial" w:cs="Arial"/>
          <w:sz w:val="22"/>
          <w:szCs w:val="22"/>
        </w:rPr>
        <w:t xml:space="preserve">To analyze the mechanisms through which </w:t>
      </w:r>
      <w:r>
        <w:rPr>
          <w:rFonts w:ascii="Arial" w:hAnsi="Arial" w:cs="Arial"/>
          <w:sz w:val="22"/>
          <w:szCs w:val="22"/>
        </w:rPr>
        <w:t>SE</w:t>
      </w:r>
      <w:r w:rsidRPr="0047047B">
        <w:rPr>
          <w:rFonts w:ascii="Arial" w:hAnsi="Arial" w:cs="Arial"/>
          <w:sz w:val="22"/>
          <w:szCs w:val="22"/>
        </w:rPr>
        <w:t xml:space="preserve"> status and educational disparities impact antibiotic misuse and self-medication practices regionally.</w:t>
      </w:r>
    </w:p>
    <w:p w14:paraId="26E691F4" w14:textId="77777777" w:rsidR="00D340EB" w:rsidRPr="0047047B" w:rsidRDefault="00D340EB" w:rsidP="00D340EB">
      <w:pPr>
        <w:pStyle w:val="NormalWeb"/>
        <w:numPr>
          <w:ilvl w:val="0"/>
          <w:numId w:val="31"/>
        </w:numPr>
        <w:spacing w:line="360" w:lineRule="auto"/>
        <w:jc w:val="both"/>
        <w:rPr>
          <w:rFonts w:ascii="Arial" w:hAnsi="Arial" w:cs="Arial"/>
          <w:sz w:val="22"/>
          <w:szCs w:val="22"/>
        </w:rPr>
      </w:pPr>
      <w:r w:rsidRPr="0047047B">
        <w:rPr>
          <w:rFonts w:ascii="Arial" w:hAnsi="Arial" w:cs="Arial"/>
          <w:sz w:val="22"/>
          <w:szCs w:val="22"/>
        </w:rPr>
        <w:t>To evaluate how institutional healthcare contexts and cultural beliefs influence professional prescribing behaviors and patient expectations.</w:t>
      </w:r>
    </w:p>
    <w:p w14:paraId="7679FD1A" w14:textId="77777777" w:rsidR="00D340EB" w:rsidRPr="0047047B" w:rsidRDefault="00D340EB" w:rsidP="00D340EB">
      <w:pPr>
        <w:pStyle w:val="NormalWeb"/>
        <w:numPr>
          <w:ilvl w:val="0"/>
          <w:numId w:val="31"/>
        </w:numPr>
        <w:spacing w:line="360" w:lineRule="auto"/>
        <w:jc w:val="both"/>
        <w:rPr>
          <w:rFonts w:ascii="Arial" w:hAnsi="Arial" w:cs="Arial"/>
          <w:sz w:val="22"/>
          <w:szCs w:val="22"/>
        </w:rPr>
      </w:pPr>
      <w:r w:rsidRPr="0047047B">
        <w:rPr>
          <w:rFonts w:ascii="Arial" w:hAnsi="Arial" w:cs="Arial"/>
          <w:sz w:val="22"/>
          <w:szCs w:val="22"/>
        </w:rPr>
        <w:t>To synthesize evidence-based recommendations for public health policies that integrate social equity into antimicrobial stewardship frameworks in Pakistan.</w:t>
      </w:r>
    </w:p>
    <w:p w14:paraId="40EFC8E1" w14:textId="77777777" w:rsidR="00D340EB" w:rsidRPr="00A55E23" w:rsidRDefault="00D340EB" w:rsidP="00A55E23">
      <w:pPr>
        <w:pStyle w:val="Heading2"/>
        <w:rPr>
          <w:rFonts w:asciiTheme="minorBidi" w:hAnsiTheme="minorBidi" w:cstheme="minorBidi"/>
          <w:b/>
          <w:bCs/>
          <w:color w:val="000000" w:themeColor="text1"/>
          <w:sz w:val="22"/>
          <w:szCs w:val="22"/>
        </w:rPr>
      </w:pPr>
      <w:bookmarkStart w:id="26" w:name="_Toc238647373"/>
      <w:r w:rsidRPr="00A55E23">
        <w:rPr>
          <w:rFonts w:asciiTheme="minorBidi" w:hAnsiTheme="minorBidi" w:cstheme="minorBidi"/>
          <w:b/>
          <w:bCs/>
          <w:color w:val="000000" w:themeColor="text1"/>
          <w:sz w:val="22"/>
          <w:szCs w:val="22"/>
        </w:rPr>
        <w:t>1.7 Chapter Summary</w:t>
      </w:r>
      <w:bookmarkEnd w:id="26"/>
    </w:p>
    <w:p w14:paraId="49FA3216" w14:textId="77777777" w:rsidR="00D340EB" w:rsidRPr="0047047B" w:rsidRDefault="00D340EB" w:rsidP="00D340EB">
      <w:pPr>
        <w:spacing w:line="360" w:lineRule="auto"/>
        <w:ind w:firstLine="720"/>
        <w:jc w:val="both"/>
        <w:rPr>
          <w:rFonts w:ascii="Arial" w:hAnsi="Arial" w:cs="Arial"/>
          <w:b/>
          <w:bCs/>
          <w:sz w:val="22"/>
          <w:szCs w:val="22"/>
        </w:rPr>
      </w:pPr>
      <w:r w:rsidRPr="0047047B">
        <w:rPr>
          <w:rFonts w:ascii="Arial" w:hAnsi="Arial" w:cs="Arial"/>
          <w:sz w:val="22"/>
          <w:szCs w:val="22"/>
        </w:rPr>
        <w:t>This chapter established antimicrobial resistance as a structural socio-behavioral crisis, demonstrating that individual KAP profiles are fundamentally shaped by broader social determinants of health. It outlined the specific focus on Pakistan, establishing the research question, aims, and objectives guiding this systematic inquiry. Chapter 2 will explore existing literature and theoretical models surrounding AMR behaviors, laying a foundation for the empirical methodology detailed in Chapter 3.</w:t>
      </w:r>
    </w:p>
    <w:p w14:paraId="1E60415F" w14:textId="77777777" w:rsidR="00D340EB" w:rsidRPr="00015E49" w:rsidRDefault="00D340EB" w:rsidP="00D340EB">
      <w:pPr>
        <w:spacing w:line="360" w:lineRule="auto"/>
        <w:jc w:val="both"/>
        <w:rPr>
          <w:rFonts w:ascii="Arial" w:hAnsi="Arial" w:cs="Arial"/>
          <w:b/>
          <w:bCs/>
          <w:sz w:val="22"/>
          <w:szCs w:val="22"/>
        </w:rPr>
      </w:pPr>
    </w:p>
    <w:p w14:paraId="6DB8A902" w14:textId="77777777" w:rsidR="00D340EB" w:rsidRPr="00015E49" w:rsidRDefault="00D340EB" w:rsidP="00D340EB">
      <w:pPr>
        <w:spacing w:line="360" w:lineRule="auto"/>
        <w:jc w:val="both"/>
        <w:rPr>
          <w:rFonts w:ascii="Arial" w:hAnsi="Arial" w:cs="Arial"/>
          <w:b/>
          <w:bCs/>
          <w:sz w:val="22"/>
          <w:szCs w:val="22"/>
        </w:rPr>
      </w:pPr>
    </w:p>
    <w:p w14:paraId="6038A736" w14:textId="77777777" w:rsidR="00D340EB" w:rsidRPr="00015E49" w:rsidRDefault="00D340EB" w:rsidP="00D340EB">
      <w:pPr>
        <w:spacing w:line="360" w:lineRule="auto"/>
        <w:jc w:val="both"/>
        <w:rPr>
          <w:rFonts w:ascii="Arial" w:hAnsi="Arial" w:cs="Arial"/>
          <w:b/>
          <w:bCs/>
          <w:sz w:val="22"/>
          <w:szCs w:val="22"/>
        </w:rPr>
      </w:pPr>
    </w:p>
    <w:p w14:paraId="7873BBA0" w14:textId="77777777" w:rsidR="00D340EB" w:rsidRPr="00015E49" w:rsidRDefault="00D340EB" w:rsidP="00D340EB">
      <w:pPr>
        <w:spacing w:line="360" w:lineRule="auto"/>
        <w:jc w:val="both"/>
        <w:rPr>
          <w:rFonts w:ascii="Arial" w:hAnsi="Arial" w:cs="Arial"/>
          <w:b/>
          <w:bCs/>
          <w:sz w:val="22"/>
          <w:szCs w:val="22"/>
        </w:rPr>
      </w:pPr>
    </w:p>
    <w:p w14:paraId="0AF1D061" w14:textId="77777777" w:rsidR="00D340EB" w:rsidRPr="00015E49" w:rsidRDefault="00D340EB" w:rsidP="00D340EB">
      <w:pPr>
        <w:spacing w:line="360" w:lineRule="auto"/>
        <w:jc w:val="both"/>
        <w:rPr>
          <w:rFonts w:ascii="Arial" w:hAnsi="Arial" w:cs="Arial"/>
          <w:b/>
          <w:bCs/>
          <w:sz w:val="22"/>
          <w:szCs w:val="22"/>
        </w:rPr>
      </w:pPr>
    </w:p>
    <w:p w14:paraId="79D3D866" w14:textId="77777777" w:rsidR="00D340EB" w:rsidRPr="00015E49" w:rsidRDefault="00D340EB" w:rsidP="00D340EB">
      <w:pPr>
        <w:spacing w:line="360" w:lineRule="auto"/>
        <w:jc w:val="both"/>
        <w:rPr>
          <w:rFonts w:ascii="Arial" w:hAnsi="Arial" w:cs="Arial"/>
          <w:b/>
          <w:bCs/>
          <w:sz w:val="22"/>
          <w:szCs w:val="22"/>
        </w:rPr>
      </w:pPr>
    </w:p>
    <w:p w14:paraId="4F21C5FA" w14:textId="77777777" w:rsidR="00D340EB" w:rsidRPr="00015E49" w:rsidRDefault="00D340EB" w:rsidP="00D340EB">
      <w:pPr>
        <w:spacing w:line="360" w:lineRule="auto"/>
        <w:jc w:val="both"/>
        <w:rPr>
          <w:rFonts w:ascii="Arial" w:hAnsi="Arial" w:cs="Arial"/>
          <w:b/>
          <w:bCs/>
          <w:sz w:val="22"/>
          <w:szCs w:val="22"/>
        </w:rPr>
      </w:pPr>
    </w:p>
    <w:p w14:paraId="5DB4EAA6" w14:textId="77777777" w:rsidR="00D340EB" w:rsidRDefault="00D340EB" w:rsidP="00D340EB">
      <w:pPr>
        <w:spacing w:line="360" w:lineRule="auto"/>
        <w:jc w:val="both"/>
        <w:rPr>
          <w:rFonts w:ascii="Arial" w:hAnsi="Arial" w:cs="Arial"/>
          <w:b/>
          <w:bCs/>
          <w:sz w:val="22"/>
          <w:szCs w:val="22"/>
        </w:rPr>
      </w:pPr>
    </w:p>
    <w:p w14:paraId="009AD28D" w14:textId="77777777" w:rsidR="00EF616A" w:rsidRDefault="00EF616A" w:rsidP="00D340EB">
      <w:pPr>
        <w:spacing w:line="360" w:lineRule="auto"/>
        <w:jc w:val="both"/>
        <w:rPr>
          <w:rFonts w:ascii="Arial" w:hAnsi="Arial" w:cs="Arial"/>
          <w:b/>
          <w:bCs/>
          <w:sz w:val="22"/>
          <w:szCs w:val="22"/>
        </w:rPr>
      </w:pPr>
    </w:p>
    <w:p w14:paraId="69D77608" w14:textId="77777777" w:rsidR="003C2D2A" w:rsidRPr="00015E49" w:rsidRDefault="003C2D2A" w:rsidP="00D340EB">
      <w:pPr>
        <w:spacing w:line="360" w:lineRule="auto"/>
        <w:jc w:val="both"/>
        <w:rPr>
          <w:rFonts w:ascii="Arial" w:hAnsi="Arial" w:cs="Arial"/>
          <w:b/>
          <w:bCs/>
          <w:sz w:val="22"/>
          <w:szCs w:val="22"/>
        </w:rPr>
      </w:pPr>
    </w:p>
    <w:p w14:paraId="4E8C2272" w14:textId="77777777" w:rsidR="00D340EB" w:rsidRPr="00A55E23" w:rsidRDefault="00D340EB" w:rsidP="00A55E23">
      <w:pPr>
        <w:pStyle w:val="Heading1"/>
        <w:jc w:val="center"/>
        <w:rPr>
          <w:rFonts w:asciiTheme="minorBidi" w:hAnsiTheme="minorBidi" w:cstheme="minorBidi"/>
          <w:b/>
          <w:bCs/>
          <w:color w:val="000000" w:themeColor="text1"/>
          <w:sz w:val="22"/>
          <w:szCs w:val="22"/>
        </w:rPr>
      </w:pPr>
      <w:bookmarkStart w:id="27" w:name="_Toc238647374"/>
      <w:r w:rsidRPr="00A55E23">
        <w:rPr>
          <w:rFonts w:asciiTheme="minorBidi" w:hAnsiTheme="minorBidi" w:cstheme="minorBidi"/>
          <w:b/>
          <w:bCs/>
          <w:color w:val="000000" w:themeColor="text1"/>
          <w:sz w:val="22"/>
          <w:szCs w:val="22"/>
        </w:rPr>
        <w:t>CHAPTER 2: LITERATURE REVIEW</w:t>
      </w:r>
      <w:bookmarkEnd w:id="27"/>
    </w:p>
    <w:p w14:paraId="7112443B"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8" w:name="_Toc238647375"/>
      <w:r w:rsidRPr="00A55E23">
        <w:rPr>
          <w:rFonts w:asciiTheme="minorBidi" w:hAnsiTheme="minorBidi" w:cstheme="minorBidi"/>
          <w:b/>
          <w:bCs/>
          <w:i/>
          <w:iCs/>
          <w:color w:val="000000" w:themeColor="text1"/>
          <w:sz w:val="22"/>
          <w:szCs w:val="22"/>
        </w:rPr>
        <w:t>2.1 Introduction to the Literature Review</w:t>
      </w:r>
      <w:bookmarkEnd w:id="28"/>
    </w:p>
    <w:p w14:paraId="64D08869" w14:textId="77777777" w:rsidR="00D340EB" w:rsidRPr="005E035B" w:rsidRDefault="00D340EB" w:rsidP="00D340EB">
      <w:pPr>
        <w:spacing w:line="360" w:lineRule="auto"/>
        <w:jc w:val="both"/>
        <w:rPr>
          <w:rFonts w:ascii="Arial" w:hAnsi="Arial" w:cs="Arial"/>
          <w:sz w:val="22"/>
          <w:szCs w:val="22"/>
        </w:rPr>
      </w:pPr>
      <w:r w:rsidRPr="005E035B">
        <w:rPr>
          <w:rFonts w:ascii="Arial" w:hAnsi="Arial" w:cs="Arial"/>
          <w:sz w:val="22"/>
          <w:szCs w:val="22"/>
        </w:rPr>
        <w:t xml:space="preserve">This chapter presents a critical review of the literature on AMR, with particular emphasis on KAP in Pakistan. It examines how social, economic, educational, cultural, and health-system factors influence antibiotic use and AMR-related </w:t>
      </w:r>
      <w:proofErr w:type="spellStart"/>
      <w:r w:rsidRPr="005E035B">
        <w:rPr>
          <w:rFonts w:ascii="Arial" w:hAnsi="Arial" w:cs="Arial"/>
          <w:sz w:val="22"/>
          <w:szCs w:val="22"/>
        </w:rPr>
        <w:t>behaviours</w:t>
      </w:r>
      <w:proofErr w:type="spellEnd"/>
      <w:r w:rsidRPr="005E035B">
        <w:rPr>
          <w:rFonts w:ascii="Arial" w:hAnsi="Arial" w:cs="Arial"/>
          <w:sz w:val="22"/>
          <w:szCs w:val="22"/>
        </w:rPr>
        <w:t xml:space="preserve">. The chapter synthesizes evidence from the public, parents, students, healthcare professionals, pharmacists, and regulators, highlighting the complexity of AMR beyond individual knowledge and </w:t>
      </w:r>
      <w:proofErr w:type="spellStart"/>
      <w:r w:rsidRPr="005E035B">
        <w:rPr>
          <w:rFonts w:ascii="Arial" w:hAnsi="Arial" w:cs="Arial"/>
          <w:sz w:val="22"/>
          <w:szCs w:val="22"/>
        </w:rPr>
        <w:t>behaviour</w:t>
      </w:r>
      <w:proofErr w:type="spellEnd"/>
      <w:r w:rsidRPr="005E035B">
        <w:rPr>
          <w:rFonts w:ascii="Arial" w:hAnsi="Arial" w:cs="Arial"/>
          <w:sz w:val="22"/>
          <w:szCs w:val="22"/>
        </w:rPr>
        <w:t>. It also evaluates methodological and contextual limitations within existing research and identifies important gaps in the evidence. These gaps provide the rationale for the systematic review and its focus on social determinants of AMR-related KAP in Pakistan.</w:t>
      </w:r>
    </w:p>
    <w:p w14:paraId="2F0E2373"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29" w:name="_Toc238647376"/>
      <w:r w:rsidRPr="00A55E23">
        <w:rPr>
          <w:rFonts w:asciiTheme="minorBidi" w:hAnsiTheme="minorBidi" w:cstheme="minorBidi"/>
          <w:b/>
          <w:bCs/>
          <w:i/>
          <w:iCs/>
          <w:color w:val="000000" w:themeColor="text1"/>
          <w:sz w:val="22"/>
          <w:szCs w:val="22"/>
        </w:rPr>
        <w:t>2.2 Literature Review</w:t>
      </w:r>
      <w:bookmarkEnd w:id="29"/>
    </w:p>
    <w:p w14:paraId="4C72BD8E"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0" w:name="_Toc238647377"/>
      <w:r w:rsidRPr="00A55E23">
        <w:rPr>
          <w:rFonts w:asciiTheme="minorBidi" w:hAnsiTheme="minorBidi" w:cstheme="minorBidi"/>
          <w:b/>
          <w:bCs/>
          <w:i/>
          <w:iCs/>
          <w:color w:val="000000" w:themeColor="text1"/>
          <w:sz w:val="22"/>
          <w:szCs w:val="22"/>
        </w:rPr>
        <w:t>2.2.1 Scope and development of the evidence</w:t>
      </w:r>
      <w:bookmarkEnd w:id="30"/>
    </w:p>
    <w:p w14:paraId="68DED510"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Antimicrobial resistance is a public health chal</w:t>
      </w:r>
      <w:r>
        <w:rPr>
          <w:rFonts w:ascii="Arial" w:hAnsi="Arial" w:cs="Arial"/>
          <w:sz w:val="22"/>
          <w:szCs w:val="22"/>
        </w:rPr>
        <w:t>lenge</w:t>
      </w:r>
      <w:r w:rsidRPr="00015E49">
        <w:rPr>
          <w:rFonts w:ascii="Arial" w:hAnsi="Arial" w:cs="Arial"/>
          <w:sz w:val="22"/>
          <w:szCs w:val="22"/>
        </w:rPr>
        <w:t xml:space="preserve"> comprising a complex interaction of biologica</w:t>
      </w:r>
      <w:r>
        <w:rPr>
          <w:rFonts w:ascii="Arial" w:hAnsi="Arial" w:cs="Arial"/>
          <w:sz w:val="22"/>
          <w:szCs w:val="22"/>
        </w:rPr>
        <w:t>l behavioral, social, economic</w:t>
      </w:r>
      <w:r w:rsidRPr="00015E49">
        <w:rPr>
          <w:rFonts w:ascii="Arial" w:hAnsi="Arial" w:cs="Arial"/>
          <w:sz w:val="22"/>
          <w:szCs w:val="22"/>
        </w:rPr>
        <w:t xml:space="preserve"> and health system factors (</w:t>
      </w:r>
      <w:proofErr w:type="spellStart"/>
      <w:r w:rsidRPr="00015E49">
        <w:rPr>
          <w:rFonts w:ascii="Arial" w:hAnsi="Arial" w:cs="Arial"/>
          <w:sz w:val="22"/>
          <w:szCs w:val="22"/>
        </w:rPr>
        <w:t>Hussain</w:t>
      </w:r>
      <w:proofErr w:type="spellEnd"/>
      <w:r w:rsidRPr="00015E49">
        <w:rPr>
          <w:rFonts w:ascii="Arial" w:hAnsi="Arial" w:cs="Arial"/>
          <w:sz w:val="22"/>
          <w:szCs w:val="22"/>
        </w:rPr>
        <w:t xml:space="preserve"> et al., 2023; Fatima et al., 2025). The issue is particularly relevant in Pakistan because there is inappropriate use of antibiotics along with</w:t>
      </w:r>
      <w:r>
        <w:rPr>
          <w:rFonts w:ascii="Arial" w:hAnsi="Arial" w:cs="Arial"/>
          <w:sz w:val="22"/>
          <w:szCs w:val="22"/>
        </w:rPr>
        <w:t xml:space="preserve"> varying level of health access over the counter dispensing</w:t>
      </w:r>
      <w:r w:rsidRPr="00015E49">
        <w:rPr>
          <w:rFonts w:ascii="Arial" w:hAnsi="Arial" w:cs="Arial"/>
          <w:sz w:val="22"/>
          <w:szCs w:val="22"/>
        </w:rPr>
        <w:t xml:space="preserve"> self-medication, irre</w:t>
      </w:r>
      <w:r>
        <w:rPr>
          <w:rFonts w:ascii="Arial" w:hAnsi="Arial" w:cs="Arial"/>
          <w:sz w:val="22"/>
          <w:szCs w:val="22"/>
        </w:rPr>
        <w:t>gular antimicrobial stewardship</w:t>
      </w:r>
      <w:r w:rsidRPr="00015E49">
        <w:rPr>
          <w:rFonts w:ascii="Arial" w:hAnsi="Arial" w:cs="Arial"/>
          <w:sz w:val="22"/>
          <w:szCs w:val="22"/>
        </w:rPr>
        <w:t xml:space="preserve"> and the impact of unreduced socio-economic inequalities (</w:t>
      </w:r>
      <w:proofErr w:type="spellStart"/>
      <w:r w:rsidRPr="00015E49">
        <w:rPr>
          <w:rFonts w:ascii="Arial" w:hAnsi="Arial" w:cs="Arial"/>
          <w:sz w:val="22"/>
          <w:szCs w:val="22"/>
        </w:rPr>
        <w:t>Alam</w:t>
      </w:r>
      <w:proofErr w:type="spellEnd"/>
      <w:r w:rsidRPr="00015E49">
        <w:rPr>
          <w:rFonts w:ascii="Arial" w:hAnsi="Arial" w:cs="Arial"/>
          <w:sz w:val="22"/>
          <w:szCs w:val="22"/>
        </w:rPr>
        <w:t xml:space="preserve"> et al., 2023; </w:t>
      </w:r>
      <w:proofErr w:type="spellStart"/>
      <w:r w:rsidRPr="00015E49">
        <w:rPr>
          <w:rFonts w:ascii="Arial" w:hAnsi="Arial" w:cs="Arial"/>
          <w:sz w:val="22"/>
          <w:szCs w:val="22"/>
        </w:rPr>
        <w:t>Bajwa</w:t>
      </w:r>
      <w:proofErr w:type="spellEnd"/>
      <w:r w:rsidRPr="00015E49">
        <w:rPr>
          <w:rFonts w:ascii="Arial" w:hAnsi="Arial" w:cs="Arial"/>
          <w:sz w:val="22"/>
          <w:szCs w:val="22"/>
        </w:rPr>
        <w:t xml:space="preserve"> et al., 2024).</w:t>
      </w:r>
      <w:r>
        <w:rPr>
          <w:rFonts w:ascii="Arial" w:hAnsi="Arial" w:cs="Arial"/>
          <w:sz w:val="22"/>
          <w:szCs w:val="22"/>
        </w:rPr>
        <w:t xml:space="preserve"> </w:t>
      </w:r>
      <w:r w:rsidRPr="00015E49">
        <w:rPr>
          <w:rFonts w:ascii="Arial" w:hAnsi="Arial" w:cs="Arial"/>
          <w:sz w:val="22"/>
          <w:szCs w:val="22"/>
        </w:rPr>
        <w:t>Research on antibiotic use and AMR in Pak</w:t>
      </w:r>
      <w:r>
        <w:rPr>
          <w:rFonts w:ascii="Arial" w:hAnsi="Arial" w:cs="Arial"/>
          <w:sz w:val="22"/>
          <w:szCs w:val="22"/>
        </w:rPr>
        <w:t>istan has expanded considerably</w:t>
      </w:r>
      <w:r w:rsidRPr="00015E49">
        <w:rPr>
          <w:rFonts w:ascii="Arial" w:hAnsi="Arial" w:cs="Arial"/>
          <w:sz w:val="22"/>
          <w:szCs w:val="22"/>
        </w:rPr>
        <w:t xml:space="preserve"> but the evidence remains fragmented across population groups and settings. Earlier work primarily documented antibiotic availability, </w:t>
      </w:r>
      <w:r>
        <w:rPr>
          <w:rFonts w:ascii="Arial" w:hAnsi="Arial" w:cs="Arial"/>
          <w:sz w:val="22"/>
          <w:szCs w:val="22"/>
        </w:rPr>
        <w:t>prescribing and self-medication</w:t>
      </w:r>
      <w:r w:rsidRPr="00015E49">
        <w:rPr>
          <w:rFonts w:ascii="Arial" w:hAnsi="Arial" w:cs="Arial"/>
          <w:sz w:val="22"/>
          <w:szCs w:val="22"/>
        </w:rPr>
        <w:t xml:space="preserve"> whereas more recent studies have increasingly used KAP questionnaires, qualitative interviews, stewardship assessments and mixed-method approaches. A 2023 scoping review of primary-care evidence identified 46 eligible studies from an initial 4,070 records and concluded that limited understanding of AMR</w:t>
      </w:r>
      <w:r>
        <w:rPr>
          <w:rFonts w:ascii="Arial" w:hAnsi="Arial" w:cs="Arial"/>
          <w:sz w:val="22"/>
          <w:szCs w:val="22"/>
        </w:rPr>
        <w:t xml:space="preserve"> among healthcare professionals inappropriate prescribing or</w:t>
      </w:r>
      <w:r w:rsidRPr="00015E49">
        <w:rPr>
          <w:rFonts w:ascii="Arial" w:hAnsi="Arial" w:cs="Arial"/>
          <w:sz w:val="22"/>
          <w:szCs w:val="22"/>
        </w:rPr>
        <w:t xml:space="preserve"> dispensing, and self-medication remain important problems in Pakistan (</w:t>
      </w:r>
      <w:proofErr w:type="spellStart"/>
      <w:r w:rsidRPr="00015E49">
        <w:rPr>
          <w:rFonts w:ascii="Arial" w:hAnsi="Arial" w:cs="Arial"/>
          <w:sz w:val="22"/>
          <w:szCs w:val="22"/>
        </w:rPr>
        <w:t>Alam</w:t>
      </w:r>
      <w:proofErr w:type="spellEnd"/>
      <w:r w:rsidRPr="00015E49">
        <w:rPr>
          <w:rFonts w:ascii="Arial" w:hAnsi="Arial" w:cs="Arial"/>
          <w:sz w:val="22"/>
          <w:szCs w:val="22"/>
        </w:rPr>
        <w:t xml:space="preserve"> et al., 2023). Similarly, a systematic review of antibiotic resistance in Pakistan demonstrated substantial resistance across important pathogens but also highlighted major surveillance and methodological gaps, including uneven geographical coverage (Bilal et al., 2021). These reviews establish that Pakistan has a substantial evidence</w:t>
      </w:r>
      <w:r>
        <w:rPr>
          <w:rFonts w:ascii="Arial" w:hAnsi="Arial" w:cs="Arial"/>
          <w:sz w:val="22"/>
          <w:szCs w:val="22"/>
        </w:rPr>
        <w:t xml:space="preserve"> base on AMR and antibiotic use</w:t>
      </w:r>
      <w:r w:rsidRPr="00015E49">
        <w:rPr>
          <w:rFonts w:ascii="Arial" w:hAnsi="Arial" w:cs="Arial"/>
          <w:sz w:val="22"/>
          <w:szCs w:val="22"/>
        </w:rPr>
        <w:t xml:space="preserve"> but substantially less integrated evidence explaining how social determinants shape KAP.</w:t>
      </w:r>
    </w:p>
    <w:p w14:paraId="47A0B6E8"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Internationally, KAP studies have often focused on whether individuals know that antibiotics treat bacterial rather than viral infections, understand AMR,</w:t>
      </w:r>
      <w:r>
        <w:rPr>
          <w:rFonts w:ascii="Arial" w:hAnsi="Arial" w:cs="Arial"/>
          <w:sz w:val="22"/>
          <w:szCs w:val="22"/>
        </w:rPr>
        <w:t xml:space="preserve"> support prudent antibiotic use</w:t>
      </w:r>
      <w:r w:rsidRPr="00015E49">
        <w:rPr>
          <w:rFonts w:ascii="Arial" w:hAnsi="Arial" w:cs="Arial"/>
          <w:sz w:val="22"/>
          <w:szCs w:val="22"/>
        </w:rPr>
        <w:t xml:space="preserve"> and engage in </w:t>
      </w:r>
      <w:proofErr w:type="spellStart"/>
      <w:r w:rsidRPr="00015E49">
        <w:rPr>
          <w:rFonts w:ascii="Arial" w:hAnsi="Arial" w:cs="Arial"/>
          <w:sz w:val="22"/>
          <w:szCs w:val="22"/>
        </w:rPr>
        <w:lastRenderedPageBreak/>
        <w:t>behaviours</w:t>
      </w:r>
      <w:proofErr w:type="spellEnd"/>
      <w:r w:rsidRPr="00015E49">
        <w:rPr>
          <w:rFonts w:ascii="Arial" w:hAnsi="Arial" w:cs="Arial"/>
          <w:sz w:val="22"/>
          <w:szCs w:val="22"/>
        </w:rPr>
        <w:t xml:space="preserve"> such as self-medication </w:t>
      </w:r>
      <w:r>
        <w:rPr>
          <w:rFonts w:ascii="Arial" w:hAnsi="Arial" w:cs="Arial"/>
          <w:sz w:val="22"/>
          <w:szCs w:val="22"/>
        </w:rPr>
        <w:t>including</w:t>
      </w:r>
      <w:r w:rsidRPr="00015E49">
        <w:rPr>
          <w:rFonts w:ascii="Arial" w:hAnsi="Arial" w:cs="Arial"/>
          <w:sz w:val="22"/>
          <w:szCs w:val="22"/>
        </w:rPr>
        <w:t xml:space="preserve"> incomplete courses. </w:t>
      </w:r>
      <w:r>
        <w:rPr>
          <w:rFonts w:ascii="Arial" w:hAnsi="Arial" w:cs="Arial"/>
          <w:sz w:val="22"/>
          <w:szCs w:val="22"/>
        </w:rPr>
        <w:t xml:space="preserve">Another systematic review by </w:t>
      </w:r>
      <w:proofErr w:type="spellStart"/>
      <w:r>
        <w:rPr>
          <w:rFonts w:ascii="Arial" w:hAnsi="Arial" w:cs="Arial"/>
          <w:sz w:val="22"/>
          <w:szCs w:val="22"/>
        </w:rPr>
        <w:t>Kosiyaporn</w:t>
      </w:r>
      <w:proofErr w:type="spellEnd"/>
      <w:r>
        <w:rPr>
          <w:rFonts w:ascii="Arial" w:hAnsi="Arial" w:cs="Arial"/>
          <w:sz w:val="22"/>
          <w:szCs w:val="22"/>
        </w:rPr>
        <w:t xml:space="preserve"> et al. reviewed 22 population surveys, highlighting variable methodological quality and recommending representative sampling, valid instruments, and context-sensitive questionnaires to inform targeted AMR interventions. (</w:t>
      </w:r>
      <w:proofErr w:type="spellStart"/>
      <w:r>
        <w:rPr>
          <w:rFonts w:ascii="Arial" w:hAnsi="Arial" w:cs="Arial"/>
          <w:sz w:val="22"/>
          <w:szCs w:val="22"/>
        </w:rPr>
        <w:t>Kosiyaporn</w:t>
      </w:r>
      <w:proofErr w:type="spellEnd"/>
      <w:r>
        <w:rPr>
          <w:rFonts w:ascii="Arial" w:hAnsi="Arial" w:cs="Arial"/>
          <w:sz w:val="22"/>
          <w:szCs w:val="22"/>
        </w:rPr>
        <w:t xml:space="preserve"> et al., 2020). </w:t>
      </w:r>
      <w:r w:rsidRPr="00015E49">
        <w:rPr>
          <w:rFonts w:ascii="Arial" w:hAnsi="Arial" w:cs="Arial"/>
          <w:sz w:val="22"/>
          <w:szCs w:val="22"/>
        </w:rPr>
        <w:t xml:space="preserve">The article stated that the results of the survey did not have any meaning unless they were placed in the context of access to </w:t>
      </w:r>
      <w:r>
        <w:rPr>
          <w:rFonts w:ascii="Arial" w:hAnsi="Arial" w:cs="Arial"/>
          <w:sz w:val="22"/>
          <w:szCs w:val="22"/>
        </w:rPr>
        <w:t>healthcare or</w:t>
      </w:r>
      <w:r w:rsidRPr="00015E49">
        <w:rPr>
          <w:rFonts w:ascii="Arial" w:hAnsi="Arial" w:cs="Arial"/>
          <w:sz w:val="22"/>
          <w:szCs w:val="22"/>
        </w:rPr>
        <w:t xml:space="preserve"> the healthcare system. More recent research confirms the ideas expressed by the authors of the article: for example, a systematic review of the relationship between social determinants of health and AMR demonstrated that factors such as poverty, education, living conditions, access to healthcare, and other social factors impact AMR (</w:t>
      </w:r>
      <w:proofErr w:type="spellStart"/>
      <w:r w:rsidRPr="00015E49">
        <w:rPr>
          <w:rFonts w:ascii="Arial" w:hAnsi="Arial" w:cs="Arial"/>
          <w:sz w:val="22"/>
          <w:szCs w:val="22"/>
        </w:rPr>
        <w:t>Shutt</w:t>
      </w:r>
      <w:proofErr w:type="spellEnd"/>
      <w:r w:rsidRPr="00015E49">
        <w:rPr>
          <w:rFonts w:ascii="Arial" w:hAnsi="Arial" w:cs="Arial"/>
          <w:sz w:val="22"/>
          <w:szCs w:val="22"/>
        </w:rPr>
        <w:t xml:space="preserve"> et al., 2025). A 2025 evidence review of AMR KAP studies similarly concluded that existing studies often describe what people do but insufficiently explain why those </w:t>
      </w:r>
      <w:proofErr w:type="spellStart"/>
      <w:r w:rsidRPr="00015E49">
        <w:rPr>
          <w:rFonts w:ascii="Arial" w:hAnsi="Arial" w:cs="Arial"/>
          <w:sz w:val="22"/>
          <w:szCs w:val="22"/>
        </w:rPr>
        <w:t>behaviours</w:t>
      </w:r>
      <w:proofErr w:type="spellEnd"/>
      <w:r w:rsidRPr="00015E49">
        <w:rPr>
          <w:rFonts w:ascii="Arial" w:hAnsi="Arial" w:cs="Arial"/>
          <w:sz w:val="22"/>
          <w:szCs w:val="22"/>
        </w:rPr>
        <w:t xml:space="preserve"> occur (</w:t>
      </w:r>
      <w:proofErr w:type="spellStart"/>
      <w:r w:rsidRPr="00015E49">
        <w:rPr>
          <w:rFonts w:ascii="Arial" w:hAnsi="Arial" w:cs="Arial"/>
          <w:sz w:val="22"/>
          <w:szCs w:val="22"/>
        </w:rPr>
        <w:t>Shutt</w:t>
      </w:r>
      <w:proofErr w:type="spellEnd"/>
      <w:r w:rsidRPr="00015E49">
        <w:rPr>
          <w:rFonts w:ascii="Arial" w:hAnsi="Arial" w:cs="Arial"/>
          <w:sz w:val="22"/>
          <w:szCs w:val="22"/>
        </w:rPr>
        <w:t xml:space="preserve"> et al., 2025). This distinction is central to the present SLR.</w:t>
      </w:r>
    </w:p>
    <w:p w14:paraId="7B95B1ED"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1" w:name="_Toc238647378"/>
      <w:r w:rsidRPr="00A55E23">
        <w:rPr>
          <w:rFonts w:asciiTheme="minorBidi" w:hAnsiTheme="minorBidi" w:cstheme="minorBidi"/>
          <w:b/>
          <w:bCs/>
          <w:i/>
          <w:iCs/>
          <w:color w:val="000000" w:themeColor="text1"/>
          <w:sz w:val="22"/>
          <w:szCs w:val="22"/>
        </w:rPr>
        <w:t>2.2.2 Knowledge, attitudes and practices among the Pakistani public</w:t>
      </w:r>
      <w:bookmarkEnd w:id="31"/>
    </w:p>
    <w:p w14:paraId="38D7D486"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Evidence from Pakistan consistently indicates that knowledge about antibiotics is incomplete and that knowledge does not necessarily translate into appropriate practice. In a large cross-sectional study of 2,106 members of the general population in Punjab, 35.4% believed that antibiotics could cure viral infections and 47.5% believed that antibiotics were effective against colds and influenza; almost 60% reported antibiotic self-medication (</w:t>
      </w:r>
      <w:proofErr w:type="spellStart"/>
      <w:r w:rsidRPr="00015E49">
        <w:rPr>
          <w:rFonts w:ascii="Arial" w:hAnsi="Arial" w:cs="Arial"/>
          <w:sz w:val="22"/>
          <w:szCs w:val="22"/>
        </w:rPr>
        <w:t>Gillani</w:t>
      </w:r>
      <w:proofErr w:type="spellEnd"/>
      <w:r w:rsidRPr="00015E49">
        <w:rPr>
          <w:rFonts w:ascii="Arial" w:hAnsi="Arial" w:cs="Arial"/>
          <w:sz w:val="22"/>
          <w:szCs w:val="22"/>
        </w:rPr>
        <w:t xml:space="preserve"> et al., 2020). The association between self-medication and factors such as purchasing antibiotics without a prescription and keeping antibiotics at home suggests that access and prior </w:t>
      </w:r>
      <w:proofErr w:type="spellStart"/>
      <w:r w:rsidRPr="00015E49">
        <w:rPr>
          <w:rFonts w:ascii="Arial" w:hAnsi="Arial" w:cs="Arial"/>
          <w:sz w:val="22"/>
          <w:szCs w:val="22"/>
        </w:rPr>
        <w:t>behaviour</w:t>
      </w:r>
      <w:proofErr w:type="spellEnd"/>
      <w:r w:rsidRPr="00015E49">
        <w:rPr>
          <w:rFonts w:ascii="Arial" w:hAnsi="Arial" w:cs="Arial"/>
          <w:sz w:val="22"/>
          <w:szCs w:val="22"/>
        </w:rPr>
        <w:t xml:space="preserve"> are important alongside knowledge. The authors therefore recommended both improved health literacy and greater supervision of antibiotic sales.</w:t>
      </w:r>
    </w:p>
    <w:p w14:paraId="4B00E33C"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The Islamabad study by </w:t>
      </w:r>
      <w:proofErr w:type="spellStart"/>
      <w:r w:rsidRPr="00015E49">
        <w:rPr>
          <w:rFonts w:ascii="Arial" w:hAnsi="Arial" w:cs="Arial"/>
          <w:sz w:val="22"/>
          <w:szCs w:val="22"/>
        </w:rPr>
        <w:t>Aslam</w:t>
      </w:r>
      <w:proofErr w:type="spellEnd"/>
      <w:r w:rsidRPr="00015E49">
        <w:rPr>
          <w:rFonts w:ascii="Arial" w:hAnsi="Arial" w:cs="Arial"/>
          <w:sz w:val="22"/>
          <w:szCs w:val="22"/>
        </w:rPr>
        <w:t xml:space="preserve"> et al. reported a 32.5% prevalence of antibiotic self-medication among 480 participants (</w:t>
      </w:r>
      <w:proofErr w:type="spellStart"/>
      <w:r w:rsidRPr="00015E49">
        <w:rPr>
          <w:rFonts w:ascii="Arial" w:hAnsi="Arial" w:cs="Arial"/>
          <w:sz w:val="22"/>
          <w:szCs w:val="22"/>
        </w:rPr>
        <w:t>Aslam</w:t>
      </w:r>
      <w:proofErr w:type="spellEnd"/>
      <w:r w:rsidRPr="00015E49">
        <w:rPr>
          <w:rFonts w:ascii="Arial" w:hAnsi="Arial" w:cs="Arial"/>
          <w:sz w:val="22"/>
          <w:szCs w:val="22"/>
        </w:rPr>
        <w:t xml:space="preserve"> et al., 2022). Ciprofloxacin was frequently used for respiratory and other symptoms for which antibiotic therapy may not be indicated, while </w:t>
      </w:r>
      <w:proofErr w:type="spellStart"/>
      <w:r w:rsidRPr="00015E49">
        <w:rPr>
          <w:rFonts w:ascii="Arial" w:hAnsi="Arial" w:cs="Arial"/>
          <w:sz w:val="22"/>
          <w:szCs w:val="22"/>
        </w:rPr>
        <w:t>sociodemographic</w:t>
      </w:r>
      <w:proofErr w:type="spellEnd"/>
      <w:r w:rsidRPr="00015E49">
        <w:rPr>
          <w:rFonts w:ascii="Arial" w:hAnsi="Arial" w:cs="Arial"/>
          <w:sz w:val="22"/>
          <w:szCs w:val="22"/>
        </w:rPr>
        <w:t xml:space="preserve"> characteristics including age, sex and education were associated with self-medication. Importantly, the study found that self-medication persisted despite reasonable access to healthcare facilities (</w:t>
      </w:r>
      <w:proofErr w:type="spellStart"/>
      <w:r w:rsidRPr="00015E49">
        <w:rPr>
          <w:rFonts w:ascii="Arial" w:hAnsi="Arial" w:cs="Arial"/>
          <w:sz w:val="22"/>
          <w:szCs w:val="22"/>
        </w:rPr>
        <w:t>Aslam</w:t>
      </w:r>
      <w:proofErr w:type="spellEnd"/>
      <w:r w:rsidRPr="00015E49">
        <w:rPr>
          <w:rFonts w:ascii="Arial" w:hAnsi="Arial" w:cs="Arial"/>
          <w:sz w:val="22"/>
          <w:szCs w:val="22"/>
        </w:rPr>
        <w:t xml:space="preserve"> et al., 2022). This finding challenges a simple assumption that inappropriate antibiotic use is caused only by lack of knowledge </w:t>
      </w:r>
      <w:r>
        <w:rPr>
          <w:rFonts w:ascii="Arial" w:hAnsi="Arial" w:cs="Arial"/>
          <w:sz w:val="22"/>
          <w:szCs w:val="22"/>
        </w:rPr>
        <w:t xml:space="preserve">and </w:t>
      </w:r>
      <w:r w:rsidRPr="00015E49">
        <w:rPr>
          <w:rFonts w:ascii="Arial" w:hAnsi="Arial" w:cs="Arial"/>
          <w:sz w:val="22"/>
          <w:szCs w:val="22"/>
        </w:rPr>
        <w:t>healthca</w:t>
      </w:r>
      <w:r>
        <w:rPr>
          <w:rFonts w:ascii="Arial" w:hAnsi="Arial" w:cs="Arial"/>
          <w:sz w:val="22"/>
          <w:szCs w:val="22"/>
        </w:rPr>
        <w:t>re access</w:t>
      </w:r>
      <w:r w:rsidRPr="00015E49">
        <w:rPr>
          <w:rFonts w:ascii="Arial" w:hAnsi="Arial" w:cs="Arial"/>
          <w:sz w:val="22"/>
          <w:szCs w:val="22"/>
        </w:rPr>
        <w:t>.</w:t>
      </w:r>
    </w:p>
    <w:p w14:paraId="7C1A445E"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Recent Pakistani evidence indicates that inappropriate antibiotic use and self-medication remain persistent problems. In Pakistan, </w:t>
      </w:r>
      <w:r>
        <w:rPr>
          <w:rFonts w:ascii="Arial" w:hAnsi="Arial" w:cs="Arial"/>
          <w:sz w:val="22"/>
          <w:szCs w:val="22"/>
        </w:rPr>
        <w:t>multiple</w:t>
      </w:r>
      <w:r w:rsidRPr="00015E49">
        <w:rPr>
          <w:rFonts w:ascii="Arial" w:hAnsi="Arial" w:cs="Arial"/>
          <w:sz w:val="22"/>
          <w:szCs w:val="22"/>
        </w:rPr>
        <w:t xml:space="preserve"> comprehensive review</w:t>
      </w:r>
      <w:r>
        <w:rPr>
          <w:rFonts w:ascii="Arial" w:hAnsi="Arial" w:cs="Arial"/>
          <w:sz w:val="22"/>
          <w:szCs w:val="22"/>
        </w:rPr>
        <w:t xml:space="preserve">s identified </w:t>
      </w:r>
      <w:r w:rsidRPr="00015E49">
        <w:rPr>
          <w:rFonts w:ascii="Arial" w:hAnsi="Arial" w:cs="Arial"/>
          <w:sz w:val="22"/>
          <w:szCs w:val="22"/>
        </w:rPr>
        <w:t xml:space="preserve">the prevalence of self-medication among the public, the misconduct of health professionals and community pharmacists in issuing prescriptions and indicated the general lack of knowledge regarding antibiotic resistance among the healthcare professionals of Pakistan. Among Pakistani parents, Siddiqui et al. found misconceptions about antibiotic indications; 35% believed antibiotics should be given for fever in all </w:t>
      </w:r>
      <w:r w:rsidRPr="00015E49">
        <w:rPr>
          <w:rFonts w:ascii="Arial" w:hAnsi="Arial" w:cs="Arial"/>
          <w:sz w:val="22"/>
          <w:szCs w:val="22"/>
        </w:rPr>
        <w:lastRenderedPageBreak/>
        <w:t>circumstances, while previous prescriptions and advice from family members or pharmacists were common influences on non-prescribed use (Siddiqui et al., 2014).</w:t>
      </w:r>
    </w:p>
    <w:p w14:paraId="16BDC69B"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Qualitative evidence provides a deeper explanation of these </w:t>
      </w:r>
      <w:proofErr w:type="spellStart"/>
      <w:r w:rsidRPr="00015E49">
        <w:rPr>
          <w:rFonts w:ascii="Arial" w:hAnsi="Arial" w:cs="Arial"/>
          <w:sz w:val="22"/>
          <w:szCs w:val="22"/>
        </w:rPr>
        <w:t>behaviours</w:t>
      </w:r>
      <w:proofErr w:type="spellEnd"/>
      <w:r w:rsidRPr="00015E49">
        <w:rPr>
          <w:rFonts w:ascii="Arial" w:hAnsi="Arial" w:cs="Arial"/>
          <w:sz w:val="22"/>
          <w:szCs w:val="22"/>
        </w:rPr>
        <w:t xml:space="preserve">. Using the Health Belief Model, </w:t>
      </w:r>
      <w:proofErr w:type="spellStart"/>
      <w:r w:rsidRPr="00015E49">
        <w:rPr>
          <w:rFonts w:ascii="Arial" w:hAnsi="Arial" w:cs="Arial"/>
          <w:sz w:val="22"/>
          <w:szCs w:val="22"/>
        </w:rPr>
        <w:t>Asghar</w:t>
      </w:r>
      <w:proofErr w:type="spellEnd"/>
      <w:r w:rsidRPr="00015E49">
        <w:rPr>
          <w:rFonts w:ascii="Arial" w:hAnsi="Arial" w:cs="Arial"/>
          <w:sz w:val="22"/>
          <w:szCs w:val="22"/>
        </w:rPr>
        <w:t xml:space="preserve"> et al. found that Pakistani parents often understood antibiotics as useful medicines but perceived their own families as having low susceptibility to AMR because they considered themselves to be low antibiotic users (</w:t>
      </w:r>
      <w:proofErr w:type="spellStart"/>
      <w:r w:rsidRPr="00015E49">
        <w:rPr>
          <w:rFonts w:ascii="Arial" w:hAnsi="Arial" w:cs="Arial"/>
          <w:sz w:val="22"/>
          <w:szCs w:val="22"/>
        </w:rPr>
        <w:t>Asghar</w:t>
      </w:r>
      <w:proofErr w:type="spellEnd"/>
      <w:r w:rsidRPr="00015E49">
        <w:rPr>
          <w:rFonts w:ascii="Arial" w:hAnsi="Arial" w:cs="Arial"/>
          <w:sz w:val="22"/>
          <w:szCs w:val="22"/>
        </w:rPr>
        <w:t xml:space="preserve"> et al., 2024). Antibiotics could also be perceived as a rapid solution to illness. The study by </w:t>
      </w:r>
      <w:proofErr w:type="spellStart"/>
      <w:r w:rsidRPr="00015E49">
        <w:rPr>
          <w:rFonts w:ascii="Arial" w:hAnsi="Arial" w:cs="Arial"/>
          <w:sz w:val="22"/>
          <w:szCs w:val="22"/>
        </w:rPr>
        <w:t>Asghar</w:t>
      </w:r>
      <w:proofErr w:type="spellEnd"/>
      <w:r w:rsidRPr="00015E49">
        <w:rPr>
          <w:rFonts w:ascii="Arial" w:hAnsi="Arial" w:cs="Arial"/>
          <w:sz w:val="22"/>
          <w:szCs w:val="22"/>
        </w:rPr>
        <w:t xml:space="preserve"> et al (2024) also illustrates why factual education alone may be insufficient: perceived susceptibility, perceived severity, benefits, barriers and cues to action can mediate the relationship between knowledge and </w:t>
      </w:r>
      <w:proofErr w:type="spellStart"/>
      <w:r w:rsidRPr="00015E49">
        <w:rPr>
          <w:rFonts w:ascii="Arial" w:hAnsi="Arial" w:cs="Arial"/>
          <w:sz w:val="22"/>
          <w:szCs w:val="22"/>
        </w:rPr>
        <w:t>behaviour</w:t>
      </w:r>
      <w:proofErr w:type="spellEnd"/>
      <w:r w:rsidRPr="00015E49">
        <w:rPr>
          <w:rFonts w:ascii="Arial" w:hAnsi="Arial" w:cs="Arial"/>
          <w:sz w:val="22"/>
          <w:szCs w:val="22"/>
        </w:rPr>
        <w:t>. A particularly relevant conclusion is that AMR communication should be tailored to the intended audience rather than relying on generic awareness messages.</w:t>
      </w:r>
    </w:p>
    <w:p w14:paraId="0978F6E9"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2" w:name="_Toc238647379"/>
      <w:r w:rsidRPr="00A55E23">
        <w:rPr>
          <w:rFonts w:asciiTheme="minorBidi" w:hAnsiTheme="minorBidi" w:cstheme="minorBidi"/>
          <w:b/>
          <w:bCs/>
          <w:i/>
          <w:iCs/>
          <w:color w:val="000000" w:themeColor="text1"/>
          <w:sz w:val="22"/>
          <w:szCs w:val="22"/>
        </w:rPr>
        <w:t xml:space="preserve">2.2.3 Education, health literacy and </w:t>
      </w:r>
      <w:proofErr w:type="spellStart"/>
      <w:r w:rsidRPr="00A55E23">
        <w:rPr>
          <w:rFonts w:asciiTheme="minorBidi" w:hAnsiTheme="minorBidi" w:cstheme="minorBidi"/>
          <w:b/>
          <w:bCs/>
          <w:i/>
          <w:iCs/>
          <w:color w:val="000000" w:themeColor="text1"/>
          <w:sz w:val="22"/>
          <w:szCs w:val="22"/>
        </w:rPr>
        <w:t>sociodemographic</w:t>
      </w:r>
      <w:proofErr w:type="spellEnd"/>
      <w:r w:rsidRPr="00A55E23">
        <w:rPr>
          <w:rFonts w:asciiTheme="minorBidi" w:hAnsiTheme="minorBidi" w:cstheme="minorBidi"/>
          <w:b/>
          <w:bCs/>
          <w:i/>
          <w:iCs/>
          <w:color w:val="000000" w:themeColor="text1"/>
          <w:sz w:val="22"/>
          <w:szCs w:val="22"/>
        </w:rPr>
        <w:t xml:space="preserve"> determinants</w:t>
      </w:r>
      <w:bookmarkEnd w:id="32"/>
    </w:p>
    <w:p w14:paraId="00A510E1" w14:textId="77777777" w:rsidR="00D340EB" w:rsidRDefault="00D340EB" w:rsidP="00D340EB">
      <w:pPr>
        <w:spacing w:after="120" w:line="360" w:lineRule="auto"/>
        <w:jc w:val="both"/>
        <w:rPr>
          <w:rFonts w:ascii="Arial" w:hAnsi="Arial" w:cs="Arial"/>
          <w:sz w:val="22"/>
          <w:szCs w:val="22"/>
        </w:rPr>
      </w:pPr>
      <w:r w:rsidRPr="00015E49">
        <w:rPr>
          <w:rFonts w:ascii="Arial" w:hAnsi="Arial" w:cs="Arial"/>
          <w:sz w:val="22"/>
          <w:szCs w:val="22"/>
        </w:rPr>
        <w:t>Education is repeatedly assoc</w:t>
      </w:r>
      <w:r>
        <w:rPr>
          <w:rFonts w:ascii="Arial" w:hAnsi="Arial" w:cs="Arial"/>
          <w:sz w:val="22"/>
          <w:szCs w:val="22"/>
        </w:rPr>
        <w:t>iated with antibiotic knowledge</w:t>
      </w:r>
      <w:r w:rsidRPr="00015E49">
        <w:rPr>
          <w:rFonts w:ascii="Arial" w:hAnsi="Arial" w:cs="Arial"/>
          <w:sz w:val="22"/>
          <w:szCs w:val="22"/>
        </w:rPr>
        <w:t xml:space="preserve"> but its relationship with </w:t>
      </w:r>
      <w:proofErr w:type="spellStart"/>
      <w:r w:rsidRPr="00015E49">
        <w:rPr>
          <w:rFonts w:ascii="Arial" w:hAnsi="Arial" w:cs="Arial"/>
          <w:sz w:val="22"/>
          <w:szCs w:val="22"/>
        </w:rPr>
        <w:t>behaviour</w:t>
      </w:r>
      <w:proofErr w:type="spellEnd"/>
      <w:r w:rsidRPr="00015E49">
        <w:rPr>
          <w:rFonts w:ascii="Arial" w:hAnsi="Arial" w:cs="Arial"/>
          <w:sz w:val="22"/>
          <w:szCs w:val="22"/>
        </w:rPr>
        <w:t xml:space="preserve"> is complex. In the Punjab public survey, knowledge was associated with self-medication in a direction that did not support a simple knowledge-deficit explanation (</w:t>
      </w:r>
      <w:proofErr w:type="spellStart"/>
      <w:r w:rsidRPr="00015E49">
        <w:rPr>
          <w:rFonts w:ascii="Arial" w:hAnsi="Arial" w:cs="Arial"/>
          <w:sz w:val="22"/>
          <w:szCs w:val="22"/>
        </w:rPr>
        <w:t>Gillani</w:t>
      </w:r>
      <w:proofErr w:type="spellEnd"/>
      <w:r w:rsidRPr="00015E49">
        <w:rPr>
          <w:rFonts w:ascii="Arial" w:hAnsi="Arial" w:cs="Arial"/>
          <w:sz w:val="22"/>
          <w:szCs w:val="22"/>
        </w:rPr>
        <w:t xml:space="preserve"> et al., 2020). In Pakistan's capital city Islamabad, education and age were two factors linked to self-medication (</w:t>
      </w:r>
      <w:proofErr w:type="spellStart"/>
      <w:r w:rsidRPr="00015E49">
        <w:rPr>
          <w:rFonts w:ascii="Arial" w:hAnsi="Arial" w:cs="Arial"/>
          <w:sz w:val="22"/>
          <w:szCs w:val="22"/>
        </w:rPr>
        <w:t>Aslam</w:t>
      </w:r>
      <w:proofErr w:type="spellEnd"/>
      <w:r w:rsidRPr="00015E49">
        <w:rPr>
          <w:rFonts w:ascii="Arial" w:hAnsi="Arial" w:cs="Arial"/>
          <w:sz w:val="22"/>
          <w:szCs w:val="22"/>
        </w:rPr>
        <w:t xml:space="preserve"> et al., 2022). This implies that the education system does not convert knowledge to the practice of using antibiotics. A lot of literature corroborated the findings of past studies; higher education does not result in proper use of the antibiotics </w:t>
      </w:r>
      <w:r>
        <w:rPr>
          <w:rFonts w:ascii="Arial" w:hAnsi="Arial" w:cs="Arial"/>
          <w:sz w:val="22"/>
          <w:szCs w:val="22"/>
        </w:rPr>
        <w:t>(</w:t>
      </w:r>
      <w:proofErr w:type="spellStart"/>
      <w:r>
        <w:rPr>
          <w:rFonts w:ascii="Arial" w:hAnsi="Arial" w:cs="Arial"/>
          <w:sz w:val="22"/>
          <w:szCs w:val="22"/>
        </w:rPr>
        <w:t>Kosiyaporn</w:t>
      </w:r>
      <w:proofErr w:type="spellEnd"/>
      <w:r>
        <w:rPr>
          <w:rFonts w:ascii="Arial" w:hAnsi="Arial" w:cs="Arial"/>
          <w:sz w:val="22"/>
          <w:szCs w:val="22"/>
        </w:rPr>
        <w:t xml:space="preserve"> et al., 2020; </w:t>
      </w:r>
      <w:proofErr w:type="spellStart"/>
      <w:r>
        <w:rPr>
          <w:rFonts w:ascii="Arial" w:hAnsi="Arial" w:cs="Arial"/>
          <w:color w:val="222222"/>
          <w:sz w:val="22"/>
          <w:szCs w:val="22"/>
          <w:shd w:val="clear" w:color="auto" w:fill="FFFFFF"/>
        </w:rPr>
        <w:t>Cantarero</w:t>
      </w:r>
      <w:r w:rsidRPr="00A8013E">
        <w:rPr>
          <w:rFonts w:ascii="Cambria Math" w:hAnsi="Cambria Math" w:cs="Cambria Math"/>
          <w:color w:val="222222"/>
          <w:sz w:val="22"/>
          <w:szCs w:val="22"/>
          <w:shd w:val="clear" w:color="auto" w:fill="FFFFFF"/>
        </w:rPr>
        <w:t>‐</w:t>
      </w:r>
      <w:r>
        <w:rPr>
          <w:rFonts w:ascii="Arial" w:hAnsi="Arial" w:cs="Arial"/>
          <w:color w:val="222222"/>
          <w:sz w:val="22"/>
          <w:szCs w:val="22"/>
          <w:shd w:val="clear" w:color="auto" w:fill="FFFFFF"/>
        </w:rPr>
        <w:t>Arévalo</w:t>
      </w:r>
      <w:proofErr w:type="spellEnd"/>
      <w:r>
        <w:rPr>
          <w:rFonts w:ascii="Arial" w:hAnsi="Arial" w:cs="Arial"/>
          <w:sz w:val="22"/>
          <w:szCs w:val="22"/>
        </w:rPr>
        <w:t xml:space="preserve"> et al., 2017).</w:t>
      </w:r>
    </w:p>
    <w:p w14:paraId="57853F1C"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The </w:t>
      </w:r>
      <w:r>
        <w:rPr>
          <w:rFonts w:ascii="Arial" w:hAnsi="Arial" w:cs="Arial"/>
          <w:sz w:val="22"/>
          <w:szCs w:val="22"/>
        </w:rPr>
        <w:t>SE</w:t>
      </w:r>
      <w:r w:rsidRPr="00015E49">
        <w:rPr>
          <w:rFonts w:ascii="Arial" w:hAnsi="Arial" w:cs="Arial"/>
          <w:sz w:val="22"/>
          <w:szCs w:val="22"/>
        </w:rPr>
        <w:t xml:space="preserve"> component is particularly important in Pakistan. According to the mixed-method study conducted in three provinces of Pakistan, it is seen that multidimensional poverty increases the likelihood of multidrug-resistant infections (</w:t>
      </w:r>
      <w:proofErr w:type="spellStart"/>
      <w:r w:rsidRPr="00015E49">
        <w:rPr>
          <w:rFonts w:ascii="Arial" w:hAnsi="Arial" w:cs="Arial"/>
          <w:sz w:val="22"/>
          <w:szCs w:val="22"/>
        </w:rPr>
        <w:t>Hussain</w:t>
      </w:r>
      <w:proofErr w:type="spellEnd"/>
      <w:r w:rsidRPr="00015E49">
        <w:rPr>
          <w:rFonts w:ascii="Arial" w:hAnsi="Arial" w:cs="Arial"/>
          <w:sz w:val="22"/>
          <w:szCs w:val="22"/>
        </w:rPr>
        <w:t xml:space="preserve"> et al., 2025). </w:t>
      </w:r>
      <w:r>
        <w:rPr>
          <w:rFonts w:ascii="Arial" w:hAnsi="Arial" w:cs="Arial"/>
          <w:sz w:val="22"/>
          <w:szCs w:val="22"/>
        </w:rPr>
        <w:t>I</w:t>
      </w:r>
      <w:r w:rsidRPr="00015E49">
        <w:rPr>
          <w:rFonts w:ascii="Arial" w:hAnsi="Arial" w:cs="Arial"/>
          <w:sz w:val="22"/>
          <w:szCs w:val="22"/>
        </w:rPr>
        <w:t>nterviews indicated that financial barriers could encourage use of leftover antibiotics, treatment non-adherence and delayed care seeking, while poor WASH conditions could facilitate infection transmission (</w:t>
      </w:r>
      <w:proofErr w:type="spellStart"/>
      <w:r w:rsidRPr="00015E49">
        <w:rPr>
          <w:rFonts w:ascii="Arial" w:hAnsi="Arial" w:cs="Arial"/>
          <w:sz w:val="22"/>
          <w:szCs w:val="22"/>
        </w:rPr>
        <w:t>Hussain</w:t>
      </w:r>
      <w:proofErr w:type="spellEnd"/>
      <w:r w:rsidRPr="00015E49">
        <w:rPr>
          <w:rFonts w:ascii="Arial" w:hAnsi="Arial" w:cs="Arial"/>
          <w:sz w:val="22"/>
          <w:szCs w:val="22"/>
        </w:rPr>
        <w:t xml:space="preserve"> et al., 2025). This evidence shifts the analytical focus from blaming individual </w:t>
      </w:r>
      <w:proofErr w:type="spellStart"/>
      <w:r w:rsidRPr="00015E49">
        <w:rPr>
          <w:rFonts w:ascii="Arial" w:hAnsi="Arial" w:cs="Arial"/>
          <w:sz w:val="22"/>
          <w:szCs w:val="22"/>
        </w:rPr>
        <w:t>behaviour</w:t>
      </w:r>
      <w:proofErr w:type="spellEnd"/>
      <w:r w:rsidRPr="00015E49">
        <w:rPr>
          <w:rFonts w:ascii="Arial" w:hAnsi="Arial" w:cs="Arial"/>
          <w:sz w:val="22"/>
          <w:szCs w:val="22"/>
        </w:rPr>
        <w:t xml:space="preserve"> to examining the conditions under which individuals make health decisions. Poverty, healthcare affordability, sanitation and treatment access can simultaneously affect infection risk, antibiotic demand and the consequences of inappropriate treatment.</w:t>
      </w:r>
    </w:p>
    <w:p w14:paraId="2DD2F7EE"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Broader cross-national evidence supports this interpretation. A multivariable analysis of anthropological and </w:t>
      </w:r>
      <w:r>
        <w:rPr>
          <w:rFonts w:ascii="Arial" w:hAnsi="Arial" w:cs="Arial"/>
          <w:sz w:val="22"/>
          <w:szCs w:val="22"/>
        </w:rPr>
        <w:t>SE</w:t>
      </w:r>
      <w:r w:rsidRPr="00015E49">
        <w:rPr>
          <w:rFonts w:ascii="Arial" w:hAnsi="Arial" w:cs="Arial"/>
          <w:sz w:val="22"/>
          <w:szCs w:val="22"/>
        </w:rPr>
        <w:t xml:space="preserve"> factors found that better infrastructure and governance were associated with lower AMR indices, while poorer governance and other contextual factors were associated with greater resistance (</w:t>
      </w:r>
      <w:proofErr w:type="spellStart"/>
      <w:r w:rsidRPr="00015E49">
        <w:rPr>
          <w:rFonts w:ascii="Arial" w:hAnsi="Arial" w:cs="Arial"/>
          <w:sz w:val="22"/>
          <w:szCs w:val="22"/>
        </w:rPr>
        <w:t>Collignon</w:t>
      </w:r>
      <w:proofErr w:type="spellEnd"/>
      <w:r w:rsidRPr="00015E49">
        <w:rPr>
          <w:rFonts w:ascii="Arial" w:hAnsi="Arial" w:cs="Arial"/>
          <w:sz w:val="22"/>
          <w:szCs w:val="22"/>
        </w:rPr>
        <w:t xml:space="preserve"> et al., 2018). Although such ecological findings cannot establish individual-level causation, they are useful for understanding why KAP should be situated within </w:t>
      </w:r>
      <w:r w:rsidRPr="00015E49">
        <w:rPr>
          <w:rFonts w:ascii="Arial" w:hAnsi="Arial" w:cs="Arial"/>
          <w:sz w:val="22"/>
          <w:szCs w:val="22"/>
        </w:rPr>
        <w:lastRenderedPageBreak/>
        <w:t xml:space="preserve">structural conditions. For Pakistan, this means that </w:t>
      </w:r>
      <w:r>
        <w:rPr>
          <w:rFonts w:ascii="Arial" w:hAnsi="Arial" w:cs="Arial"/>
          <w:sz w:val="22"/>
          <w:szCs w:val="22"/>
        </w:rPr>
        <w:t>SE</w:t>
      </w:r>
      <w:r w:rsidRPr="00015E49">
        <w:rPr>
          <w:rFonts w:ascii="Arial" w:hAnsi="Arial" w:cs="Arial"/>
          <w:sz w:val="22"/>
          <w:szCs w:val="22"/>
        </w:rPr>
        <w:t xml:space="preserve"> status should not be treated only as a demographic variable in KAP questionnaires; it should be </w:t>
      </w:r>
      <w:proofErr w:type="spellStart"/>
      <w:r w:rsidRPr="00015E49">
        <w:rPr>
          <w:rFonts w:ascii="Arial" w:hAnsi="Arial" w:cs="Arial"/>
          <w:sz w:val="22"/>
          <w:szCs w:val="22"/>
        </w:rPr>
        <w:t>conceptualised</w:t>
      </w:r>
      <w:proofErr w:type="spellEnd"/>
      <w:r w:rsidRPr="00015E49">
        <w:rPr>
          <w:rFonts w:ascii="Arial" w:hAnsi="Arial" w:cs="Arial"/>
          <w:sz w:val="22"/>
          <w:szCs w:val="22"/>
        </w:rPr>
        <w:t xml:space="preserve"> as a determinant of affordability, healthcare access, medicine procurement, living conditions and health-seeking options.</w:t>
      </w:r>
    </w:p>
    <w:p w14:paraId="117E33D7"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3" w:name="_Toc238647380"/>
      <w:r w:rsidRPr="00A55E23">
        <w:rPr>
          <w:rFonts w:asciiTheme="minorBidi" w:hAnsiTheme="minorBidi" w:cstheme="minorBidi"/>
          <w:b/>
          <w:bCs/>
          <w:i/>
          <w:iCs/>
          <w:color w:val="000000" w:themeColor="text1"/>
          <w:sz w:val="22"/>
          <w:szCs w:val="22"/>
        </w:rPr>
        <w:t>2.2.4 Healthcare professionals, prescribing and patient pressure</w:t>
      </w:r>
      <w:bookmarkEnd w:id="33"/>
    </w:p>
    <w:p w14:paraId="3197726F"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Healthcare-provider KAP is another important pathway through which social determinants influence antibiotic use. Among physicians at Services Hospital Lahore, </w:t>
      </w:r>
      <w:proofErr w:type="spellStart"/>
      <w:r w:rsidRPr="00015E49">
        <w:rPr>
          <w:rFonts w:ascii="Arial" w:hAnsi="Arial" w:cs="Arial"/>
          <w:sz w:val="22"/>
          <w:szCs w:val="22"/>
        </w:rPr>
        <w:t>Shahid</w:t>
      </w:r>
      <w:proofErr w:type="spellEnd"/>
      <w:r w:rsidRPr="00015E49">
        <w:rPr>
          <w:rFonts w:ascii="Arial" w:hAnsi="Arial" w:cs="Arial"/>
          <w:sz w:val="22"/>
          <w:szCs w:val="22"/>
        </w:rPr>
        <w:t xml:space="preserve"> et al. reported below-average knowledge of AMR and prescribing practices influenced by both patient</w:t>
      </w:r>
      <w:r>
        <w:rPr>
          <w:rFonts w:ascii="Arial" w:hAnsi="Arial" w:cs="Arial"/>
          <w:sz w:val="22"/>
          <w:szCs w:val="22"/>
        </w:rPr>
        <w:t>’s</w:t>
      </w:r>
      <w:r w:rsidRPr="00015E49">
        <w:rPr>
          <w:rFonts w:ascii="Arial" w:hAnsi="Arial" w:cs="Arial"/>
          <w:sz w:val="22"/>
          <w:szCs w:val="22"/>
        </w:rPr>
        <w:t xml:space="preserve"> </w:t>
      </w:r>
      <w:r>
        <w:rPr>
          <w:rFonts w:ascii="Arial" w:hAnsi="Arial" w:cs="Arial"/>
          <w:sz w:val="22"/>
          <w:szCs w:val="22"/>
        </w:rPr>
        <w:t>SE</w:t>
      </w:r>
      <w:r w:rsidRPr="00015E49">
        <w:rPr>
          <w:rFonts w:ascii="Arial" w:hAnsi="Arial" w:cs="Arial"/>
          <w:sz w:val="22"/>
          <w:szCs w:val="22"/>
        </w:rPr>
        <w:t xml:space="preserve"> status and patient</w:t>
      </w:r>
      <w:r>
        <w:rPr>
          <w:rFonts w:ascii="Arial" w:hAnsi="Arial" w:cs="Arial"/>
          <w:sz w:val="22"/>
          <w:szCs w:val="22"/>
        </w:rPr>
        <w:t>’s</w:t>
      </w:r>
      <w:r w:rsidRPr="00015E49">
        <w:rPr>
          <w:rFonts w:ascii="Arial" w:hAnsi="Arial" w:cs="Arial"/>
          <w:sz w:val="22"/>
          <w:szCs w:val="22"/>
        </w:rPr>
        <w:t xml:space="preserve"> demand (</w:t>
      </w:r>
      <w:proofErr w:type="spellStart"/>
      <w:r w:rsidRPr="00015E49">
        <w:rPr>
          <w:rFonts w:ascii="Arial" w:hAnsi="Arial" w:cs="Arial"/>
          <w:sz w:val="22"/>
          <w:szCs w:val="22"/>
        </w:rPr>
        <w:t>Shahid</w:t>
      </w:r>
      <w:proofErr w:type="spellEnd"/>
      <w:r w:rsidRPr="00015E49">
        <w:rPr>
          <w:rFonts w:ascii="Arial" w:hAnsi="Arial" w:cs="Arial"/>
          <w:sz w:val="22"/>
          <w:szCs w:val="22"/>
        </w:rPr>
        <w:t xml:space="preserve"> et al., 2017). This is important because it demonstrates that prescriber </w:t>
      </w:r>
      <w:proofErr w:type="spellStart"/>
      <w:r w:rsidRPr="00015E49">
        <w:rPr>
          <w:rFonts w:ascii="Arial" w:hAnsi="Arial" w:cs="Arial"/>
          <w:sz w:val="22"/>
          <w:szCs w:val="22"/>
        </w:rPr>
        <w:t>behaviour</w:t>
      </w:r>
      <w:proofErr w:type="spellEnd"/>
      <w:r w:rsidRPr="00015E49">
        <w:rPr>
          <w:rFonts w:ascii="Arial" w:hAnsi="Arial" w:cs="Arial"/>
          <w:sz w:val="22"/>
          <w:szCs w:val="22"/>
        </w:rPr>
        <w:t xml:space="preserve"> is not determined solely by clinical knowledge. Clinicians operate within relationships in which expectations, perceived ability to pay, time pressure and professional hierarchies can affect prescribing.</w:t>
      </w:r>
    </w:p>
    <w:p w14:paraId="1A0DD010"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A study with final year medical students in Pakistan showed that 6.3% of respondents had received any AMR training, even though many were aware that AMR poses a major health problem and identified the following as contributing factors: use of broad-spectrum antibiotics, prolonged duration of treatment, improper dosage and inadequate infection control (Hayat et al., 2022). Pharmacy students had similar shortcomings: 21.6% reported hearing about the antibiotic stewardship program and a lot of them had incomplete knowledge of concepts around antibiotic resistance and stewardship (Hayat et al., 2021). They might be useful since they provide insight into cases of educational need prior to starting professional practice. Nevertheless, the studies are limited because their cross-sectional design does not allow making any conclusions regarding the effects of improved knowledge on better prescribing.</w:t>
      </w:r>
    </w:p>
    <w:p w14:paraId="1EF3B115"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 xml:space="preserve">Evidence of intervention provides evidence for education but shows the importance of the context. Ahmed et al. reported that AMR and antimicrobial stewardship training programs have greatly improved the knowledge scores of healthcare students in Pakistan (Ahmed et al., 2024). This shows that knowledge can be improved with the help of structured education; however, the outcome of having knowledge is different from having the outcome </w:t>
      </w:r>
      <w:r>
        <w:rPr>
          <w:rFonts w:ascii="Arial" w:hAnsi="Arial" w:cs="Arial"/>
          <w:sz w:val="22"/>
          <w:szCs w:val="22"/>
        </w:rPr>
        <w:t>of</w:t>
      </w:r>
      <w:r w:rsidRPr="00015E49">
        <w:rPr>
          <w:rFonts w:ascii="Arial" w:hAnsi="Arial" w:cs="Arial"/>
          <w:sz w:val="22"/>
          <w:szCs w:val="22"/>
        </w:rPr>
        <w:t xml:space="preserve"> behavior and resistance. Therefore, long-term assessments should focus on examining the influence of training on the dispensing practices.</w:t>
      </w:r>
    </w:p>
    <w:p w14:paraId="05DD401C"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4" w:name="_Toc238647381"/>
      <w:r w:rsidRPr="00A55E23">
        <w:rPr>
          <w:rFonts w:asciiTheme="minorBidi" w:hAnsiTheme="minorBidi" w:cstheme="minorBidi"/>
          <w:b/>
          <w:bCs/>
          <w:i/>
          <w:iCs/>
          <w:color w:val="000000" w:themeColor="text1"/>
          <w:sz w:val="22"/>
          <w:szCs w:val="22"/>
        </w:rPr>
        <w:t>2.2.5 Community pharmacies and non-prescription access</w:t>
      </w:r>
      <w:bookmarkEnd w:id="34"/>
    </w:p>
    <w:p w14:paraId="13F11E9B"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Community pharmacies occupy a particularly important position in Pakistan because they can function as accessible points of healthcare and medicine procurement. Evidence shows that pharmacy-related determinants extend beyond individual knowledge. A qualitative study of non-pharmacist pharmacy workers in Bahawalpur</w:t>
      </w:r>
      <w:r>
        <w:rPr>
          <w:rFonts w:ascii="Arial" w:hAnsi="Arial" w:cs="Arial"/>
          <w:sz w:val="22"/>
          <w:szCs w:val="22"/>
        </w:rPr>
        <w:t xml:space="preserve"> by </w:t>
      </w:r>
      <w:proofErr w:type="spellStart"/>
      <w:r w:rsidRPr="00015E49">
        <w:rPr>
          <w:rFonts w:ascii="Arial" w:hAnsi="Arial" w:cs="Arial"/>
          <w:sz w:val="22"/>
          <w:szCs w:val="22"/>
        </w:rPr>
        <w:t>Ashgar</w:t>
      </w:r>
      <w:proofErr w:type="spellEnd"/>
      <w:r w:rsidRPr="00015E49">
        <w:rPr>
          <w:rFonts w:ascii="Arial" w:hAnsi="Arial" w:cs="Arial"/>
          <w:sz w:val="22"/>
          <w:szCs w:val="22"/>
        </w:rPr>
        <w:t xml:space="preserve"> et al.</w:t>
      </w:r>
      <w:r>
        <w:rPr>
          <w:rFonts w:ascii="Arial" w:hAnsi="Arial" w:cs="Arial"/>
          <w:sz w:val="22"/>
          <w:szCs w:val="22"/>
        </w:rPr>
        <w:t xml:space="preserve"> </w:t>
      </w:r>
      <w:r w:rsidRPr="00015E49">
        <w:rPr>
          <w:rFonts w:ascii="Arial" w:hAnsi="Arial" w:cs="Arial"/>
          <w:sz w:val="22"/>
          <w:szCs w:val="22"/>
        </w:rPr>
        <w:t xml:space="preserve">identified lack of knowledge, perceived competence, social acceptance, customer demand, high consultation fees, expensive diagnostic </w:t>
      </w:r>
      <w:r w:rsidRPr="00015E49">
        <w:rPr>
          <w:rFonts w:ascii="Arial" w:hAnsi="Arial" w:cs="Arial"/>
          <w:sz w:val="22"/>
          <w:szCs w:val="22"/>
        </w:rPr>
        <w:lastRenderedPageBreak/>
        <w:t>tests, economic pressures and profit maximization as factors associated with inappropriate antibiotic dispensing (</w:t>
      </w:r>
      <w:proofErr w:type="spellStart"/>
      <w:r w:rsidRPr="00015E49">
        <w:rPr>
          <w:rFonts w:ascii="Arial" w:hAnsi="Arial" w:cs="Arial"/>
          <w:sz w:val="22"/>
          <w:szCs w:val="22"/>
        </w:rPr>
        <w:t>Asg</w:t>
      </w:r>
      <w:r>
        <w:rPr>
          <w:rFonts w:ascii="Arial" w:hAnsi="Arial" w:cs="Arial"/>
          <w:sz w:val="22"/>
          <w:szCs w:val="22"/>
        </w:rPr>
        <w:t>h</w:t>
      </w:r>
      <w:r w:rsidRPr="00015E49">
        <w:rPr>
          <w:rFonts w:ascii="Arial" w:hAnsi="Arial" w:cs="Arial"/>
          <w:sz w:val="22"/>
          <w:szCs w:val="22"/>
        </w:rPr>
        <w:t>ar</w:t>
      </w:r>
      <w:proofErr w:type="spellEnd"/>
      <w:r w:rsidRPr="00015E49">
        <w:rPr>
          <w:rFonts w:ascii="Arial" w:hAnsi="Arial" w:cs="Arial"/>
          <w:sz w:val="22"/>
          <w:szCs w:val="22"/>
        </w:rPr>
        <w:t xml:space="preserve"> et al., 2020). This is a strong example of how supply-side and demand-side determinants interact.</w:t>
      </w:r>
    </w:p>
    <w:p w14:paraId="242FEF23" w14:textId="51732EEE"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Research among community pharmacists in Lahore found generally positive perceptions of antimicrobial stewardship, but gaps remained in dispensing without prescriptions and supplying antibiotics for longer than prescribed (</w:t>
      </w:r>
      <w:proofErr w:type="spellStart"/>
      <w:r w:rsidRPr="00015E49">
        <w:rPr>
          <w:rFonts w:ascii="Arial" w:hAnsi="Arial" w:cs="Arial"/>
          <w:sz w:val="22"/>
          <w:szCs w:val="22"/>
        </w:rPr>
        <w:t>Waseem</w:t>
      </w:r>
      <w:proofErr w:type="spellEnd"/>
      <w:r w:rsidRPr="00015E49">
        <w:rPr>
          <w:rFonts w:ascii="Arial" w:hAnsi="Arial" w:cs="Arial"/>
          <w:sz w:val="22"/>
          <w:szCs w:val="22"/>
        </w:rPr>
        <w:t xml:space="preserve"> et al., 2019). Similarly, a qualitative study in Bahawalpur found that pharmacists understood irrational antibiotic use but were largely unfamiliar with formal stewardship </w:t>
      </w:r>
      <w:proofErr w:type="spellStart"/>
      <w:r w:rsidRPr="00015E49">
        <w:rPr>
          <w:rFonts w:ascii="Arial" w:hAnsi="Arial" w:cs="Arial"/>
          <w:sz w:val="22"/>
          <w:szCs w:val="22"/>
        </w:rPr>
        <w:t>programmes</w:t>
      </w:r>
      <w:proofErr w:type="spellEnd"/>
      <w:r w:rsidRPr="00015E49">
        <w:rPr>
          <w:rFonts w:ascii="Arial" w:hAnsi="Arial" w:cs="Arial"/>
          <w:sz w:val="22"/>
          <w:szCs w:val="22"/>
        </w:rPr>
        <w:t xml:space="preserve"> and considered implementation difficult within the existing healthcare system </w:t>
      </w:r>
      <w:r>
        <w:rPr>
          <w:rFonts w:ascii="Arial" w:hAnsi="Arial" w:cs="Arial"/>
          <w:sz w:val="22"/>
          <w:szCs w:val="22"/>
        </w:rPr>
        <w:t>(</w:t>
      </w:r>
      <w:proofErr w:type="spellStart"/>
      <w:r w:rsidRPr="00015E49">
        <w:rPr>
          <w:rFonts w:ascii="Arial" w:hAnsi="Arial" w:cs="Arial"/>
          <w:sz w:val="22"/>
          <w:szCs w:val="22"/>
        </w:rPr>
        <w:t>Atif</w:t>
      </w:r>
      <w:proofErr w:type="spellEnd"/>
      <w:r w:rsidRPr="00015E49">
        <w:rPr>
          <w:rFonts w:ascii="Arial" w:hAnsi="Arial" w:cs="Arial"/>
          <w:sz w:val="22"/>
          <w:szCs w:val="22"/>
        </w:rPr>
        <w:t xml:space="preserve"> et al., 2020). These findings suggest that professional knowledge is constrained by </w:t>
      </w:r>
      <w:r w:rsidR="00A55E23" w:rsidRPr="00015E49">
        <w:rPr>
          <w:rFonts w:ascii="Arial" w:hAnsi="Arial" w:cs="Arial"/>
          <w:sz w:val="22"/>
          <w:szCs w:val="22"/>
        </w:rPr>
        <w:t>organizational</w:t>
      </w:r>
      <w:r w:rsidRPr="00015E49">
        <w:rPr>
          <w:rFonts w:ascii="Arial" w:hAnsi="Arial" w:cs="Arial"/>
          <w:sz w:val="22"/>
          <w:szCs w:val="22"/>
        </w:rPr>
        <w:t xml:space="preserve"> and regulatory environments.</w:t>
      </w:r>
    </w:p>
    <w:p w14:paraId="5DF5C87C"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Further evidence clarifies the role of pharmacy access. A 2023 study involving 336 community pharmacies found moderate-to-good knowledge among many respondents but less </w:t>
      </w:r>
      <w:proofErr w:type="spellStart"/>
      <w:r w:rsidRPr="00015E49">
        <w:rPr>
          <w:rFonts w:ascii="Arial" w:hAnsi="Arial" w:cs="Arial"/>
          <w:sz w:val="22"/>
          <w:szCs w:val="22"/>
        </w:rPr>
        <w:t>favourable</w:t>
      </w:r>
      <w:proofErr w:type="spellEnd"/>
      <w:r w:rsidRPr="00015E49">
        <w:rPr>
          <w:rFonts w:ascii="Arial" w:hAnsi="Arial" w:cs="Arial"/>
          <w:sz w:val="22"/>
          <w:szCs w:val="22"/>
        </w:rPr>
        <w:t xml:space="preserve"> attitudes and variable practice; staff pharmacists were more likely to demonstrate better knowledge and practice (Hashmi et al., 2023). In </w:t>
      </w:r>
      <w:proofErr w:type="spellStart"/>
      <w:r w:rsidRPr="00015E49">
        <w:rPr>
          <w:rFonts w:ascii="Arial" w:hAnsi="Arial" w:cs="Arial"/>
          <w:sz w:val="22"/>
          <w:szCs w:val="22"/>
        </w:rPr>
        <w:t>Tharparkar</w:t>
      </w:r>
      <w:proofErr w:type="spellEnd"/>
      <w:r w:rsidRPr="00015E49">
        <w:rPr>
          <w:rFonts w:ascii="Arial" w:hAnsi="Arial" w:cs="Arial"/>
          <w:sz w:val="22"/>
          <w:szCs w:val="22"/>
        </w:rPr>
        <w:t xml:space="preserve">, a 2024 study found that 67% of antibiotic requests observed at selected community pharmacies </w:t>
      </w:r>
      <w:r>
        <w:rPr>
          <w:rFonts w:ascii="Arial" w:hAnsi="Arial" w:cs="Arial"/>
          <w:sz w:val="22"/>
          <w:szCs w:val="22"/>
        </w:rPr>
        <w:t>were made without prescriptions</w:t>
      </w:r>
      <w:r w:rsidRPr="00015E49">
        <w:rPr>
          <w:rFonts w:ascii="Arial" w:hAnsi="Arial" w:cs="Arial"/>
          <w:sz w:val="22"/>
          <w:szCs w:val="22"/>
        </w:rPr>
        <w:t xml:space="preserve"> with inability to afford consultation charges being the most reported reason (</w:t>
      </w:r>
      <w:proofErr w:type="spellStart"/>
      <w:r w:rsidRPr="00015E49">
        <w:rPr>
          <w:rFonts w:ascii="Arial" w:hAnsi="Arial" w:cs="Arial"/>
          <w:sz w:val="22"/>
          <w:szCs w:val="22"/>
        </w:rPr>
        <w:t>Nohri</w:t>
      </w:r>
      <w:proofErr w:type="spellEnd"/>
      <w:r w:rsidRPr="00015E49">
        <w:rPr>
          <w:rFonts w:ascii="Arial" w:hAnsi="Arial" w:cs="Arial"/>
          <w:sz w:val="22"/>
          <w:szCs w:val="22"/>
        </w:rPr>
        <w:t xml:space="preserve"> et al., 2024) Thus, non-prescription access should not be understood merely as a regulatory failure. It can also represent a rational response to financial and time barriers from the consumer's perspective, even though the resulting practice may increase AMR risk.</w:t>
      </w:r>
    </w:p>
    <w:p w14:paraId="391934C8"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5" w:name="_Toc238647382"/>
      <w:r w:rsidRPr="00A55E23">
        <w:rPr>
          <w:rFonts w:asciiTheme="minorBidi" w:hAnsiTheme="minorBidi" w:cstheme="minorBidi"/>
          <w:b/>
          <w:bCs/>
          <w:i/>
          <w:iCs/>
          <w:color w:val="000000" w:themeColor="text1"/>
          <w:sz w:val="22"/>
          <w:szCs w:val="22"/>
        </w:rPr>
        <w:t>2.2.6 Governance, regulation and the wider health system</w:t>
      </w:r>
      <w:bookmarkEnd w:id="35"/>
    </w:p>
    <w:p w14:paraId="170AC08A" w14:textId="77777777" w:rsidR="00D340EB" w:rsidRPr="00015E49" w:rsidRDefault="00D340EB" w:rsidP="00D340EB">
      <w:pPr>
        <w:spacing w:after="120" w:line="360" w:lineRule="auto"/>
        <w:jc w:val="both"/>
        <w:rPr>
          <w:rFonts w:ascii="Arial" w:hAnsi="Arial" w:cs="Arial"/>
          <w:sz w:val="22"/>
          <w:szCs w:val="22"/>
        </w:rPr>
      </w:pPr>
      <w:r>
        <w:rPr>
          <w:rFonts w:ascii="Arial" w:hAnsi="Arial" w:cs="Arial"/>
          <w:sz w:val="22"/>
          <w:szCs w:val="22"/>
        </w:rPr>
        <w:t xml:space="preserve">Policies also influence antibiotic use by shaping access, cost, and the incentives faced by healthcare providers. </w:t>
      </w:r>
      <w:r w:rsidRPr="00015E49">
        <w:rPr>
          <w:rFonts w:ascii="Arial" w:hAnsi="Arial" w:cs="Arial"/>
          <w:sz w:val="22"/>
          <w:szCs w:val="22"/>
        </w:rPr>
        <w:t>Research in Pakistan combining quantitative and qualitative methods showed that the implementation of a national AMR policy is influenced by the interactio</w:t>
      </w:r>
      <w:r>
        <w:rPr>
          <w:rFonts w:ascii="Arial" w:hAnsi="Arial" w:cs="Arial"/>
          <w:sz w:val="22"/>
          <w:szCs w:val="22"/>
        </w:rPr>
        <w:t>n of power, financial interests</w:t>
      </w:r>
      <w:r w:rsidRPr="00015E49">
        <w:rPr>
          <w:rFonts w:ascii="Arial" w:hAnsi="Arial" w:cs="Arial"/>
          <w:sz w:val="22"/>
          <w:szCs w:val="22"/>
        </w:rPr>
        <w:t xml:space="preserve"> and the reluctance to control </w:t>
      </w:r>
      <w:r>
        <w:rPr>
          <w:rFonts w:ascii="Arial" w:hAnsi="Arial" w:cs="Arial"/>
          <w:sz w:val="22"/>
          <w:szCs w:val="22"/>
        </w:rPr>
        <w:t xml:space="preserve">microbial </w:t>
      </w:r>
      <w:r w:rsidRPr="00015E49">
        <w:rPr>
          <w:rFonts w:ascii="Arial" w:hAnsi="Arial" w:cs="Arial"/>
          <w:sz w:val="22"/>
          <w:szCs w:val="22"/>
        </w:rPr>
        <w:t xml:space="preserve">agents. The </w:t>
      </w:r>
      <w:r>
        <w:rPr>
          <w:rFonts w:ascii="Arial" w:hAnsi="Arial" w:cs="Arial"/>
          <w:sz w:val="22"/>
          <w:szCs w:val="22"/>
        </w:rPr>
        <w:t>worth of research is because</w:t>
      </w:r>
      <w:r w:rsidRPr="00015E49">
        <w:rPr>
          <w:rFonts w:ascii="Arial" w:hAnsi="Arial" w:cs="Arial"/>
          <w:sz w:val="22"/>
          <w:szCs w:val="22"/>
        </w:rPr>
        <w:t xml:space="preserve"> it offers an analysis of the political economy of antibiotic use rather than focusing solely on the KAP. Its shortcoming is that it does not directly connect stakeholders’ views with the levels of antibiotic consumption or resistance.</w:t>
      </w:r>
    </w:p>
    <w:p w14:paraId="1289267B"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Such cases of regulatory incompetence can also be found in the qualitative studies of Pakistani drug inspectors. </w:t>
      </w:r>
      <w:proofErr w:type="spellStart"/>
      <w:r w:rsidRPr="00015E49">
        <w:rPr>
          <w:rFonts w:ascii="Arial" w:hAnsi="Arial" w:cs="Arial"/>
          <w:sz w:val="22"/>
          <w:szCs w:val="22"/>
        </w:rPr>
        <w:t>Bajwa</w:t>
      </w:r>
      <w:proofErr w:type="spellEnd"/>
      <w:r w:rsidRPr="00015E49">
        <w:rPr>
          <w:rFonts w:ascii="Arial" w:hAnsi="Arial" w:cs="Arial"/>
          <w:sz w:val="22"/>
          <w:szCs w:val="22"/>
        </w:rPr>
        <w:t xml:space="preserve"> et al. reveal that various barriers such as poor quality of regulation, low awareness of AMR, info</w:t>
      </w:r>
      <w:r>
        <w:rPr>
          <w:rFonts w:ascii="Arial" w:hAnsi="Arial" w:cs="Arial"/>
          <w:sz w:val="22"/>
          <w:szCs w:val="22"/>
        </w:rPr>
        <w:t>rmal practices, selfish motives</w:t>
      </w:r>
      <w:r w:rsidRPr="00015E49">
        <w:rPr>
          <w:rFonts w:ascii="Arial" w:hAnsi="Arial" w:cs="Arial"/>
          <w:sz w:val="22"/>
          <w:szCs w:val="22"/>
        </w:rPr>
        <w:t xml:space="preserve"> and social-economic status prevent antibiotics from being used inappropriately</w:t>
      </w:r>
      <w:r>
        <w:rPr>
          <w:rFonts w:ascii="Arial" w:hAnsi="Arial" w:cs="Arial"/>
          <w:sz w:val="22"/>
          <w:szCs w:val="22"/>
        </w:rPr>
        <w:t xml:space="preserve"> (</w:t>
      </w:r>
      <w:proofErr w:type="spellStart"/>
      <w:r w:rsidRPr="00015E49">
        <w:rPr>
          <w:rFonts w:ascii="Arial" w:hAnsi="Arial" w:cs="Arial"/>
          <w:sz w:val="22"/>
          <w:szCs w:val="22"/>
        </w:rPr>
        <w:t>Bajwa</w:t>
      </w:r>
      <w:proofErr w:type="spellEnd"/>
      <w:r w:rsidRPr="00015E49">
        <w:rPr>
          <w:rFonts w:ascii="Arial" w:hAnsi="Arial" w:cs="Arial"/>
          <w:sz w:val="22"/>
          <w:szCs w:val="22"/>
        </w:rPr>
        <w:t xml:space="preserve"> et al., 2024). The results of the research add to the idea of systemic approach as the relationship between consu</w:t>
      </w:r>
      <w:r>
        <w:rPr>
          <w:rFonts w:ascii="Arial" w:hAnsi="Arial" w:cs="Arial"/>
          <w:sz w:val="22"/>
          <w:szCs w:val="22"/>
        </w:rPr>
        <w:t>mers, prescribers, drug sellers</w:t>
      </w:r>
      <w:r w:rsidRPr="00015E49">
        <w:rPr>
          <w:rFonts w:ascii="Arial" w:hAnsi="Arial" w:cs="Arial"/>
          <w:sz w:val="22"/>
          <w:szCs w:val="22"/>
        </w:rPr>
        <w:t xml:space="preserve"> and regulators influences the situation. National consumption data also remains an important surveillance gap. Mustafa et al. </w:t>
      </w:r>
      <w:r w:rsidRPr="00015E49">
        <w:rPr>
          <w:rFonts w:ascii="Arial" w:hAnsi="Arial" w:cs="Arial"/>
          <w:sz w:val="22"/>
          <w:szCs w:val="22"/>
        </w:rPr>
        <w:lastRenderedPageBreak/>
        <w:t>demonstrated regional and national trends in antimicrobial consumption from 2019 to 2021, but the study itself reflects the broader challenge of obtaining high-quality, comparable consumption data across Pakistan (Mustafa et al., 2023).</w:t>
      </w:r>
    </w:p>
    <w:p w14:paraId="329606F0"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6" w:name="_Toc238647383"/>
      <w:r w:rsidRPr="00A55E23">
        <w:rPr>
          <w:rFonts w:asciiTheme="minorBidi" w:hAnsiTheme="minorBidi" w:cstheme="minorBidi"/>
          <w:b/>
          <w:bCs/>
          <w:i/>
          <w:iCs/>
          <w:color w:val="000000" w:themeColor="text1"/>
          <w:sz w:val="22"/>
          <w:szCs w:val="22"/>
        </w:rPr>
        <w:t>2.2.7 Critical synthesis and research gap</w:t>
      </w:r>
      <w:bookmarkEnd w:id="36"/>
    </w:p>
    <w:p w14:paraId="4094FF40"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The literature collectively points to the fact that there is considerable information regarding the misuse of antibiotics, AMR knowledge and stewardship issues in Pakistan. However, the level of evidence is uneven in four different ways.</w:t>
      </w:r>
    </w:p>
    <w:p w14:paraId="2F1120D4" w14:textId="77777777" w:rsidR="00D340EB" w:rsidRPr="00015E49" w:rsidRDefault="00D340EB" w:rsidP="00D340EB">
      <w:pPr>
        <w:numPr>
          <w:ilvl w:val="0"/>
          <w:numId w:val="32"/>
        </w:numPr>
        <w:spacing w:after="120" w:line="360" w:lineRule="auto"/>
        <w:jc w:val="both"/>
        <w:rPr>
          <w:rFonts w:ascii="Arial" w:hAnsi="Arial" w:cs="Arial"/>
          <w:sz w:val="22"/>
          <w:szCs w:val="22"/>
        </w:rPr>
      </w:pPr>
      <w:r>
        <w:rPr>
          <w:rFonts w:ascii="Arial" w:hAnsi="Arial" w:cs="Arial"/>
          <w:sz w:val="22"/>
          <w:szCs w:val="22"/>
        </w:rPr>
        <w:t>Initially, many</w:t>
      </w:r>
      <w:r w:rsidRPr="00015E49">
        <w:rPr>
          <w:rFonts w:ascii="Arial" w:hAnsi="Arial" w:cs="Arial"/>
          <w:sz w:val="22"/>
          <w:szCs w:val="22"/>
        </w:rPr>
        <w:t xml:space="preserve"> </w:t>
      </w:r>
      <w:r>
        <w:rPr>
          <w:rFonts w:ascii="Arial" w:hAnsi="Arial" w:cs="Arial"/>
          <w:sz w:val="22"/>
          <w:szCs w:val="22"/>
        </w:rPr>
        <w:t>studies were localized in Punjab state</w:t>
      </w:r>
      <w:r w:rsidRPr="00015E49">
        <w:rPr>
          <w:rFonts w:ascii="Arial" w:hAnsi="Arial" w:cs="Arial"/>
          <w:sz w:val="22"/>
          <w:szCs w:val="22"/>
        </w:rPr>
        <w:t xml:space="preserve"> Lahore, Islamabad and some other selected regions and is rarely done at a national level. </w:t>
      </w:r>
    </w:p>
    <w:p w14:paraId="3F25320B" w14:textId="77777777" w:rsidR="00D340EB" w:rsidRPr="00015E49" w:rsidRDefault="00D340EB" w:rsidP="00D340EB">
      <w:pPr>
        <w:numPr>
          <w:ilvl w:val="0"/>
          <w:numId w:val="32"/>
        </w:numPr>
        <w:spacing w:after="120" w:line="360" w:lineRule="auto"/>
        <w:jc w:val="both"/>
        <w:rPr>
          <w:rFonts w:ascii="Arial" w:hAnsi="Arial" w:cs="Arial"/>
          <w:sz w:val="22"/>
          <w:szCs w:val="22"/>
        </w:rPr>
      </w:pPr>
      <w:r w:rsidRPr="00015E49">
        <w:rPr>
          <w:rFonts w:ascii="Arial" w:hAnsi="Arial" w:cs="Arial"/>
          <w:sz w:val="22"/>
          <w:szCs w:val="22"/>
        </w:rPr>
        <w:t>Secondly, KAP study materials vary significantly in definitions and grading, thus making it difficult to compare the results directly.</w:t>
      </w:r>
    </w:p>
    <w:p w14:paraId="10FD9F59" w14:textId="77777777" w:rsidR="00D340EB" w:rsidRPr="00015E49" w:rsidRDefault="00D340EB" w:rsidP="00D340EB">
      <w:pPr>
        <w:numPr>
          <w:ilvl w:val="0"/>
          <w:numId w:val="32"/>
        </w:numPr>
        <w:spacing w:after="120" w:line="360" w:lineRule="auto"/>
        <w:jc w:val="both"/>
        <w:rPr>
          <w:rFonts w:ascii="Arial" w:hAnsi="Arial" w:cs="Arial"/>
          <w:sz w:val="22"/>
          <w:szCs w:val="22"/>
        </w:rPr>
      </w:pPr>
      <w:r w:rsidRPr="00015E49">
        <w:rPr>
          <w:rFonts w:ascii="Arial" w:hAnsi="Arial" w:cs="Arial"/>
          <w:sz w:val="22"/>
          <w:szCs w:val="22"/>
        </w:rPr>
        <w:t>Thirdly, most research studies assess people’s knowl</w:t>
      </w:r>
      <w:r>
        <w:rPr>
          <w:rFonts w:ascii="Arial" w:hAnsi="Arial" w:cs="Arial"/>
          <w:sz w:val="22"/>
          <w:szCs w:val="22"/>
        </w:rPr>
        <w:t>edge and self-reported behavior,</w:t>
      </w:r>
      <w:r w:rsidRPr="00015E49">
        <w:rPr>
          <w:rFonts w:ascii="Arial" w:hAnsi="Arial" w:cs="Arial"/>
          <w:sz w:val="22"/>
          <w:szCs w:val="22"/>
        </w:rPr>
        <w:t xml:space="preserve"> but they do not seek to find the causal connections between education, earnings, gender, </w:t>
      </w:r>
      <w:proofErr w:type="gramStart"/>
      <w:r w:rsidRPr="00015E49">
        <w:rPr>
          <w:rFonts w:ascii="Arial" w:hAnsi="Arial" w:cs="Arial"/>
          <w:sz w:val="22"/>
          <w:szCs w:val="22"/>
        </w:rPr>
        <w:t>healthcare</w:t>
      </w:r>
      <w:proofErr w:type="gramEnd"/>
      <w:r w:rsidRPr="00015E49">
        <w:rPr>
          <w:rFonts w:ascii="Arial" w:hAnsi="Arial" w:cs="Arial"/>
          <w:sz w:val="22"/>
          <w:szCs w:val="22"/>
        </w:rPr>
        <w:t xml:space="preserve"> affordability, the level of regulation enforcement, social habits and economic incentives.</w:t>
      </w:r>
    </w:p>
    <w:p w14:paraId="6CD6DA84" w14:textId="77777777" w:rsidR="00D340EB" w:rsidRPr="00015E49" w:rsidRDefault="00D340EB" w:rsidP="00D340EB">
      <w:pPr>
        <w:numPr>
          <w:ilvl w:val="0"/>
          <w:numId w:val="32"/>
        </w:numPr>
        <w:spacing w:after="120" w:line="360" w:lineRule="auto"/>
        <w:jc w:val="both"/>
        <w:rPr>
          <w:rFonts w:ascii="Arial" w:hAnsi="Arial" w:cs="Arial"/>
          <w:sz w:val="22"/>
          <w:szCs w:val="22"/>
        </w:rPr>
      </w:pPr>
      <w:r w:rsidRPr="00015E49">
        <w:rPr>
          <w:rFonts w:ascii="Arial" w:hAnsi="Arial" w:cs="Arial"/>
          <w:sz w:val="22"/>
          <w:szCs w:val="22"/>
        </w:rPr>
        <w:t>Fourthly, there are very few studies that contain the position of the community members, parents, healthcare workers, pharmacists and regulators in relation to the same social causes for the problem.</w:t>
      </w:r>
    </w:p>
    <w:p w14:paraId="0989FB35"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Moreover, there is evidence that better knowledge does not lead to better practice, which may be the most crucial conceptual flaw which the authors are going to try to address. People may self-medicate because consultation is unaffordable; pharmacies may dispense because customers demand rapid treatment; clinicians may prescribe because of patient expectations or </w:t>
      </w:r>
      <w:r>
        <w:rPr>
          <w:rFonts w:ascii="Arial" w:hAnsi="Arial" w:cs="Arial"/>
          <w:sz w:val="22"/>
          <w:szCs w:val="22"/>
        </w:rPr>
        <w:t>SE</w:t>
      </w:r>
      <w:r w:rsidRPr="00015E49">
        <w:rPr>
          <w:rFonts w:ascii="Arial" w:hAnsi="Arial" w:cs="Arial"/>
          <w:sz w:val="22"/>
          <w:szCs w:val="22"/>
        </w:rPr>
        <w:t xml:space="preserve"> circumstances; and regulators may struggle because of limited enforcement capacity. Consequently, KAP should be interpreted as an outcome of interacting social, economic, </w:t>
      </w:r>
      <w:proofErr w:type="gramStart"/>
      <w:r w:rsidRPr="00015E49">
        <w:rPr>
          <w:rFonts w:ascii="Arial" w:hAnsi="Arial" w:cs="Arial"/>
          <w:sz w:val="22"/>
          <w:szCs w:val="22"/>
        </w:rPr>
        <w:t>cultural</w:t>
      </w:r>
      <w:proofErr w:type="gramEnd"/>
      <w:r w:rsidRPr="00015E49">
        <w:rPr>
          <w:rFonts w:ascii="Arial" w:hAnsi="Arial" w:cs="Arial"/>
          <w:sz w:val="22"/>
          <w:szCs w:val="22"/>
        </w:rPr>
        <w:t xml:space="preserve"> and health-system determinants rather than as a standalone individual attribute.</w:t>
      </w:r>
    </w:p>
    <w:p w14:paraId="0D76E079"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This interpretation is consistent with recent evidence reviews. </w:t>
      </w:r>
      <w:proofErr w:type="spellStart"/>
      <w:r w:rsidRPr="00015E49">
        <w:rPr>
          <w:rFonts w:ascii="Arial" w:hAnsi="Arial" w:cs="Arial"/>
          <w:sz w:val="22"/>
          <w:szCs w:val="22"/>
        </w:rPr>
        <w:t>Shutt</w:t>
      </w:r>
      <w:proofErr w:type="spellEnd"/>
      <w:r w:rsidRPr="00015E49">
        <w:rPr>
          <w:rFonts w:ascii="Arial" w:hAnsi="Arial" w:cs="Arial"/>
          <w:sz w:val="22"/>
          <w:szCs w:val="22"/>
        </w:rPr>
        <w:t xml:space="preserve"> et al. concluded that KAP studies commonly identify 'what' </w:t>
      </w:r>
      <w:proofErr w:type="spellStart"/>
      <w:r w:rsidRPr="00015E49">
        <w:rPr>
          <w:rFonts w:ascii="Arial" w:hAnsi="Arial" w:cs="Arial"/>
          <w:sz w:val="22"/>
          <w:szCs w:val="22"/>
        </w:rPr>
        <w:t>behaviours</w:t>
      </w:r>
      <w:proofErr w:type="spellEnd"/>
      <w:r w:rsidRPr="00015E49">
        <w:rPr>
          <w:rFonts w:ascii="Arial" w:hAnsi="Arial" w:cs="Arial"/>
          <w:sz w:val="22"/>
          <w:szCs w:val="22"/>
        </w:rPr>
        <w:t xml:space="preserve"> occur but rarely explain 'why' they occur in relation to social determinants (</w:t>
      </w:r>
      <w:proofErr w:type="spellStart"/>
      <w:r w:rsidRPr="00015E49">
        <w:rPr>
          <w:rFonts w:ascii="Arial" w:hAnsi="Arial" w:cs="Arial"/>
          <w:sz w:val="22"/>
          <w:szCs w:val="22"/>
        </w:rPr>
        <w:t>Shutt</w:t>
      </w:r>
      <w:proofErr w:type="spellEnd"/>
      <w:r w:rsidRPr="00015E49">
        <w:rPr>
          <w:rFonts w:ascii="Arial" w:hAnsi="Arial" w:cs="Arial"/>
          <w:sz w:val="22"/>
          <w:szCs w:val="22"/>
        </w:rPr>
        <w:t xml:space="preserve"> et al., 2025). For the present SLR, this provides a clear justification for </w:t>
      </w:r>
      <w:proofErr w:type="spellStart"/>
      <w:r w:rsidRPr="00015E49">
        <w:rPr>
          <w:rFonts w:ascii="Arial" w:hAnsi="Arial" w:cs="Arial"/>
          <w:sz w:val="22"/>
          <w:szCs w:val="22"/>
        </w:rPr>
        <w:t>synthesising</w:t>
      </w:r>
      <w:proofErr w:type="spellEnd"/>
      <w:r w:rsidRPr="00015E49">
        <w:rPr>
          <w:rFonts w:ascii="Arial" w:hAnsi="Arial" w:cs="Arial"/>
          <w:sz w:val="22"/>
          <w:szCs w:val="22"/>
        </w:rPr>
        <w:t xml:space="preserve"> evidence according to determinants rather than simply reporting percentages of correct knowledge or inappropriate practice. A social-d</w:t>
      </w:r>
      <w:r>
        <w:rPr>
          <w:rFonts w:ascii="Arial" w:hAnsi="Arial" w:cs="Arial"/>
          <w:sz w:val="22"/>
          <w:szCs w:val="22"/>
        </w:rPr>
        <w:t>eterminants approach can organiz</w:t>
      </w:r>
      <w:r w:rsidRPr="00015E49">
        <w:rPr>
          <w:rFonts w:ascii="Arial" w:hAnsi="Arial" w:cs="Arial"/>
          <w:sz w:val="22"/>
          <w:szCs w:val="22"/>
        </w:rPr>
        <w:t>e the evidence into individual characteristi</w:t>
      </w:r>
      <w:r>
        <w:rPr>
          <w:rFonts w:ascii="Arial" w:hAnsi="Arial" w:cs="Arial"/>
          <w:sz w:val="22"/>
          <w:szCs w:val="22"/>
        </w:rPr>
        <w:t>cs,</w:t>
      </w:r>
      <w:r w:rsidRPr="00015E49">
        <w:rPr>
          <w:rFonts w:ascii="Arial" w:hAnsi="Arial" w:cs="Arial"/>
          <w:sz w:val="22"/>
          <w:szCs w:val="22"/>
        </w:rPr>
        <w:t xml:space="preserve"> interpersonal influences (family, previous prescriptions and patient expectations), community and commercial influences (pharmacies, social norms and medicine </w:t>
      </w:r>
      <w:r w:rsidRPr="00015E49">
        <w:rPr>
          <w:rFonts w:ascii="Arial" w:hAnsi="Arial" w:cs="Arial"/>
          <w:sz w:val="22"/>
          <w:szCs w:val="22"/>
        </w:rPr>
        <w:lastRenderedPageBreak/>
        <w:t>availability), and structural factors (poverty, healthcare affordability, governance, regulation, WASH and health-system capacity).</w:t>
      </w:r>
    </w:p>
    <w:p w14:paraId="248E289F" w14:textId="77777777" w:rsidR="00D340EB" w:rsidRPr="00015E49" w:rsidRDefault="00D340EB" w:rsidP="00D340EB">
      <w:pPr>
        <w:spacing w:after="120" w:line="360" w:lineRule="auto"/>
        <w:jc w:val="both"/>
        <w:rPr>
          <w:rFonts w:ascii="Arial" w:hAnsi="Arial" w:cs="Arial"/>
          <w:sz w:val="22"/>
          <w:szCs w:val="22"/>
        </w:rPr>
      </w:pPr>
      <w:r w:rsidRPr="00015E49">
        <w:rPr>
          <w:rFonts w:ascii="Arial" w:hAnsi="Arial" w:cs="Arial"/>
          <w:sz w:val="22"/>
          <w:szCs w:val="22"/>
        </w:rPr>
        <w:t xml:space="preserve">The literature therefore supports a systematic review that goes beyond estimating the prevalence of poor KAP. The review should identify which social determinants are consistently associated with AMR-related </w:t>
      </w:r>
      <w:r>
        <w:rPr>
          <w:rFonts w:ascii="Arial" w:hAnsi="Arial" w:cs="Arial"/>
          <w:sz w:val="22"/>
          <w:szCs w:val="22"/>
        </w:rPr>
        <w:t>KAP</w:t>
      </w:r>
      <w:r w:rsidRPr="00015E49">
        <w:rPr>
          <w:rFonts w:ascii="Arial" w:hAnsi="Arial" w:cs="Arial"/>
          <w:sz w:val="22"/>
          <w:szCs w:val="22"/>
        </w:rPr>
        <w:t xml:space="preserve">, examine whether associations differ across population groups, and distinguish modifiable determinants from broader structural conditions. It should also critically consider whether studies use validated instruments, representative sampling, </w:t>
      </w:r>
      <w:proofErr w:type="gramStart"/>
      <w:r w:rsidRPr="00015E49">
        <w:rPr>
          <w:rFonts w:ascii="Arial" w:hAnsi="Arial" w:cs="Arial"/>
          <w:sz w:val="22"/>
          <w:szCs w:val="22"/>
        </w:rPr>
        <w:t>appropriate</w:t>
      </w:r>
      <w:proofErr w:type="gramEnd"/>
      <w:r w:rsidRPr="00015E49">
        <w:rPr>
          <w:rFonts w:ascii="Arial" w:hAnsi="Arial" w:cs="Arial"/>
          <w:sz w:val="22"/>
          <w:szCs w:val="22"/>
        </w:rPr>
        <w:t xml:space="preserve"> adjustment for confounding and objective measures of antibiotic use. Such an approach can help identify where interventions should focus education alone may be insufficient when financial, regulatory or access barriers remain.</w:t>
      </w:r>
    </w:p>
    <w:p w14:paraId="7CB92B1B" w14:textId="77777777" w:rsidR="00D340EB" w:rsidRPr="00A55E23" w:rsidRDefault="00D340EB" w:rsidP="00A55E23">
      <w:pPr>
        <w:pStyle w:val="Heading2"/>
        <w:rPr>
          <w:rFonts w:asciiTheme="minorBidi" w:hAnsiTheme="minorBidi" w:cstheme="minorBidi"/>
          <w:b/>
          <w:bCs/>
          <w:color w:val="000000" w:themeColor="text1"/>
          <w:sz w:val="22"/>
          <w:szCs w:val="22"/>
        </w:rPr>
      </w:pPr>
      <w:bookmarkStart w:id="37" w:name="_Toc238647384"/>
      <w:r w:rsidRPr="00A55E23">
        <w:rPr>
          <w:rFonts w:asciiTheme="minorBidi" w:hAnsiTheme="minorBidi" w:cstheme="minorBidi"/>
          <w:b/>
          <w:bCs/>
          <w:color w:val="000000" w:themeColor="text1"/>
          <w:sz w:val="22"/>
          <w:szCs w:val="22"/>
        </w:rPr>
        <w:t>2.3 Chapter Summary</w:t>
      </w:r>
      <w:bookmarkEnd w:id="37"/>
    </w:p>
    <w:p w14:paraId="66B7B8B9" w14:textId="77777777" w:rsidR="00D340EB" w:rsidRDefault="00D340EB" w:rsidP="00D340EB">
      <w:pPr>
        <w:spacing w:line="360" w:lineRule="auto"/>
        <w:jc w:val="both"/>
        <w:rPr>
          <w:rFonts w:ascii="Arial" w:hAnsi="Arial" w:cs="Arial"/>
          <w:sz w:val="22"/>
          <w:szCs w:val="22"/>
        </w:rPr>
      </w:pPr>
      <w:r>
        <w:rPr>
          <w:rFonts w:ascii="Arial" w:hAnsi="Arial" w:cs="Arial"/>
          <w:sz w:val="22"/>
          <w:szCs w:val="22"/>
        </w:rPr>
        <w:t>The chapter has examined evidence related to KAP about AMR and antibiotics in Pakistan, as well as the social determinants that help shape these outcomes. The findings of the available literature suggest that there are many misconceptions regarding the use of antibiotics, self-medication, and dispensing that have not gone through proper professional practice knowledge. The literature reports several factors in the matter, including education, social class, the cost of healthcare, patient expectations, and others. However, the evidence produced is mostly fragmentary and has a limited geographical scope. One of the main flaws in the research of KAP is that researchers simply describe the activities without addressing the structural causes behind them. Chapter 3 details the systematic methodology used to retrieve and synthesize empirical evidence answering these gaps.</w:t>
      </w:r>
    </w:p>
    <w:p w14:paraId="31366C3F" w14:textId="77777777" w:rsidR="00D340EB" w:rsidRPr="00015E49" w:rsidRDefault="00D340EB" w:rsidP="00D340EB">
      <w:pPr>
        <w:spacing w:line="360" w:lineRule="auto"/>
        <w:jc w:val="both"/>
        <w:rPr>
          <w:rFonts w:ascii="Arial" w:hAnsi="Arial" w:cs="Arial"/>
          <w:b/>
          <w:bCs/>
          <w:sz w:val="22"/>
          <w:szCs w:val="22"/>
        </w:rPr>
      </w:pPr>
    </w:p>
    <w:p w14:paraId="0FE37AF7" w14:textId="77777777" w:rsidR="00D340EB" w:rsidRPr="00015E49" w:rsidRDefault="00D340EB" w:rsidP="00D340EB">
      <w:pPr>
        <w:spacing w:line="360" w:lineRule="auto"/>
        <w:jc w:val="both"/>
        <w:rPr>
          <w:rFonts w:ascii="Arial" w:hAnsi="Arial" w:cs="Arial"/>
          <w:b/>
          <w:bCs/>
          <w:sz w:val="22"/>
          <w:szCs w:val="22"/>
        </w:rPr>
      </w:pPr>
    </w:p>
    <w:p w14:paraId="24F1138C" w14:textId="77777777" w:rsidR="00D340EB" w:rsidRPr="00015E49" w:rsidRDefault="00D340EB" w:rsidP="00D340EB">
      <w:pPr>
        <w:spacing w:line="360" w:lineRule="auto"/>
        <w:jc w:val="both"/>
        <w:rPr>
          <w:rFonts w:ascii="Arial" w:hAnsi="Arial" w:cs="Arial"/>
          <w:b/>
          <w:bCs/>
          <w:sz w:val="22"/>
          <w:szCs w:val="22"/>
        </w:rPr>
      </w:pPr>
    </w:p>
    <w:p w14:paraId="4F87B614" w14:textId="77777777" w:rsidR="00D340EB" w:rsidRPr="00015E49" w:rsidRDefault="00D340EB" w:rsidP="00D340EB">
      <w:pPr>
        <w:spacing w:line="360" w:lineRule="auto"/>
        <w:jc w:val="both"/>
        <w:rPr>
          <w:rFonts w:ascii="Arial" w:hAnsi="Arial" w:cs="Arial"/>
          <w:b/>
          <w:bCs/>
          <w:sz w:val="22"/>
          <w:szCs w:val="22"/>
        </w:rPr>
      </w:pPr>
    </w:p>
    <w:p w14:paraId="27F02F35" w14:textId="77777777" w:rsidR="00D340EB" w:rsidRPr="00015E49" w:rsidRDefault="00D340EB" w:rsidP="00D340EB">
      <w:pPr>
        <w:spacing w:line="360" w:lineRule="auto"/>
        <w:rPr>
          <w:rFonts w:ascii="Arial" w:hAnsi="Arial" w:cs="Arial"/>
          <w:b/>
          <w:bCs/>
          <w:sz w:val="22"/>
          <w:szCs w:val="22"/>
        </w:rPr>
      </w:pPr>
    </w:p>
    <w:p w14:paraId="444FBD33" w14:textId="77777777" w:rsidR="00D340EB" w:rsidRPr="00A55E23" w:rsidRDefault="00D340EB" w:rsidP="00A55E23">
      <w:pPr>
        <w:pStyle w:val="Heading1"/>
        <w:jc w:val="center"/>
        <w:rPr>
          <w:rFonts w:asciiTheme="minorBidi" w:hAnsiTheme="minorBidi" w:cstheme="minorBidi"/>
          <w:b/>
          <w:bCs/>
          <w:color w:val="000000" w:themeColor="text1"/>
          <w:sz w:val="22"/>
          <w:szCs w:val="22"/>
        </w:rPr>
      </w:pPr>
      <w:bookmarkStart w:id="38" w:name="_Toc238647385"/>
      <w:r w:rsidRPr="00A55E23">
        <w:rPr>
          <w:rFonts w:asciiTheme="minorBidi" w:hAnsiTheme="minorBidi" w:cstheme="minorBidi"/>
          <w:b/>
          <w:bCs/>
          <w:color w:val="000000" w:themeColor="text1"/>
          <w:sz w:val="22"/>
          <w:szCs w:val="22"/>
        </w:rPr>
        <w:t>CHAPTER 3: METHODOLOGY</w:t>
      </w:r>
      <w:bookmarkEnd w:id="38"/>
    </w:p>
    <w:p w14:paraId="421A292A"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39" w:name="_Toc238647386"/>
      <w:r w:rsidRPr="00A55E23">
        <w:rPr>
          <w:rFonts w:asciiTheme="minorBidi" w:hAnsiTheme="minorBidi" w:cstheme="minorBidi"/>
          <w:b/>
          <w:bCs/>
          <w:i/>
          <w:iCs/>
          <w:color w:val="000000" w:themeColor="text1"/>
          <w:sz w:val="22"/>
          <w:szCs w:val="22"/>
        </w:rPr>
        <w:t>3.1 Introduction to Chapter</w:t>
      </w:r>
      <w:bookmarkEnd w:id="39"/>
    </w:p>
    <w:p w14:paraId="00AA0FB8"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 xml:space="preserve">This chapter describes the methodology used in this systematic review. It explains in detail the steps and procedures carried out to accomplish rigorous, reproducible, and transparent synthesis of the available empirical evidence regarding the social determinants affecting KAP related to AMR in </w:t>
      </w:r>
      <w:r w:rsidRPr="00015E49">
        <w:rPr>
          <w:rFonts w:ascii="Arial" w:hAnsi="Arial" w:cs="Arial"/>
          <w:sz w:val="22"/>
          <w:szCs w:val="22"/>
        </w:rPr>
        <w:lastRenderedPageBreak/>
        <w:t>Pakistan</w:t>
      </w:r>
      <w:r>
        <w:rPr>
          <w:rFonts w:ascii="Arial" w:hAnsi="Arial" w:cs="Arial"/>
          <w:sz w:val="22"/>
          <w:szCs w:val="22"/>
        </w:rPr>
        <w:t>.</w:t>
      </w:r>
      <w:r w:rsidRPr="00015E49">
        <w:rPr>
          <w:rFonts w:ascii="Arial" w:hAnsi="Arial" w:cs="Arial"/>
          <w:sz w:val="22"/>
          <w:szCs w:val="22"/>
        </w:rPr>
        <w:t xml:space="preserve"> The following sections describe the search strategy, databases chosen for selection, criteria for inclusion/exclusion, data extraction methodology, and ethical issues related to this research.</w:t>
      </w:r>
    </w:p>
    <w:p w14:paraId="1729C90F"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0" w:name="_Toc238647387"/>
      <w:r w:rsidRPr="00A55E23">
        <w:rPr>
          <w:rFonts w:asciiTheme="minorBidi" w:hAnsiTheme="minorBidi" w:cstheme="minorBidi"/>
          <w:b/>
          <w:bCs/>
          <w:i/>
          <w:iCs/>
          <w:color w:val="000000" w:themeColor="text1"/>
          <w:sz w:val="22"/>
          <w:szCs w:val="22"/>
        </w:rPr>
        <w:t>3.2 Systematic Literature Review (SLR)</w:t>
      </w:r>
      <w:bookmarkEnd w:id="40"/>
    </w:p>
    <w:p w14:paraId="3912F54E" w14:textId="77777777" w:rsidR="00D340EB" w:rsidRDefault="00D340EB" w:rsidP="00D340EB">
      <w:pPr>
        <w:spacing w:line="360" w:lineRule="auto"/>
        <w:jc w:val="both"/>
        <w:rPr>
          <w:rFonts w:ascii="Arial" w:hAnsi="Arial" w:cs="Arial"/>
          <w:color w:val="000000"/>
          <w:sz w:val="22"/>
          <w:szCs w:val="22"/>
        </w:rPr>
      </w:pPr>
      <w:r>
        <w:rPr>
          <w:rFonts w:ascii="Arial" w:hAnsi="Arial" w:cs="Arial"/>
          <w:color w:val="000000"/>
          <w:sz w:val="22"/>
          <w:szCs w:val="22"/>
        </w:rPr>
        <w:t>A Systematic Literature Review (SLR) is a structured, precise methodology that seeks out all high-caliber, reliable empirical literature on a particular topic relevant to a particular research question (Munn et al., 2018). The SLR differs from a narrative review in that it uses a pre-defined, auditable protocol (</w:t>
      </w:r>
      <w:proofErr w:type="spellStart"/>
      <w:r>
        <w:rPr>
          <w:rFonts w:ascii="Arial" w:hAnsi="Arial" w:cs="Arial"/>
          <w:color w:val="000000"/>
          <w:sz w:val="22"/>
          <w:szCs w:val="22"/>
        </w:rPr>
        <w:t>Heaslip</w:t>
      </w:r>
      <w:proofErr w:type="spellEnd"/>
      <w:r>
        <w:rPr>
          <w:rFonts w:ascii="Arial" w:hAnsi="Arial" w:cs="Arial"/>
          <w:color w:val="000000"/>
          <w:sz w:val="22"/>
          <w:szCs w:val="22"/>
        </w:rPr>
        <w:t>, 2019).</w:t>
      </w:r>
    </w:p>
    <w:p w14:paraId="275980CD"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1" w:name="_Toc238647388"/>
      <w:r w:rsidRPr="00A55E23">
        <w:rPr>
          <w:rFonts w:asciiTheme="minorBidi" w:hAnsiTheme="minorBidi" w:cstheme="minorBidi"/>
          <w:b/>
          <w:bCs/>
          <w:i/>
          <w:iCs/>
          <w:color w:val="000000" w:themeColor="text1"/>
          <w:sz w:val="22"/>
          <w:szCs w:val="22"/>
        </w:rPr>
        <w:t>3.3 Search Strategy</w:t>
      </w:r>
      <w:bookmarkEnd w:id="41"/>
    </w:p>
    <w:p w14:paraId="2FAEF0F8" w14:textId="77777777" w:rsidR="00D340EB" w:rsidRDefault="00D340EB" w:rsidP="00D340EB">
      <w:pPr>
        <w:spacing w:line="360" w:lineRule="auto"/>
        <w:jc w:val="both"/>
        <w:rPr>
          <w:rFonts w:ascii="Arial" w:hAnsi="Arial" w:cs="Arial"/>
          <w:color w:val="000000"/>
          <w:sz w:val="22"/>
          <w:szCs w:val="22"/>
        </w:rPr>
      </w:pPr>
      <w:r>
        <w:rPr>
          <w:rFonts w:ascii="Arial" w:hAnsi="Arial" w:cs="Arial"/>
          <w:color w:val="000000"/>
          <w:sz w:val="22"/>
          <w:szCs w:val="22"/>
        </w:rPr>
        <w:t>The strategy for searching is a methodical plan that makes use of academic databases to find papers that relate to a certain topic. For optimal results, the PEO framework (Population, Exposure, Outcome) should be used, as it is most effective for qualitative and observational public health research when studying factors relevant for social conditions (</w:t>
      </w:r>
      <w:proofErr w:type="spellStart"/>
      <w:r>
        <w:rPr>
          <w:rFonts w:ascii="Arial" w:hAnsi="Arial" w:cs="Arial"/>
          <w:color w:val="000000"/>
          <w:sz w:val="22"/>
          <w:szCs w:val="22"/>
        </w:rPr>
        <w:t>Heaslip</w:t>
      </w:r>
      <w:proofErr w:type="spellEnd"/>
      <w:r>
        <w:rPr>
          <w:rFonts w:ascii="Arial" w:hAnsi="Arial" w:cs="Arial"/>
          <w:color w:val="000000"/>
          <w:sz w:val="22"/>
          <w:szCs w:val="22"/>
        </w:rPr>
        <w:t xml:space="preserve">, 2017; </w:t>
      </w:r>
      <w:proofErr w:type="spellStart"/>
      <w:r w:rsidRPr="005F25BB">
        <w:rPr>
          <w:rFonts w:ascii="Arial" w:hAnsi="Arial" w:cs="Arial"/>
          <w:color w:val="000000"/>
          <w:sz w:val="22"/>
          <w:szCs w:val="22"/>
        </w:rPr>
        <w:t>Saleem</w:t>
      </w:r>
      <w:proofErr w:type="spellEnd"/>
      <w:r w:rsidRPr="005F25BB">
        <w:rPr>
          <w:rFonts w:ascii="Arial" w:hAnsi="Arial" w:cs="Arial"/>
          <w:color w:val="000000"/>
          <w:sz w:val="22"/>
          <w:szCs w:val="22"/>
        </w:rPr>
        <w:t xml:space="preserve"> et al., 2026</w:t>
      </w:r>
      <w:r>
        <w:rPr>
          <w:rFonts w:ascii="Arial" w:hAnsi="Arial" w:cs="Arial"/>
          <w:color w:val="000000"/>
          <w:sz w:val="22"/>
          <w:szCs w:val="22"/>
        </w:rPr>
        <w:t>). The research conducted included a vast database search that looked for peer-reviewed publications released during the time frame from 2015 until 2025.</w:t>
      </w:r>
    </w:p>
    <w:p w14:paraId="655F3248"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 xml:space="preserve">Table 1: PEO Search Framework and data </w:t>
      </w:r>
      <w:proofErr w:type="gramStart"/>
      <w:r w:rsidRPr="00015E49">
        <w:rPr>
          <w:rFonts w:ascii="Arial" w:hAnsi="Arial" w:cs="Arial"/>
          <w:sz w:val="22"/>
          <w:szCs w:val="22"/>
        </w:rPr>
        <w:t>Mapping</w:t>
      </w:r>
      <w:proofErr w:type="gramEnd"/>
      <w:r w:rsidRPr="00015E49">
        <w:rPr>
          <w:rFonts w:ascii="Arial" w:hAnsi="Arial" w:cs="Arial"/>
          <w:sz w:val="22"/>
          <w:szCs w:val="22"/>
        </w:rPr>
        <w:t>.</w:t>
      </w: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32"/>
        <w:gridCol w:w="3259"/>
        <w:gridCol w:w="5188"/>
      </w:tblGrid>
      <w:tr w:rsidR="00D340EB" w:rsidRPr="00015E49" w14:paraId="7C805BB3" w14:textId="77777777" w:rsidTr="00775F7D">
        <w:trPr>
          <w:trHeight w:val="799"/>
          <w:tblHeader/>
          <w:tblCellSpacing w:w="15" w:type="dxa"/>
        </w:trPr>
        <w:tc>
          <w:tcPr>
            <w:tcW w:w="0" w:type="auto"/>
            <w:shd w:val="clear" w:color="auto" w:fill="A5C9EB"/>
            <w:vAlign w:val="center"/>
            <w:hideMark/>
          </w:tcPr>
          <w:p w14:paraId="1018EC58" w14:textId="77777777" w:rsidR="00D340EB" w:rsidRPr="00015E49" w:rsidRDefault="00D340EB" w:rsidP="00775F7D">
            <w:pPr>
              <w:spacing w:after="0" w:line="360" w:lineRule="auto"/>
              <w:jc w:val="center"/>
              <w:rPr>
                <w:rFonts w:ascii="Arial" w:eastAsia="Courier New" w:hAnsi="Arial" w:cs="Arial"/>
                <w:b/>
                <w:bCs/>
                <w:kern w:val="0"/>
                <w:sz w:val="22"/>
                <w:szCs w:val="22"/>
              </w:rPr>
            </w:pPr>
            <w:r w:rsidRPr="00015E49">
              <w:rPr>
                <w:rFonts w:ascii="Arial" w:eastAsia="Courier New" w:hAnsi="Arial" w:cs="Arial"/>
                <w:b/>
                <w:bCs/>
                <w:kern w:val="0"/>
                <w:sz w:val="22"/>
                <w:szCs w:val="22"/>
              </w:rPr>
              <w:t>Element</w:t>
            </w:r>
          </w:p>
        </w:tc>
        <w:tc>
          <w:tcPr>
            <w:tcW w:w="0" w:type="auto"/>
            <w:shd w:val="clear" w:color="auto" w:fill="A5C9EB"/>
            <w:vAlign w:val="center"/>
            <w:hideMark/>
          </w:tcPr>
          <w:p w14:paraId="272FACEF" w14:textId="77777777" w:rsidR="00D340EB" w:rsidRPr="00015E49" w:rsidRDefault="00D340EB" w:rsidP="00775F7D">
            <w:pPr>
              <w:spacing w:after="0" w:line="360" w:lineRule="auto"/>
              <w:jc w:val="center"/>
              <w:rPr>
                <w:rFonts w:ascii="Arial" w:eastAsia="Courier New" w:hAnsi="Arial" w:cs="Arial"/>
                <w:b/>
                <w:bCs/>
                <w:kern w:val="0"/>
                <w:sz w:val="22"/>
                <w:szCs w:val="22"/>
              </w:rPr>
            </w:pPr>
            <w:r w:rsidRPr="00015E49">
              <w:rPr>
                <w:rFonts w:ascii="Arial" w:eastAsia="Courier New" w:hAnsi="Arial" w:cs="Arial"/>
                <w:b/>
                <w:bCs/>
                <w:kern w:val="0"/>
                <w:sz w:val="22"/>
                <w:szCs w:val="22"/>
              </w:rPr>
              <w:t>Operational Definition</w:t>
            </w:r>
          </w:p>
        </w:tc>
        <w:tc>
          <w:tcPr>
            <w:tcW w:w="0" w:type="auto"/>
            <w:shd w:val="clear" w:color="auto" w:fill="A5C9EB"/>
            <w:vAlign w:val="center"/>
            <w:hideMark/>
          </w:tcPr>
          <w:p w14:paraId="6B0A12CE" w14:textId="77777777" w:rsidR="00D340EB" w:rsidRPr="00015E49" w:rsidRDefault="00D340EB" w:rsidP="00775F7D">
            <w:pPr>
              <w:spacing w:after="0" w:line="360" w:lineRule="auto"/>
              <w:jc w:val="center"/>
              <w:rPr>
                <w:rFonts w:ascii="Arial" w:eastAsia="Courier New" w:hAnsi="Arial" w:cs="Arial"/>
                <w:b/>
                <w:bCs/>
                <w:kern w:val="0"/>
                <w:sz w:val="22"/>
                <w:szCs w:val="22"/>
              </w:rPr>
            </w:pPr>
            <w:r w:rsidRPr="00015E49">
              <w:rPr>
                <w:rFonts w:ascii="Arial" w:eastAsia="Courier New" w:hAnsi="Arial" w:cs="Arial"/>
                <w:b/>
                <w:bCs/>
                <w:kern w:val="0"/>
                <w:sz w:val="22"/>
                <w:szCs w:val="22"/>
              </w:rPr>
              <w:t>Inclusion Criteria</w:t>
            </w:r>
          </w:p>
        </w:tc>
      </w:tr>
      <w:tr w:rsidR="00D340EB" w:rsidRPr="00015E49" w14:paraId="5B6A1046" w14:textId="77777777" w:rsidTr="00775F7D">
        <w:trPr>
          <w:tblCellSpacing w:w="15" w:type="dxa"/>
        </w:trPr>
        <w:tc>
          <w:tcPr>
            <w:tcW w:w="0" w:type="auto"/>
            <w:shd w:val="clear" w:color="auto" w:fill="FFFFFF"/>
            <w:vAlign w:val="center"/>
            <w:hideMark/>
          </w:tcPr>
          <w:p w14:paraId="634ACD66"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b/>
                <w:bCs/>
                <w:kern w:val="0"/>
                <w:sz w:val="22"/>
                <w:szCs w:val="22"/>
              </w:rPr>
              <w:t>Population</w:t>
            </w:r>
          </w:p>
        </w:tc>
        <w:tc>
          <w:tcPr>
            <w:tcW w:w="0" w:type="auto"/>
            <w:vAlign w:val="center"/>
            <w:hideMark/>
          </w:tcPr>
          <w:p w14:paraId="47B6A722"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kern w:val="0"/>
                <w:sz w:val="22"/>
                <w:szCs w:val="22"/>
              </w:rPr>
              <w:t>Individuals or groups whose AMR-related KAP has been investigated</w:t>
            </w:r>
          </w:p>
        </w:tc>
        <w:tc>
          <w:tcPr>
            <w:tcW w:w="0" w:type="auto"/>
            <w:vAlign w:val="center"/>
            <w:hideMark/>
          </w:tcPr>
          <w:p w14:paraId="45369E77"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kern w:val="0"/>
                <w:sz w:val="22"/>
                <w:szCs w:val="22"/>
              </w:rPr>
              <w:t>Community populations, patients, caregivers, students, healthcare professionals, prescribers, pharmacists, nurses, physicians</w:t>
            </w:r>
          </w:p>
        </w:tc>
      </w:tr>
      <w:tr w:rsidR="00D340EB" w:rsidRPr="00015E49" w14:paraId="2373E8C8" w14:textId="77777777" w:rsidTr="00775F7D">
        <w:trPr>
          <w:tblCellSpacing w:w="15" w:type="dxa"/>
        </w:trPr>
        <w:tc>
          <w:tcPr>
            <w:tcW w:w="0" w:type="auto"/>
            <w:shd w:val="clear" w:color="auto" w:fill="FFFFFF"/>
            <w:vAlign w:val="center"/>
            <w:hideMark/>
          </w:tcPr>
          <w:p w14:paraId="0EFF2D7E"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b/>
                <w:bCs/>
                <w:kern w:val="0"/>
                <w:sz w:val="22"/>
                <w:szCs w:val="22"/>
              </w:rPr>
              <w:t>Exposure</w:t>
            </w:r>
          </w:p>
        </w:tc>
        <w:tc>
          <w:tcPr>
            <w:tcW w:w="0" w:type="auto"/>
            <w:vAlign w:val="center"/>
            <w:hideMark/>
          </w:tcPr>
          <w:p w14:paraId="6E80E900"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kern w:val="0"/>
                <w:sz w:val="22"/>
                <w:szCs w:val="22"/>
              </w:rPr>
              <w:t>Upstream structural and social determinants affecting antimicrobial-related behaviors</w:t>
            </w:r>
          </w:p>
        </w:tc>
        <w:tc>
          <w:tcPr>
            <w:tcW w:w="0" w:type="auto"/>
            <w:vAlign w:val="center"/>
            <w:hideMark/>
          </w:tcPr>
          <w:p w14:paraId="6277A7F9" w14:textId="77777777" w:rsidR="00D340EB" w:rsidRPr="00015E49" w:rsidRDefault="00D340EB" w:rsidP="00775F7D">
            <w:pPr>
              <w:spacing w:after="0" w:line="360" w:lineRule="auto"/>
              <w:jc w:val="both"/>
              <w:rPr>
                <w:rFonts w:ascii="Arial" w:eastAsia="Courier New" w:hAnsi="Arial" w:cs="Arial"/>
                <w:kern w:val="0"/>
                <w:sz w:val="22"/>
                <w:szCs w:val="22"/>
              </w:rPr>
            </w:pPr>
            <w:r>
              <w:rPr>
                <w:rFonts w:ascii="Arial" w:eastAsia="Courier New" w:hAnsi="Arial" w:cs="Arial"/>
                <w:kern w:val="0"/>
                <w:sz w:val="22"/>
                <w:szCs w:val="22"/>
              </w:rPr>
              <w:t>SE</w:t>
            </w:r>
            <w:r w:rsidRPr="00015E49">
              <w:rPr>
                <w:rFonts w:ascii="Arial" w:eastAsia="Courier New" w:hAnsi="Arial" w:cs="Arial"/>
                <w:kern w:val="0"/>
                <w:sz w:val="22"/>
                <w:szCs w:val="22"/>
              </w:rPr>
              <w:t xml:space="preserve"> factors, educational attainment, cultural influences, healthcare access, institutional policies, social inequalities, geographic location</w:t>
            </w:r>
          </w:p>
        </w:tc>
      </w:tr>
      <w:tr w:rsidR="00D340EB" w:rsidRPr="00015E49" w14:paraId="5791C1AF" w14:textId="77777777" w:rsidTr="00775F7D">
        <w:trPr>
          <w:tblCellSpacing w:w="15" w:type="dxa"/>
        </w:trPr>
        <w:tc>
          <w:tcPr>
            <w:tcW w:w="0" w:type="auto"/>
            <w:shd w:val="clear" w:color="auto" w:fill="FFFFFF"/>
            <w:vAlign w:val="center"/>
            <w:hideMark/>
          </w:tcPr>
          <w:p w14:paraId="30B5F4A8"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b/>
                <w:bCs/>
                <w:kern w:val="0"/>
                <w:sz w:val="22"/>
                <w:szCs w:val="22"/>
              </w:rPr>
              <w:t>Outcome</w:t>
            </w:r>
          </w:p>
        </w:tc>
        <w:tc>
          <w:tcPr>
            <w:tcW w:w="0" w:type="auto"/>
            <w:vAlign w:val="center"/>
            <w:hideMark/>
          </w:tcPr>
          <w:p w14:paraId="4F77AD1E"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kern w:val="0"/>
                <w:sz w:val="22"/>
                <w:szCs w:val="22"/>
              </w:rPr>
              <w:t>Measured KAP outcomes concerning AMR and antibiotic utilization</w:t>
            </w:r>
          </w:p>
        </w:tc>
        <w:tc>
          <w:tcPr>
            <w:tcW w:w="0" w:type="auto"/>
            <w:vAlign w:val="center"/>
            <w:hideMark/>
          </w:tcPr>
          <w:p w14:paraId="3D393ACE" w14:textId="77777777" w:rsidR="00D340EB" w:rsidRPr="00015E49" w:rsidRDefault="00D340EB" w:rsidP="00775F7D">
            <w:pPr>
              <w:spacing w:after="0" w:line="360" w:lineRule="auto"/>
              <w:jc w:val="both"/>
              <w:rPr>
                <w:rFonts w:ascii="Arial" w:eastAsia="Courier New" w:hAnsi="Arial" w:cs="Arial"/>
                <w:kern w:val="0"/>
                <w:sz w:val="22"/>
                <w:szCs w:val="22"/>
              </w:rPr>
            </w:pPr>
            <w:r w:rsidRPr="00015E49">
              <w:rPr>
                <w:rFonts w:ascii="Arial" w:eastAsia="Courier New" w:hAnsi="Arial" w:cs="Arial"/>
                <w:kern w:val="0"/>
                <w:sz w:val="22"/>
                <w:szCs w:val="22"/>
              </w:rPr>
              <w:t>Knowledge scores, awareness levels, attitudes toward AMR, antibiotic prescribing practices, self-medication, adherence behaviors, stewardship participation</w:t>
            </w:r>
          </w:p>
        </w:tc>
      </w:tr>
    </w:tbl>
    <w:p w14:paraId="0DC0300B" w14:textId="77777777" w:rsidR="00D340EB" w:rsidRPr="00015E49" w:rsidRDefault="00D340EB" w:rsidP="00D340EB">
      <w:pPr>
        <w:spacing w:line="360" w:lineRule="auto"/>
        <w:jc w:val="both"/>
        <w:rPr>
          <w:rFonts w:ascii="Arial" w:hAnsi="Arial" w:cs="Arial"/>
          <w:b/>
          <w:bCs/>
          <w:sz w:val="22"/>
          <w:szCs w:val="22"/>
        </w:rPr>
      </w:pPr>
    </w:p>
    <w:p w14:paraId="20FFC4D4"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2" w:name="_Toc238647389"/>
      <w:r w:rsidRPr="00A55E23">
        <w:rPr>
          <w:rFonts w:asciiTheme="minorBidi" w:hAnsiTheme="minorBidi" w:cstheme="minorBidi"/>
          <w:b/>
          <w:bCs/>
          <w:i/>
          <w:iCs/>
          <w:color w:val="000000" w:themeColor="text1"/>
          <w:sz w:val="22"/>
          <w:szCs w:val="22"/>
        </w:rPr>
        <w:lastRenderedPageBreak/>
        <w:t>3.4 Search Terms</w:t>
      </w:r>
      <w:bookmarkEnd w:id="42"/>
    </w:p>
    <w:p w14:paraId="0F2EC0A6" w14:textId="77777777" w:rsidR="00D340EB" w:rsidRDefault="00D340EB" w:rsidP="00D340EB">
      <w:pPr>
        <w:spacing w:line="360" w:lineRule="auto"/>
        <w:jc w:val="both"/>
        <w:rPr>
          <w:rFonts w:ascii="Arial" w:hAnsi="Arial" w:cs="Arial"/>
          <w:color w:val="000000"/>
          <w:sz w:val="22"/>
          <w:szCs w:val="22"/>
        </w:rPr>
      </w:pPr>
      <w:r>
        <w:rPr>
          <w:rFonts w:ascii="Arial" w:hAnsi="Arial" w:cs="Arial"/>
          <w:color w:val="000000"/>
          <w:sz w:val="22"/>
          <w:szCs w:val="22"/>
        </w:rPr>
        <w:t>Search terminology is defined as all the keywords that help in finding relevant literature in electronic databases (</w:t>
      </w:r>
      <w:proofErr w:type="spellStart"/>
      <w:r>
        <w:rPr>
          <w:rFonts w:ascii="Arial" w:hAnsi="Arial" w:cs="Arial"/>
          <w:color w:val="000000"/>
          <w:sz w:val="22"/>
          <w:szCs w:val="22"/>
        </w:rPr>
        <w:t>Heaslip</w:t>
      </w:r>
      <w:proofErr w:type="spellEnd"/>
      <w:r>
        <w:rPr>
          <w:rFonts w:ascii="Arial" w:hAnsi="Arial" w:cs="Arial"/>
          <w:color w:val="000000"/>
          <w:sz w:val="22"/>
          <w:szCs w:val="22"/>
        </w:rPr>
        <w:t xml:space="preserve">, 2017). The significance of using synonyms for coming up with an adequate search contains the need to embrace international differences in language and terminology when investigating the relevant studies. The process consisted of pairs of keywords and </w:t>
      </w:r>
      <w:proofErr w:type="spellStart"/>
      <w:r>
        <w:rPr>
          <w:rFonts w:ascii="Arial" w:hAnsi="Arial" w:cs="Arial"/>
          <w:color w:val="000000"/>
          <w:sz w:val="22"/>
          <w:szCs w:val="22"/>
        </w:rPr>
        <w:t>MeSH</w:t>
      </w:r>
      <w:proofErr w:type="spellEnd"/>
      <w:r>
        <w:rPr>
          <w:rFonts w:ascii="Arial" w:hAnsi="Arial" w:cs="Arial"/>
          <w:color w:val="000000"/>
          <w:sz w:val="22"/>
          <w:szCs w:val="22"/>
        </w:rPr>
        <w:t xml:space="preserve"> being utilized together through combinations of Boolean operators </w:t>
      </w:r>
      <w:r w:rsidRPr="00A15BD1">
        <w:rPr>
          <w:rFonts w:ascii="Arial" w:hAnsi="Arial" w:cs="Arial"/>
          <w:color w:val="000000"/>
          <w:sz w:val="22"/>
          <w:szCs w:val="22"/>
        </w:rPr>
        <w:t>(</w:t>
      </w:r>
      <w:proofErr w:type="spellStart"/>
      <w:r w:rsidRPr="00A15BD1">
        <w:rPr>
          <w:rFonts w:ascii="Arial" w:hAnsi="Arial" w:cs="Arial"/>
          <w:color w:val="000000"/>
          <w:sz w:val="22"/>
          <w:szCs w:val="22"/>
        </w:rPr>
        <w:t>Rethlefsen</w:t>
      </w:r>
      <w:proofErr w:type="spellEnd"/>
      <w:r w:rsidRPr="00A15BD1">
        <w:rPr>
          <w:rFonts w:ascii="Arial" w:hAnsi="Arial" w:cs="Arial"/>
          <w:color w:val="000000"/>
          <w:sz w:val="22"/>
          <w:szCs w:val="22"/>
        </w:rPr>
        <w:t xml:space="preserve"> et al., 2021)</w:t>
      </w:r>
      <w:r>
        <w:rPr>
          <w:rFonts w:ascii="Arial" w:hAnsi="Arial" w:cs="Arial"/>
          <w:color w:val="000000"/>
          <w:sz w:val="22"/>
          <w:szCs w:val="22"/>
        </w:rPr>
        <w:t>.</w:t>
      </w:r>
    </w:p>
    <w:p w14:paraId="0FA16CA9"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3" w:name="_Toc238647390"/>
      <w:r w:rsidRPr="00A55E23">
        <w:rPr>
          <w:rFonts w:asciiTheme="minorBidi" w:hAnsiTheme="minorBidi" w:cstheme="minorBidi"/>
          <w:b/>
          <w:bCs/>
          <w:i/>
          <w:iCs/>
          <w:color w:val="000000" w:themeColor="text1"/>
          <w:sz w:val="22"/>
          <w:szCs w:val="22"/>
        </w:rPr>
        <w:t>3.5 Database Search Combinations</w:t>
      </w:r>
      <w:bookmarkEnd w:id="43"/>
    </w:p>
    <w:p w14:paraId="3ED24664" w14:textId="77777777" w:rsidR="00D340EB" w:rsidRPr="00015E49" w:rsidRDefault="00D340EB" w:rsidP="00D340EB">
      <w:pPr>
        <w:spacing w:line="360" w:lineRule="auto"/>
        <w:ind w:firstLine="720"/>
        <w:jc w:val="both"/>
        <w:rPr>
          <w:rFonts w:ascii="Arial" w:hAnsi="Arial" w:cs="Arial"/>
          <w:sz w:val="22"/>
          <w:szCs w:val="22"/>
        </w:rPr>
      </w:pPr>
      <w:r w:rsidRPr="00015E49">
        <w:rPr>
          <w:rFonts w:ascii="Arial" w:hAnsi="Arial" w:cs="Arial"/>
          <w:sz w:val="22"/>
          <w:szCs w:val="22"/>
        </w:rPr>
        <w:t>The programmatic string executed across the search interfaces was structured as follows: ("public" OR "community" OR "patient*" OR "physician*" OR "doctor*" OR "clinician*") AND ("social determinants" OR "</w:t>
      </w:r>
      <w:r>
        <w:rPr>
          <w:rFonts w:ascii="Arial" w:hAnsi="Arial" w:cs="Arial"/>
          <w:sz w:val="22"/>
          <w:szCs w:val="22"/>
        </w:rPr>
        <w:t>SE</w:t>
      </w:r>
      <w:r w:rsidRPr="00015E49">
        <w:rPr>
          <w:rFonts w:ascii="Arial" w:hAnsi="Arial" w:cs="Arial"/>
          <w:sz w:val="22"/>
          <w:szCs w:val="22"/>
        </w:rPr>
        <w:t xml:space="preserve"> status" OR "education*" OR "literacy" OR "culture" OR "cultural beliefs") AND ("knowledge" OR "attitude*" OR "practice*" OR "KAP" OR "misuse" OR "self-medication") AND ("antimicrobial resistance" OR "antibiotic resistance" OR "AMR")</w:t>
      </w:r>
    </w:p>
    <w:p w14:paraId="23E3509B"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4" w:name="_Toc238647391"/>
      <w:r w:rsidRPr="00A55E23">
        <w:rPr>
          <w:rFonts w:asciiTheme="minorBidi" w:hAnsiTheme="minorBidi" w:cstheme="minorBidi"/>
          <w:b/>
          <w:bCs/>
          <w:i/>
          <w:iCs/>
          <w:color w:val="000000" w:themeColor="text1"/>
          <w:sz w:val="22"/>
          <w:szCs w:val="22"/>
        </w:rPr>
        <w:t>3.6 Key Words</w:t>
      </w:r>
      <w:bookmarkEnd w:id="44"/>
    </w:p>
    <w:p w14:paraId="629821D3" w14:textId="77777777" w:rsidR="00D340EB" w:rsidRDefault="00D340EB" w:rsidP="00D340EB">
      <w:pPr>
        <w:spacing w:line="360" w:lineRule="auto"/>
        <w:ind w:firstLine="720"/>
        <w:jc w:val="both"/>
        <w:rPr>
          <w:rFonts w:ascii="Arial" w:hAnsi="Arial" w:cs="Arial"/>
          <w:color w:val="000000"/>
          <w:sz w:val="22"/>
          <w:szCs w:val="22"/>
        </w:rPr>
      </w:pPr>
      <w:r>
        <w:rPr>
          <w:rFonts w:ascii="Arial" w:hAnsi="Arial" w:cs="Arial"/>
          <w:color w:val="000000"/>
          <w:sz w:val="22"/>
          <w:szCs w:val="22"/>
        </w:rPr>
        <w:t>Keywords are natural language terms that serve as indexing identifiers within academic databases (</w:t>
      </w:r>
      <w:proofErr w:type="spellStart"/>
      <w:r>
        <w:rPr>
          <w:rFonts w:ascii="Arial" w:hAnsi="Arial" w:cs="Arial"/>
          <w:color w:val="000000"/>
          <w:sz w:val="22"/>
          <w:szCs w:val="22"/>
        </w:rPr>
        <w:t>Heaslip</w:t>
      </w:r>
      <w:proofErr w:type="spellEnd"/>
      <w:r>
        <w:rPr>
          <w:rFonts w:ascii="Arial" w:hAnsi="Arial" w:cs="Arial"/>
          <w:color w:val="000000"/>
          <w:sz w:val="22"/>
          <w:szCs w:val="22"/>
        </w:rPr>
        <w:t>, 2017). They are vital for capturing recently published articles that have not yet been assigned formal index metadata (</w:t>
      </w:r>
      <w:proofErr w:type="spellStart"/>
      <w:r>
        <w:rPr>
          <w:rFonts w:ascii="Arial" w:hAnsi="Arial" w:cs="Arial"/>
          <w:color w:val="000000"/>
          <w:sz w:val="22"/>
          <w:szCs w:val="22"/>
        </w:rPr>
        <w:t>Rethlefsen</w:t>
      </w:r>
      <w:proofErr w:type="spellEnd"/>
      <w:r>
        <w:rPr>
          <w:rFonts w:ascii="Arial" w:hAnsi="Arial" w:cs="Arial"/>
          <w:color w:val="000000"/>
          <w:sz w:val="22"/>
          <w:szCs w:val="22"/>
        </w:rPr>
        <w:t xml:space="preserve"> et al., 2021). The core keywords steering this review included: Antimicrobial Resistance, Social Determinants of Health, KAP, Antibiotic Misuse, SE Status, Prescribing Behavior, and Pakistan.</w:t>
      </w:r>
    </w:p>
    <w:p w14:paraId="01567B7D"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5" w:name="_Toc238647392"/>
      <w:r w:rsidRPr="00A55E23">
        <w:rPr>
          <w:rFonts w:asciiTheme="minorBidi" w:hAnsiTheme="minorBidi" w:cstheme="minorBidi"/>
          <w:b/>
          <w:bCs/>
          <w:i/>
          <w:iCs/>
          <w:color w:val="000000" w:themeColor="text1"/>
          <w:sz w:val="22"/>
          <w:szCs w:val="22"/>
        </w:rPr>
        <w:t>3.7 Databases</w:t>
      </w:r>
      <w:bookmarkEnd w:id="45"/>
    </w:p>
    <w:p w14:paraId="6DCC2A19" w14:textId="77777777" w:rsidR="00D340EB" w:rsidRPr="00015E49" w:rsidRDefault="00D340EB" w:rsidP="00D340EB">
      <w:pPr>
        <w:spacing w:line="360" w:lineRule="auto"/>
        <w:ind w:firstLine="720"/>
        <w:jc w:val="both"/>
        <w:rPr>
          <w:rFonts w:ascii="Arial" w:hAnsi="Arial" w:cs="Arial"/>
          <w:sz w:val="22"/>
          <w:szCs w:val="22"/>
        </w:rPr>
      </w:pPr>
      <w:r>
        <w:rPr>
          <w:rFonts w:ascii="Arial" w:hAnsi="Arial" w:cs="Arial"/>
          <w:color w:val="000000"/>
          <w:sz w:val="22"/>
          <w:szCs w:val="22"/>
        </w:rPr>
        <w:t>A single database search does not suffice for a complete and impartial retrieval, as there are different indexing strategies followed by different journals (</w:t>
      </w:r>
      <w:proofErr w:type="spellStart"/>
      <w:r>
        <w:rPr>
          <w:rFonts w:ascii="Arial" w:hAnsi="Arial" w:cs="Arial"/>
          <w:color w:val="000000"/>
          <w:sz w:val="22"/>
          <w:szCs w:val="22"/>
        </w:rPr>
        <w:t>Heaslip</w:t>
      </w:r>
      <w:proofErr w:type="spellEnd"/>
      <w:r>
        <w:rPr>
          <w:rFonts w:ascii="Arial" w:hAnsi="Arial" w:cs="Arial"/>
          <w:color w:val="000000"/>
          <w:sz w:val="22"/>
          <w:szCs w:val="22"/>
        </w:rPr>
        <w:t>, 2017). Independent searches in different places avail of the widest variety of information from the biomedical and clinical as well as sociological public health literature (</w:t>
      </w:r>
      <w:proofErr w:type="spellStart"/>
      <w:r>
        <w:rPr>
          <w:rFonts w:ascii="Arial" w:hAnsi="Arial" w:cs="Arial"/>
          <w:color w:val="000000"/>
          <w:sz w:val="22"/>
          <w:szCs w:val="22"/>
        </w:rPr>
        <w:t>Rethlefsen</w:t>
      </w:r>
      <w:proofErr w:type="spellEnd"/>
      <w:r>
        <w:rPr>
          <w:rFonts w:ascii="Arial" w:hAnsi="Arial" w:cs="Arial"/>
          <w:color w:val="000000"/>
          <w:sz w:val="22"/>
          <w:szCs w:val="22"/>
        </w:rPr>
        <w:t xml:space="preserve"> et al., 2021). To conduct this review, systematic searches were made in PubMed (MEDLINE) and Scopus (</w:t>
      </w:r>
      <w:proofErr w:type="spellStart"/>
      <w:r>
        <w:rPr>
          <w:rFonts w:ascii="Arial" w:hAnsi="Arial" w:cs="Arial"/>
          <w:color w:val="000000"/>
          <w:sz w:val="22"/>
          <w:szCs w:val="22"/>
        </w:rPr>
        <w:t>Heaslip</w:t>
      </w:r>
      <w:proofErr w:type="spellEnd"/>
      <w:r>
        <w:rPr>
          <w:rFonts w:ascii="Arial" w:hAnsi="Arial" w:cs="Arial"/>
          <w:color w:val="000000"/>
          <w:sz w:val="22"/>
          <w:szCs w:val="22"/>
        </w:rPr>
        <w:t>, 2017). PubMed is unrivaled when it comes to clinical medicine and life sciences because of the volumes of</w:t>
      </w:r>
      <w:r w:rsidRPr="00015E49">
        <w:rPr>
          <w:rFonts w:ascii="Arial" w:hAnsi="Arial" w:cs="Arial"/>
          <w:sz w:val="22"/>
          <w:szCs w:val="22"/>
        </w:rPr>
        <w:t xml:space="preserve"> </w:t>
      </w:r>
      <w:r>
        <w:rPr>
          <w:rFonts w:ascii="Arial" w:hAnsi="Arial" w:cs="Arial"/>
          <w:color w:val="000000"/>
          <w:sz w:val="22"/>
          <w:szCs w:val="22"/>
        </w:rPr>
        <w:t>information it holds, while Scopus covers different branches of literature involving social sciences and public health as well as all kinds of productive activities in social behavior spheres (</w:t>
      </w:r>
      <w:proofErr w:type="spellStart"/>
      <w:r>
        <w:rPr>
          <w:rFonts w:ascii="Arial" w:hAnsi="Arial" w:cs="Arial"/>
          <w:color w:val="000000"/>
          <w:sz w:val="22"/>
          <w:szCs w:val="22"/>
        </w:rPr>
        <w:t>Heaslip</w:t>
      </w:r>
      <w:proofErr w:type="spellEnd"/>
      <w:r>
        <w:rPr>
          <w:rFonts w:ascii="Arial" w:hAnsi="Arial" w:cs="Arial"/>
          <w:color w:val="000000"/>
          <w:sz w:val="22"/>
          <w:szCs w:val="22"/>
        </w:rPr>
        <w:t>, 2017).</w:t>
      </w:r>
    </w:p>
    <w:p w14:paraId="4C77EA0F"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6" w:name="_Toc238647393"/>
      <w:r w:rsidRPr="00A55E23">
        <w:rPr>
          <w:rFonts w:asciiTheme="minorBidi" w:hAnsiTheme="minorBidi" w:cstheme="minorBidi"/>
          <w:b/>
          <w:bCs/>
          <w:i/>
          <w:iCs/>
          <w:color w:val="000000" w:themeColor="text1"/>
          <w:sz w:val="22"/>
          <w:szCs w:val="22"/>
        </w:rPr>
        <w:t>3.8 Inclusion/Exclusion Criteria</w:t>
      </w:r>
      <w:bookmarkEnd w:id="46"/>
    </w:p>
    <w:p w14:paraId="2F5B12E6" w14:textId="77777777" w:rsidR="00D340EB" w:rsidRPr="00015E49" w:rsidRDefault="00D340EB" w:rsidP="00D340EB">
      <w:pPr>
        <w:spacing w:line="360" w:lineRule="auto"/>
        <w:ind w:firstLine="720"/>
        <w:jc w:val="both"/>
        <w:rPr>
          <w:rFonts w:ascii="Arial" w:hAnsi="Arial" w:cs="Arial"/>
          <w:sz w:val="22"/>
          <w:szCs w:val="22"/>
        </w:rPr>
      </w:pPr>
      <w:r w:rsidRPr="00015E49">
        <w:rPr>
          <w:rFonts w:ascii="Arial" w:hAnsi="Arial" w:cs="Arial"/>
          <w:sz w:val="22"/>
          <w:szCs w:val="22"/>
        </w:rPr>
        <w:t>Inclusion and exclusion criteria are explicit, predefined boundaries established prior to executing a literature search. They preserve objectivity and prevent arbitrary study selection during screening.</w:t>
      </w:r>
    </w:p>
    <w:p w14:paraId="53F0C60A"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7" w:name="_Toc238647394"/>
      <w:r w:rsidRPr="00A55E23">
        <w:rPr>
          <w:rFonts w:asciiTheme="minorBidi" w:hAnsiTheme="minorBidi" w:cstheme="minorBidi"/>
          <w:b/>
          <w:bCs/>
          <w:i/>
          <w:iCs/>
          <w:color w:val="000000" w:themeColor="text1"/>
          <w:sz w:val="22"/>
          <w:szCs w:val="22"/>
        </w:rPr>
        <w:lastRenderedPageBreak/>
        <w:t>3.8.1 Inclusion Criteria</w:t>
      </w:r>
      <w:bookmarkEnd w:id="47"/>
    </w:p>
    <w:p w14:paraId="56EA4838" w14:textId="77777777" w:rsidR="00D340EB" w:rsidRPr="00015E49" w:rsidRDefault="00D340EB" w:rsidP="00D340EB">
      <w:pPr>
        <w:pStyle w:val="ListParagraph"/>
        <w:numPr>
          <w:ilvl w:val="0"/>
          <w:numId w:val="33"/>
        </w:numPr>
        <w:spacing w:line="360" w:lineRule="auto"/>
        <w:jc w:val="both"/>
        <w:rPr>
          <w:rFonts w:ascii="Arial" w:hAnsi="Arial" w:cs="Arial"/>
          <w:sz w:val="22"/>
          <w:szCs w:val="22"/>
        </w:rPr>
      </w:pPr>
      <w:r w:rsidRPr="00015E49">
        <w:rPr>
          <w:rFonts w:ascii="Arial" w:hAnsi="Arial" w:cs="Arial"/>
          <w:sz w:val="22"/>
          <w:szCs w:val="22"/>
        </w:rPr>
        <w:t>Empirical studies (quantitative cross-sectional, qualitative, or mixed-methods designs) explicitly assessing the relationship between social determinants and AMR-related KAP.</w:t>
      </w:r>
    </w:p>
    <w:p w14:paraId="74E17D55" w14:textId="77777777" w:rsidR="00D340EB" w:rsidRPr="00015E49" w:rsidRDefault="00D340EB" w:rsidP="00D340EB">
      <w:pPr>
        <w:pStyle w:val="ListParagraph"/>
        <w:numPr>
          <w:ilvl w:val="0"/>
          <w:numId w:val="33"/>
        </w:numPr>
        <w:spacing w:line="360" w:lineRule="auto"/>
        <w:jc w:val="both"/>
        <w:rPr>
          <w:rFonts w:ascii="Arial" w:hAnsi="Arial" w:cs="Arial"/>
          <w:sz w:val="22"/>
          <w:szCs w:val="22"/>
        </w:rPr>
      </w:pPr>
      <w:r w:rsidRPr="00015E49">
        <w:rPr>
          <w:rFonts w:ascii="Arial" w:hAnsi="Arial" w:cs="Arial"/>
          <w:sz w:val="22"/>
          <w:szCs w:val="22"/>
        </w:rPr>
        <w:t>Studies were published between 2015 and 2025.</w:t>
      </w:r>
    </w:p>
    <w:p w14:paraId="099222CA" w14:textId="77777777" w:rsidR="00D340EB" w:rsidRPr="00015E49" w:rsidRDefault="00D340EB" w:rsidP="00D340EB">
      <w:pPr>
        <w:pStyle w:val="ListParagraph"/>
        <w:numPr>
          <w:ilvl w:val="0"/>
          <w:numId w:val="33"/>
        </w:numPr>
        <w:spacing w:line="360" w:lineRule="auto"/>
        <w:jc w:val="both"/>
        <w:rPr>
          <w:rFonts w:ascii="Arial" w:hAnsi="Arial" w:cs="Arial"/>
          <w:sz w:val="22"/>
          <w:szCs w:val="22"/>
        </w:rPr>
      </w:pPr>
      <w:r w:rsidRPr="00015E49">
        <w:rPr>
          <w:rFonts w:ascii="Arial" w:hAnsi="Arial" w:cs="Arial"/>
          <w:sz w:val="22"/>
          <w:szCs w:val="22"/>
        </w:rPr>
        <w:t>Peer-reviewed journal from PubMed and Scopus articles published in the English language.</w:t>
      </w:r>
    </w:p>
    <w:p w14:paraId="464D4B11" w14:textId="77777777" w:rsidR="00D340EB" w:rsidRPr="00015E49" w:rsidRDefault="00D340EB" w:rsidP="00D340EB">
      <w:pPr>
        <w:pStyle w:val="ListParagraph"/>
        <w:numPr>
          <w:ilvl w:val="0"/>
          <w:numId w:val="33"/>
        </w:numPr>
        <w:spacing w:line="360" w:lineRule="auto"/>
        <w:jc w:val="both"/>
        <w:rPr>
          <w:rFonts w:ascii="Arial" w:hAnsi="Arial" w:cs="Arial"/>
          <w:sz w:val="22"/>
          <w:szCs w:val="22"/>
        </w:rPr>
      </w:pPr>
      <w:r w:rsidRPr="00015E49">
        <w:rPr>
          <w:rFonts w:ascii="Arial" w:hAnsi="Arial" w:cs="Arial"/>
          <w:sz w:val="22"/>
          <w:szCs w:val="22"/>
        </w:rPr>
        <w:t>Research exclusively focused on populations within Pakistan.</w:t>
      </w:r>
    </w:p>
    <w:p w14:paraId="1E45A10C"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8" w:name="_Toc238647395"/>
      <w:r w:rsidRPr="00A55E23">
        <w:rPr>
          <w:rFonts w:asciiTheme="minorBidi" w:hAnsiTheme="minorBidi" w:cstheme="minorBidi"/>
          <w:b/>
          <w:bCs/>
          <w:i/>
          <w:iCs/>
          <w:color w:val="000000" w:themeColor="text1"/>
          <w:sz w:val="22"/>
          <w:szCs w:val="22"/>
        </w:rPr>
        <w:t>3.8.2 Exclusion Criteria</w:t>
      </w:r>
      <w:bookmarkEnd w:id="48"/>
    </w:p>
    <w:p w14:paraId="704002FA" w14:textId="77777777" w:rsidR="00D340EB" w:rsidRPr="00015E49" w:rsidRDefault="00D340EB" w:rsidP="00D340EB">
      <w:pPr>
        <w:numPr>
          <w:ilvl w:val="0"/>
          <w:numId w:val="34"/>
        </w:numPr>
        <w:rPr>
          <w:rFonts w:ascii="Arial" w:hAnsi="Arial" w:cs="Arial"/>
          <w:sz w:val="22"/>
          <w:szCs w:val="22"/>
        </w:rPr>
      </w:pPr>
      <w:r w:rsidRPr="00015E49">
        <w:rPr>
          <w:rFonts w:ascii="Arial" w:hAnsi="Arial" w:cs="Arial"/>
          <w:sz w:val="22"/>
          <w:szCs w:val="22"/>
        </w:rPr>
        <w:t>Articles, opinion pieces, su</w:t>
      </w:r>
      <w:r>
        <w:rPr>
          <w:rFonts w:ascii="Arial" w:hAnsi="Arial" w:cs="Arial"/>
          <w:sz w:val="22"/>
          <w:szCs w:val="22"/>
        </w:rPr>
        <w:t>mmaries of conferences, reviews</w:t>
      </w:r>
      <w:r w:rsidRPr="00015E49">
        <w:rPr>
          <w:rFonts w:ascii="Arial" w:hAnsi="Arial" w:cs="Arial"/>
          <w:sz w:val="22"/>
          <w:szCs w:val="22"/>
        </w:rPr>
        <w:t xml:space="preserve"> and documents that aren’t published in ordinary journals. </w:t>
      </w:r>
    </w:p>
    <w:p w14:paraId="62BF24CF" w14:textId="77777777" w:rsidR="00D340EB" w:rsidRPr="00015E49" w:rsidRDefault="00D340EB" w:rsidP="00D340EB">
      <w:pPr>
        <w:numPr>
          <w:ilvl w:val="0"/>
          <w:numId w:val="34"/>
        </w:numPr>
        <w:rPr>
          <w:rFonts w:ascii="Arial" w:hAnsi="Arial" w:cs="Arial"/>
          <w:sz w:val="22"/>
          <w:szCs w:val="22"/>
        </w:rPr>
      </w:pPr>
      <w:r w:rsidRPr="00015E49">
        <w:rPr>
          <w:rFonts w:ascii="Arial" w:hAnsi="Arial" w:cs="Arial"/>
          <w:sz w:val="22"/>
          <w:szCs w:val="22"/>
        </w:rPr>
        <w:t>Laboratory studies in microbiology context or solely clinical investigations of effectiveness of drugs that are not examining human behavior and social aspects.</w:t>
      </w:r>
    </w:p>
    <w:p w14:paraId="59F3F9EE" w14:textId="77777777" w:rsidR="00D340EB" w:rsidRPr="00015E49" w:rsidRDefault="00D340EB" w:rsidP="00D340EB">
      <w:pPr>
        <w:numPr>
          <w:ilvl w:val="0"/>
          <w:numId w:val="34"/>
        </w:numPr>
        <w:rPr>
          <w:rFonts w:ascii="Arial" w:hAnsi="Arial" w:cs="Arial"/>
          <w:sz w:val="22"/>
          <w:szCs w:val="22"/>
        </w:rPr>
      </w:pPr>
      <w:r w:rsidRPr="00015E49">
        <w:rPr>
          <w:rFonts w:ascii="Arial" w:hAnsi="Arial" w:cs="Arial"/>
          <w:sz w:val="22"/>
          <w:szCs w:val="22"/>
        </w:rPr>
        <w:t>Research on AMR/KAP does not consider socio-economic, educational or cultural items influencing the AMR/KAP.</w:t>
      </w:r>
    </w:p>
    <w:p w14:paraId="7FC80C67" w14:textId="77777777" w:rsidR="00D340EB" w:rsidRPr="00015E49" w:rsidRDefault="00D340EB" w:rsidP="00D340EB">
      <w:pPr>
        <w:numPr>
          <w:ilvl w:val="0"/>
          <w:numId w:val="34"/>
        </w:numPr>
        <w:rPr>
          <w:rFonts w:ascii="Arial" w:hAnsi="Arial" w:cs="Arial"/>
          <w:sz w:val="22"/>
          <w:szCs w:val="22"/>
        </w:rPr>
      </w:pPr>
      <w:r w:rsidRPr="00015E49">
        <w:rPr>
          <w:rFonts w:ascii="Arial" w:hAnsi="Arial" w:cs="Arial"/>
          <w:sz w:val="22"/>
          <w:szCs w:val="22"/>
        </w:rPr>
        <w:t>Research done in some other countries than Pakistan.</w:t>
      </w:r>
    </w:p>
    <w:p w14:paraId="3890CFAB"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49" w:name="_Toc238647396"/>
      <w:r w:rsidRPr="00A55E23">
        <w:rPr>
          <w:rFonts w:asciiTheme="minorBidi" w:hAnsiTheme="minorBidi" w:cstheme="minorBidi"/>
          <w:b/>
          <w:bCs/>
          <w:i/>
          <w:iCs/>
          <w:color w:val="000000" w:themeColor="text1"/>
          <w:sz w:val="22"/>
          <w:szCs w:val="22"/>
        </w:rPr>
        <w:lastRenderedPageBreak/>
        <w:t>3.9 Search Results</w:t>
      </w:r>
      <w:bookmarkEnd w:id="49"/>
    </w:p>
    <w:p w14:paraId="267B9D87" w14:textId="77777777" w:rsidR="00D340EB" w:rsidRPr="00015E49" w:rsidRDefault="00D340EB" w:rsidP="00D340EB">
      <w:pPr>
        <w:keepNext/>
        <w:spacing w:line="360" w:lineRule="auto"/>
        <w:ind w:firstLine="720"/>
        <w:jc w:val="both"/>
        <w:rPr>
          <w:rFonts w:ascii="Arial" w:hAnsi="Arial" w:cs="Arial"/>
          <w:sz w:val="22"/>
          <w:szCs w:val="22"/>
        </w:rPr>
      </w:pPr>
      <w:r w:rsidRPr="00015E49">
        <w:rPr>
          <w:rFonts w:ascii="Arial" w:hAnsi="Arial" w:cs="Arial"/>
          <w:sz w:val="22"/>
          <w:szCs w:val="22"/>
        </w:rPr>
        <w:t>The selection of studies was performed following PRISMA 2020 guidelines. The database searches of PubMed and Scopus returned 210 records. Following the removal of 40 duplicates, 170 records were screened based on titles and abstracts. Out of these, 140 records were excluded due to exclusion criteria (specifying focus on Pakistan and lack of socio-behavioral parameters). Subsequently, 30 full-text articles were read for their eligibility and out of these, 20 were excluded based on their methodology and outcome reporting deficiencies. Finally, only 10 studies were deemed suitable for data extraction and analysis.</w:t>
      </w:r>
    </w:p>
    <w:p w14:paraId="6F5705AD" w14:textId="3A92F1BA" w:rsidR="00D340EB" w:rsidRPr="00015E49" w:rsidRDefault="001112E7" w:rsidP="00D340EB">
      <w:pPr>
        <w:pStyle w:val="Caption"/>
        <w:jc w:val="center"/>
        <w:rPr>
          <w:rFonts w:ascii="Arial" w:hAnsi="Arial" w:cs="Arial"/>
          <w:i w:val="0"/>
          <w:iCs w:val="0"/>
          <w:sz w:val="22"/>
          <w:szCs w:val="22"/>
        </w:rPr>
      </w:pPr>
      <w:r>
        <w:rPr>
          <w:rFonts w:ascii="Arial" w:hAnsi="Arial" w:cs="Arial"/>
          <w:noProof/>
          <w:sz w:val="22"/>
          <w:szCs w:val="22"/>
        </w:rPr>
        <w:drawing>
          <wp:anchor distT="0" distB="0" distL="114300" distR="114300" simplePos="0" relativeHeight="251657728" behindDoc="0" locked="0" layoutInCell="1" allowOverlap="1" wp14:anchorId="1939D83C" wp14:editId="4D0E59AC">
            <wp:simplePos x="0" y="0"/>
            <wp:positionH relativeFrom="column">
              <wp:posOffset>325755</wp:posOffset>
            </wp:positionH>
            <wp:positionV relativeFrom="paragraph">
              <wp:posOffset>190500</wp:posOffset>
            </wp:positionV>
            <wp:extent cx="5617210" cy="3358515"/>
            <wp:effectExtent l="0" t="0" r="2540" b="0"/>
            <wp:wrapTopAndBottom/>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17210" cy="3358515"/>
                    </a:xfrm>
                    <a:prstGeom prst="rect">
                      <a:avLst/>
                    </a:prstGeom>
                    <a:noFill/>
                  </pic:spPr>
                </pic:pic>
              </a:graphicData>
            </a:graphic>
            <wp14:sizeRelH relativeFrom="page">
              <wp14:pctWidth>0</wp14:pctWidth>
            </wp14:sizeRelH>
            <wp14:sizeRelV relativeFrom="page">
              <wp14:pctHeight>0</wp14:pctHeight>
            </wp14:sizeRelV>
          </wp:anchor>
        </w:drawing>
      </w:r>
      <w:r w:rsidR="00D340EB" w:rsidRPr="00015E49">
        <w:rPr>
          <w:rFonts w:ascii="Arial" w:hAnsi="Arial" w:cs="Arial"/>
          <w:i w:val="0"/>
          <w:iCs w:val="0"/>
          <w:sz w:val="22"/>
          <w:szCs w:val="22"/>
        </w:rPr>
        <w:t xml:space="preserve">Figure </w:t>
      </w:r>
      <w:r w:rsidR="00D340EB" w:rsidRPr="00015E49">
        <w:rPr>
          <w:rFonts w:ascii="Arial" w:hAnsi="Arial" w:cs="Arial"/>
          <w:i w:val="0"/>
          <w:iCs w:val="0"/>
          <w:sz w:val="22"/>
          <w:szCs w:val="22"/>
        </w:rPr>
        <w:fldChar w:fldCharType="begin"/>
      </w:r>
      <w:r w:rsidR="00D340EB" w:rsidRPr="00015E49">
        <w:rPr>
          <w:rFonts w:ascii="Arial" w:hAnsi="Arial" w:cs="Arial"/>
          <w:i w:val="0"/>
          <w:iCs w:val="0"/>
          <w:sz w:val="22"/>
          <w:szCs w:val="22"/>
        </w:rPr>
        <w:instrText xml:space="preserve"> SEQ Figure \* ARABIC </w:instrText>
      </w:r>
      <w:r w:rsidR="00D340EB" w:rsidRPr="00015E49">
        <w:rPr>
          <w:rFonts w:ascii="Arial" w:hAnsi="Arial" w:cs="Arial"/>
          <w:i w:val="0"/>
          <w:iCs w:val="0"/>
          <w:sz w:val="22"/>
          <w:szCs w:val="22"/>
        </w:rPr>
        <w:fldChar w:fldCharType="separate"/>
      </w:r>
      <w:r w:rsidR="000E059E">
        <w:rPr>
          <w:rFonts w:ascii="Arial" w:hAnsi="Arial" w:cs="Arial"/>
          <w:i w:val="0"/>
          <w:iCs w:val="0"/>
          <w:noProof/>
          <w:sz w:val="22"/>
          <w:szCs w:val="22"/>
        </w:rPr>
        <w:t>2</w:t>
      </w:r>
      <w:r w:rsidR="00D340EB" w:rsidRPr="00015E49">
        <w:rPr>
          <w:rFonts w:ascii="Arial" w:hAnsi="Arial" w:cs="Arial"/>
          <w:i w:val="0"/>
          <w:iCs w:val="0"/>
          <w:sz w:val="22"/>
          <w:szCs w:val="22"/>
        </w:rPr>
        <w:fldChar w:fldCharType="end"/>
      </w:r>
      <w:r w:rsidR="00D340EB" w:rsidRPr="00015E49">
        <w:rPr>
          <w:rFonts w:ascii="Arial" w:hAnsi="Arial" w:cs="Arial"/>
          <w:i w:val="0"/>
          <w:iCs w:val="0"/>
          <w:sz w:val="22"/>
          <w:szCs w:val="22"/>
        </w:rPr>
        <w:t>: PRISMA diagram of Search Results for Systematic Review</w:t>
      </w:r>
    </w:p>
    <w:p w14:paraId="7881C28B" w14:textId="77777777" w:rsidR="00D340EB" w:rsidRPr="00A55E23" w:rsidRDefault="00D340EB" w:rsidP="00A55E23">
      <w:pPr>
        <w:pStyle w:val="Heading2"/>
        <w:rPr>
          <w:rFonts w:asciiTheme="minorBidi" w:hAnsiTheme="minorBidi" w:cstheme="minorBidi"/>
          <w:b/>
          <w:bCs/>
          <w:i/>
          <w:iCs/>
          <w:color w:val="000000" w:themeColor="text1"/>
          <w:sz w:val="22"/>
          <w:szCs w:val="22"/>
        </w:rPr>
      </w:pPr>
      <w:bookmarkStart w:id="50" w:name="_Toc238647397"/>
      <w:r w:rsidRPr="00A55E23">
        <w:rPr>
          <w:rFonts w:asciiTheme="minorBidi" w:hAnsiTheme="minorBidi" w:cstheme="minorBidi"/>
          <w:b/>
          <w:bCs/>
          <w:i/>
          <w:iCs/>
          <w:color w:val="000000" w:themeColor="text1"/>
          <w:sz w:val="22"/>
          <w:szCs w:val="22"/>
        </w:rPr>
        <w:t>3.10 Ethical Considerations</w:t>
      </w:r>
      <w:bookmarkEnd w:id="50"/>
    </w:p>
    <w:p w14:paraId="251142B6"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Even though there is no direct contact between human subjects in a systematic review method, ethical considerations still play a significant role. The systematic review method depends solely on data obtained from</w:t>
      </w:r>
      <w:r>
        <w:rPr>
          <w:rFonts w:ascii="Arial" w:hAnsi="Arial" w:cs="Arial"/>
          <w:sz w:val="22"/>
          <w:szCs w:val="22"/>
        </w:rPr>
        <w:t xml:space="preserve"> other people’s published works</w:t>
      </w:r>
      <w:r w:rsidRPr="00015E49">
        <w:rPr>
          <w:rFonts w:ascii="Arial" w:hAnsi="Arial" w:cs="Arial"/>
          <w:sz w:val="22"/>
          <w:szCs w:val="22"/>
        </w:rPr>
        <w:t xml:space="preserve"> and hen</w:t>
      </w:r>
      <w:r>
        <w:rPr>
          <w:rFonts w:ascii="Arial" w:hAnsi="Arial" w:cs="Arial"/>
          <w:sz w:val="22"/>
          <w:szCs w:val="22"/>
        </w:rPr>
        <w:t>ce</w:t>
      </w:r>
      <w:r w:rsidRPr="00015E49">
        <w:rPr>
          <w:rFonts w:ascii="Arial" w:hAnsi="Arial" w:cs="Arial"/>
          <w:sz w:val="22"/>
          <w:szCs w:val="22"/>
        </w:rPr>
        <w:t xml:space="preserve"> does not require institutional review board (IRB) approval. Nevertheless, ethical integrity is guaranteed because every study included in the review is assured of being approved by an IRB before it is published.</w:t>
      </w:r>
    </w:p>
    <w:p w14:paraId="22390F78" w14:textId="77777777" w:rsidR="00D340EB" w:rsidRPr="00A55E23" w:rsidRDefault="00D340EB" w:rsidP="00A55E23">
      <w:pPr>
        <w:pStyle w:val="Heading2"/>
        <w:rPr>
          <w:rFonts w:asciiTheme="minorBidi" w:hAnsiTheme="minorBidi" w:cstheme="minorBidi"/>
          <w:b/>
          <w:bCs/>
          <w:color w:val="000000" w:themeColor="text1"/>
          <w:sz w:val="22"/>
          <w:szCs w:val="22"/>
        </w:rPr>
      </w:pPr>
      <w:bookmarkStart w:id="51" w:name="_Toc238647398"/>
      <w:r w:rsidRPr="00A55E23">
        <w:rPr>
          <w:rFonts w:asciiTheme="minorBidi" w:hAnsiTheme="minorBidi" w:cstheme="minorBidi"/>
          <w:b/>
          <w:bCs/>
          <w:color w:val="000000" w:themeColor="text1"/>
          <w:sz w:val="22"/>
          <w:szCs w:val="22"/>
        </w:rPr>
        <w:t>3.11 Chapter Summary</w:t>
      </w:r>
      <w:bookmarkEnd w:id="51"/>
    </w:p>
    <w:p w14:paraId="02132FC9" w14:textId="77777777" w:rsidR="00D340EB" w:rsidRPr="00A71ABA" w:rsidRDefault="00D340EB" w:rsidP="00D340EB">
      <w:pPr>
        <w:spacing w:before="100" w:beforeAutospacing="1" w:after="100" w:afterAutospacing="1" w:line="360" w:lineRule="auto"/>
        <w:jc w:val="both"/>
        <w:rPr>
          <w:rFonts w:ascii="Arial" w:eastAsia="Courier New" w:hAnsi="Arial" w:cs="Arial"/>
          <w:kern w:val="0"/>
          <w:sz w:val="22"/>
          <w:szCs w:val="22"/>
        </w:rPr>
      </w:pPr>
      <w:r w:rsidRPr="00A71ABA">
        <w:rPr>
          <w:rFonts w:ascii="Arial" w:hAnsi="Arial" w:cs="Arial"/>
          <w:sz w:val="22"/>
          <w:szCs w:val="22"/>
        </w:rPr>
        <w:t xml:space="preserve">The chapter describes the methodology of SLR, which is being applied to find and select the empirical proofs about social factors of KAP related to AMR and is dated between 2015 and 2025. The search was done according to the PEO rule using the structure of search strings in PubMed and Scopus. By </w:t>
      </w:r>
      <w:r w:rsidRPr="00A71ABA">
        <w:rPr>
          <w:rFonts w:ascii="Arial" w:hAnsi="Arial" w:cs="Arial"/>
          <w:sz w:val="22"/>
          <w:szCs w:val="22"/>
        </w:rPr>
        <w:lastRenderedPageBreak/>
        <w:t>using PRISMA 2020 techniques, from 210 initial articles, only 10 primary studies were chosen using the strict inclusion and exclusion principles. The chapter gives the process of obtaining the data, the ethical aspects of using secondary data, and the selection principles. The process of analysis and assessment of the quality of the ten primary studies can be found in Chapter 4.</w:t>
      </w:r>
    </w:p>
    <w:p w14:paraId="1B8E6210" w14:textId="77777777" w:rsidR="00D340EB" w:rsidRPr="00015E49" w:rsidRDefault="00D340EB" w:rsidP="00D340EB">
      <w:pPr>
        <w:spacing w:before="100" w:beforeAutospacing="1" w:after="100" w:afterAutospacing="1" w:line="360" w:lineRule="auto"/>
        <w:jc w:val="both"/>
        <w:rPr>
          <w:rFonts w:ascii="Arial" w:eastAsia="Courier New" w:hAnsi="Arial" w:cs="Arial"/>
          <w:kern w:val="0"/>
          <w:sz w:val="22"/>
          <w:szCs w:val="22"/>
        </w:rPr>
      </w:pPr>
    </w:p>
    <w:p w14:paraId="4054CA37" w14:textId="77777777" w:rsidR="00D340EB" w:rsidRPr="001362A5" w:rsidRDefault="00D340EB" w:rsidP="001362A5">
      <w:pPr>
        <w:pStyle w:val="Heading1"/>
        <w:jc w:val="center"/>
        <w:rPr>
          <w:rFonts w:asciiTheme="majorBidi" w:hAnsiTheme="majorBidi" w:cstheme="majorBidi"/>
          <w:b/>
          <w:bCs/>
          <w:color w:val="000000" w:themeColor="text1"/>
          <w:sz w:val="22"/>
          <w:szCs w:val="22"/>
        </w:rPr>
      </w:pPr>
      <w:bookmarkStart w:id="52" w:name="_Toc238647399"/>
      <w:r w:rsidRPr="001362A5">
        <w:rPr>
          <w:rFonts w:asciiTheme="majorBidi" w:hAnsiTheme="majorBidi" w:cstheme="majorBidi"/>
          <w:b/>
          <w:bCs/>
          <w:color w:val="000000" w:themeColor="text1"/>
          <w:sz w:val="22"/>
          <w:szCs w:val="22"/>
        </w:rPr>
        <w:t>CHAPTER 4: DATA EXTRACTION AND QUALITY APPRAISAL</w:t>
      </w:r>
      <w:bookmarkEnd w:id="52"/>
    </w:p>
    <w:p w14:paraId="0FDE87FC" w14:textId="77777777" w:rsidR="00D340EB" w:rsidRPr="0041279B" w:rsidRDefault="00D340EB" w:rsidP="001362A5">
      <w:pPr>
        <w:pStyle w:val="Heading2"/>
        <w:rPr>
          <w:rFonts w:asciiTheme="minorBidi" w:hAnsiTheme="minorBidi" w:cstheme="minorBidi"/>
          <w:b/>
          <w:bCs/>
          <w:i/>
          <w:iCs/>
          <w:color w:val="000000" w:themeColor="text1"/>
          <w:sz w:val="22"/>
          <w:szCs w:val="22"/>
        </w:rPr>
      </w:pPr>
      <w:bookmarkStart w:id="53" w:name="_Toc238647400"/>
      <w:r w:rsidRPr="0041279B">
        <w:rPr>
          <w:rFonts w:asciiTheme="minorBidi" w:hAnsiTheme="minorBidi" w:cstheme="minorBidi"/>
          <w:b/>
          <w:bCs/>
          <w:i/>
          <w:iCs/>
          <w:color w:val="000000" w:themeColor="text1"/>
          <w:sz w:val="22"/>
          <w:szCs w:val="22"/>
        </w:rPr>
        <w:t>4.1 Introduction to Chapter</w:t>
      </w:r>
      <w:bookmarkEnd w:id="53"/>
    </w:p>
    <w:p w14:paraId="67138684"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After systematically identifying and selecting eligible studies the next phase in the review process was to extract relevant data and evaluate the methodological quality of the studies. Data extraction and quality evaluation are essential components of systematic literature review since both aid in making the findings of the study credible with a reliable basis. This chapter lists the methods used for data extraction and describes how quality evaluation was performed to assess the quality of the studies whose KAP pertaining to AMR was evaluated. The principal aim of data extraction was to gather information about the characteristics of the studies used, the demographics of the populations involved, social determinants of health, and consequences of KAP in relation to AM usage and resistance. The second step taken was quality evaluation via the application of established and accepted methods of evaluation.</w:t>
      </w:r>
    </w:p>
    <w:p w14:paraId="731C6A17" w14:textId="77777777" w:rsidR="00D340EB" w:rsidRPr="0041279B" w:rsidRDefault="00D340EB" w:rsidP="001362A5">
      <w:pPr>
        <w:pStyle w:val="Heading2"/>
        <w:rPr>
          <w:rFonts w:asciiTheme="minorBidi" w:hAnsiTheme="minorBidi" w:cstheme="minorBidi"/>
          <w:b/>
          <w:bCs/>
          <w:i/>
          <w:iCs/>
          <w:color w:val="000000" w:themeColor="text1"/>
          <w:sz w:val="22"/>
          <w:szCs w:val="22"/>
        </w:rPr>
      </w:pPr>
      <w:bookmarkStart w:id="54" w:name="_Toc238647401"/>
      <w:r w:rsidRPr="0041279B">
        <w:rPr>
          <w:rFonts w:asciiTheme="minorBidi" w:hAnsiTheme="minorBidi" w:cstheme="minorBidi"/>
          <w:b/>
          <w:bCs/>
          <w:i/>
          <w:iCs/>
          <w:color w:val="000000" w:themeColor="text1"/>
          <w:sz w:val="22"/>
          <w:szCs w:val="22"/>
        </w:rPr>
        <w:t>4.2 Data Extraction</w:t>
      </w:r>
      <w:bookmarkEnd w:id="54"/>
    </w:p>
    <w:p w14:paraId="241EE307"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For ensuring uniformity and avoiding any errors, data extraction was performed by using a standardized data extraction sheet that was specifically made for this review (</w:t>
      </w:r>
      <w:proofErr w:type="spellStart"/>
      <w:r w:rsidRPr="0041279B">
        <w:rPr>
          <w:rFonts w:asciiTheme="minorBidi" w:hAnsiTheme="minorBidi" w:cstheme="minorBidi"/>
          <w:color w:val="000000" w:themeColor="text1"/>
          <w:sz w:val="22"/>
          <w:szCs w:val="22"/>
        </w:rPr>
        <w:t>Aromataris</w:t>
      </w:r>
      <w:proofErr w:type="spellEnd"/>
      <w:r w:rsidRPr="0041279B">
        <w:rPr>
          <w:rFonts w:asciiTheme="minorBidi" w:hAnsiTheme="minorBidi" w:cstheme="minorBidi"/>
          <w:color w:val="000000" w:themeColor="text1"/>
          <w:sz w:val="22"/>
          <w:szCs w:val="22"/>
        </w:rPr>
        <w:t xml:space="preserve"> &amp; Munn, 2020). Information that was extracted from different studies involved the following: author(s), year of publication, country in Pakistan from which the information was obtained, study aim, research design, samples that were studied, population of research, social determinants measured during the research and important findings as well as study limitations. Thus, systematic extraction enabled the comparison of studies about various populations and areas in Pakistan, which allowed to better understand the impact of social determinants on knowledge, skills and abilities concerning AMR.</w:t>
      </w:r>
    </w:p>
    <w:p w14:paraId="4FF841F5"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As mentioned previously, standardized data extraction form increases the transparency of systematic review process, promotes </w:t>
      </w:r>
      <w:proofErr w:type="spellStart"/>
      <w:r w:rsidRPr="0041279B">
        <w:rPr>
          <w:rFonts w:asciiTheme="minorBidi" w:hAnsiTheme="minorBidi" w:cstheme="minorBidi"/>
          <w:color w:val="000000" w:themeColor="text1"/>
          <w:sz w:val="22"/>
          <w:szCs w:val="22"/>
        </w:rPr>
        <w:t>replicability</w:t>
      </w:r>
      <w:proofErr w:type="spellEnd"/>
      <w:r w:rsidRPr="0041279B">
        <w:rPr>
          <w:rFonts w:asciiTheme="minorBidi" w:hAnsiTheme="minorBidi" w:cstheme="minorBidi"/>
          <w:color w:val="000000" w:themeColor="text1"/>
          <w:sz w:val="22"/>
          <w:szCs w:val="22"/>
        </w:rPr>
        <w:t xml:space="preserve"> of research results as well as increases its reliability. What is more, it allows us to avoid the issue of selective reporting from different studies and makes it possible to collect the similar information for all studies (Higgins et al., 2023).</w:t>
      </w:r>
    </w:p>
    <w:p w14:paraId="0207399C" w14:textId="77777777" w:rsidR="00D340EB" w:rsidRPr="0041279B" w:rsidRDefault="00D340EB" w:rsidP="001362A5">
      <w:pPr>
        <w:pStyle w:val="Heading2"/>
        <w:rPr>
          <w:rFonts w:asciiTheme="minorBidi" w:hAnsiTheme="minorBidi" w:cstheme="minorBidi"/>
          <w:b/>
          <w:bCs/>
          <w:i/>
          <w:iCs/>
          <w:color w:val="000000" w:themeColor="text1"/>
          <w:sz w:val="22"/>
          <w:szCs w:val="22"/>
        </w:rPr>
      </w:pPr>
      <w:bookmarkStart w:id="55" w:name="_Toc238647402"/>
      <w:r w:rsidRPr="0041279B">
        <w:rPr>
          <w:rFonts w:asciiTheme="minorBidi" w:hAnsiTheme="minorBidi" w:cstheme="minorBidi"/>
          <w:b/>
          <w:bCs/>
          <w:i/>
          <w:iCs/>
          <w:color w:val="000000" w:themeColor="text1"/>
          <w:sz w:val="22"/>
          <w:szCs w:val="22"/>
        </w:rPr>
        <w:lastRenderedPageBreak/>
        <w:t>4.3 Brief Introduction to Critical Appraisal and Paper Quality Assessment</w:t>
      </w:r>
      <w:bookmarkEnd w:id="55"/>
    </w:p>
    <w:p w14:paraId="6A39D4D6"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Critical appraisal implies a systematic review of the methodological quality, validity, reliability, and bias risk of a particular study (</w:t>
      </w:r>
      <w:proofErr w:type="spellStart"/>
      <w:r w:rsidRPr="0041279B">
        <w:rPr>
          <w:rFonts w:asciiTheme="minorBidi" w:hAnsiTheme="minorBidi" w:cstheme="minorBidi"/>
          <w:color w:val="000000" w:themeColor="text1"/>
          <w:sz w:val="22"/>
          <w:szCs w:val="22"/>
        </w:rPr>
        <w:t>Aromataris</w:t>
      </w:r>
      <w:proofErr w:type="spellEnd"/>
      <w:r w:rsidRPr="0041279B">
        <w:rPr>
          <w:rFonts w:asciiTheme="minorBidi" w:hAnsiTheme="minorBidi" w:cstheme="minorBidi"/>
          <w:color w:val="000000" w:themeColor="text1"/>
          <w:sz w:val="22"/>
          <w:szCs w:val="22"/>
        </w:rPr>
        <w:t xml:space="preserve"> &amp; Munn, 2020). This procedure is fundamental in the context of systematic literature reviews as the credibility and reliability of the general conclusions derived from the synthesis are determined by the accuracy of methodology in primary studies used. Since the KAP research regarding AMR in Pakistan covers various methodological paradigms from observational cross-sectional studies to complex multi-phase mixed-method designs, the appraisal cannot be made using one universal tool in this case (</w:t>
      </w:r>
      <w:proofErr w:type="spellStart"/>
      <w:r w:rsidRPr="0041279B">
        <w:rPr>
          <w:rFonts w:asciiTheme="minorBidi" w:hAnsiTheme="minorBidi" w:cstheme="minorBidi"/>
          <w:color w:val="000000" w:themeColor="text1"/>
          <w:sz w:val="22"/>
          <w:szCs w:val="22"/>
        </w:rPr>
        <w:t>Mrklas</w:t>
      </w:r>
      <w:proofErr w:type="spellEnd"/>
      <w:r w:rsidRPr="0041279B">
        <w:rPr>
          <w:rFonts w:asciiTheme="minorBidi" w:hAnsiTheme="minorBidi" w:cstheme="minorBidi"/>
          <w:color w:val="000000" w:themeColor="text1"/>
          <w:sz w:val="22"/>
          <w:szCs w:val="22"/>
        </w:rPr>
        <w:t xml:space="preserve"> et al., 2023; </w:t>
      </w:r>
      <w:proofErr w:type="spellStart"/>
      <w:r w:rsidRPr="0041279B">
        <w:rPr>
          <w:rFonts w:asciiTheme="minorBidi" w:hAnsiTheme="minorBidi" w:cstheme="minorBidi"/>
          <w:color w:val="000000" w:themeColor="text1"/>
          <w:sz w:val="22"/>
          <w:szCs w:val="22"/>
        </w:rPr>
        <w:t>Tod</w:t>
      </w:r>
      <w:proofErr w:type="spellEnd"/>
      <w:r w:rsidRPr="0041279B">
        <w:rPr>
          <w:rFonts w:asciiTheme="minorBidi" w:hAnsiTheme="minorBidi" w:cstheme="minorBidi"/>
          <w:color w:val="000000" w:themeColor="text1"/>
          <w:sz w:val="22"/>
          <w:szCs w:val="22"/>
        </w:rPr>
        <w:t xml:space="preserve"> et al., 2022). Therefore, the current review employed a two-scale appraisal framework, which included the JBI Critical Appraisal Checklist for Analytical Cross-Sectional Studies and the MMAT for mix method approach. The JBI framework allowed for a more detailed evaluation of observational sampling, confounding controls, and measurement validity while MMAT provided the platform to measure mixed-methods synthesis and compare the quality among all studies included.</w:t>
      </w:r>
    </w:p>
    <w:p w14:paraId="47A6F44E"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The JBI Critical Appraisal Tools are popular assessment tools among different SLR studies, which help determine their methodological qualities and bias risks. This tool differs from the rest since it can provide a list of assessment criteria applicable to a particular type of research instead of general appraisal checklist. There are several JBI critical appraisal tools such as analytical cross-sectional design tool, randomized controlled effectiveness trial tool, cohort study appraisal checklist, quasi-experimental study appraisal tool, and qualitative research specific appraisal tool since all research types require different and specific checklist criteria. The JBI critical appraisal lists are detailed enough to include important factors such as appropriate inclusion criteria information, specific study settings, high quality of measurement methods, and effective use of statistical data/qualitative research strategies. Each factor can be rated as Yes, No or Uncertain and then calculated according to the three-level quality ranking. JBI method is the most important tool of SLR since it allows us to analyze studies in detail, thus preventing possible biases, determining the appropriate quality of the study, and relying on high quality of the result. </w:t>
      </w:r>
    </w:p>
    <w:p w14:paraId="6AF727A7"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The MMAT is a comprehensive critical appraisal framework specifically designed for SLRs that incorporate diverse, heterogeneous study designs across qualitative, quantitative, and mixed-methods paradigms. The tool categorizes studies into one of five distinct categories: Qualitative Research (Category 1), Quantitative RCTs (Category 2), Quantitative Non-Randomized (Category 3), Quantitative Descriptive (Category 4), and Mixed-Methods (Category 5). The appraisal process begins with two mandatory screening gatekeeper questions (S1 and S2) to confirm that clear research questions exist and that the data address those questions; once passed, the study is </w:t>
      </w:r>
      <w:r w:rsidRPr="0041279B">
        <w:rPr>
          <w:rFonts w:asciiTheme="minorBidi" w:hAnsiTheme="minorBidi" w:cstheme="minorBidi"/>
          <w:color w:val="000000" w:themeColor="text1"/>
          <w:sz w:val="22"/>
          <w:szCs w:val="22"/>
        </w:rPr>
        <w:lastRenderedPageBreak/>
        <w:t>evaluated against five design-specific criteria items (Items 1–5) using ratings of Yes, no, or Can't Tell. Following is the detailed representation Item 1 to Item 5:</w:t>
      </w:r>
    </w:p>
    <w:p w14:paraId="26B93146"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Item 1: Is there an adequate rationale for using a mixed-methods design?</w:t>
      </w:r>
    </w:p>
    <w:p w14:paraId="29A40ACB"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Item 2: Are the qualitative and quantitative components integrated effectively?</w:t>
      </w:r>
    </w:p>
    <w:p w14:paraId="153EE8B6"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Item 3: Are the outputs of the integration adequately interpreted?</w:t>
      </w:r>
    </w:p>
    <w:p w14:paraId="2972553A"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Item 4: Are divergences and inconsistencies between quantitative and qualitative results addressed?</w:t>
      </w:r>
    </w:p>
    <w:p w14:paraId="223C5402"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Item 5: Do the individual components adhere to the quality criteria for single-method designs?</w:t>
      </w:r>
    </w:p>
    <w:p w14:paraId="7F6FA491"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The ratings are combined to generate the total quality ratings (from 20 percent to 100 percent) or the descriptions that specify strength. The greatest significance of MMAT in systematic reviews is the capability of such tool to evaluate multiple methodologies, including qualitative interviews, cross-sectional surveys, and mixed-methods trials, within the same validated framework that prevents a variety of evaluation tools from being used and allows for the application of the highest methodology standards across various evidence bases.</w:t>
      </w:r>
    </w:p>
    <w:p w14:paraId="790958B1"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Quality assessment had a few important roles in this review. It made it possible to detect the probable reasons of selection, non-response and confounding bias, to assess internal and external validity of the studies, and to ensure transparency of the review. Additionally, it made it possible to develop a systematic approach for evaluating the evidence and providing explanations of contradictory outcomes in various Pakistani institutions. The inclusion of studies was not limited only by numerical quality evaluation; rather, the results of analysis were necessary for understanding the degree of reliability of the information about the social determinants of KAP related to AMR.</w:t>
      </w:r>
    </w:p>
    <w:p w14:paraId="769C6E9E" w14:textId="77777777" w:rsidR="00D340EB" w:rsidRDefault="00D340EB" w:rsidP="00D340EB">
      <w:pPr>
        <w:spacing w:line="360" w:lineRule="auto"/>
        <w:jc w:val="both"/>
        <w:rPr>
          <w:rFonts w:ascii="Arial" w:hAnsi="Arial" w:cs="Arial"/>
          <w:sz w:val="22"/>
          <w:szCs w:val="22"/>
        </w:rPr>
      </w:pPr>
    </w:p>
    <w:p w14:paraId="6A4C8806" w14:textId="77777777" w:rsidR="00D340EB" w:rsidRDefault="00D340EB" w:rsidP="00D340EB">
      <w:pPr>
        <w:rPr>
          <w:rFonts w:ascii="Arial" w:hAnsi="Arial" w:cs="Arial"/>
          <w:sz w:val="22"/>
          <w:szCs w:val="22"/>
        </w:rPr>
      </w:pPr>
    </w:p>
    <w:p w14:paraId="150B4C49" w14:textId="77777777" w:rsidR="00D340EB" w:rsidRDefault="00D340EB" w:rsidP="00D340EB">
      <w:pPr>
        <w:rPr>
          <w:rFonts w:ascii="Arial" w:hAnsi="Arial" w:cs="Arial"/>
          <w:sz w:val="22"/>
          <w:szCs w:val="22"/>
        </w:rPr>
      </w:pPr>
    </w:p>
    <w:p w14:paraId="6D7A5AE4" w14:textId="77777777" w:rsidR="00D340EB" w:rsidRDefault="00D340EB" w:rsidP="00D340EB">
      <w:pPr>
        <w:rPr>
          <w:rFonts w:ascii="Arial" w:hAnsi="Arial" w:cs="Arial"/>
          <w:sz w:val="22"/>
          <w:szCs w:val="22"/>
        </w:rPr>
      </w:pPr>
    </w:p>
    <w:p w14:paraId="09FDDCE2" w14:textId="77777777" w:rsidR="00D340EB" w:rsidRDefault="00D340EB" w:rsidP="00D340EB">
      <w:pPr>
        <w:rPr>
          <w:rFonts w:ascii="Arial" w:hAnsi="Arial" w:cs="Arial"/>
          <w:sz w:val="22"/>
          <w:szCs w:val="22"/>
        </w:rPr>
      </w:pPr>
    </w:p>
    <w:p w14:paraId="6B0F8DE9" w14:textId="77777777" w:rsidR="00D340EB" w:rsidRDefault="00D340EB" w:rsidP="00D340EB">
      <w:pPr>
        <w:rPr>
          <w:rFonts w:ascii="Arial" w:hAnsi="Arial" w:cs="Arial"/>
          <w:sz w:val="22"/>
          <w:szCs w:val="22"/>
        </w:rPr>
      </w:pPr>
    </w:p>
    <w:p w14:paraId="4EC40C3E" w14:textId="77777777" w:rsidR="00D340EB" w:rsidRDefault="00D340EB" w:rsidP="00D340EB">
      <w:pPr>
        <w:rPr>
          <w:rFonts w:ascii="Arial" w:hAnsi="Arial" w:cs="Arial"/>
          <w:sz w:val="22"/>
          <w:szCs w:val="22"/>
        </w:rPr>
      </w:pPr>
    </w:p>
    <w:p w14:paraId="5216963E" w14:textId="77777777" w:rsidR="00D340EB" w:rsidRDefault="00D340EB" w:rsidP="00D340EB">
      <w:pPr>
        <w:rPr>
          <w:rFonts w:ascii="Arial" w:hAnsi="Arial" w:cs="Arial"/>
          <w:sz w:val="22"/>
          <w:szCs w:val="22"/>
        </w:rPr>
      </w:pPr>
    </w:p>
    <w:p w14:paraId="478E9BB2" w14:textId="77777777" w:rsidR="00D340EB" w:rsidRDefault="00D340EB" w:rsidP="00D340EB">
      <w:pPr>
        <w:rPr>
          <w:rFonts w:ascii="Arial" w:hAnsi="Arial" w:cs="Arial"/>
          <w:sz w:val="22"/>
          <w:szCs w:val="22"/>
        </w:rPr>
      </w:pPr>
    </w:p>
    <w:p w14:paraId="44F7C6F8" w14:textId="77777777" w:rsidR="00D340EB" w:rsidRDefault="00D340EB" w:rsidP="00D340EB">
      <w:pPr>
        <w:rPr>
          <w:rFonts w:ascii="Arial" w:hAnsi="Arial" w:cs="Arial"/>
          <w:sz w:val="22"/>
          <w:szCs w:val="22"/>
        </w:rPr>
      </w:pPr>
    </w:p>
    <w:p w14:paraId="7098E09F" w14:textId="77777777" w:rsidR="00D340EB" w:rsidRDefault="00D340EB" w:rsidP="00D340EB">
      <w:pPr>
        <w:rPr>
          <w:rFonts w:ascii="Arial" w:hAnsi="Arial" w:cs="Arial"/>
          <w:sz w:val="22"/>
          <w:szCs w:val="22"/>
        </w:rPr>
      </w:pPr>
    </w:p>
    <w:p w14:paraId="33EE2D5F" w14:textId="77777777" w:rsidR="00D340EB" w:rsidRDefault="00D340EB" w:rsidP="00D340EB">
      <w:pPr>
        <w:rPr>
          <w:rFonts w:ascii="Arial" w:hAnsi="Arial" w:cs="Arial"/>
          <w:sz w:val="22"/>
          <w:szCs w:val="22"/>
        </w:rPr>
      </w:pPr>
    </w:p>
    <w:p w14:paraId="534F67DB" w14:textId="77777777" w:rsidR="00D340EB" w:rsidRDefault="00D340EB" w:rsidP="00D340EB">
      <w:pPr>
        <w:rPr>
          <w:rFonts w:ascii="Arial" w:hAnsi="Arial" w:cs="Arial"/>
          <w:sz w:val="22"/>
          <w:szCs w:val="22"/>
        </w:rPr>
      </w:pPr>
    </w:p>
    <w:p w14:paraId="28502E4D" w14:textId="77777777" w:rsidR="00D340EB" w:rsidRDefault="00D340EB" w:rsidP="00D340EB">
      <w:pPr>
        <w:rPr>
          <w:rFonts w:ascii="Arial" w:hAnsi="Arial" w:cs="Arial"/>
          <w:sz w:val="22"/>
          <w:szCs w:val="22"/>
        </w:rPr>
      </w:pPr>
      <w:r w:rsidRPr="00015E49">
        <w:rPr>
          <w:rFonts w:ascii="Arial" w:hAnsi="Arial" w:cs="Arial"/>
          <w:sz w:val="22"/>
          <w:szCs w:val="22"/>
        </w:rPr>
        <w:t>Table 2: Methodological Quality Assessment of Included Studies Using the JBI Critical Appraisal Tool for Analytical Cross-Sectional Studies (n=10)</w:t>
      </w:r>
      <w:r>
        <w:rPr>
          <w:rFonts w:ascii="Arial" w:hAnsi="Arial" w:cs="Arial"/>
          <w:sz w:val="22"/>
          <w:szCs w:val="22"/>
        </w:rPr>
        <w:t>.</w:t>
      </w:r>
    </w:p>
    <w:tbl>
      <w:tblPr>
        <w:tblW w:w="5000" w:type="pct"/>
        <w:tblLayout w:type="fixed"/>
        <w:tblLook w:val="04A0" w:firstRow="1" w:lastRow="0" w:firstColumn="1" w:lastColumn="0" w:noHBand="0" w:noVBand="1"/>
      </w:tblPr>
      <w:tblGrid>
        <w:gridCol w:w="1390"/>
        <w:gridCol w:w="741"/>
        <w:gridCol w:w="874"/>
        <w:gridCol w:w="878"/>
        <w:gridCol w:w="1054"/>
        <w:gridCol w:w="702"/>
        <w:gridCol w:w="1056"/>
        <w:gridCol w:w="791"/>
        <w:gridCol w:w="791"/>
        <w:gridCol w:w="702"/>
        <w:gridCol w:w="690"/>
      </w:tblGrid>
      <w:tr w:rsidR="00D340EB" w:rsidRPr="00E3121B" w14:paraId="18C9D034" w14:textId="77777777" w:rsidTr="00775F7D">
        <w:trPr>
          <w:trHeight w:val="755"/>
        </w:trPr>
        <w:tc>
          <w:tcPr>
            <w:tcW w:w="719" w:type="pct"/>
            <w:tcBorders>
              <w:top w:val="single" w:sz="8" w:space="0" w:color="auto"/>
              <w:left w:val="single" w:sz="8" w:space="0" w:color="auto"/>
              <w:bottom w:val="single" w:sz="8" w:space="0" w:color="auto"/>
              <w:right w:val="single" w:sz="8" w:space="0" w:color="auto"/>
            </w:tcBorders>
            <w:shd w:val="clear" w:color="000000" w:fill="D9D9D9"/>
            <w:vAlign w:val="center"/>
            <w:hideMark/>
          </w:tcPr>
          <w:p w14:paraId="270D0F79" w14:textId="77777777" w:rsidR="00D340EB" w:rsidRPr="00E3121B" w:rsidRDefault="00D340EB" w:rsidP="00775F7D">
            <w:pPr>
              <w:spacing w:after="0" w:line="240" w:lineRule="auto"/>
              <w:rPr>
                <w:rFonts w:ascii="Arial" w:eastAsia="Times New Roman" w:hAnsi="Arial" w:cs="Arial"/>
                <w:b/>
                <w:bCs/>
                <w:color w:val="1F1F1F"/>
                <w:kern w:val="0"/>
                <w:sz w:val="22"/>
                <w:szCs w:val="22"/>
              </w:rPr>
            </w:pPr>
            <w:r w:rsidRPr="00E3121B">
              <w:rPr>
                <w:rFonts w:ascii="Arial" w:eastAsia="Times New Roman" w:hAnsi="Arial" w:cs="Arial"/>
                <w:b/>
                <w:bCs/>
                <w:color w:val="1F1F1F"/>
                <w:kern w:val="0"/>
                <w:sz w:val="22"/>
                <w:szCs w:val="22"/>
              </w:rPr>
              <w:t xml:space="preserve">JBI Checklist </w:t>
            </w:r>
          </w:p>
        </w:tc>
        <w:tc>
          <w:tcPr>
            <w:tcW w:w="383" w:type="pct"/>
            <w:tcBorders>
              <w:top w:val="single" w:sz="8" w:space="0" w:color="auto"/>
              <w:left w:val="nil"/>
              <w:bottom w:val="single" w:sz="8" w:space="0" w:color="auto"/>
              <w:right w:val="single" w:sz="8" w:space="0" w:color="auto"/>
            </w:tcBorders>
            <w:shd w:val="clear" w:color="000000" w:fill="D9D9D9"/>
            <w:hideMark/>
          </w:tcPr>
          <w:p w14:paraId="3B176415" w14:textId="77777777" w:rsidR="00D340EB" w:rsidRPr="00E3121B" w:rsidRDefault="00D340EB" w:rsidP="00775F7D">
            <w:pPr>
              <w:spacing w:after="0" w:line="240" w:lineRule="auto"/>
              <w:rPr>
                <w:rFonts w:ascii="Arial" w:eastAsia="Times New Roman" w:hAnsi="Arial" w:cs="Arial"/>
                <w:color w:val="1F1F1F"/>
                <w:kern w:val="0"/>
                <w:sz w:val="20"/>
                <w:szCs w:val="20"/>
              </w:rPr>
            </w:pPr>
            <w:r w:rsidRPr="00E3121B">
              <w:rPr>
                <w:rFonts w:ascii="Arial" w:eastAsia="Times New Roman" w:hAnsi="Arial" w:cs="Arial"/>
                <w:color w:val="1F1F1F"/>
                <w:kern w:val="0"/>
                <w:sz w:val="20"/>
                <w:szCs w:val="20"/>
              </w:rPr>
              <w:t>Khan et al. 2021</w:t>
            </w:r>
          </w:p>
        </w:tc>
        <w:tc>
          <w:tcPr>
            <w:tcW w:w="452" w:type="pct"/>
            <w:tcBorders>
              <w:top w:val="single" w:sz="8" w:space="0" w:color="auto"/>
              <w:left w:val="nil"/>
              <w:bottom w:val="single" w:sz="8" w:space="0" w:color="auto"/>
              <w:right w:val="single" w:sz="8" w:space="0" w:color="auto"/>
            </w:tcBorders>
            <w:shd w:val="clear" w:color="000000" w:fill="D9D9D9"/>
            <w:hideMark/>
          </w:tcPr>
          <w:p w14:paraId="0B674C47" w14:textId="77777777" w:rsidR="00D340EB" w:rsidRPr="00E3121B" w:rsidRDefault="00D340EB" w:rsidP="00775F7D">
            <w:pPr>
              <w:spacing w:after="0" w:line="240" w:lineRule="auto"/>
              <w:rPr>
                <w:rFonts w:ascii="Arial" w:eastAsia="Times New Roman" w:hAnsi="Arial" w:cs="Arial"/>
                <w:color w:val="000000"/>
                <w:kern w:val="0"/>
                <w:sz w:val="20"/>
                <w:szCs w:val="20"/>
              </w:rPr>
            </w:pPr>
            <w:proofErr w:type="spellStart"/>
            <w:r w:rsidRPr="00E3121B">
              <w:rPr>
                <w:rFonts w:ascii="Arial" w:eastAsia="Times New Roman" w:hAnsi="Arial" w:cs="Arial"/>
                <w:color w:val="000000"/>
                <w:kern w:val="0"/>
                <w:sz w:val="20"/>
                <w:szCs w:val="20"/>
              </w:rPr>
              <w:t>Nabeel</w:t>
            </w:r>
            <w:proofErr w:type="spellEnd"/>
            <w:r w:rsidRPr="00E3121B">
              <w:rPr>
                <w:rFonts w:ascii="Arial" w:eastAsia="Times New Roman" w:hAnsi="Arial" w:cs="Arial"/>
                <w:color w:val="000000"/>
                <w:kern w:val="0"/>
                <w:sz w:val="20"/>
                <w:szCs w:val="20"/>
              </w:rPr>
              <w:t xml:space="preserve"> et al. 2024</w:t>
            </w:r>
          </w:p>
        </w:tc>
        <w:tc>
          <w:tcPr>
            <w:tcW w:w="454" w:type="pct"/>
            <w:tcBorders>
              <w:top w:val="single" w:sz="8" w:space="0" w:color="auto"/>
              <w:left w:val="nil"/>
              <w:bottom w:val="single" w:sz="8" w:space="0" w:color="auto"/>
              <w:right w:val="single" w:sz="8" w:space="0" w:color="auto"/>
            </w:tcBorders>
            <w:shd w:val="clear" w:color="000000" w:fill="D9D9D9"/>
            <w:hideMark/>
          </w:tcPr>
          <w:p w14:paraId="14E600AF" w14:textId="77777777" w:rsidR="00D340EB" w:rsidRPr="00E3121B" w:rsidRDefault="00D340EB" w:rsidP="00775F7D">
            <w:pPr>
              <w:spacing w:after="0" w:line="240" w:lineRule="auto"/>
              <w:rPr>
                <w:rFonts w:ascii="Arial" w:eastAsia="Times New Roman" w:hAnsi="Arial" w:cs="Arial"/>
                <w:color w:val="000000"/>
                <w:kern w:val="0"/>
                <w:sz w:val="20"/>
                <w:szCs w:val="20"/>
              </w:rPr>
            </w:pPr>
            <w:proofErr w:type="spellStart"/>
            <w:r w:rsidRPr="00E3121B">
              <w:rPr>
                <w:rFonts w:ascii="Arial" w:eastAsia="Times New Roman" w:hAnsi="Arial" w:cs="Arial"/>
                <w:color w:val="000000"/>
                <w:kern w:val="0"/>
                <w:sz w:val="20"/>
                <w:szCs w:val="20"/>
              </w:rPr>
              <w:t>Shahid</w:t>
            </w:r>
            <w:proofErr w:type="spellEnd"/>
            <w:r w:rsidRPr="00E3121B">
              <w:rPr>
                <w:rFonts w:ascii="Arial" w:eastAsia="Times New Roman" w:hAnsi="Arial" w:cs="Arial"/>
                <w:color w:val="000000"/>
                <w:kern w:val="0"/>
                <w:sz w:val="20"/>
                <w:szCs w:val="20"/>
              </w:rPr>
              <w:t xml:space="preserve"> et al. 2025</w:t>
            </w:r>
          </w:p>
        </w:tc>
        <w:tc>
          <w:tcPr>
            <w:tcW w:w="545" w:type="pct"/>
            <w:tcBorders>
              <w:top w:val="single" w:sz="8" w:space="0" w:color="auto"/>
              <w:left w:val="nil"/>
              <w:bottom w:val="single" w:sz="8" w:space="0" w:color="auto"/>
              <w:right w:val="single" w:sz="8" w:space="0" w:color="auto"/>
            </w:tcBorders>
            <w:shd w:val="clear" w:color="000000" w:fill="D9D9D9"/>
            <w:hideMark/>
          </w:tcPr>
          <w:p w14:paraId="56B4F896" w14:textId="77777777" w:rsidR="00D340EB" w:rsidRPr="00E3121B" w:rsidRDefault="00D340EB" w:rsidP="00775F7D">
            <w:pPr>
              <w:spacing w:after="0" w:line="240" w:lineRule="auto"/>
              <w:rPr>
                <w:rFonts w:ascii="Arial" w:eastAsia="Times New Roman" w:hAnsi="Arial" w:cs="Arial"/>
                <w:color w:val="000000"/>
                <w:kern w:val="0"/>
                <w:sz w:val="20"/>
                <w:szCs w:val="20"/>
              </w:rPr>
            </w:pPr>
            <w:proofErr w:type="spellStart"/>
            <w:r w:rsidRPr="00E3121B">
              <w:rPr>
                <w:rFonts w:ascii="Arial" w:eastAsia="Times New Roman" w:hAnsi="Arial" w:cs="Arial"/>
                <w:color w:val="000000"/>
                <w:kern w:val="0"/>
                <w:sz w:val="20"/>
                <w:szCs w:val="20"/>
              </w:rPr>
              <w:t>Waseem</w:t>
            </w:r>
            <w:proofErr w:type="spellEnd"/>
            <w:r w:rsidRPr="00E3121B">
              <w:rPr>
                <w:rFonts w:ascii="Arial" w:eastAsia="Times New Roman" w:hAnsi="Arial" w:cs="Arial"/>
                <w:color w:val="000000"/>
                <w:kern w:val="0"/>
                <w:sz w:val="20"/>
                <w:szCs w:val="20"/>
              </w:rPr>
              <w:t xml:space="preserve"> et al.</w:t>
            </w:r>
            <w:r>
              <w:rPr>
                <w:rFonts w:ascii="Arial" w:eastAsia="Times New Roman" w:hAnsi="Arial" w:cs="Arial"/>
                <w:color w:val="000000"/>
                <w:kern w:val="0"/>
                <w:sz w:val="20"/>
                <w:szCs w:val="20"/>
              </w:rPr>
              <w:t xml:space="preserve"> </w:t>
            </w:r>
            <w:r w:rsidRPr="00E3121B">
              <w:rPr>
                <w:rFonts w:ascii="Arial" w:eastAsia="Times New Roman" w:hAnsi="Arial" w:cs="Arial"/>
                <w:color w:val="000000"/>
                <w:kern w:val="0"/>
                <w:sz w:val="20"/>
                <w:szCs w:val="20"/>
              </w:rPr>
              <w:t>2019</w:t>
            </w:r>
          </w:p>
        </w:tc>
        <w:tc>
          <w:tcPr>
            <w:tcW w:w="363" w:type="pct"/>
            <w:tcBorders>
              <w:top w:val="single" w:sz="8" w:space="0" w:color="auto"/>
              <w:left w:val="nil"/>
              <w:bottom w:val="single" w:sz="8" w:space="0" w:color="auto"/>
              <w:right w:val="single" w:sz="8" w:space="0" w:color="auto"/>
            </w:tcBorders>
            <w:shd w:val="clear" w:color="000000" w:fill="D9D9D9"/>
            <w:hideMark/>
          </w:tcPr>
          <w:p w14:paraId="77B1897A" w14:textId="77777777" w:rsidR="00D340EB" w:rsidRPr="00E3121B" w:rsidRDefault="00D340EB" w:rsidP="00775F7D">
            <w:pPr>
              <w:spacing w:after="0" w:line="240" w:lineRule="auto"/>
              <w:rPr>
                <w:rFonts w:ascii="Arial" w:eastAsia="Times New Roman" w:hAnsi="Arial" w:cs="Arial"/>
                <w:color w:val="000000"/>
                <w:kern w:val="0"/>
                <w:sz w:val="20"/>
                <w:szCs w:val="20"/>
              </w:rPr>
            </w:pPr>
            <w:proofErr w:type="spellStart"/>
            <w:r w:rsidRPr="00E3121B">
              <w:rPr>
                <w:rFonts w:ascii="Arial" w:eastAsia="Times New Roman" w:hAnsi="Arial" w:cs="Arial"/>
                <w:color w:val="000000"/>
                <w:kern w:val="0"/>
                <w:sz w:val="20"/>
                <w:szCs w:val="20"/>
              </w:rPr>
              <w:t>Saif</w:t>
            </w:r>
            <w:proofErr w:type="spellEnd"/>
            <w:r w:rsidRPr="00E3121B">
              <w:rPr>
                <w:rFonts w:ascii="Arial" w:eastAsia="Times New Roman" w:hAnsi="Arial" w:cs="Arial"/>
                <w:color w:val="000000"/>
                <w:kern w:val="0"/>
                <w:sz w:val="20"/>
                <w:szCs w:val="20"/>
              </w:rPr>
              <w:t xml:space="preserve"> et al. 2024</w:t>
            </w:r>
          </w:p>
        </w:tc>
        <w:tc>
          <w:tcPr>
            <w:tcW w:w="546" w:type="pct"/>
            <w:tcBorders>
              <w:top w:val="single" w:sz="8" w:space="0" w:color="auto"/>
              <w:left w:val="nil"/>
              <w:bottom w:val="single" w:sz="8" w:space="0" w:color="auto"/>
              <w:right w:val="single" w:sz="8" w:space="0" w:color="auto"/>
            </w:tcBorders>
            <w:shd w:val="clear" w:color="000000" w:fill="D9D9D9"/>
            <w:hideMark/>
          </w:tcPr>
          <w:p w14:paraId="70F3F83E" w14:textId="77777777" w:rsidR="00D340EB" w:rsidRPr="00E3121B" w:rsidRDefault="00D340EB" w:rsidP="00775F7D">
            <w:pPr>
              <w:spacing w:after="0" w:line="240" w:lineRule="auto"/>
              <w:rPr>
                <w:rFonts w:ascii="Arial" w:eastAsia="Times New Roman" w:hAnsi="Arial" w:cs="Arial"/>
                <w:color w:val="000000"/>
                <w:kern w:val="0"/>
                <w:sz w:val="20"/>
                <w:szCs w:val="20"/>
              </w:rPr>
            </w:pPr>
            <w:proofErr w:type="spellStart"/>
            <w:r w:rsidRPr="00E3121B">
              <w:rPr>
                <w:rFonts w:ascii="Arial" w:eastAsia="Times New Roman" w:hAnsi="Arial" w:cs="Arial"/>
                <w:color w:val="000000"/>
                <w:kern w:val="0"/>
                <w:sz w:val="20"/>
                <w:szCs w:val="20"/>
              </w:rPr>
              <w:t>Faizullah</w:t>
            </w:r>
            <w:proofErr w:type="spellEnd"/>
            <w:r w:rsidRPr="00E3121B">
              <w:rPr>
                <w:rFonts w:ascii="Arial" w:eastAsia="Times New Roman" w:hAnsi="Arial" w:cs="Arial"/>
                <w:color w:val="000000"/>
                <w:kern w:val="0"/>
                <w:sz w:val="20"/>
                <w:szCs w:val="20"/>
              </w:rPr>
              <w:t xml:space="preserve"> et al. 2017</w:t>
            </w:r>
          </w:p>
        </w:tc>
        <w:tc>
          <w:tcPr>
            <w:tcW w:w="409" w:type="pct"/>
            <w:tcBorders>
              <w:top w:val="single" w:sz="8" w:space="0" w:color="auto"/>
              <w:left w:val="nil"/>
              <w:bottom w:val="single" w:sz="8" w:space="0" w:color="auto"/>
              <w:right w:val="single" w:sz="8" w:space="0" w:color="auto"/>
            </w:tcBorders>
            <w:shd w:val="clear" w:color="000000" w:fill="D9D9D9"/>
            <w:hideMark/>
          </w:tcPr>
          <w:p w14:paraId="5A874427" w14:textId="77777777" w:rsidR="00D340EB" w:rsidRPr="00E3121B" w:rsidRDefault="00D340EB" w:rsidP="00775F7D">
            <w:pPr>
              <w:spacing w:after="0" w:line="240" w:lineRule="auto"/>
              <w:rPr>
                <w:rFonts w:ascii="Arial" w:eastAsia="Times New Roman" w:hAnsi="Arial" w:cs="Arial"/>
                <w:color w:val="000000"/>
                <w:kern w:val="0"/>
                <w:sz w:val="20"/>
                <w:szCs w:val="20"/>
              </w:rPr>
            </w:pPr>
            <w:r w:rsidRPr="00E3121B">
              <w:rPr>
                <w:rFonts w:ascii="Arial" w:eastAsia="Times New Roman" w:hAnsi="Arial" w:cs="Arial"/>
                <w:color w:val="000000"/>
                <w:kern w:val="0"/>
                <w:sz w:val="20"/>
                <w:szCs w:val="20"/>
              </w:rPr>
              <w:t xml:space="preserve">Ashraf et al. 2022 </w:t>
            </w:r>
          </w:p>
        </w:tc>
        <w:tc>
          <w:tcPr>
            <w:tcW w:w="409" w:type="pct"/>
            <w:tcBorders>
              <w:top w:val="single" w:sz="8" w:space="0" w:color="auto"/>
              <w:left w:val="nil"/>
              <w:bottom w:val="single" w:sz="8" w:space="0" w:color="auto"/>
              <w:right w:val="single" w:sz="8" w:space="0" w:color="auto"/>
            </w:tcBorders>
            <w:shd w:val="clear" w:color="000000" w:fill="D9D9D9"/>
            <w:hideMark/>
          </w:tcPr>
          <w:p w14:paraId="124E8016" w14:textId="77777777" w:rsidR="00D340EB" w:rsidRPr="00E3121B" w:rsidRDefault="00D340EB" w:rsidP="00775F7D">
            <w:pPr>
              <w:spacing w:after="0" w:line="240" w:lineRule="auto"/>
              <w:rPr>
                <w:rFonts w:ascii="Arial" w:eastAsia="Times New Roman" w:hAnsi="Arial" w:cs="Arial"/>
                <w:color w:val="000000"/>
                <w:kern w:val="0"/>
                <w:sz w:val="20"/>
                <w:szCs w:val="20"/>
              </w:rPr>
            </w:pPr>
            <w:proofErr w:type="spellStart"/>
            <w:r w:rsidRPr="00E3121B">
              <w:rPr>
                <w:rFonts w:ascii="Arial" w:eastAsia="Times New Roman" w:hAnsi="Arial" w:cs="Arial"/>
                <w:color w:val="000000"/>
                <w:kern w:val="0"/>
                <w:sz w:val="20"/>
                <w:szCs w:val="20"/>
              </w:rPr>
              <w:t>Gillani</w:t>
            </w:r>
            <w:proofErr w:type="spellEnd"/>
            <w:r w:rsidRPr="00E3121B">
              <w:rPr>
                <w:rFonts w:ascii="Arial" w:eastAsia="Times New Roman" w:hAnsi="Arial" w:cs="Arial"/>
                <w:color w:val="000000"/>
                <w:kern w:val="0"/>
                <w:sz w:val="20"/>
                <w:szCs w:val="20"/>
              </w:rPr>
              <w:t xml:space="preserve"> et al. 2021</w:t>
            </w:r>
          </w:p>
        </w:tc>
        <w:tc>
          <w:tcPr>
            <w:tcW w:w="363" w:type="pct"/>
            <w:tcBorders>
              <w:top w:val="single" w:sz="8" w:space="0" w:color="auto"/>
              <w:left w:val="nil"/>
              <w:bottom w:val="single" w:sz="8" w:space="0" w:color="auto"/>
              <w:right w:val="single" w:sz="8" w:space="0" w:color="auto"/>
            </w:tcBorders>
            <w:shd w:val="clear" w:color="000000" w:fill="D9D9D9"/>
            <w:hideMark/>
          </w:tcPr>
          <w:p w14:paraId="68947F64" w14:textId="77777777" w:rsidR="00D340EB" w:rsidRPr="00E3121B" w:rsidRDefault="00D340EB" w:rsidP="00775F7D">
            <w:pPr>
              <w:spacing w:after="0" w:line="240" w:lineRule="auto"/>
              <w:rPr>
                <w:rFonts w:ascii="Arial" w:eastAsia="Times New Roman" w:hAnsi="Arial" w:cs="Arial"/>
                <w:color w:val="000000"/>
                <w:kern w:val="0"/>
                <w:sz w:val="20"/>
                <w:szCs w:val="20"/>
              </w:rPr>
            </w:pPr>
            <w:r w:rsidRPr="00E3121B">
              <w:rPr>
                <w:rFonts w:ascii="Arial" w:eastAsia="Times New Roman" w:hAnsi="Arial" w:cs="Arial"/>
                <w:color w:val="000000"/>
                <w:kern w:val="0"/>
                <w:sz w:val="20"/>
                <w:szCs w:val="20"/>
              </w:rPr>
              <w:t>Shah et al. 2022</w:t>
            </w:r>
          </w:p>
        </w:tc>
        <w:tc>
          <w:tcPr>
            <w:tcW w:w="357" w:type="pct"/>
            <w:tcBorders>
              <w:top w:val="single" w:sz="8" w:space="0" w:color="auto"/>
              <w:left w:val="nil"/>
              <w:bottom w:val="single" w:sz="8" w:space="0" w:color="auto"/>
              <w:right w:val="single" w:sz="8" w:space="0" w:color="auto"/>
            </w:tcBorders>
            <w:shd w:val="clear" w:color="000000" w:fill="D9D9D9"/>
            <w:hideMark/>
          </w:tcPr>
          <w:p w14:paraId="23E81066" w14:textId="77777777" w:rsidR="00D340EB" w:rsidRPr="00E3121B" w:rsidRDefault="00D340EB" w:rsidP="00775F7D">
            <w:pPr>
              <w:spacing w:after="0" w:line="240" w:lineRule="auto"/>
              <w:rPr>
                <w:rFonts w:ascii="Arial" w:eastAsia="Times New Roman" w:hAnsi="Arial" w:cs="Arial"/>
                <w:color w:val="000000"/>
                <w:kern w:val="0"/>
                <w:sz w:val="20"/>
                <w:szCs w:val="20"/>
              </w:rPr>
            </w:pPr>
            <w:r w:rsidRPr="00E3121B">
              <w:rPr>
                <w:rFonts w:ascii="Arial" w:eastAsia="Times New Roman" w:hAnsi="Arial" w:cs="Arial"/>
                <w:color w:val="000000"/>
                <w:kern w:val="0"/>
                <w:sz w:val="20"/>
                <w:szCs w:val="20"/>
              </w:rPr>
              <w:t>Khan et al. 2020</w:t>
            </w:r>
          </w:p>
        </w:tc>
      </w:tr>
      <w:tr w:rsidR="00D340EB" w:rsidRPr="00E3121B" w14:paraId="6FAA905B" w14:textId="77777777" w:rsidTr="00775F7D">
        <w:trPr>
          <w:trHeight w:val="1420"/>
        </w:trPr>
        <w:tc>
          <w:tcPr>
            <w:tcW w:w="719" w:type="pct"/>
            <w:tcBorders>
              <w:top w:val="nil"/>
              <w:left w:val="single" w:sz="8" w:space="0" w:color="auto"/>
              <w:bottom w:val="single" w:sz="8" w:space="0" w:color="auto"/>
              <w:right w:val="single" w:sz="8" w:space="0" w:color="auto"/>
            </w:tcBorders>
            <w:vAlign w:val="center"/>
            <w:hideMark/>
          </w:tcPr>
          <w:p w14:paraId="114528BF"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Were the criteria for inclusion in the sample clearly defined?</w:t>
            </w:r>
          </w:p>
        </w:tc>
        <w:tc>
          <w:tcPr>
            <w:tcW w:w="383" w:type="pct"/>
            <w:tcBorders>
              <w:top w:val="nil"/>
              <w:left w:val="nil"/>
              <w:bottom w:val="single" w:sz="8" w:space="0" w:color="auto"/>
              <w:right w:val="single" w:sz="8" w:space="0" w:color="auto"/>
            </w:tcBorders>
            <w:vAlign w:val="center"/>
            <w:hideMark/>
          </w:tcPr>
          <w:p w14:paraId="2538D04D"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2" w:type="pct"/>
            <w:tcBorders>
              <w:top w:val="nil"/>
              <w:left w:val="nil"/>
              <w:bottom w:val="single" w:sz="8" w:space="0" w:color="auto"/>
              <w:right w:val="single" w:sz="8" w:space="0" w:color="auto"/>
            </w:tcBorders>
            <w:vAlign w:val="center"/>
            <w:hideMark/>
          </w:tcPr>
          <w:p w14:paraId="0F9BD432"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54" w:type="pct"/>
            <w:tcBorders>
              <w:top w:val="nil"/>
              <w:left w:val="nil"/>
              <w:bottom w:val="single" w:sz="8" w:space="0" w:color="auto"/>
              <w:right w:val="single" w:sz="8" w:space="0" w:color="auto"/>
            </w:tcBorders>
            <w:vAlign w:val="center"/>
            <w:hideMark/>
          </w:tcPr>
          <w:p w14:paraId="68283ACF"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5" w:type="pct"/>
            <w:tcBorders>
              <w:top w:val="nil"/>
              <w:left w:val="nil"/>
              <w:bottom w:val="single" w:sz="8" w:space="0" w:color="auto"/>
              <w:right w:val="single" w:sz="8" w:space="0" w:color="auto"/>
            </w:tcBorders>
            <w:vAlign w:val="center"/>
            <w:hideMark/>
          </w:tcPr>
          <w:p w14:paraId="6A64FD53"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3F574918"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6" w:type="pct"/>
            <w:tcBorders>
              <w:top w:val="nil"/>
              <w:left w:val="nil"/>
              <w:bottom w:val="single" w:sz="8" w:space="0" w:color="auto"/>
              <w:right w:val="single" w:sz="8" w:space="0" w:color="auto"/>
            </w:tcBorders>
            <w:vAlign w:val="center"/>
            <w:hideMark/>
          </w:tcPr>
          <w:p w14:paraId="129C05CC"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0697220E"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6F021660"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3E214FEB"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57" w:type="pct"/>
            <w:tcBorders>
              <w:top w:val="nil"/>
              <w:left w:val="nil"/>
              <w:bottom w:val="single" w:sz="8" w:space="0" w:color="auto"/>
              <w:right w:val="single" w:sz="8" w:space="0" w:color="auto"/>
            </w:tcBorders>
            <w:vAlign w:val="center"/>
            <w:hideMark/>
          </w:tcPr>
          <w:p w14:paraId="1F03CBB5"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r>
      <w:tr w:rsidR="00D340EB" w:rsidRPr="00E3121B" w14:paraId="2794B3DA" w14:textId="77777777" w:rsidTr="00775F7D">
        <w:trPr>
          <w:trHeight w:val="1591"/>
        </w:trPr>
        <w:tc>
          <w:tcPr>
            <w:tcW w:w="719" w:type="pct"/>
            <w:tcBorders>
              <w:top w:val="nil"/>
              <w:left w:val="single" w:sz="8" w:space="0" w:color="auto"/>
              <w:bottom w:val="single" w:sz="8" w:space="0" w:color="auto"/>
              <w:right w:val="single" w:sz="8" w:space="0" w:color="auto"/>
            </w:tcBorders>
            <w:vAlign w:val="center"/>
            <w:hideMark/>
          </w:tcPr>
          <w:p w14:paraId="7D70D656"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Were the study subjects and the setting described in detail?</w:t>
            </w:r>
          </w:p>
        </w:tc>
        <w:tc>
          <w:tcPr>
            <w:tcW w:w="383" w:type="pct"/>
            <w:tcBorders>
              <w:top w:val="nil"/>
              <w:left w:val="nil"/>
              <w:bottom w:val="single" w:sz="8" w:space="0" w:color="auto"/>
              <w:right w:val="single" w:sz="8" w:space="0" w:color="auto"/>
            </w:tcBorders>
            <w:vAlign w:val="center"/>
            <w:hideMark/>
          </w:tcPr>
          <w:p w14:paraId="6CDB9501"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2" w:type="pct"/>
            <w:tcBorders>
              <w:top w:val="nil"/>
              <w:left w:val="nil"/>
              <w:bottom w:val="single" w:sz="8" w:space="0" w:color="auto"/>
              <w:right w:val="single" w:sz="8" w:space="0" w:color="auto"/>
            </w:tcBorders>
            <w:vAlign w:val="center"/>
            <w:hideMark/>
          </w:tcPr>
          <w:p w14:paraId="3EF039A1"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54" w:type="pct"/>
            <w:tcBorders>
              <w:top w:val="nil"/>
              <w:left w:val="nil"/>
              <w:bottom w:val="single" w:sz="8" w:space="0" w:color="auto"/>
              <w:right w:val="single" w:sz="8" w:space="0" w:color="auto"/>
            </w:tcBorders>
            <w:vAlign w:val="center"/>
            <w:hideMark/>
          </w:tcPr>
          <w:p w14:paraId="20DFAF7B"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5" w:type="pct"/>
            <w:tcBorders>
              <w:top w:val="nil"/>
              <w:left w:val="nil"/>
              <w:bottom w:val="single" w:sz="8" w:space="0" w:color="auto"/>
              <w:right w:val="single" w:sz="8" w:space="0" w:color="auto"/>
            </w:tcBorders>
            <w:vAlign w:val="center"/>
            <w:hideMark/>
          </w:tcPr>
          <w:p w14:paraId="405BBAEE"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1A1F0D9C"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6" w:type="pct"/>
            <w:tcBorders>
              <w:top w:val="nil"/>
              <w:left w:val="nil"/>
              <w:bottom w:val="single" w:sz="8" w:space="0" w:color="auto"/>
              <w:right w:val="single" w:sz="8" w:space="0" w:color="auto"/>
            </w:tcBorders>
            <w:vAlign w:val="center"/>
            <w:hideMark/>
          </w:tcPr>
          <w:p w14:paraId="3459E8A6"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783EED03"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21177B96"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1CECE7C3"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57" w:type="pct"/>
            <w:tcBorders>
              <w:top w:val="nil"/>
              <w:left w:val="nil"/>
              <w:bottom w:val="single" w:sz="8" w:space="0" w:color="auto"/>
              <w:right w:val="single" w:sz="8" w:space="0" w:color="auto"/>
            </w:tcBorders>
            <w:vAlign w:val="center"/>
            <w:hideMark/>
          </w:tcPr>
          <w:p w14:paraId="4783D524"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r>
      <w:tr w:rsidR="00D340EB" w:rsidRPr="00E3121B" w14:paraId="342DEC5B" w14:textId="77777777" w:rsidTr="00775F7D">
        <w:trPr>
          <w:trHeight w:val="1600"/>
        </w:trPr>
        <w:tc>
          <w:tcPr>
            <w:tcW w:w="719" w:type="pct"/>
            <w:tcBorders>
              <w:top w:val="nil"/>
              <w:left w:val="single" w:sz="8" w:space="0" w:color="auto"/>
              <w:bottom w:val="single" w:sz="8" w:space="0" w:color="auto"/>
              <w:right w:val="single" w:sz="8" w:space="0" w:color="auto"/>
            </w:tcBorders>
            <w:vAlign w:val="center"/>
            <w:hideMark/>
          </w:tcPr>
          <w:p w14:paraId="0EC469A5"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Was the exposure measured in a valid and reliable way?</w:t>
            </w:r>
          </w:p>
        </w:tc>
        <w:tc>
          <w:tcPr>
            <w:tcW w:w="383" w:type="pct"/>
            <w:tcBorders>
              <w:top w:val="nil"/>
              <w:left w:val="nil"/>
              <w:bottom w:val="single" w:sz="8" w:space="0" w:color="auto"/>
              <w:right w:val="single" w:sz="8" w:space="0" w:color="auto"/>
            </w:tcBorders>
            <w:vAlign w:val="center"/>
            <w:hideMark/>
          </w:tcPr>
          <w:p w14:paraId="2015A24E"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2" w:type="pct"/>
            <w:tcBorders>
              <w:top w:val="nil"/>
              <w:left w:val="nil"/>
              <w:bottom w:val="single" w:sz="8" w:space="0" w:color="auto"/>
              <w:right w:val="single" w:sz="8" w:space="0" w:color="auto"/>
            </w:tcBorders>
            <w:vAlign w:val="center"/>
            <w:hideMark/>
          </w:tcPr>
          <w:p w14:paraId="7900491F"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54" w:type="pct"/>
            <w:tcBorders>
              <w:top w:val="nil"/>
              <w:left w:val="nil"/>
              <w:bottom w:val="single" w:sz="8" w:space="0" w:color="auto"/>
              <w:right w:val="single" w:sz="8" w:space="0" w:color="auto"/>
            </w:tcBorders>
            <w:vAlign w:val="center"/>
            <w:hideMark/>
          </w:tcPr>
          <w:p w14:paraId="1B0232B5"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5" w:type="pct"/>
            <w:tcBorders>
              <w:top w:val="nil"/>
              <w:left w:val="nil"/>
              <w:bottom w:val="single" w:sz="8" w:space="0" w:color="auto"/>
              <w:right w:val="single" w:sz="8" w:space="0" w:color="auto"/>
            </w:tcBorders>
            <w:vAlign w:val="center"/>
            <w:hideMark/>
          </w:tcPr>
          <w:p w14:paraId="3E601AC0"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07EF1F28"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6" w:type="pct"/>
            <w:tcBorders>
              <w:top w:val="nil"/>
              <w:left w:val="nil"/>
              <w:bottom w:val="single" w:sz="8" w:space="0" w:color="auto"/>
              <w:right w:val="single" w:sz="8" w:space="0" w:color="auto"/>
            </w:tcBorders>
            <w:vAlign w:val="center"/>
            <w:hideMark/>
          </w:tcPr>
          <w:p w14:paraId="7B8AE81E"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1AF7B5A5"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2C004067"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20B37182"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57" w:type="pct"/>
            <w:tcBorders>
              <w:top w:val="nil"/>
              <w:left w:val="nil"/>
              <w:bottom w:val="single" w:sz="8" w:space="0" w:color="auto"/>
              <w:right w:val="single" w:sz="8" w:space="0" w:color="auto"/>
            </w:tcBorders>
            <w:vAlign w:val="center"/>
            <w:hideMark/>
          </w:tcPr>
          <w:p w14:paraId="1F1643A6"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r>
      <w:tr w:rsidR="00D340EB" w:rsidRPr="00E3121B" w14:paraId="24BEF1F2" w14:textId="77777777" w:rsidTr="00775F7D">
        <w:trPr>
          <w:trHeight w:val="2140"/>
        </w:trPr>
        <w:tc>
          <w:tcPr>
            <w:tcW w:w="719" w:type="pct"/>
            <w:tcBorders>
              <w:top w:val="nil"/>
              <w:left w:val="single" w:sz="8" w:space="0" w:color="auto"/>
              <w:bottom w:val="single" w:sz="8" w:space="0" w:color="auto"/>
              <w:right w:val="single" w:sz="8" w:space="0" w:color="auto"/>
            </w:tcBorders>
            <w:vAlign w:val="center"/>
            <w:hideMark/>
          </w:tcPr>
          <w:p w14:paraId="60D1299C"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Were objective, standard criteria used for measurement of the condition?</w:t>
            </w:r>
          </w:p>
        </w:tc>
        <w:tc>
          <w:tcPr>
            <w:tcW w:w="383" w:type="pct"/>
            <w:tcBorders>
              <w:top w:val="nil"/>
              <w:left w:val="nil"/>
              <w:bottom w:val="single" w:sz="8" w:space="0" w:color="auto"/>
              <w:right w:val="single" w:sz="8" w:space="0" w:color="auto"/>
            </w:tcBorders>
            <w:vAlign w:val="center"/>
            <w:hideMark/>
          </w:tcPr>
          <w:p w14:paraId="53363B9C"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2" w:type="pct"/>
            <w:tcBorders>
              <w:top w:val="nil"/>
              <w:left w:val="nil"/>
              <w:bottom w:val="single" w:sz="8" w:space="0" w:color="auto"/>
              <w:right w:val="single" w:sz="8" w:space="0" w:color="auto"/>
            </w:tcBorders>
            <w:vAlign w:val="center"/>
            <w:hideMark/>
          </w:tcPr>
          <w:p w14:paraId="6299A5C3"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54" w:type="pct"/>
            <w:tcBorders>
              <w:top w:val="nil"/>
              <w:left w:val="nil"/>
              <w:bottom w:val="single" w:sz="8" w:space="0" w:color="auto"/>
              <w:right w:val="single" w:sz="8" w:space="0" w:color="auto"/>
            </w:tcBorders>
            <w:vAlign w:val="center"/>
            <w:hideMark/>
          </w:tcPr>
          <w:p w14:paraId="3B791EBB"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5" w:type="pct"/>
            <w:tcBorders>
              <w:top w:val="nil"/>
              <w:left w:val="nil"/>
              <w:bottom w:val="single" w:sz="8" w:space="0" w:color="auto"/>
              <w:right w:val="single" w:sz="8" w:space="0" w:color="auto"/>
            </w:tcBorders>
            <w:vAlign w:val="center"/>
            <w:hideMark/>
          </w:tcPr>
          <w:p w14:paraId="309CAD33"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05AD3906"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6" w:type="pct"/>
            <w:tcBorders>
              <w:top w:val="nil"/>
              <w:left w:val="nil"/>
              <w:bottom w:val="single" w:sz="8" w:space="0" w:color="auto"/>
              <w:right w:val="single" w:sz="8" w:space="0" w:color="auto"/>
            </w:tcBorders>
            <w:vAlign w:val="center"/>
            <w:hideMark/>
          </w:tcPr>
          <w:p w14:paraId="61715732"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542B05F6"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11907E52"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6F4ABBFF"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57" w:type="pct"/>
            <w:tcBorders>
              <w:top w:val="nil"/>
              <w:left w:val="nil"/>
              <w:bottom w:val="single" w:sz="8" w:space="0" w:color="auto"/>
              <w:right w:val="single" w:sz="8" w:space="0" w:color="auto"/>
            </w:tcBorders>
            <w:vAlign w:val="center"/>
            <w:hideMark/>
          </w:tcPr>
          <w:p w14:paraId="211B05EC"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r>
      <w:tr w:rsidR="00D340EB" w:rsidRPr="00E3121B" w14:paraId="3C05290C" w14:textId="77777777" w:rsidTr="00775F7D">
        <w:trPr>
          <w:trHeight w:val="880"/>
        </w:trPr>
        <w:tc>
          <w:tcPr>
            <w:tcW w:w="719" w:type="pct"/>
            <w:tcBorders>
              <w:top w:val="nil"/>
              <w:left w:val="single" w:sz="8" w:space="0" w:color="auto"/>
              <w:bottom w:val="single" w:sz="8" w:space="0" w:color="auto"/>
              <w:right w:val="single" w:sz="8" w:space="0" w:color="auto"/>
            </w:tcBorders>
            <w:vAlign w:val="center"/>
            <w:hideMark/>
          </w:tcPr>
          <w:p w14:paraId="4C54A821"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Confounding factors identified?</w:t>
            </w:r>
          </w:p>
        </w:tc>
        <w:tc>
          <w:tcPr>
            <w:tcW w:w="383" w:type="pct"/>
            <w:tcBorders>
              <w:top w:val="nil"/>
              <w:left w:val="nil"/>
              <w:bottom w:val="single" w:sz="8" w:space="0" w:color="auto"/>
              <w:right w:val="single" w:sz="8" w:space="0" w:color="auto"/>
            </w:tcBorders>
            <w:vAlign w:val="center"/>
            <w:hideMark/>
          </w:tcPr>
          <w:p w14:paraId="66C2E44F"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452" w:type="pct"/>
            <w:tcBorders>
              <w:top w:val="nil"/>
              <w:left w:val="nil"/>
              <w:bottom w:val="single" w:sz="8" w:space="0" w:color="auto"/>
              <w:right w:val="single" w:sz="8" w:space="0" w:color="auto"/>
            </w:tcBorders>
            <w:vAlign w:val="center"/>
            <w:hideMark/>
          </w:tcPr>
          <w:p w14:paraId="5DBDA13C"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454" w:type="pct"/>
            <w:tcBorders>
              <w:top w:val="nil"/>
              <w:left w:val="nil"/>
              <w:bottom w:val="single" w:sz="8" w:space="0" w:color="auto"/>
              <w:right w:val="single" w:sz="8" w:space="0" w:color="auto"/>
            </w:tcBorders>
            <w:vAlign w:val="center"/>
            <w:hideMark/>
          </w:tcPr>
          <w:p w14:paraId="4EDF6246"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545" w:type="pct"/>
            <w:tcBorders>
              <w:top w:val="nil"/>
              <w:left w:val="nil"/>
              <w:bottom w:val="single" w:sz="8" w:space="0" w:color="auto"/>
              <w:right w:val="single" w:sz="8" w:space="0" w:color="auto"/>
            </w:tcBorders>
            <w:vAlign w:val="center"/>
            <w:hideMark/>
          </w:tcPr>
          <w:p w14:paraId="6AC9EB59"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363" w:type="pct"/>
            <w:tcBorders>
              <w:top w:val="nil"/>
              <w:left w:val="nil"/>
              <w:bottom w:val="single" w:sz="8" w:space="0" w:color="auto"/>
              <w:right w:val="single" w:sz="8" w:space="0" w:color="auto"/>
            </w:tcBorders>
            <w:vAlign w:val="center"/>
            <w:hideMark/>
          </w:tcPr>
          <w:p w14:paraId="5F569FF4"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546" w:type="pct"/>
            <w:tcBorders>
              <w:top w:val="nil"/>
              <w:left w:val="nil"/>
              <w:bottom w:val="single" w:sz="8" w:space="0" w:color="auto"/>
              <w:right w:val="single" w:sz="8" w:space="0" w:color="auto"/>
            </w:tcBorders>
            <w:vAlign w:val="center"/>
            <w:hideMark/>
          </w:tcPr>
          <w:p w14:paraId="19433FC4"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409" w:type="pct"/>
            <w:tcBorders>
              <w:top w:val="nil"/>
              <w:left w:val="nil"/>
              <w:bottom w:val="single" w:sz="8" w:space="0" w:color="auto"/>
              <w:right w:val="single" w:sz="8" w:space="0" w:color="auto"/>
            </w:tcBorders>
            <w:vAlign w:val="center"/>
            <w:hideMark/>
          </w:tcPr>
          <w:p w14:paraId="43F1F9CD"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409" w:type="pct"/>
            <w:tcBorders>
              <w:top w:val="nil"/>
              <w:left w:val="nil"/>
              <w:bottom w:val="single" w:sz="8" w:space="0" w:color="auto"/>
              <w:right w:val="single" w:sz="8" w:space="0" w:color="auto"/>
            </w:tcBorders>
            <w:vAlign w:val="center"/>
            <w:hideMark/>
          </w:tcPr>
          <w:p w14:paraId="3508FEC5"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363" w:type="pct"/>
            <w:tcBorders>
              <w:top w:val="nil"/>
              <w:left w:val="nil"/>
              <w:bottom w:val="single" w:sz="8" w:space="0" w:color="auto"/>
              <w:right w:val="single" w:sz="8" w:space="0" w:color="auto"/>
            </w:tcBorders>
            <w:vAlign w:val="center"/>
            <w:hideMark/>
          </w:tcPr>
          <w:p w14:paraId="3522A87A"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c>
          <w:tcPr>
            <w:tcW w:w="357" w:type="pct"/>
            <w:tcBorders>
              <w:top w:val="nil"/>
              <w:left w:val="nil"/>
              <w:bottom w:val="single" w:sz="8" w:space="0" w:color="auto"/>
              <w:right w:val="single" w:sz="8" w:space="0" w:color="auto"/>
            </w:tcBorders>
            <w:vAlign w:val="center"/>
            <w:hideMark/>
          </w:tcPr>
          <w:p w14:paraId="0DA63327"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Partial</w:t>
            </w:r>
          </w:p>
        </w:tc>
      </w:tr>
      <w:tr w:rsidR="00D340EB" w:rsidRPr="00E3121B" w14:paraId="63A6062C" w14:textId="77777777" w:rsidTr="00775F7D">
        <w:trPr>
          <w:trHeight w:val="1510"/>
        </w:trPr>
        <w:tc>
          <w:tcPr>
            <w:tcW w:w="719" w:type="pct"/>
            <w:tcBorders>
              <w:top w:val="nil"/>
              <w:left w:val="single" w:sz="8" w:space="0" w:color="auto"/>
              <w:bottom w:val="single" w:sz="8" w:space="0" w:color="auto"/>
              <w:right w:val="single" w:sz="8" w:space="0" w:color="auto"/>
            </w:tcBorders>
            <w:vAlign w:val="center"/>
            <w:hideMark/>
          </w:tcPr>
          <w:p w14:paraId="2D048EF2"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Were strategies to deal with confounding factors stated?</w:t>
            </w:r>
          </w:p>
        </w:tc>
        <w:tc>
          <w:tcPr>
            <w:tcW w:w="383" w:type="pct"/>
            <w:tcBorders>
              <w:top w:val="nil"/>
              <w:left w:val="nil"/>
              <w:bottom w:val="single" w:sz="8" w:space="0" w:color="auto"/>
              <w:right w:val="single" w:sz="8" w:space="0" w:color="auto"/>
            </w:tcBorders>
            <w:vAlign w:val="center"/>
            <w:hideMark/>
          </w:tcPr>
          <w:p w14:paraId="22ECAEBC"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No</w:t>
            </w:r>
          </w:p>
        </w:tc>
        <w:tc>
          <w:tcPr>
            <w:tcW w:w="452" w:type="pct"/>
            <w:tcBorders>
              <w:top w:val="nil"/>
              <w:left w:val="nil"/>
              <w:bottom w:val="single" w:sz="8" w:space="0" w:color="auto"/>
              <w:right w:val="single" w:sz="8" w:space="0" w:color="auto"/>
            </w:tcBorders>
            <w:vAlign w:val="center"/>
            <w:hideMark/>
          </w:tcPr>
          <w:p w14:paraId="6CF82D73"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No</w:t>
            </w:r>
          </w:p>
        </w:tc>
        <w:tc>
          <w:tcPr>
            <w:tcW w:w="454" w:type="pct"/>
            <w:tcBorders>
              <w:top w:val="nil"/>
              <w:left w:val="nil"/>
              <w:bottom w:val="single" w:sz="8" w:space="0" w:color="auto"/>
              <w:right w:val="single" w:sz="8" w:space="0" w:color="auto"/>
            </w:tcBorders>
            <w:vAlign w:val="center"/>
            <w:hideMark/>
          </w:tcPr>
          <w:p w14:paraId="07F475BD"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 No</w:t>
            </w:r>
          </w:p>
        </w:tc>
        <w:tc>
          <w:tcPr>
            <w:tcW w:w="545" w:type="pct"/>
            <w:tcBorders>
              <w:top w:val="nil"/>
              <w:left w:val="nil"/>
              <w:bottom w:val="single" w:sz="8" w:space="0" w:color="auto"/>
              <w:right w:val="single" w:sz="8" w:space="0" w:color="auto"/>
            </w:tcBorders>
            <w:vAlign w:val="center"/>
            <w:hideMark/>
          </w:tcPr>
          <w:p w14:paraId="485588EF"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No</w:t>
            </w:r>
          </w:p>
        </w:tc>
        <w:tc>
          <w:tcPr>
            <w:tcW w:w="363" w:type="pct"/>
            <w:tcBorders>
              <w:top w:val="nil"/>
              <w:left w:val="nil"/>
              <w:bottom w:val="single" w:sz="8" w:space="0" w:color="auto"/>
              <w:right w:val="single" w:sz="8" w:space="0" w:color="auto"/>
            </w:tcBorders>
            <w:vAlign w:val="center"/>
            <w:hideMark/>
          </w:tcPr>
          <w:p w14:paraId="14731849"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No</w:t>
            </w:r>
          </w:p>
        </w:tc>
        <w:tc>
          <w:tcPr>
            <w:tcW w:w="546" w:type="pct"/>
            <w:tcBorders>
              <w:top w:val="nil"/>
              <w:left w:val="nil"/>
              <w:bottom w:val="single" w:sz="8" w:space="0" w:color="auto"/>
              <w:right w:val="single" w:sz="8" w:space="0" w:color="auto"/>
            </w:tcBorders>
            <w:vAlign w:val="center"/>
            <w:hideMark/>
          </w:tcPr>
          <w:p w14:paraId="1E776BBC"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No</w:t>
            </w:r>
          </w:p>
        </w:tc>
        <w:tc>
          <w:tcPr>
            <w:tcW w:w="409" w:type="pct"/>
            <w:tcBorders>
              <w:top w:val="nil"/>
              <w:left w:val="nil"/>
              <w:bottom w:val="single" w:sz="8" w:space="0" w:color="auto"/>
              <w:right w:val="single" w:sz="8" w:space="0" w:color="auto"/>
            </w:tcBorders>
            <w:vAlign w:val="center"/>
            <w:hideMark/>
          </w:tcPr>
          <w:p w14:paraId="666CBC26"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No</w:t>
            </w:r>
          </w:p>
        </w:tc>
        <w:tc>
          <w:tcPr>
            <w:tcW w:w="409" w:type="pct"/>
            <w:tcBorders>
              <w:top w:val="nil"/>
              <w:left w:val="nil"/>
              <w:bottom w:val="single" w:sz="8" w:space="0" w:color="auto"/>
              <w:right w:val="single" w:sz="8" w:space="0" w:color="auto"/>
            </w:tcBorders>
            <w:vAlign w:val="center"/>
            <w:hideMark/>
          </w:tcPr>
          <w:p w14:paraId="747AE820"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No</w:t>
            </w:r>
          </w:p>
        </w:tc>
        <w:tc>
          <w:tcPr>
            <w:tcW w:w="363" w:type="pct"/>
            <w:tcBorders>
              <w:top w:val="nil"/>
              <w:left w:val="nil"/>
              <w:bottom w:val="single" w:sz="8" w:space="0" w:color="auto"/>
              <w:right w:val="single" w:sz="8" w:space="0" w:color="auto"/>
            </w:tcBorders>
            <w:vAlign w:val="center"/>
            <w:hideMark/>
          </w:tcPr>
          <w:p w14:paraId="2A280A2A"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No</w:t>
            </w:r>
          </w:p>
        </w:tc>
        <w:tc>
          <w:tcPr>
            <w:tcW w:w="357" w:type="pct"/>
            <w:tcBorders>
              <w:top w:val="nil"/>
              <w:left w:val="nil"/>
              <w:bottom w:val="single" w:sz="8" w:space="0" w:color="auto"/>
              <w:right w:val="single" w:sz="8" w:space="0" w:color="auto"/>
            </w:tcBorders>
            <w:vAlign w:val="center"/>
            <w:hideMark/>
          </w:tcPr>
          <w:p w14:paraId="5D1AAE85"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No</w:t>
            </w:r>
          </w:p>
        </w:tc>
      </w:tr>
      <w:tr w:rsidR="00D340EB" w:rsidRPr="00E3121B" w14:paraId="0D151C05" w14:textId="77777777" w:rsidTr="00775F7D">
        <w:trPr>
          <w:trHeight w:val="1600"/>
        </w:trPr>
        <w:tc>
          <w:tcPr>
            <w:tcW w:w="719" w:type="pct"/>
            <w:tcBorders>
              <w:top w:val="nil"/>
              <w:left w:val="single" w:sz="8" w:space="0" w:color="auto"/>
              <w:bottom w:val="single" w:sz="8" w:space="0" w:color="auto"/>
              <w:right w:val="single" w:sz="8" w:space="0" w:color="auto"/>
            </w:tcBorders>
            <w:vAlign w:val="center"/>
            <w:hideMark/>
          </w:tcPr>
          <w:p w14:paraId="7347A85D"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lastRenderedPageBreak/>
              <w:t>Were the outcomes measured in a valid and reliable way?</w:t>
            </w:r>
          </w:p>
        </w:tc>
        <w:tc>
          <w:tcPr>
            <w:tcW w:w="383" w:type="pct"/>
            <w:tcBorders>
              <w:top w:val="nil"/>
              <w:left w:val="nil"/>
              <w:bottom w:val="single" w:sz="8" w:space="0" w:color="auto"/>
              <w:right w:val="single" w:sz="8" w:space="0" w:color="auto"/>
            </w:tcBorders>
            <w:vAlign w:val="center"/>
            <w:hideMark/>
          </w:tcPr>
          <w:p w14:paraId="1F12E495"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2" w:type="pct"/>
            <w:tcBorders>
              <w:top w:val="nil"/>
              <w:left w:val="nil"/>
              <w:bottom w:val="single" w:sz="8" w:space="0" w:color="auto"/>
              <w:right w:val="single" w:sz="8" w:space="0" w:color="auto"/>
            </w:tcBorders>
            <w:vAlign w:val="center"/>
            <w:hideMark/>
          </w:tcPr>
          <w:p w14:paraId="32D7F814"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4" w:type="pct"/>
            <w:tcBorders>
              <w:top w:val="nil"/>
              <w:left w:val="nil"/>
              <w:bottom w:val="single" w:sz="8" w:space="0" w:color="auto"/>
              <w:right w:val="single" w:sz="8" w:space="0" w:color="auto"/>
            </w:tcBorders>
            <w:vAlign w:val="center"/>
            <w:hideMark/>
          </w:tcPr>
          <w:p w14:paraId="2254E9D7"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 Yes</w:t>
            </w:r>
          </w:p>
        </w:tc>
        <w:tc>
          <w:tcPr>
            <w:tcW w:w="545" w:type="pct"/>
            <w:tcBorders>
              <w:top w:val="nil"/>
              <w:left w:val="nil"/>
              <w:bottom w:val="single" w:sz="8" w:space="0" w:color="auto"/>
              <w:right w:val="single" w:sz="8" w:space="0" w:color="auto"/>
            </w:tcBorders>
            <w:vAlign w:val="center"/>
            <w:hideMark/>
          </w:tcPr>
          <w:p w14:paraId="2E9B9707"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21FDAAAE"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6" w:type="pct"/>
            <w:tcBorders>
              <w:top w:val="nil"/>
              <w:left w:val="nil"/>
              <w:bottom w:val="single" w:sz="8" w:space="0" w:color="auto"/>
              <w:right w:val="single" w:sz="8" w:space="0" w:color="auto"/>
            </w:tcBorders>
            <w:vAlign w:val="center"/>
            <w:hideMark/>
          </w:tcPr>
          <w:p w14:paraId="1B89A576"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0A9D67F4"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53A9A513"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2E2EB4E7"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57" w:type="pct"/>
            <w:tcBorders>
              <w:top w:val="nil"/>
              <w:left w:val="nil"/>
              <w:bottom w:val="single" w:sz="8" w:space="0" w:color="auto"/>
              <w:right w:val="single" w:sz="8" w:space="0" w:color="auto"/>
            </w:tcBorders>
            <w:vAlign w:val="center"/>
            <w:hideMark/>
          </w:tcPr>
          <w:p w14:paraId="50DEC414"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r>
      <w:tr w:rsidR="00D340EB" w:rsidRPr="00E3121B" w14:paraId="21886D68" w14:textId="77777777" w:rsidTr="00775F7D">
        <w:trPr>
          <w:trHeight w:val="1348"/>
        </w:trPr>
        <w:tc>
          <w:tcPr>
            <w:tcW w:w="719" w:type="pct"/>
            <w:tcBorders>
              <w:top w:val="nil"/>
              <w:left w:val="single" w:sz="8" w:space="0" w:color="auto"/>
              <w:bottom w:val="single" w:sz="8" w:space="0" w:color="auto"/>
              <w:right w:val="single" w:sz="8" w:space="0" w:color="auto"/>
            </w:tcBorders>
            <w:vAlign w:val="center"/>
            <w:hideMark/>
          </w:tcPr>
          <w:p w14:paraId="7DE09CBE"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Was appropriate statistical analysis used?</w:t>
            </w:r>
          </w:p>
        </w:tc>
        <w:tc>
          <w:tcPr>
            <w:tcW w:w="383" w:type="pct"/>
            <w:tcBorders>
              <w:top w:val="nil"/>
              <w:left w:val="nil"/>
              <w:bottom w:val="single" w:sz="8" w:space="0" w:color="auto"/>
              <w:right w:val="single" w:sz="8" w:space="0" w:color="auto"/>
            </w:tcBorders>
            <w:vAlign w:val="center"/>
            <w:hideMark/>
          </w:tcPr>
          <w:p w14:paraId="2CEA1651"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2" w:type="pct"/>
            <w:tcBorders>
              <w:top w:val="nil"/>
              <w:left w:val="nil"/>
              <w:bottom w:val="single" w:sz="8" w:space="0" w:color="auto"/>
              <w:right w:val="single" w:sz="8" w:space="0" w:color="auto"/>
            </w:tcBorders>
            <w:vAlign w:val="center"/>
            <w:hideMark/>
          </w:tcPr>
          <w:p w14:paraId="2B66ED7B"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Yes</w:t>
            </w:r>
          </w:p>
        </w:tc>
        <w:tc>
          <w:tcPr>
            <w:tcW w:w="454" w:type="pct"/>
            <w:tcBorders>
              <w:top w:val="nil"/>
              <w:left w:val="nil"/>
              <w:bottom w:val="single" w:sz="8" w:space="0" w:color="auto"/>
              <w:right w:val="single" w:sz="8" w:space="0" w:color="auto"/>
            </w:tcBorders>
            <w:vAlign w:val="center"/>
            <w:hideMark/>
          </w:tcPr>
          <w:p w14:paraId="26B1492C"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 Yes</w:t>
            </w:r>
          </w:p>
        </w:tc>
        <w:tc>
          <w:tcPr>
            <w:tcW w:w="545" w:type="pct"/>
            <w:tcBorders>
              <w:top w:val="nil"/>
              <w:left w:val="nil"/>
              <w:bottom w:val="single" w:sz="8" w:space="0" w:color="auto"/>
              <w:right w:val="single" w:sz="8" w:space="0" w:color="auto"/>
            </w:tcBorders>
            <w:vAlign w:val="center"/>
            <w:hideMark/>
          </w:tcPr>
          <w:p w14:paraId="7A50ED61"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0DAF9E9F"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546" w:type="pct"/>
            <w:tcBorders>
              <w:top w:val="nil"/>
              <w:left w:val="nil"/>
              <w:bottom w:val="single" w:sz="8" w:space="0" w:color="auto"/>
              <w:right w:val="single" w:sz="8" w:space="0" w:color="auto"/>
            </w:tcBorders>
            <w:vAlign w:val="center"/>
            <w:hideMark/>
          </w:tcPr>
          <w:p w14:paraId="25650152"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2EF06C2D"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409" w:type="pct"/>
            <w:tcBorders>
              <w:top w:val="nil"/>
              <w:left w:val="nil"/>
              <w:bottom w:val="single" w:sz="8" w:space="0" w:color="auto"/>
              <w:right w:val="single" w:sz="8" w:space="0" w:color="auto"/>
            </w:tcBorders>
            <w:vAlign w:val="center"/>
            <w:hideMark/>
          </w:tcPr>
          <w:p w14:paraId="5872B577"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63" w:type="pct"/>
            <w:tcBorders>
              <w:top w:val="nil"/>
              <w:left w:val="nil"/>
              <w:bottom w:val="single" w:sz="8" w:space="0" w:color="auto"/>
              <w:right w:val="single" w:sz="8" w:space="0" w:color="auto"/>
            </w:tcBorders>
            <w:vAlign w:val="center"/>
            <w:hideMark/>
          </w:tcPr>
          <w:p w14:paraId="43A87C22"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c>
          <w:tcPr>
            <w:tcW w:w="357" w:type="pct"/>
            <w:tcBorders>
              <w:top w:val="nil"/>
              <w:left w:val="nil"/>
              <w:bottom w:val="single" w:sz="8" w:space="0" w:color="auto"/>
              <w:right w:val="single" w:sz="8" w:space="0" w:color="auto"/>
            </w:tcBorders>
            <w:vAlign w:val="center"/>
            <w:hideMark/>
          </w:tcPr>
          <w:p w14:paraId="31AEFF64"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Yes</w:t>
            </w:r>
          </w:p>
        </w:tc>
      </w:tr>
      <w:tr w:rsidR="00D340EB" w:rsidRPr="00E3121B" w14:paraId="3682AFBA" w14:textId="77777777" w:rsidTr="00775F7D">
        <w:trPr>
          <w:trHeight w:val="858"/>
        </w:trPr>
        <w:tc>
          <w:tcPr>
            <w:tcW w:w="719" w:type="pct"/>
            <w:tcBorders>
              <w:top w:val="nil"/>
              <w:left w:val="single" w:sz="8" w:space="0" w:color="auto"/>
              <w:bottom w:val="single" w:sz="8" w:space="0" w:color="auto"/>
              <w:right w:val="single" w:sz="8" w:space="0" w:color="auto"/>
            </w:tcBorders>
            <w:vAlign w:val="center"/>
            <w:hideMark/>
          </w:tcPr>
          <w:p w14:paraId="09D9EC9A"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Overall Quality Status</w:t>
            </w:r>
          </w:p>
        </w:tc>
        <w:tc>
          <w:tcPr>
            <w:tcW w:w="383" w:type="pct"/>
            <w:tcBorders>
              <w:top w:val="nil"/>
              <w:left w:val="nil"/>
              <w:bottom w:val="single" w:sz="8" w:space="0" w:color="auto"/>
              <w:right w:val="single" w:sz="8" w:space="0" w:color="auto"/>
            </w:tcBorders>
            <w:vAlign w:val="center"/>
            <w:hideMark/>
          </w:tcPr>
          <w:p w14:paraId="08567DCE"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High</w:t>
            </w:r>
          </w:p>
        </w:tc>
        <w:tc>
          <w:tcPr>
            <w:tcW w:w="452" w:type="pct"/>
            <w:tcBorders>
              <w:top w:val="nil"/>
              <w:left w:val="nil"/>
              <w:bottom w:val="single" w:sz="8" w:space="0" w:color="auto"/>
              <w:right w:val="single" w:sz="8" w:space="0" w:color="auto"/>
            </w:tcBorders>
            <w:vAlign w:val="center"/>
            <w:hideMark/>
          </w:tcPr>
          <w:p w14:paraId="7925019A" w14:textId="77777777" w:rsidR="00D340EB" w:rsidRPr="00E3121B" w:rsidRDefault="00D340EB" w:rsidP="00775F7D">
            <w:pPr>
              <w:spacing w:after="0" w:line="240" w:lineRule="auto"/>
              <w:rPr>
                <w:rFonts w:ascii="Arial" w:eastAsia="Times New Roman" w:hAnsi="Arial" w:cs="Arial"/>
                <w:color w:val="1F1F1F"/>
                <w:kern w:val="0"/>
                <w:sz w:val="22"/>
                <w:szCs w:val="22"/>
              </w:rPr>
            </w:pPr>
            <w:r w:rsidRPr="00E3121B">
              <w:rPr>
                <w:rFonts w:ascii="Arial" w:eastAsia="Times New Roman" w:hAnsi="Arial" w:cs="Arial"/>
                <w:color w:val="1F1F1F"/>
                <w:kern w:val="0"/>
                <w:sz w:val="22"/>
                <w:szCs w:val="22"/>
              </w:rPr>
              <w:t>High</w:t>
            </w:r>
          </w:p>
        </w:tc>
        <w:tc>
          <w:tcPr>
            <w:tcW w:w="454" w:type="pct"/>
            <w:tcBorders>
              <w:top w:val="nil"/>
              <w:left w:val="nil"/>
              <w:bottom w:val="single" w:sz="8" w:space="0" w:color="auto"/>
              <w:right w:val="single" w:sz="8" w:space="0" w:color="auto"/>
            </w:tcBorders>
            <w:vAlign w:val="center"/>
            <w:hideMark/>
          </w:tcPr>
          <w:p w14:paraId="1BBB72E0"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High</w:t>
            </w:r>
          </w:p>
        </w:tc>
        <w:tc>
          <w:tcPr>
            <w:tcW w:w="545" w:type="pct"/>
            <w:tcBorders>
              <w:top w:val="nil"/>
              <w:left w:val="nil"/>
              <w:bottom w:val="single" w:sz="8" w:space="0" w:color="auto"/>
              <w:right w:val="single" w:sz="8" w:space="0" w:color="auto"/>
            </w:tcBorders>
            <w:vAlign w:val="center"/>
            <w:hideMark/>
          </w:tcPr>
          <w:p w14:paraId="0132ADA8"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Moderate</w:t>
            </w:r>
          </w:p>
        </w:tc>
        <w:tc>
          <w:tcPr>
            <w:tcW w:w="363" w:type="pct"/>
            <w:tcBorders>
              <w:top w:val="nil"/>
              <w:left w:val="nil"/>
              <w:bottom w:val="single" w:sz="8" w:space="0" w:color="auto"/>
              <w:right w:val="single" w:sz="8" w:space="0" w:color="auto"/>
            </w:tcBorders>
            <w:vAlign w:val="center"/>
            <w:hideMark/>
          </w:tcPr>
          <w:p w14:paraId="103CB4F1"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High</w:t>
            </w:r>
          </w:p>
        </w:tc>
        <w:tc>
          <w:tcPr>
            <w:tcW w:w="546" w:type="pct"/>
            <w:tcBorders>
              <w:top w:val="nil"/>
              <w:left w:val="nil"/>
              <w:bottom w:val="single" w:sz="8" w:space="0" w:color="auto"/>
              <w:right w:val="single" w:sz="8" w:space="0" w:color="auto"/>
            </w:tcBorders>
            <w:vAlign w:val="center"/>
            <w:hideMark/>
          </w:tcPr>
          <w:p w14:paraId="03F629CB"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High</w:t>
            </w:r>
          </w:p>
        </w:tc>
        <w:tc>
          <w:tcPr>
            <w:tcW w:w="409" w:type="pct"/>
            <w:tcBorders>
              <w:top w:val="nil"/>
              <w:left w:val="nil"/>
              <w:bottom w:val="single" w:sz="8" w:space="0" w:color="auto"/>
              <w:right w:val="single" w:sz="8" w:space="0" w:color="auto"/>
            </w:tcBorders>
            <w:vAlign w:val="center"/>
            <w:hideMark/>
          </w:tcPr>
          <w:p w14:paraId="15ADFE1E"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High</w:t>
            </w:r>
          </w:p>
        </w:tc>
        <w:tc>
          <w:tcPr>
            <w:tcW w:w="409" w:type="pct"/>
            <w:tcBorders>
              <w:top w:val="nil"/>
              <w:left w:val="nil"/>
              <w:bottom w:val="single" w:sz="8" w:space="0" w:color="auto"/>
              <w:right w:val="single" w:sz="8" w:space="0" w:color="auto"/>
            </w:tcBorders>
            <w:vAlign w:val="center"/>
            <w:hideMark/>
          </w:tcPr>
          <w:p w14:paraId="4EFA8AEB"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High</w:t>
            </w:r>
          </w:p>
        </w:tc>
        <w:tc>
          <w:tcPr>
            <w:tcW w:w="363" w:type="pct"/>
            <w:tcBorders>
              <w:top w:val="nil"/>
              <w:left w:val="nil"/>
              <w:bottom w:val="single" w:sz="8" w:space="0" w:color="auto"/>
              <w:right w:val="single" w:sz="8" w:space="0" w:color="auto"/>
            </w:tcBorders>
            <w:vAlign w:val="center"/>
            <w:hideMark/>
          </w:tcPr>
          <w:p w14:paraId="7CB03C89"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High</w:t>
            </w:r>
          </w:p>
        </w:tc>
        <w:tc>
          <w:tcPr>
            <w:tcW w:w="357" w:type="pct"/>
            <w:tcBorders>
              <w:top w:val="nil"/>
              <w:left w:val="nil"/>
              <w:bottom w:val="single" w:sz="8" w:space="0" w:color="auto"/>
              <w:right w:val="single" w:sz="8" w:space="0" w:color="auto"/>
            </w:tcBorders>
            <w:vAlign w:val="center"/>
            <w:hideMark/>
          </w:tcPr>
          <w:p w14:paraId="100F5027" w14:textId="77777777" w:rsidR="00D340EB" w:rsidRPr="00E3121B" w:rsidRDefault="00D340EB" w:rsidP="00775F7D">
            <w:pPr>
              <w:spacing w:after="0" w:line="240" w:lineRule="auto"/>
              <w:rPr>
                <w:rFonts w:ascii="Arial" w:eastAsia="Times New Roman" w:hAnsi="Arial" w:cs="Arial"/>
                <w:color w:val="000000"/>
                <w:kern w:val="0"/>
                <w:sz w:val="22"/>
                <w:szCs w:val="22"/>
              </w:rPr>
            </w:pPr>
            <w:r w:rsidRPr="00E3121B">
              <w:rPr>
                <w:rFonts w:ascii="Arial" w:eastAsia="Times New Roman" w:hAnsi="Arial" w:cs="Arial"/>
                <w:color w:val="000000"/>
                <w:kern w:val="0"/>
                <w:sz w:val="22"/>
                <w:szCs w:val="22"/>
              </w:rPr>
              <w:t>Moderate</w:t>
            </w:r>
          </w:p>
        </w:tc>
      </w:tr>
    </w:tbl>
    <w:p w14:paraId="4E9C37F4"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Note: (Yes = criterion met; Partial = partly met; No = criterion not met).</w:t>
      </w:r>
    </w:p>
    <w:p w14:paraId="5A1B6D1F" w14:textId="77777777" w:rsidR="00D340EB" w:rsidRPr="00015E49" w:rsidRDefault="00D340EB" w:rsidP="00D340EB">
      <w:pPr>
        <w:spacing w:line="360" w:lineRule="auto"/>
        <w:jc w:val="both"/>
        <w:rPr>
          <w:rFonts w:ascii="Arial" w:hAnsi="Arial" w:cs="Arial"/>
          <w:b/>
          <w:bCs/>
          <w:sz w:val="22"/>
          <w:szCs w:val="22"/>
        </w:rPr>
      </w:pPr>
    </w:p>
    <w:p w14:paraId="69362429" w14:textId="77777777" w:rsidR="00D340EB" w:rsidRPr="00015E49" w:rsidRDefault="00D340EB" w:rsidP="00D340EB">
      <w:pPr>
        <w:spacing w:line="360" w:lineRule="auto"/>
        <w:jc w:val="both"/>
        <w:rPr>
          <w:rFonts w:ascii="Arial" w:hAnsi="Arial" w:cs="Arial"/>
          <w:b/>
          <w:bCs/>
          <w:sz w:val="22"/>
          <w:szCs w:val="22"/>
        </w:rPr>
      </w:pPr>
    </w:p>
    <w:p w14:paraId="5D163A4B" w14:textId="77777777" w:rsidR="00D340EB" w:rsidRPr="00015E49" w:rsidRDefault="00D340EB" w:rsidP="00D340EB">
      <w:pPr>
        <w:spacing w:line="360" w:lineRule="auto"/>
        <w:jc w:val="both"/>
        <w:rPr>
          <w:rFonts w:ascii="Arial" w:hAnsi="Arial" w:cs="Arial"/>
          <w:b/>
          <w:bCs/>
          <w:sz w:val="22"/>
          <w:szCs w:val="22"/>
        </w:rPr>
      </w:pPr>
    </w:p>
    <w:p w14:paraId="38C743AF" w14:textId="77777777" w:rsidR="00D340EB" w:rsidRPr="00015E49" w:rsidRDefault="00D340EB" w:rsidP="00D340EB">
      <w:pPr>
        <w:spacing w:line="360" w:lineRule="auto"/>
        <w:jc w:val="both"/>
        <w:rPr>
          <w:rFonts w:ascii="Arial" w:hAnsi="Arial" w:cs="Arial"/>
          <w:b/>
          <w:bCs/>
          <w:sz w:val="22"/>
          <w:szCs w:val="22"/>
        </w:rPr>
      </w:pPr>
    </w:p>
    <w:p w14:paraId="4F7C74C1" w14:textId="77777777" w:rsidR="00D340EB" w:rsidRPr="00015E49" w:rsidRDefault="00D340EB" w:rsidP="00D340EB">
      <w:pPr>
        <w:spacing w:line="360" w:lineRule="auto"/>
        <w:jc w:val="both"/>
        <w:rPr>
          <w:rFonts w:ascii="Arial" w:hAnsi="Arial" w:cs="Arial"/>
          <w:b/>
          <w:bCs/>
          <w:sz w:val="22"/>
          <w:szCs w:val="22"/>
        </w:rPr>
      </w:pPr>
    </w:p>
    <w:p w14:paraId="7497E454" w14:textId="77777777" w:rsidR="00D340EB" w:rsidRPr="00015E49" w:rsidRDefault="00D340EB" w:rsidP="00D340EB">
      <w:pPr>
        <w:spacing w:line="360" w:lineRule="auto"/>
        <w:jc w:val="both"/>
        <w:rPr>
          <w:rFonts w:ascii="Arial" w:hAnsi="Arial" w:cs="Arial"/>
          <w:b/>
          <w:bCs/>
          <w:sz w:val="22"/>
          <w:szCs w:val="22"/>
        </w:rPr>
        <w:sectPr w:rsidR="00D340EB" w:rsidRPr="00015E49" w:rsidSect="00825C8F">
          <w:pgSz w:w="12240" w:h="15840"/>
          <w:pgMar w:top="1134" w:right="850" w:bottom="1134" w:left="1701" w:header="720" w:footer="720" w:gutter="0"/>
          <w:pgNumType w:start="1"/>
          <w:cols w:space="720"/>
          <w:docGrid w:linePitch="360"/>
        </w:sectPr>
      </w:pPr>
    </w:p>
    <w:p w14:paraId="021F7104"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lastRenderedPageBreak/>
        <w:t>Table 3: Methodological Quality and Risk of Bias Assessment of Included Studies (n=10) using MMAT Tool.</w:t>
      </w:r>
    </w:p>
    <w:tbl>
      <w:tblPr>
        <w:tblW w:w="509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04"/>
        <w:gridCol w:w="1170"/>
        <w:gridCol w:w="1173"/>
        <w:gridCol w:w="631"/>
        <w:gridCol w:w="633"/>
        <w:gridCol w:w="722"/>
        <w:gridCol w:w="722"/>
        <w:gridCol w:w="722"/>
        <w:gridCol w:w="722"/>
        <w:gridCol w:w="722"/>
        <w:gridCol w:w="813"/>
        <w:gridCol w:w="1079"/>
        <w:gridCol w:w="3618"/>
      </w:tblGrid>
      <w:tr w:rsidR="00D340EB" w:rsidRPr="00015E49" w14:paraId="06C59CF4" w14:textId="77777777" w:rsidTr="00775F7D">
        <w:trPr>
          <w:trHeight w:val="976"/>
        </w:trPr>
        <w:tc>
          <w:tcPr>
            <w:tcW w:w="399" w:type="pct"/>
            <w:shd w:val="clear" w:color="000000" w:fill="D9D9D9"/>
            <w:vAlign w:val="center"/>
            <w:hideMark/>
          </w:tcPr>
          <w:p w14:paraId="0B3F5BB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Study Name</w:t>
            </w:r>
          </w:p>
        </w:tc>
        <w:tc>
          <w:tcPr>
            <w:tcW w:w="423" w:type="pct"/>
            <w:shd w:val="clear" w:color="000000" w:fill="D9D9D9"/>
            <w:vAlign w:val="center"/>
            <w:hideMark/>
          </w:tcPr>
          <w:p w14:paraId="18AECE0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Study Design</w:t>
            </w:r>
          </w:p>
        </w:tc>
        <w:tc>
          <w:tcPr>
            <w:tcW w:w="424" w:type="pct"/>
            <w:shd w:val="clear" w:color="000000" w:fill="D9D9D9"/>
            <w:vAlign w:val="center"/>
            <w:hideMark/>
          </w:tcPr>
          <w:p w14:paraId="0522E31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MMAT Category</w:t>
            </w:r>
          </w:p>
        </w:tc>
        <w:tc>
          <w:tcPr>
            <w:tcW w:w="228" w:type="pct"/>
            <w:shd w:val="clear" w:color="000000" w:fill="D9D9D9"/>
            <w:vAlign w:val="center"/>
            <w:hideMark/>
          </w:tcPr>
          <w:p w14:paraId="266F8E7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S1</w:t>
            </w:r>
          </w:p>
        </w:tc>
        <w:tc>
          <w:tcPr>
            <w:tcW w:w="229" w:type="pct"/>
            <w:shd w:val="clear" w:color="000000" w:fill="D9D9D9"/>
            <w:vAlign w:val="center"/>
            <w:hideMark/>
          </w:tcPr>
          <w:p w14:paraId="20B8380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S2</w:t>
            </w:r>
          </w:p>
        </w:tc>
        <w:tc>
          <w:tcPr>
            <w:tcW w:w="261" w:type="pct"/>
            <w:shd w:val="clear" w:color="000000" w:fill="D9D9D9"/>
            <w:vAlign w:val="center"/>
            <w:hideMark/>
          </w:tcPr>
          <w:p w14:paraId="564AB58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Item 1</w:t>
            </w:r>
          </w:p>
        </w:tc>
        <w:tc>
          <w:tcPr>
            <w:tcW w:w="261" w:type="pct"/>
            <w:shd w:val="clear" w:color="000000" w:fill="D9D9D9"/>
            <w:vAlign w:val="center"/>
            <w:hideMark/>
          </w:tcPr>
          <w:p w14:paraId="0B23E99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Item 2</w:t>
            </w:r>
          </w:p>
        </w:tc>
        <w:tc>
          <w:tcPr>
            <w:tcW w:w="261" w:type="pct"/>
            <w:shd w:val="clear" w:color="000000" w:fill="D9D9D9"/>
            <w:vAlign w:val="center"/>
            <w:hideMark/>
          </w:tcPr>
          <w:p w14:paraId="7BC4C4F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Item 3</w:t>
            </w:r>
          </w:p>
        </w:tc>
        <w:tc>
          <w:tcPr>
            <w:tcW w:w="261" w:type="pct"/>
            <w:shd w:val="clear" w:color="000000" w:fill="D9D9D9"/>
            <w:vAlign w:val="center"/>
            <w:hideMark/>
          </w:tcPr>
          <w:p w14:paraId="46C4BDF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Item 4</w:t>
            </w:r>
          </w:p>
        </w:tc>
        <w:tc>
          <w:tcPr>
            <w:tcW w:w="261" w:type="pct"/>
            <w:shd w:val="clear" w:color="000000" w:fill="D9D9D9"/>
            <w:vAlign w:val="center"/>
            <w:hideMark/>
          </w:tcPr>
          <w:p w14:paraId="04B7F01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Item 5</w:t>
            </w:r>
          </w:p>
        </w:tc>
        <w:tc>
          <w:tcPr>
            <w:tcW w:w="294" w:type="pct"/>
            <w:shd w:val="clear" w:color="000000" w:fill="D9D9D9"/>
            <w:vAlign w:val="center"/>
            <w:hideMark/>
          </w:tcPr>
          <w:p w14:paraId="1F83646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Score</w:t>
            </w:r>
          </w:p>
        </w:tc>
        <w:tc>
          <w:tcPr>
            <w:tcW w:w="390" w:type="pct"/>
            <w:shd w:val="clear" w:color="000000" w:fill="D9D9D9"/>
            <w:vAlign w:val="center"/>
            <w:hideMark/>
          </w:tcPr>
          <w:p w14:paraId="0EAF6B0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Overall </w:t>
            </w:r>
            <w:proofErr w:type="spellStart"/>
            <w:r w:rsidRPr="00015E49">
              <w:rPr>
                <w:rFonts w:ascii="Arial" w:eastAsia="Courier New" w:hAnsi="Arial" w:cs="Arial"/>
                <w:color w:val="000000"/>
                <w:kern w:val="0"/>
                <w:sz w:val="22"/>
                <w:szCs w:val="22"/>
              </w:rPr>
              <w:t>Qty</w:t>
            </w:r>
            <w:proofErr w:type="spellEnd"/>
            <w:r w:rsidRPr="00015E49">
              <w:rPr>
                <w:rFonts w:ascii="Arial" w:eastAsia="Courier New" w:hAnsi="Arial" w:cs="Arial"/>
                <w:color w:val="000000"/>
                <w:kern w:val="0"/>
                <w:sz w:val="22"/>
                <w:szCs w:val="22"/>
              </w:rPr>
              <w:t xml:space="preserve"> Rating</w:t>
            </w:r>
          </w:p>
        </w:tc>
        <w:tc>
          <w:tcPr>
            <w:tcW w:w="1308" w:type="pct"/>
            <w:shd w:val="clear" w:color="000000" w:fill="D9D9D9"/>
            <w:vAlign w:val="center"/>
            <w:hideMark/>
          </w:tcPr>
          <w:p w14:paraId="7AAAD54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Methodological Assessment</w:t>
            </w:r>
          </w:p>
        </w:tc>
      </w:tr>
      <w:tr w:rsidR="00D340EB" w:rsidRPr="00015E49" w14:paraId="4DAC4753" w14:textId="77777777" w:rsidTr="00775F7D">
        <w:trPr>
          <w:trHeight w:val="1066"/>
        </w:trPr>
        <w:tc>
          <w:tcPr>
            <w:tcW w:w="399" w:type="pct"/>
            <w:hideMark/>
          </w:tcPr>
          <w:p w14:paraId="6622F61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Khan et al. (2021)</w:t>
            </w:r>
          </w:p>
        </w:tc>
        <w:tc>
          <w:tcPr>
            <w:tcW w:w="423" w:type="pct"/>
            <w:hideMark/>
          </w:tcPr>
          <w:p w14:paraId="6648763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Mixed-Methods</w:t>
            </w:r>
          </w:p>
        </w:tc>
        <w:tc>
          <w:tcPr>
            <w:tcW w:w="424" w:type="pct"/>
            <w:hideMark/>
          </w:tcPr>
          <w:p w14:paraId="04EC51A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5</w:t>
            </w:r>
          </w:p>
        </w:tc>
        <w:tc>
          <w:tcPr>
            <w:tcW w:w="228" w:type="pct"/>
            <w:hideMark/>
          </w:tcPr>
          <w:p w14:paraId="79066C6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0679B6B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0663315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2669C76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4313959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615F375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1CDA20B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7726548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100%</w:t>
            </w:r>
          </w:p>
        </w:tc>
        <w:tc>
          <w:tcPr>
            <w:tcW w:w="390" w:type="pct"/>
            <w:hideMark/>
          </w:tcPr>
          <w:p w14:paraId="14860B3A"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7569627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Clear rationale for mixed methods; quantitative survey and thematic qualitative interviews are well-integrated and interpreted.</w:t>
            </w:r>
          </w:p>
          <w:p w14:paraId="66F48557" w14:textId="77777777" w:rsidR="00D340EB" w:rsidRPr="00015E49" w:rsidRDefault="00D340EB" w:rsidP="00775F7D">
            <w:pPr>
              <w:spacing w:after="0" w:line="240" w:lineRule="auto"/>
              <w:rPr>
                <w:rFonts w:ascii="Arial" w:eastAsia="Courier New" w:hAnsi="Arial" w:cs="Arial"/>
                <w:color w:val="000000"/>
                <w:kern w:val="0"/>
                <w:sz w:val="22"/>
                <w:szCs w:val="22"/>
              </w:rPr>
            </w:pPr>
          </w:p>
        </w:tc>
      </w:tr>
      <w:tr w:rsidR="00D340EB" w:rsidRPr="00015E49" w14:paraId="2C1EE9D2" w14:textId="77777777" w:rsidTr="00775F7D">
        <w:trPr>
          <w:trHeight w:val="1345"/>
        </w:trPr>
        <w:tc>
          <w:tcPr>
            <w:tcW w:w="399" w:type="pct"/>
            <w:hideMark/>
          </w:tcPr>
          <w:p w14:paraId="65392A7E"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w:t>
            </w:r>
          </w:p>
        </w:tc>
        <w:tc>
          <w:tcPr>
            <w:tcW w:w="423" w:type="pct"/>
            <w:hideMark/>
          </w:tcPr>
          <w:p w14:paraId="5D2020D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Cross-Sectional</w:t>
            </w:r>
          </w:p>
        </w:tc>
        <w:tc>
          <w:tcPr>
            <w:tcW w:w="424" w:type="pct"/>
            <w:hideMark/>
          </w:tcPr>
          <w:p w14:paraId="349844E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4</w:t>
            </w:r>
          </w:p>
        </w:tc>
        <w:tc>
          <w:tcPr>
            <w:tcW w:w="228" w:type="pct"/>
            <w:hideMark/>
          </w:tcPr>
          <w:p w14:paraId="5098FEC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187216F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6BE7EE4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3BADE16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18AC252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1F1AE82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Can't tell</w:t>
            </w:r>
          </w:p>
        </w:tc>
        <w:tc>
          <w:tcPr>
            <w:tcW w:w="261" w:type="pct"/>
            <w:hideMark/>
          </w:tcPr>
          <w:p w14:paraId="6648A12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0B5AC9C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80%</w:t>
            </w:r>
          </w:p>
        </w:tc>
        <w:tc>
          <w:tcPr>
            <w:tcW w:w="390" w:type="pct"/>
            <w:hideMark/>
          </w:tcPr>
          <w:p w14:paraId="34FBC01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39061D2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Pretested questionnaire and appropriate logistic regression analysis in SPSS; minor risk of selection bias from pharmacy sampling in Lahore.</w:t>
            </w:r>
          </w:p>
          <w:p w14:paraId="3A9974B4" w14:textId="77777777" w:rsidR="00D340EB" w:rsidRPr="00015E49" w:rsidRDefault="00D340EB" w:rsidP="00775F7D">
            <w:pPr>
              <w:spacing w:after="0" w:line="240" w:lineRule="auto"/>
              <w:rPr>
                <w:rFonts w:ascii="Arial" w:eastAsia="Courier New" w:hAnsi="Arial" w:cs="Arial"/>
                <w:color w:val="000000"/>
                <w:kern w:val="0"/>
                <w:sz w:val="22"/>
                <w:szCs w:val="22"/>
              </w:rPr>
            </w:pPr>
          </w:p>
        </w:tc>
      </w:tr>
      <w:tr w:rsidR="00D340EB" w:rsidRPr="00015E49" w14:paraId="4D57308A" w14:textId="77777777" w:rsidTr="00775F7D">
        <w:trPr>
          <w:trHeight w:val="1075"/>
        </w:trPr>
        <w:tc>
          <w:tcPr>
            <w:tcW w:w="399" w:type="pct"/>
            <w:hideMark/>
          </w:tcPr>
          <w:p w14:paraId="38FCDB41"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Shahid</w:t>
            </w:r>
            <w:proofErr w:type="spellEnd"/>
            <w:r w:rsidRPr="00015E49">
              <w:rPr>
                <w:rFonts w:ascii="Arial" w:eastAsia="Courier New" w:hAnsi="Arial" w:cs="Arial"/>
                <w:color w:val="000000"/>
                <w:kern w:val="0"/>
                <w:sz w:val="22"/>
                <w:szCs w:val="22"/>
              </w:rPr>
              <w:t xml:space="preserve"> et al. (2025)</w:t>
            </w:r>
          </w:p>
        </w:tc>
        <w:tc>
          <w:tcPr>
            <w:tcW w:w="423" w:type="pct"/>
            <w:hideMark/>
          </w:tcPr>
          <w:p w14:paraId="57742EC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Mixed-Methods </w:t>
            </w:r>
          </w:p>
        </w:tc>
        <w:tc>
          <w:tcPr>
            <w:tcW w:w="424" w:type="pct"/>
            <w:hideMark/>
          </w:tcPr>
          <w:p w14:paraId="1F33137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5</w:t>
            </w:r>
          </w:p>
        </w:tc>
        <w:tc>
          <w:tcPr>
            <w:tcW w:w="228" w:type="pct"/>
            <w:hideMark/>
          </w:tcPr>
          <w:p w14:paraId="057E4BD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592F625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09DDC15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1B4FC10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5DAC5AB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38211B6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692476E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36F3A41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100%</w:t>
            </w:r>
          </w:p>
        </w:tc>
        <w:tc>
          <w:tcPr>
            <w:tcW w:w="390" w:type="pct"/>
            <w:hideMark/>
          </w:tcPr>
          <w:p w14:paraId="3BEAC41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3871C05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Strong integration of quantitative survey data and qualitative focus group discussions regarding precision medicine.</w:t>
            </w:r>
          </w:p>
          <w:p w14:paraId="7EEC6121" w14:textId="77777777" w:rsidR="00D340EB" w:rsidRPr="00015E49" w:rsidRDefault="00D340EB" w:rsidP="00775F7D">
            <w:pPr>
              <w:spacing w:after="0" w:line="240" w:lineRule="auto"/>
              <w:rPr>
                <w:rFonts w:ascii="Arial" w:eastAsia="Courier New" w:hAnsi="Arial" w:cs="Arial"/>
                <w:color w:val="000000"/>
                <w:kern w:val="0"/>
                <w:sz w:val="22"/>
                <w:szCs w:val="22"/>
              </w:rPr>
            </w:pPr>
          </w:p>
        </w:tc>
      </w:tr>
      <w:tr w:rsidR="00D340EB" w:rsidRPr="00015E49" w14:paraId="4B8D4AC8" w14:textId="77777777" w:rsidTr="00775F7D">
        <w:trPr>
          <w:trHeight w:val="1336"/>
        </w:trPr>
        <w:tc>
          <w:tcPr>
            <w:tcW w:w="399" w:type="pct"/>
            <w:hideMark/>
          </w:tcPr>
          <w:p w14:paraId="24EDFA39"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Waseem</w:t>
            </w:r>
            <w:proofErr w:type="spellEnd"/>
            <w:r w:rsidRPr="00015E49">
              <w:rPr>
                <w:rFonts w:ascii="Arial" w:eastAsia="Courier New" w:hAnsi="Arial" w:cs="Arial"/>
                <w:color w:val="000000"/>
                <w:kern w:val="0"/>
                <w:sz w:val="22"/>
                <w:szCs w:val="22"/>
              </w:rPr>
              <w:t xml:space="preserve"> et al. (20</w:t>
            </w:r>
            <w:r>
              <w:rPr>
                <w:rFonts w:ascii="Arial" w:eastAsia="Courier New" w:hAnsi="Arial" w:cs="Arial"/>
                <w:color w:val="000000"/>
                <w:kern w:val="0"/>
                <w:sz w:val="22"/>
                <w:szCs w:val="22"/>
              </w:rPr>
              <w:t>19</w:t>
            </w:r>
            <w:r w:rsidRPr="00015E49">
              <w:rPr>
                <w:rFonts w:ascii="Arial" w:eastAsia="Courier New" w:hAnsi="Arial" w:cs="Arial"/>
                <w:color w:val="000000"/>
                <w:kern w:val="0"/>
                <w:sz w:val="22"/>
                <w:szCs w:val="22"/>
              </w:rPr>
              <w:t>)</w:t>
            </w:r>
          </w:p>
        </w:tc>
        <w:tc>
          <w:tcPr>
            <w:tcW w:w="423" w:type="pct"/>
            <w:hideMark/>
          </w:tcPr>
          <w:p w14:paraId="58A5193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Cross-Sectional</w:t>
            </w:r>
          </w:p>
        </w:tc>
        <w:tc>
          <w:tcPr>
            <w:tcW w:w="424" w:type="pct"/>
            <w:hideMark/>
          </w:tcPr>
          <w:p w14:paraId="50C67D1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4</w:t>
            </w:r>
          </w:p>
        </w:tc>
        <w:tc>
          <w:tcPr>
            <w:tcW w:w="228" w:type="pct"/>
            <w:hideMark/>
          </w:tcPr>
          <w:p w14:paraId="69BA018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1FDA2D0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0FFF39B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4D56143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Moderate</w:t>
            </w:r>
          </w:p>
        </w:tc>
        <w:tc>
          <w:tcPr>
            <w:tcW w:w="261" w:type="pct"/>
            <w:hideMark/>
          </w:tcPr>
          <w:p w14:paraId="7A519F8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2861BDF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No</w:t>
            </w:r>
          </w:p>
        </w:tc>
        <w:tc>
          <w:tcPr>
            <w:tcW w:w="261" w:type="pct"/>
            <w:hideMark/>
          </w:tcPr>
          <w:p w14:paraId="48C1379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377EA90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60%</w:t>
            </w:r>
          </w:p>
        </w:tc>
        <w:tc>
          <w:tcPr>
            <w:tcW w:w="390" w:type="pct"/>
            <w:hideMark/>
          </w:tcPr>
          <w:p w14:paraId="112706C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Moderate Quality</w:t>
            </w:r>
          </w:p>
        </w:tc>
        <w:tc>
          <w:tcPr>
            <w:tcW w:w="1308" w:type="pct"/>
            <w:hideMark/>
          </w:tcPr>
          <w:p w14:paraId="213AB6B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Good sample size across 3 groups, but low response rates among pharmacists (37.7%) and doctors (53.9%) introduce nonresponse bias.</w:t>
            </w:r>
          </w:p>
          <w:p w14:paraId="648132F8" w14:textId="77777777" w:rsidR="00D340EB" w:rsidRPr="00015E49" w:rsidRDefault="00D340EB" w:rsidP="00775F7D">
            <w:pPr>
              <w:spacing w:after="0" w:line="240" w:lineRule="auto"/>
              <w:rPr>
                <w:rFonts w:ascii="Arial" w:eastAsia="Courier New" w:hAnsi="Arial" w:cs="Arial"/>
                <w:color w:val="000000"/>
                <w:kern w:val="0"/>
                <w:sz w:val="22"/>
                <w:szCs w:val="22"/>
              </w:rPr>
            </w:pPr>
          </w:p>
        </w:tc>
      </w:tr>
      <w:tr w:rsidR="00D340EB" w:rsidRPr="00015E49" w14:paraId="61CADE28" w14:textId="77777777" w:rsidTr="00775F7D">
        <w:trPr>
          <w:trHeight w:val="1066"/>
        </w:trPr>
        <w:tc>
          <w:tcPr>
            <w:tcW w:w="399" w:type="pct"/>
            <w:hideMark/>
          </w:tcPr>
          <w:p w14:paraId="067AA9B6"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Saif</w:t>
            </w:r>
            <w:proofErr w:type="spellEnd"/>
            <w:r w:rsidRPr="00015E49">
              <w:rPr>
                <w:rFonts w:ascii="Arial" w:eastAsia="Courier New" w:hAnsi="Arial" w:cs="Arial"/>
                <w:color w:val="000000"/>
                <w:kern w:val="0"/>
                <w:sz w:val="22"/>
                <w:szCs w:val="22"/>
              </w:rPr>
              <w:t xml:space="preserve"> et al. (2024)</w:t>
            </w:r>
          </w:p>
        </w:tc>
        <w:tc>
          <w:tcPr>
            <w:tcW w:w="423" w:type="pct"/>
            <w:hideMark/>
          </w:tcPr>
          <w:p w14:paraId="2ACD506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Cross- Sectional</w:t>
            </w:r>
          </w:p>
        </w:tc>
        <w:tc>
          <w:tcPr>
            <w:tcW w:w="424" w:type="pct"/>
            <w:hideMark/>
          </w:tcPr>
          <w:p w14:paraId="2193775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3</w:t>
            </w:r>
          </w:p>
        </w:tc>
        <w:tc>
          <w:tcPr>
            <w:tcW w:w="228" w:type="pct"/>
            <w:hideMark/>
          </w:tcPr>
          <w:p w14:paraId="3155DCE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46079E3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2D4EB00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3EC4C26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1D62E7E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76672D6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Can't tell</w:t>
            </w:r>
          </w:p>
        </w:tc>
        <w:tc>
          <w:tcPr>
            <w:tcW w:w="261" w:type="pct"/>
            <w:hideMark/>
          </w:tcPr>
          <w:p w14:paraId="6F45DA3A"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65D1CF3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80%</w:t>
            </w:r>
          </w:p>
        </w:tc>
        <w:tc>
          <w:tcPr>
            <w:tcW w:w="390" w:type="pct"/>
            <w:hideMark/>
          </w:tcPr>
          <w:p w14:paraId="3D0668D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39F0B20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Pre- and post-intervention scores compared with paired t-tests using a validated WHO video; potential unmeasured confounders.</w:t>
            </w:r>
          </w:p>
          <w:p w14:paraId="61E9CF84" w14:textId="77777777" w:rsidR="00D340EB" w:rsidRPr="00015E49" w:rsidRDefault="00D340EB" w:rsidP="00775F7D">
            <w:pPr>
              <w:spacing w:after="0" w:line="240" w:lineRule="auto"/>
              <w:rPr>
                <w:rFonts w:ascii="Arial" w:eastAsia="Courier New" w:hAnsi="Arial" w:cs="Arial"/>
                <w:color w:val="000000"/>
                <w:kern w:val="0"/>
                <w:sz w:val="22"/>
                <w:szCs w:val="22"/>
              </w:rPr>
            </w:pPr>
          </w:p>
        </w:tc>
      </w:tr>
      <w:tr w:rsidR="00D340EB" w:rsidRPr="00015E49" w14:paraId="5CD12C25" w14:textId="77777777" w:rsidTr="00775F7D">
        <w:trPr>
          <w:trHeight w:val="848"/>
        </w:trPr>
        <w:tc>
          <w:tcPr>
            <w:tcW w:w="399" w:type="pct"/>
            <w:hideMark/>
          </w:tcPr>
          <w:p w14:paraId="3EB99141"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Faizullah</w:t>
            </w:r>
            <w:proofErr w:type="spellEnd"/>
            <w:r w:rsidRPr="00015E49">
              <w:rPr>
                <w:rFonts w:ascii="Arial" w:eastAsia="Courier New" w:hAnsi="Arial" w:cs="Arial"/>
                <w:color w:val="000000"/>
                <w:kern w:val="0"/>
                <w:sz w:val="22"/>
                <w:szCs w:val="22"/>
              </w:rPr>
              <w:t xml:space="preserve"> et al. (2017)</w:t>
            </w:r>
          </w:p>
        </w:tc>
        <w:tc>
          <w:tcPr>
            <w:tcW w:w="423" w:type="pct"/>
            <w:hideMark/>
          </w:tcPr>
          <w:p w14:paraId="7006339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Cross-Sectional</w:t>
            </w:r>
          </w:p>
        </w:tc>
        <w:tc>
          <w:tcPr>
            <w:tcW w:w="424" w:type="pct"/>
            <w:hideMark/>
          </w:tcPr>
          <w:p w14:paraId="38F624E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4</w:t>
            </w:r>
          </w:p>
        </w:tc>
        <w:tc>
          <w:tcPr>
            <w:tcW w:w="228" w:type="pct"/>
            <w:hideMark/>
          </w:tcPr>
          <w:p w14:paraId="55F2DEA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6153941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5E65FD4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09B206A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0DB5EC3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1732DE2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Moderate</w:t>
            </w:r>
          </w:p>
        </w:tc>
        <w:tc>
          <w:tcPr>
            <w:tcW w:w="261" w:type="pct"/>
            <w:hideMark/>
          </w:tcPr>
          <w:p w14:paraId="1580790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7CAF974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80%</w:t>
            </w:r>
          </w:p>
        </w:tc>
        <w:tc>
          <w:tcPr>
            <w:tcW w:w="390" w:type="pct"/>
            <w:hideMark/>
          </w:tcPr>
          <w:p w14:paraId="774B25D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18F7284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Pre-validated self-administered questionnaire; acceptable response rate (61.5%, n=320) among KPK medical practitioners.</w:t>
            </w:r>
          </w:p>
        </w:tc>
      </w:tr>
      <w:tr w:rsidR="00D340EB" w:rsidRPr="00015E49" w14:paraId="02ED96C4" w14:textId="77777777" w:rsidTr="00775F7D">
        <w:trPr>
          <w:trHeight w:val="1165"/>
        </w:trPr>
        <w:tc>
          <w:tcPr>
            <w:tcW w:w="399" w:type="pct"/>
            <w:hideMark/>
          </w:tcPr>
          <w:p w14:paraId="5F97670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lastRenderedPageBreak/>
              <w:t>Ashraf et al. (2022)</w:t>
            </w:r>
          </w:p>
        </w:tc>
        <w:tc>
          <w:tcPr>
            <w:tcW w:w="423" w:type="pct"/>
            <w:hideMark/>
          </w:tcPr>
          <w:p w14:paraId="4E592ED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Multicenter Cross-Sectional</w:t>
            </w:r>
          </w:p>
        </w:tc>
        <w:tc>
          <w:tcPr>
            <w:tcW w:w="424" w:type="pct"/>
            <w:hideMark/>
          </w:tcPr>
          <w:p w14:paraId="4E67EFF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4</w:t>
            </w:r>
          </w:p>
        </w:tc>
        <w:tc>
          <w:tcPr>
            <w:tcW w:w="228" w:type="pct"/>
            <w:hideMark/>
          </w:tcPr>
          <w:p w14:paraId="046E81A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1E6F79E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35A4047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704BD42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2817636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244CD13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3202F54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3689B8B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100%</w:t>
            </w:r>
          </w:p>
        </w:tc>
        <w:tc>
          <w:tcPr>
            <w:tcW w:w="390" w:type="pct"/>
            <w:hideMark/>
          </w:tcPr>
          <w:p w14:paraId="5C80C06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526189BA"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Multicenter sampling across 6 public tertiary teaching hospitals in Lahore using a robust 45-item questionnaire and SPSS analysis.</w:t>
            </w:r>
          </w:p>
        </w:tc>
      </w:tr>
      <w:tr w:rsidR="00D340EB" w:rsidRPr="00015E49" w14:paraId="64F89BA3" w14:textId="77777777" w:rsidTr="00775F7D">
        <w:trPr>
          <w:trHeight w:val="1165"/>
        </w:trPr>
        <w:tc>
          <w:tcPr>
            <w:tcW w:w="399" w:type="pct"/>
            <w:hideMark/>
          </w:tcPr>
          <w:p w14:paraId="6FBD89C8"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Gillani</w:t>
            </w:r>
            <w:proofErr w:type="spellEnd"/>
            <w:r w:rsidRPr="00015E49">
              <w:rPr>
                <w:rFonts w:ascii="Arial" w:eastAsia="Courier New" w:hAnsi="Arial" w:cs="Arial"/>
                <w:color w:val="000000"/>
                <w:kern w:val="0"/>
                <w:sz w:val="22"/>
                <w:szCs w:val="22"/>
              </w:rPr>
              <w:t xml:space="preserve"> et al. (2021)</w:t>
            </w:r>
          </w:p>
        </w:tc>
        <w:tc>
          <w:tcPr>
            <w:tcW w:w="423" w:type="pct"/>
            <w:hideMark/>
          </w:tcPr>
          <w:p w14:paraId="555BC0C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Cross-Sectional</w:t>
            </w:r>
          </w:p>
        </w:tc>
        <w:tc>
          <w:tcPr>
            <w:tcW w:w="424" w:type="pct"/>
            <w:hideMark/>
          </w:tcPr>
          <w:p w14:paraId="3BFFA4A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4</w:t>
            </w:r>
          </w:p>
        </w:tc>
        <w:tc>
          <w:tcPr>
            <w:tcW w:w="228" w:type="pct"/>
            <w:hideMark/>
          </w:tcPr>
          <w:p w14:paraId="595B848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26F76F2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7D6F212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2B5798A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5A89180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586B0BE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1DB4441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27A5999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100%</w:t>
            </w:r>
          </w:p>
        </w:tc>
        <w:tc>
          <w:tcPr>
            <w:tcW w:w="390" w:type="pct"/>
            <w:hideMark/>
          </w:tcPr>
          <w:p w14:paraId="1701671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2BDD545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Large representative population sample (n=2,106) across Punjab, 50-item validated instrument, and adjusted odds ratios (AOR).</w:t>
            </w:r>
          </w:p>
        </w:tc>
      </w:tr>
      <w:tr w:rsidR="00D340EB" w:rsidRPr="00015E49" w14:paraId="3EF871A4" w14:textId="77777777" w:rsidTr="00775F7D">
        <w:trPr>
          <w:trHeight w:val="1084"/>
        </w:trPr>
        <w:tc>
          <w:tcPr>
            <w:tcW w:w="399" w:type="pct"/>
            <w:hideMark/>
          </w:tcPr>
          <w:p w14:paraId="3077B1D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Shah et al. (2021)</w:t>
            </w:r>
          </w:p>
        </w:tc>
        <w:tc>
          <w:tcPr>
            <w:tcW w:w="423" w:type="pct"/>
            <w:hideMark/>
          </w:tcPr>
          <w:p w14:paraId="7AEED8C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Cross-Sectional</w:t>
            </w:r>
          </w:p>
        </w:tc>
        <w:tc>
          <w:tcPr>
            <w:tcW w:w="424" w:type="pct"/>
            <w:hideMark/>
          </w:tcPr>
          <w:p w14:paraId="37FF294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4</w:t>
            </w:r>
          </w:p>
        </w:tc>
        <w:tc>
          <w:tcPr>
            <w:tcW w:w="228" w:type="pct"/>
            <w:hideMark/>
          </w:tcPr>
          <w:p w14:paraId="52E0551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032D900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05FB1E4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0DC488E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47C5800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7ECD168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Moderate</w:t>
            </w:r>
          </w:p>
        </w:tc>
        <w:tc>
          <w:tcPr>
            <w:tcW w:w="261" w:type="pct"/>
            <w:hideMark/>
          </w:tcPr>
          <w:p w14:paraId="1CE6C90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5CBB1F8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80%</w:t>
            </w:r>
          </w:p>
        </w:tc>
        <w:tc>
          <w:tcPr>
            <w:tcW w:w="390" w:type="pct"/>
            <w:hideMark/>
          </w:tcPr>
          <w:p w14:paraId="11B5864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7BEC9AB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Good comparative study (n=525) between medical and non-medical students; appropriate ANOVA, t-tests, and Chi-square analysis.</w:t>
            </w:r>
          </w:p>
        </w:tc>
      </w:tr>
      <w:tr w:rsidR="00D340EB" w:rsidRPr="00015E49" w14:paraId="48C87E39" w14:textId="77777777" w:rsidTr="00775F7D">
        <w:trPr>
          <w:trHeight w:val="1057"/>
        </w:trPr>
        <w:tc>
          <w:tcPr>
            <w:tcW w:w="399" w:type="pct"/>
            <w:hideMark/>
          </w:tcPr>
          <w:p w14:paraId="5C2C708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Khan et al. (2020)</w:t>
            </w:r>
          </w:p>
        </w:tc>
        <w:tc>
          <w:tcPr>
            <w:tcW w:w="423" w:type="pct"/>
            <w:hideMark/>
          </w:tcPr>
          <w:p w14:paraId="2FE5BD9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Cross-Sectional</w:t>
            </w:r>
          </w:p>
        </w:tc>
        <w:tc>
          <w:tcPr>
            <w:tcW w:w="424" w:type="pct"/>
            <w:hideMark/>
          </w:tcPr>
          <w:p w14:paraId="1BA8105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Category 4</w:t>
            </w:r>
          </w:p>
        </w:tc>
        <w:tc>
          <w:tcPr>
            <w:tcW w:w="228" w:type="pct"/>
            <w:hideMark/>
          </w:tcPr>
          <w:p w14:paraId="1986DCE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29" w:type="pct"/>
            <w:hideMark/>
          </w:tcPr>
          <w:p w14:paraId="65D6405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676F5E6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3685D84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Moderate</w:t>
            </w:r>
          </w:p>
        </w:tc>
        <w:tc>
          <w:tcPr>
            <w:tcW w:w="261" w:type="pct"/>
            <w:hideMark/>
          </w:tcPr>
          <w:p w14:paraId="47C8135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61" w:type="pct"/>
            <w:hideMark/>
          </w:tcPr>
          <w:p w14:paraId="619A8C6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Moderate</w:t>
            </w:r>
          </w:p>
        </w:tc>
        <w:tc>
          <w:tcPr>
            <w:tcW w:w="261" w:type="pct"/>
            <w:hideMark/>
          </w:tcPr>
          <w:p w14:paraId="0109342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Yes</w:t>
            </w:r>
          </w:p>
        </w:tc>
        <w:tc>
          <w:tcPr>
            <w:tcW w:w="294" w:type="pct"/>
            <w:hideMark/>
          </w:tcPr>
          <w:p w14:paraId="59232CE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80%</w:t>
            </w:r>
          </w:p>
        </w:tc>
        <w:tc>
          <w:tcPr>
            <w:tcW w:w="390" w:type="pct"/>
            <w:hideMark/>
          </w:tcPr>
          <w:p w14:paraId="357ED7F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w:t>
            </w:r>
          </w:p>
        </w:tc>
        <w:tc>
          <w:tcPr>
            <w:tcW w:w="1308" w:type="pct"/>
            <w:hideMark/>
          </w:tcPr>
          <w:p w14:paraId="5E2EE9B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 Quality: Unique dataset from Swat (n=399); appropriate non-parametric statistical testing (KW &amp; MW).</w:t>
            </w:r>
          </w:p>
        </w:tc>
      </w:tr>
    </w:tbl>
    <w:p w14:paraId="4E9F36C2" w14:textId="77777777" w:rsidR="00D340EB" w:rsidRPr="00015E49" w:rsidRDefault="00D340EB" w:rsidP="00D340EB">
      <w:pPr>
        <w:spacing w:line="360" w:lineRule="auto"/>
        <w:jc w:val="both"/>
        <w:rPr>
          <w:rFonts w:ascii="Arial" w:hAnsi="Arial" w:cs="Arial"/>
          <w:b/>
          <w:bCs/>
          <w:sz w:val="22"/>
          <w:szCs w:val="22"/>
        </w:rPr>
        <w:sectPr w:rsidR="00D340EB" w:rsidRPr="00015E49" w:rsidSect="00D340EB">
          <w:pgSz w:w="15840" w:h="12240" w:orient="landscape"/>
          <w:pgMar w:top="850" w:right="1134" w:bottom="1701" w:left="1134" w:header="720" w:footer="720" w:gutter="0"/>
          <w:cols w:space="720"/>
          <w:docGrid w:linePitch="360"/>
        </w:sectPr>
      </w:pPr>
    </w:p>
    <w:p w14:paraId="4D049973" w14:textId="77777777" w:rsidR="00D340EB" w:rsidRPr="0041279B" w:rsidRDefault="00D340EB" w:rsidP="001362A5">
      <w:pPr>
        <w:pStyle w:val="Heading2"/>
        <w:rPr>
          <w:rFonts w:asciiTheme="minorBidi" w:hAnsiTheme="minorBidi" w:cstheme="minorBidi"/>
          <w:b/>
          <w:bCs/>
          <w:i/>
          <w:iCs/>
          <w:color w:val="000000" w:themeColor="text1"/>
          <w:sz w:val="22"/>
          <w:szCs w:val="22"/>
        </w:rPr>
      </w:pPr>
      <w:bookmarkStart w:id="56" w:name="_Toc238647403"/>
      <w:r w:rsidRPr="0041279B">
        <w:rPr>
          <w:rFonts w:asciiTheme="minorBidi" w:hAnsiTheme="minorBidi" w:cstheme="minorBidi"/>
          <w:b/>
          <w:bCs/>
          <w:i/>
          <w:iCs/>
          <w:color w:val="000000" w:themeColor="text1"/>
          <w:sz w:val="22"/>
          <w:szCs w:val="22"/>
        </w:rPr>
        <w:lastRenderedPageBreak/>
        <w:t>4.4 Evaluation of Quantitative and Mixed Methods Studies</w:t>
      </w:r>
      <w:bookmarkEnd w:id="56"/>
    </w:p>
    <w:p w14:paraId="447FBCF9" w14:textId="77777777" w:rsidR="00D340EB" w:rsidRPr="0041279B" w:rsidRDefault="00D340EB" w:rsidP="001362A5">
      <w:pPr>
        <w:pStyle w:val="Heading2"/>
        <w:rPr>
          <w:rFonts w:asciiTheme="minorBidi" w:hAnsiTheme="minorBidi" w:cstheme="minorBidi"/>
          <w:color w:val="000000" w:themeColor="text1"/>
          <w:sz w:val="22"/>
          <w:szCs w:val="22"/>
        </w:rPr>
      </w:pPr>
      <w:bookmarkStart w:id="57" w:name="_Toc238647404"/>
      <w:r w:rsidRPr="0041279B">
        <w:rPr>
          <w:rFonts w:asciiTheme="minorBidi" w:hAnsiTheme="minorBidi" w:cstheme="minorBidi"/>
          <w:b/>
          <w:bCs/>
          <w:i/>
          <w:iCs/>
          <w:color w:val="000000" w:themeColor="text1"/>
          <w:sz w:val="22"/>
          <w:szCs w:val="22"/>
        </w:rPr>
        <w:t>4.4.1 Introduction to Critical Appraisal of Quantitative and Mixed Methods Studies</w:t>
      </w:r>
      <w:bookmarkEnd w:id="57"/>
    </w:p>
    <w:p w14:paraId="73818162"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Quantitative and mixed-methods research in public health is important as it provides concrete evidence about the impact of social determinants on KAP about AMR (</w:t>
      </w:r>
      <w:proofErr w:type="spellStart"/>
      <w:r w:rsidRPr="0041279B">
        <w:rPr>
          <w:rFonts w:asciiTheme="minorBidi" w:hAnsiTheme="minorBidi" w:cstheme="minorBidi"/>
          <w:color w:val="000000" w:themeColor="text1"/>
          <w:sz w:val="22"/>
          <w:szCs w:val="22"/>
        </w:rPr>
        <w:t>Shutt</w:t>
      </w:r>
      <w:proofErr w:type="spellEnd"/>
      <w:r w:rsidRPr="0041279B">
        <w:rPr>
          <w:rFonts w:asciiTheme="minorBidi" w:hAnsiTheme="minorBidi" w:cstheme="minorBidi"/>
          <w:color w:val="000000" w:themeColor="text1"/>
          <w:sz w:val="22"/>
          <w:szCs w:val="22"/>
        </w:rPr>
        <w:t xml:space="preserve"> et al., 2025). The collection of objective data gives an opportunity to determine such variables as AMR knowledge, antibiotic misuse, self-medication, dispensing without prescriptions, education level, SE status, and access to healthcare services, thus significantly supporting the analysis of behavior within the healthcare framework of Pakistan. To properly assess the quality and potential biases of the sources included into the research, two complementary tools were utilized depending on the type of methodology: the JBI Critical appraisal tool for analytical cross-sectional studies was employed with quantitative observational studies while the MMAT was efficient in evaluating mixed-methods studies. The JBI checklist allowed rigorous assessment of quantitative parameters, like sample inclusion criteria, the description of the context, validity and reliability of the outcome measures, and control of confounding variables. On the other hand, MMAT allowed conducting comprehensive evaluation of mixed-methods research. Applying these tools ensured that the synthesis of social determinants influencing AMR was anchored in methodologically robust, transparent, and low-bias evidence.</w:t>
      </w:r>
    </w:p>
    <w:p w14:paraId="4A4D8024"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This review has considered various cross-sectional and mixed-methods studies, including those conducted by Khan et al. (2021), </w:t>
      </w:r>
      <w:proofErr w:type="spellStart"/>
      <w:r w:rsidRPr="0041279B">
        <w:rPr>
          <w:rFonts w:asciiTheme="minorBidi" w:hAnsiTheme="minorBidi" w:cstheme="minorBidi"/>
          <w:color w:val="000000" w:themeColor="text1"/>
          <w:sz w:val="22"/>
          <w:szCs w:val="22"/>
        </w:rPr>
        <w:t>Nabeel</w:t>
      </w:r>
      <w:proofErr w:type="spellEnd"/>
      <w:r w:rsidRPr="0041279B">
        <w:rPr>
          <w:rFonts w:asciiTheme="minorBidi" w:hAnsiTheme="minorBidi" w:cstheme="minorBidi"/>
          <w:color w:val="000000" w:themeColor="text1"/>
          <w:sz w:val="22"/>
          <w:szCs w:val="22"/>
        </w:rPr>
        <w:t xml:space="preserve"> et al. (2024) resulting in grounded insights regarding the influence of social, institutional and professional settings on AMR-centric KAP in the medical sector. Specifically, the mixed-method study by Khan et al. (2021) revealed that pharmacists practice irrational dispensing of antibiotics despite being trained in the field. Meanwhile, the mixed-method study by </w:t>
      </w:r>
      <w:proofErr w:type="spellStart"/>
      <w:r w:rsidRPr="0041279B">
        <w:rPr>
          <w:rFonts w:asciiTheme="minorBidi" w:hAnsiTheme="minorBidi" w:cstheme="minorBidi"/>
          <w:color w:val="000000" w:themeColor="text1"/>
          <w:sz w:val="22"/>
          <w:szCs w:val="22"/>
        </w:rPr>
        <w:t>Nabeel</w:t>
      </w:r>
      <w:proofErr w:type="spellEnd"/>
      <w:r w:rsidRPr="0041279B">
        <w:rPr>
          <w:rFonts w:asciiTheme="minorBidi" w:hAnsiTheme="minorBidi" w:cstheme="minorBidi"/>
          <w:color w:val="000000" w:themeColor="text1"/>
          <w:sz w:val="22"/>
          <w:szCs w:val="22"/>
        </w:rPr>
        <w:t xml:space="preserve"> et al. proved that patient demand can lead to uncontrolled sales in Pakistan. The study conducted by </w:t>
      </w:r>
      <w:proofErr w:type="spellStart"/>
      <w:r w:rsidRPr="0041279B">
        <w:rPr>
          <w:rFonts w:asciiTheme="minorBidi" w:hAnsiTheme="minorBidi" w:cstheme="minorBidi"/>
          <w:color w:val="000000" w:themeColor="text1"/>
          <w:sz w:val="22"/>
          <w:szCs w:val="22"/>
        </w:rPr>
        <w:t>Shahid</w:t>
      </w:r>
      <w:proofErr w:type="spellEnd"/>
      <w:r w:rsidRPr="0041279B">
        <w:rPr>
          <w:rFonts w:asciiTheme="minorBidi" w:hAnsiTheme="minorBidi" w:cstheme="minorBidi"/>
          <w:color w:val="000000" w:themeColor="text1"/>
          <w:sz w:val="22"/>
          <w:szCs w:val="22"/>
        </w:rPr>
        <w:t xml:space="preserve"> and fellows in 2025 showed that there are severe constraints in clinical decision-making regarding stewardship or precision medicine due to poor diagnostic systems and high governance issues.  As for quantitative cross-sectional research studies, </w:t>
      </w:r>
      <w:proofErr w:type="spellStart"/>
      <w:r w:rsidRPr="0041279B">
        <w:rPr>
          <w:rFonts w:asciiTheme="minorBidi" w:hAnsiTheme="minorBidi" w:cstheme="minorBidi"/>
          <w:color w:val="000000" w:themeColor="text1"/>
          <w:sz w:val="22"/>
          <w:szCs w:val="22"/>
        </w:rPr>
        <w:t>Waseem</w:t>
      </w:r>
      <w:proofErr w:type="spellEnd"/>
      <w:r w:rsidRPr="0041279B">
        <w:rPr>
          <w:rFonts w:asciiTheme="minorBidi" w:hAnsiTheme="minorBidi" w:cstheme="minorBidi"/>
          <w:color w:val="000000" w:themeColor="text1"/>
          <w:sz w:val="22"/>
          <w:szCs w:val="22"/>
        </w:rPr>
        <w:t xml:space="preserve"> et al. 2019 recently published a huge volume of facts regarding self-treatment in hospitals and education, while others, including </w:t>
      </w:r>
      <w:proofErr w:type="spellStart"/>
      <w:r w:rsidRPr="0041279B">
        <w:rPr>
          <w:rFonts w:asciiTheme="minorBidi" w:hAnsiTheme="minorBidi" w:cstheme="minorBidi"/>
          <w:color w:val="000000" w:themeColor="text1"/>
          <w:sz w:val="22"/>
          <w:szCs w:val="22"/>
        </w:rPr>
        <w:t>Saif</w:t>
      </w:r>
      <w:proofErr w:type="spellEnd"/>
      <w:r w:rsidRPr="0041279B">
        <w:rPr>
          <w:rFonts w:asciiTheme="minorBidi" w:hAnsiTheme="minorBidi" w:cstheme="minorBidi"/>
          <w:color w:val="000000" w:themeColor="text1"/>
          <w:sz w:val="22"/>
          <w:szCs w:val="22"/>
        </w:rPr>
        <w:t xml:space="preserve"> et al. (2024) demonstrated improvements in knowledge after participants were educated about AMR. Finally, the studies by </w:t>
      </w:r>
      <w:proofErr w:type="spellStart"/>
      <w:r w:rsidRPr="0041279B">
        <w:rPr>
          <w:rFonts w:asciiTheme="minorBidi" w:hAnsiTheme="minorBidi" w:cstheme="minorBidi"/>
          <w:color w:val="000000" w:themeColor="text1"/>
          <w:sz w:val="22"/>
          <w:szCs w:val="22"/>
        </w:rPr>
        <w:t>Faizullah</w:t>
      </w:r>
      <w:proofErr w:type="spellEnd"/>
      <w:r w:rsidRPr="0041279B">
        <w:rPr>
          <w:rFonts w:asciiTheme="minorBidi" w:hAnsiTheme="minorBidi" w:cstheme="minorBidi"/>
          <w:color w:val="000000" w:themeColor="text1"/>
          <w:sz w:val="22"/>
          <w:szCs w:val="22"/>
        </w:rPr>
        <w:t xml:space="preserve"> and Ashraf supported the idea of good awareness level among practitioners and lack of rational prescribing practices because of their working conditions (</w:t>
      </w:r>
      <w:proofErr w:type="spellStart"/>
      <w:r w:rsidRPr="0041279B">
        <w:rPr>
          <w:rFonts w:asciiTheme="minorBidi" w:hAnsiTheme="minorBidi" w:cstheme="minorBidi"/>
          <w:color w:val="000000" w:themeColor="text1"/>
          <w:sz w:val="22"/>
          <w:szCs w:val="22"/>
        </w:rPr>
        <w:t>Faiz</w:t>
      </w:r>
      <w:proofErr w:type="spellEnd"/>
      <w:r w:rsidRPr="0041279B">
        <w:rPr>
          <w:rFonts w:asciiTheme="minorBidi" w:hAnsiTheme="minorBidi" w:cstheme="minorBidi"/>
          <w:color w:val="000000" w:themeColor="text1"/>
          <w:sz w:val="22"/>
          <w:szCs w:val="22"/>
        </w:rPr>
        <w:t xml:space="preserve"> et al., 2019, Ashraf et al., 2022).</w:t>
      </w:r>
    </w:p>
    <w:p w14:paraId="44A7CD23" w14:textId="77777777" w:rsidR="00D340EB" w:rsidRPr="0041279B" w:rsidRDefault="00D340EB" w:rsidP="001362A5">
      <w:pPr>
        <w:pStyle w:val="Heading2"/>
        <w:rPr>
          <w:rFonts w:asciiTheme="minorBidi" w:hAnsiTheme="minorBidi" w:cstheme="minorBidi"/>
          <w:b/>
          <w:bCs/>
          <w:i/>
          <w:iCs/>
          <w:color w:val="000000" w:themeColor="text1"/>
          <w:sz w:val="22"/>
          <w:szCs w:val="22"/>
        </w:rPr>
      </w:pPr>
      <w:bookmarkStart w:id="58" w:name="_Toc238647405"/>
      <w:r w:rsidRPr="0041279B">
        <w:rPr>
          <w:rFonts w:asciiTheme="minorBidi" w:hAnsiTheme="minorBidi" w:cstheme="minorBidi"/>
          <w:b/>
          <w:bCs/>
          <w:i/>
          <w:iCs/>
          <w:color w:val="000000" w:themeColor="text1"/>
          <w:sz w:val="22"/>
          <w:szCs w:val="22"/>
        </w:rPr>
        <w:t>4.4.2 Study Designs and Methodological Appropriateness</w:t>
      </w:r>
      <w:bookmarkEnd w:id="58"/>
    </w:p>
    <w:p w14:paraId="747597EB"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The facts about quantitative and mixed-method research designs being effective tools to conduct public health studies have been known for quite some time because they provide information on how </w:t>
      </w:r>
      <w:r w:rsidRPr="0041279B">
        <w:rPr>
          <w:rFonts w:asciiTheme="minorBidi" w:hAnsiTheme="minorBidi" w:cstheme="minorBidi"/>
          <w:color w:val="000000" w:themeColor="text1"/>
          <w:sz w:val="22"/>
          <w:szCs w:val="22"/>
        </w:rPr>
        <w:lastRenderedPageBreak/>
        <w:t xml:space="preserve">common certain outcomes are and how complicated behaviors function in their own environment. The scope of this review shows that the choice of analytical cross-sectional design and mixed-methods approach was reasonable when it came to evaluating how social determinants such as education, SE status, occupation, regulation, and demand for services influence antibiotic behavior in Pakistan. The cross-sectional and mixed-methods research conducted by Khan et al. (2021), </w:t>
      </w:r>
      <w:proofErr w:type="spellStart"/>
      <w:r w:rsidRPr="0041279B">
        <w:rPr>
          <w:rFonts w:asciiTheme="minorBidi" w:hAnsiTheme="minorBidi" w:cstheme="minorBidi"/>
          <w:color w:val="000000" w:themeColor="text1"/>
          <w:sz w:val="22"/>
          <w:szCs w:val="22"/>
        </w:rPr>
        <w:t>Nabeel</w:t>
      </w:r>
      <w:proofErr w:type="spellEnd"/>
      <w:r w:rsidRPr="0041279B">
        <w:rPr>
          <w:rFonts w:asciiTheme="minorBidi" w:hAnsiTheme="minorBidi" w:cstheme="minorBidi"/>
          <w:color w:val="000000" w:themeColor="text1"/>
          <w:sz w:val="22"/>
          <w:szCs w:val="22"/>
        </w:rPr>
        <w:t xml:space="preserve"> et al. (2024), </w:t>
      </w:r>
      <w:proofErr w:type="spellStart"/>
      <w:r w:rsidRPr="0041279B">
        <w:rPr>
          <w:rFonts w:asciiTheme="minorBidi" w:hAnsiTheme="minorBidi" w:cstheme="minorBidi"/>
          <w:color w:val="000000" w:themeColor="text1"/>
          <w:sz w:val="22"/>
          <w:szCs w:val="22"/>
        </w:rPr>
        <w:t>Faizullah</w:t>
      </w:r>
      <w:proofErr w:type="spellEnd"/>
      <w:r w:rsidRPr="0041279B">
        <w:rPr>
          <w:rFonts w:asciiTheme="minorBidi" w:hAnsiTheme="minorBidi" w:cstheme="minorBidi"/>
          <w:color w:val="000000" w:themeColor="text1"/>
          <w:sz w:val="22"/>
          <w:szCs w:val="22"/>
        </w:rPr>
        <w:t xml:space="preserve"> et al. (2017), Ashraf et al. (2022), </w:t>
      </w:r>
      <w:proofErr w:type="spellStart"/>
      <w:r w:rsidRPr="0041279B">
        <w:rPr>
          <w:rFonts w:asciiTheme="minorBidi" w:hAnsiTheme="minorBidi" w:cstheme="minorBidi"/>
          <w:color w:val="000000" w:themeColor="text1"/>
          <w:sz w:val="22"/>
          <w:szCs w:val="22"/>
        </w:rPr>
        <w:t>Shahid</w:t>
      </w:r>
      <w:proofErr w:type="spellEnd"/>
      <w:r w:rsidRPr="0041279B">
        <w:rPr>
          <w:rFonts w:asciiTheme="minorBidi" w:hAnsiTheme="minorBidi" w:cstheme="minorBidi"/>
          <w:color w:val="000000" w:themeColor="text1"/>
          <w:sz w:val="22"/>
          <w:szCs w:val="22"/>
        </w:rPr>
        <w:t xml:space="preserve"> et al. (2025), </w:t>
      </w:r>
      <w:proofErr w:type="spellStart"/>
      <w:r w:rsidRPr="0041279B">
        <w:rPr>
          <w:rFonts w:asciiTheme="minorBidi" w:hAnsiTheme="minorBidi" w:cstheme="minorBidi"/>
          <w:color w:val="000000" w:themeColor="text1"/>
          <w:sz w:val="22"/>
          <w:szCs w:val="22"/>
        </w:rPr>
        <w:t>Waseem</w:t>
      </w:r>
      <w:proofErr w:type="spellEnd"/>
      <w:r w:rsidRPr="0041279B">
        <w:rPr>
          <w:rFonts w:asciiTheme="minorBidi" w:hAnsiTheme="minorBidi" w:cstheme="minorBidi"/>
          <w:color w:val="000000" w:themeColor="text1"/>
          <w:sz w:val="22"/>
          <w:szCs w:val="22"/>
        </w:rPr>
        <w:t xml:space="preserve"> et al. (2019), and </w:t>
      </w:r>
      <w:proofErr w:type="spellStart"/>
      <w:r w:rsidRPr="0041279B">
        <w:rPr>
          <w:rFonts w:asciiTheme="minorBidi" w:hAnsiTheme="minorBidi" w:cstheme="minorBidi"/>
          <w:color w:val="000000" w:themeColor="text1"/>
          <w:sz w:val="22"/>
          <w:szCs w:val="22"/>
        </w:rPr>
        <w:t>Saif</w:t>
      </w:r>
      <w:proofErr w:type="spellEnd"/>
      <w:r w:rsidRPr="0041279B">
        <w:rPr>
          <w:rFonts w:asciiTheme="minorBidi" w:hAnsiTheme="minorBidi" w:cstheme="minorBidi"/>
          <w:color w:val="000000" w:themeColor="text1"/>
          <w:sz w:val="22"/>
          <w:szCs w:val="22"/>
        </w:rPr>
        <w:t xml:space="preserve"> et al. (2024) helped to achieve the needed flexibility in carrying out the evaluation of prevalence, analyzing the connections between variables, and understanding how behaviors function among various groups of medical workers and society.</w:t>
      </w:r>
    </w:p>
    <w:p w14:paraId="5E521B43"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With reference to JBI examined criteria applicable for cross-sectional studies, as shown in the case of research conducted by </w:t>
      </w:r>
      <w:proofErr w:type="spellStart"/>
      <w:r w:rsidRPr="0041279B">
        <w:rPr>
          <w:rFonts w:asciiTheme="minorBidi" w:hAnsiTheme="minorBidi" w:cstheme="minorBidi"/>
          <w:color w:val="000000" w:themeColor="text1"/>
          <w:sz w:val="22"/>
          <w:szCs w:val="22"/>
        </w:rPr>
        <w:t>Nabeel</w:t>
      </w:r>
      <w:proofErr w:type="spellEnd"/>
      <w:r w:rsidRPr="0041279B">
        <w:rPr>
          <w:rFonts w:asciiTheme="minorBidi" w:hAnsiTheme="minorBidi" w:cstheme="minorBidi"/>
          <w:color w:val="000000" w:themeColor="text1"/>
          <w:sz w:val="22"/>
          <w:szCs w:val="22"/>
        </w:rPr>
        <w:t xml:space="preserve"> et al. (2024), </w:t>
      </w:r>
      <w:proofErr w:type="spellStart"/>
      <w:r w:rsidRPr="0041279B">
        <w:rPr>
          <w:rFonts w:asciiTheme="minorBidi" w:hAnsiTheme="minorBidi" w:cstheme="minorBidi"/>
          <w:color w:val="000000" w:themeColor="text1"/>
          <w:sz w:val="22"/>
          <w:szCs w:val="22"/>
        </w:rPr>
        <w:t>Faizullah</w:t>
      </w:r>
      <w:proofErr w:type="spellEnd"/>
      <w:r w:rsidRPr="0041279B">
        <w:rPr>
          <w:rFonts w:asciiTheme="minorBidi" w:hAnsiTheme="minorBidi" w:cstheme="minorBidi"/>
          <w:color w:val="000000" w:themeColor="text1"/>
          <w:sz w:val="22"/>
          <w:szCs w:val="22"/>
        </w:rPr>
        <w:t xml:space="preserve"> et al. (2017), Ashraf et al. (2022), </w:t>
      </w:r>
      <w:proofErr w:type="spellStart"/>
      <w:r w:rsidRPr="0041279B">
        <w:rPr>
          <w:rFonts w:asciiTheme="minorBidi" w:hAnsiTheme="minorBidi" w:cstheme="minorBidi"/>
          <w:color w:val="000000" w:themeColor="text1"/>
          <w:sz w:val="22"/>
          <w:szCs w:val="22"/>
        </w:rPr>
        <w:t>Waseem</w:t>
      </w:r>
      <w:proofErr w:type="spellEnd"/>
      <w:r w:rsidRPr="0041279B">
        <w:rPr>
          <w:rFonts w:asciiTheme="minorBidi" w:hAnsiTheme="minorBidi" w:cstheme="minorBidi"/>
          <w:color w:val="000000" w:themeColor="text1"/>
          <w:sz w:val="22"/>
          <w:szCs w:val="22"/>
        </w:rPr>
        <w:t xml:space="preserve"> et al. (2019), and </w:t>
      </w:r>
      <w:proofErr w:type="spellStart"/>
      <w:r w:rsidRPr="0041279B">
        <w:rPr>
          <w:rFonts w:asciiTheme="minorBidi" w:hAnsiTheme="minorBidi" w:cstheme="minorBidi"/>
          <w:color w:val="000000" w:themeColor="text1"/>
          <w:sz w:val="22"/>
          <w:szCs w:val="22"/>
        </w:rPr>
        <w:t>Saif</w:t>
      </w:r>
      <w:proofErr w:type="spellEnd"/>
      <w:r w:rsidRPr="0041279B">
        <w:rPr>
          <w:rFonts w:asciiTheme="minorBidi" w:hAnsiTheme="minorBidi" w:cstheme="minorBidi"/>
          <w:color w:val="000000" w:themeColor="text1"/>
          <w:sz w:val="22"/>
          <w:szCs w:val="22"/>
        </w:rPr>
        <w:t xml:space="preserve"> et al. (2024), all follow proper methodology as per the standard mentioned (conveniently define the study population, use tested survey tool instruments and use correct statistical methods in order to come at some conclusions related to the general population). Meanwhile, the use of MMAT criteria to mixed-methods research by Khan et al. (2021) and </w:t>
      </w:r>
      <w:proofErr w:type="spellStart"/>
      <w:r w:rsidRPr="0041279B">
        <w:rPr>
          <w:rFonts w:asciiTheme="minorBidi" w:hAnsiTheme="minorBidi" w:cstheme="minorBidi"/>
          <w:color w:val="000000" w:themeColor="text1"/>
          <w:sz w:val="22"/>
          <w:szCs w:val="22"/>
        </w:rPr>
        <w:t>Shahid</w:t>
      </w:r>
      <w:proofErr w:type="spellEnd"/>
      <w:r w:rsidRPr="0041279B">
        <w:rPr>
          <w:rFonts w:asciiTheme="minorBidi" w:hAnsiTheme="minorBidi" w:cstheme="minorBidi"/>
          <w:color w:val="000000" w:themeColor="text1"/>
          <w:sz w:val="22"/>
          <w:szCs w:val="22"/>
        </w:rPr>
        <w:t xml:space="preserve"> et al. (2025) also shows that mixing quantitative research with qualitative interviews or focus groups provide a better methodology for understanding the disparities between theory and practice. In this case, quantitative measures of the studies point at the high level of general level of AMR understanding while qualitative components reveal the systemic barriers that include profit motives, lack of proper diagnosis and patient non-adherence. Therefore, both the above-mentioned JBI-validity checked studies as well as MMAT-validity checked mixed methods studies can provide us with the methodologically appropriate data sufficient for high-level thematic synthesis of the given issue.</w:t>
      </w:r>
    </w:p>
    <w:p w14:paraId="0EECD427" w14:textId="5C56B388" w:rsidR="00D340EB" w:rsidRPr="0041279B" w:rsidRDefault="00FA13DA" w:rsidP="001362A5">
      <w:pPr>
        <w:pStyle w:val="Heading2"/>
        <w:rPr>
          <w:rFonts w:asciiTheme="minorBidi" w:hAnsiTheme="minorBidi" w:cstheme="minorBidi"/>
          <w:b/>
          <w:bCs/>
          <w:i/>
          <w:iCs/>
          <w:color w:val="000000" w:themeColor="text1"/>
          <w:sz w:val="22"/>
          <w:szCs w:val="22"/>
        </w:rPr>
      </w:pPr>
      <w:bookmarkStart w:id="59" w:name="_Toc238647406"/>
      <w:r>
        <w:rPr>
          <w:rFonts w:asciiTheme="minorBidi" w:hAnsiTheme="minorBidi" w:cstheme="minorBidi"/>
          <w:b/>
          <w:bCs/>
          <w:i/>
          <w:iCs/>
          <w:color w:val="000000" w:themeColor="text1"/>
          <w:sz w:val="22"/>
          <w:szCs w:val="22"/>
        </w:rPr>
        <w:t xml:space="preserve">4.4.3 </w:t>
      </w:r>
      <w:r w:rsidR="00D340EB" w:rsidRPr="0041279B">
        <w:rPr>
          <w:rFonts w:asciiTheme="minorBidi" w:hAnsiTheme="minorBidi" w:cstheme="minorBidi"/>
          <w:b/>
          <w:bCs/>
          <w:i/>
          <w:iCs/>
          <w:color w:val="000000" w:themeColor="text1"/>
          <w:sz w:val="22"/>
          <w:szCs w:val="22"/>
        </w:rPr>
        <w:t>Critical Evaluation of Article 1: Khan et al. (2021)</w:t>
      </w:r>
      <w:bookmarkEnd w:id="59"/>
    </w:p>
    <w:p w14:paraId="2E93847B"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In a mixed-methods study, Khan et al. (2021) looked at KAP regarding AMR among 180 community pharmacists in Pakistan. Although their educational attainment was relatively high, 51.1% admitted dispensing antibiotics over the counter to satisfy the customers' needs. On the other hand, 48.9% mentioned gain as their main reason for this practice. These results are in line with previous studies which have shown that social and economic pressures influence the dispensing of antibiotics. Acharya and fellows studied Nepalese pharmacies and came to the same conclusion, suggesting that the outcome in Pakistan is in line with the situation across South Asia as customer expectations and economic stimuli are also important drivers of antibiotic dispensing in Nepal (Acharya et al.</w:t>
      </w:r>
      <w:proofErr w:type="gramStart"/>
      <w:r w:rsidRPr="0041279B">
        <w:rPr>
          <w:rFonts w:asciiTheme="minorBidi" w:hAnsiTheme="minorBidi" w:cstheme="minorBidi"/>
          <w:color w:val="000000" w:themeColor="text1"/>
          <w:sz w:val="22"/>
          <w:szCs w:val="22"/>
        </w:rPr>
        <w:t>,2021</w:t>
      </w:r>
      <w:proofErr w:type="gramEnd"/>
      <w:r w:rsidRPr="0041279B">
        <w:rPr>
          <w:rFonts w:asciiTheme="minorBidi" w:hAnsiTheme="minorBidi" w:cstheme="minorBidi"/>
          <w:color w:val="000000" w:themeColor="text1"/>
          <w:sz w:val="22"/>
          <w:szCs w:val="22"/>
        </w:rPr>
        <w:t xml:space="preserve">). Moreover, Chan et al. (2022) conducted a cross-national survey among pharmacists and discovered that opinions and practices related to AMR and antibiotics dispensing vary a lot, revealing </w:t>
      </w:r>
      <w:r w:rsidRPr="0041279B">
        <w:rPr>
          <w:rFonts w:asciiTheme="minorBidi" w:hAnsiTheme="minorBidi" w:cstheme="minorBidi"/>
          <w:color w:val="000000" w:themeColor="text1"/>
          <w:sz w:val="22"/>
          <w:szCs w:val="22"/>
        </w:rPr>
        <w:lastRenderedPageBreak/>
        <w:t>the influence of customer demand and professional pressure (Chan et al., 2022). Overall, these quantitative findings show that improving pharmacists' knowledge only may not be enough to solve the problem.</w:t>
      </w:r>
    </w:p>
    <w:p w14:paraId="6C4E31E1" w14:textId="59AD3F73" w:rsidR="00D340EB" w:rsidRPr="0041279B" w:rsidRDefault="00FA13DA" w:rsidP="001362A5">
      <w:pPr>
        <w:pStyle w:val="Heading2"/>
        <w:rPr>
          <w:rFonts w:asciiTheme="minorBidi" w:hAnsiTheme="minorBidi" w:cstheme="minorBidi"/>
          <w:b/>
          <w:bCs/>
          <w:i/>
          <w:iCs/>
          <w:color w:val="000000" w:themeColor="text1"/>
          <w:sz w:val="22"/>
          <w:szCs w:val="22"/>
        </w:rPr>
      </w:pPr>
      <w:bookmarkStart w:id="60" w:name="_Toc238647407"/>
      <w:r>
        <w:rPr>
          <w:rFonts w:asciiTheme="minorBidi" w:hAnsiTheme="minorBidi" w:cstheme="minorBidi"/>
          <w:b/>
          <w:bCs/>
          <w:i/>
          <w:iCs/>
          <w:color w:val="000000" w:themeColor="text1"/>
          <w:sz w:val="22"/>
          <w:szCs w:val="22"/>
        </w:rPr>
        <w:t xml:space="preserve">4.4.4 </w:t>
      </w:r>
      <w:r w:rsidR="00D340EB" w:rsidRPr="0041279B">
        <w:rPr>
          <w:rFonts w:asciiTheme="minorBidi" w:hAnsiTheme="minorBidi" w:cstheme="minorBidi"/>
          <w:b/>
          <w:bCs/>
          <w:i/>
          <w:iCs/>
          <w:color w:val="000000" w:themeColor="text1"/>
          <w:sz w:val="22"/>
          <w:szCs w:val="22"/>
        </w:rPr>
        <w:t xml:space="preserve">Critical Evaluation of Article 2: </w:t>
      </w:r>
      <w:proofErr w:type="spellStart"/>
      <w:r w:rsidR="00D340EB" w:rsidRPr="0041279B">
        <w:rPr>
          <w:rFonts w:asciiTheme="minorBidi" w:hAnsiTheme="minorBidi" w:cstheme="minorBidi"/>
          <w:b/>
          <w:bCs/>
          <w:i/>
          <w:iCs/>
          <w:color w:val="000000" w:themeColor="text1"/>
          <w:sz w:val="22"/>
          <w:szCs w:val="22"/>
        </w:rPr>
        <w:t>Nabeel</w:t>
      </w:r>
      <w:proofErr w:type="spellEnd"/>
      <w:r w:rsidR="00D340EB" w:rsidRPr="0041279B">
        <w:rPr>
          <w:rFonts w:asciiTheme="minorBidi" w:hAnsiTheme="minorBidi" w:cstheme="minorBidi"/>
          <w:b/>
          <w:bCs/>
          <w:i/>
          <w:iCs/>
          <w:color w:val="000000" w:themeColor="text1"/>
          <w:sz w:val="22"/>
          <w:szCs w:val="22"/>
        </w:rPr>
        <w:t xml:space="preserve"> et al. (2024)</w:t>
      </w:r>
      <w:bookmarkEnd w:id="60"/>
    </w:p>
    <w:p w14:paraId="0EDC84B8"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proofErr w:type="spellStart"/>
      <w:r w:rsidRPr="0041279B">
        <w:rPr>
          <w:rFonts w:asciiTheme="minorBidi" w:hAnsiTheme="minorBidi" w:cstheme="minorBidi"/>
          <w:color w:val="000000" w:themeColor="text1"/>
          <w:sz w:val="22"/>
          <w:szCs w:val="22"/>
        </w:rPr>
        <w:t>Nabeel</w:t>
      </w:r>
      <w:proofErr w:type="spellEnd"/>
      <w:r w:rsidRPr="0041279B">
        <w:rPr>
          <w:rFonts w:asciiTheme="minorBidi" w:hAnsiTheme="minorBidi" w:cstheme="minorBidi"/>
          <w:color w:val="000000" w:themeColor="text1"/>
          <w:sz w:val="22"/>
          <w:szCs w:val="22"/>
        </w:rPr>
        <w:t xml:space="preserve"> et al. (2024) reported important knowledge-practice gaps among community pharmacists in Lahore. The study established that, despite adequate knowledge and positive attitudes regarding antimicrobial stewardship, 75.2% of pharmacists labeled patients' unwillingness to go to doctors for minor infections as a major factor behind the practice of dispensing antibiotics without prescriptions.</w:t>
      </w:r>
    </w:p>
    <w:p w14:paraId="3CDC439C"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This finding is in line with the investigations of Li et al. (2023), whose analysis of data from 162 studies conducted in 52 countries pointed to an estimated global level of non-prescription antibiotic dispensing of 63.4%, with patient demand, financial incentives, and weak regulations being the major contributors to the situation (Li et al., 2023). Furthermore, </w:t>
      </w:r>
      <w:proofErr w:type="spellStart"/>
      <w:r w:rsidRPr="0041279B">
        <w:rPr>
          <w:rFonts w:asciiTheme="minorBidi" w:hAnsiTheme="minorBidi" w:cstheme="minorBidi"/>
          <w:color w:val="000000" w:themeColor="text1"/>
          <w:sz w:val="22"/>
          <w:szCs w:val="22"/>
        </w:rPr>
        <w:t>Qudah</w:t>
      </w:r>
      <w:proofErr w:type="spellEnd"/>
      <w:r w:rsidRPr="0041279B">
        <w:rPr>
          <w:rFonts w:asciiTheme="minorBidi" w:hAnsiTheme="minorBidi" w:cstheme="minorBidi"/>
          <w:color w:val="000000" w:themeColor="text1"/>
          <w:sz w:val="22"/>
          <w:szCs w:val="22"/>
        </w:rPr>
        <w:t xml:space="preserve"> et al. (2024) found out that 88% of pharmacists in the United Arab Emirates knew that dispensing antibiotics without a prescription was illegal (</w:t>
      </w:r>
      <w:proofErr w:type="spellStart"/>
      <w:r w:rsidRPr="0041279B">
        <w:rPr>
          <w:rFonts w:asciiTheme="minorBidi" w:hAnsiTheme="minorBidi" w:cstheme="minorBidi"/>
          <w:color w:val="000000" w:themeColor="text1"/>
          <w:sz w:val="22"/>
          <w:szCs w:val="22"/>
        </w:rPr>
        <w:t>Qudah</w:t>
      </w:r>
      <w:proofErr w:type="spellEnd"/>
      <w:r w:rsidRPr="0041279B">
        <w:rPr>
          <w:rFonts w:asciiTheme="minorBidi" w:hAnsiTheme="minorBidi" w:cstheme="minorBidi"/>
          <w:color w:val="000000" w:themeColor="text1"/>
          <w:sz w:val="22"/>
          <w:szCs w:val="22"/>
        </w:rPr>
        <w:t xml:space="preserve"> et al., 2024).</w:t>
      </w:r>
    </w:p>
    <w:p w14:paraId="691A9D6C" w14:textId="6898703D" w:rsidR="00D340EB" w:rsidRPr="0041279B" w:rsidRDefault="00FA13DA" w:rsidP="001362A5">
      <w:pPr>
        <w:pStyle w:val="Heading2"/>
        <w:rPr>
          <w:rFonts w:asciiTheme="minorBidi" w:hAnsiTheme="minorBidi" w:cstheme="minorBidi"/>
          <w:b/>
          <w:bCs/>
          <w:i/>
          <w:iCs/>
          <w:color w:val="000000" w:themeColor="text1"/>
          <w:sz w:val="22"/>
          <w:szCs w:val="22"/>
        </w:rPr>
      </w:pPr>
      <w:bookmarkStart w:id="61" w:name="_Toc238647408"/>
      <w:r>
        <w:rPr>
          <w:rFonts w:asciiTheme="minorBidi" w:hAnsiTheme="minorBidi" w:cstheme="minorBidi"/>
          <w:b/>
          <w:bCs/>
          <w:i/>
          <w:iCs/>
          <w:color w:val="000000" w:themeColor="text1"/>
          <w:sz w:val="22"/>
          <w:szCs w:val="22"/>
        </w:rPr>
        <w:t xml:space="preserve">4.4.5 </w:t>
      </w:r>
      <w:r w:rsidR="00D340EB" w:rsidRPr="0041279B">
        <w:rPr>
          <w:rFonts w:asciiTheme="minorBidi" w:hAnsiTheme="minorBidi" w:cstheme="minorBidi"/>
          <w:b/>
          <w:bCs/>
          <w:i/>
          <w:iCs/>
          <w:color w:val="000000" w:themeColor="text1"/>
          <w:sz w:val="22"/>
          <w:szCs w:val="22"/>
        </w:rPr>
        <w:t xml:space="preserve">Critical Evaluation of Article 3: </w:t>
      </w:r>
      <w:proofErr w:type="spellStart"/>
      <w:r w:rsidR="00D340EB" w:rsidRPr="0041279B">
        <w:rPr>
          <w:rFonts w:asciiTheme="minorBidi" w:hAnsiTheme="minorBidi" w:cstheme="minorBidi"/>
          <w:b/>
          <w:bCs/>
          <w:i/>
          <w:iCs/>
          <w:color w:val="000000" w:themeColor="text1"/>
          <w:sz w:val="22"/>
          <w:szCs w:val="22"/>
        </w:rPr>
        <w:t>Shahid</w:t>
      </w:r>
      <w:proofErr w:type="spellEnd"/>
      <w:r w:rsidR="00D340EB" w:rsidRPr="0041279B">
        <w:rPr>
          <w:rFonts w:asciiTheme="minorBidi" w:hAnsiTheme="minorBidi" w:cstheme="minorBidi"/>
          <w:b/>
          <w:bCs/>
          <w:i/>
          <w:iCs/>
          <w:color w:val="000000" w:themeColor="text1"/>
          <w:sz w:val="22"/>
          <w:szCs w:val="22"/>
        </w:rPr>
        <w:t xml:space="preserve"> et al. (2025).</w:t>
      </w:r>
      <w:bookmarkEnd w:id="61"/>
    </w:p>
    <w:p w14:paraId="3D162BB3"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proofErr w:type="spellStart"/>
      <w:r w:rsidRPr="0041279B">
        <w:rPr>
          <w:rFonts w:asciiTheme="minorBidi" w:hAnsiTheme="minorBidi" w:cstheme="minorBidi"/>
          <w:color w:val="000000" w:themeColor="text1"/>
          <w:sz w:val="22"/>
          <w:szCs w:val="22"/>
        </w:rPr>
        <w:t>Shahid</w:t>
      </w:r>
      <w:proofErr w:type="spellEnd"/>
      <w:r w:rsidRPr="0041279B">
        <w:rPr>
          <w:rFonts w:asciiTheme="minorBidi" w:hAnsiTheme="minorBidi" w:cstheme="minorBidi"/>
          <w:color w:val="000000" w:themeColor="text1"/>
          <w:sz w:val="22"/>
          <w:szCs w:val="22"/>
        </w:rPr>
        <w:t xml:space="preserve"> et al. (2025) conducted a comprehensive mixed-method study on the KAP of 325 healthcare professionals in Pakistan. The researchers identified a wide discrepancy between knowledge and application of professionalism principles since 55.5% of respondents showed low knowledge and only 48.3% reported negative clinical use of precision medicine and antimicrobial stewardship. </w:t>
      </w:r>
      <w:proofErr w:type="spellStart"/>
      <w:r w:rsidRPr="0041279B">
        <w:rPr>
          <w:rFonts w:asciiTheme="minorBidi" w:hAnsiTheme="minorBidi" w:cstheme="minorBidi"/>
          <w:color w:val="000000" w:themeColor="text1"/>
          <w:sz w:val="22"/>
          <w:szCs w:val="22"/>
        </w:rPr>
        <w:t>Muro</w:t>
      </w:r>
      <w:proofErr w:type="spellEnd"/>
      <w:r w:rsidRPr="0041279B">
        <w:rPr>
          <w:rFonts w:asciiTheme="minorBidi" w:hAnsiTheme="minorBidi" w:cstheme="minorBidi"/>
          <w:color w:val="000000" w:themeColor="text1"/>
          <w:sz w:val="22"/>
          <w:szCs w:val="22"/>
        </w:rPr>
        <w:t xml:space="preserve"> et al. (2022) researched the diagnostic stewardship in different healthcare settings globally. Their research on "diagnostic inertia" showed that the not making use of rapid diagnostic tests when they are available is a major issue in poor countries due to high cost and lack of training (</w:t>
      </w:r>
      <w:proofErr w:type="spellStart"/>
      <w:r w:rsidRPr="0041279B">
        <w:rPr>
          <w:rFonts w:asciiTheme="minorBidi" w:hAnsiTheme="minorBidi" w:cstheme="minorBidi"/>
          <w:color w:val="000000" w:themeColor="text1"/>
          <w:sz w:val="22"/>
          <w:szCs w:val="22"/>
        </w:rPr>
        <w:t>Muro</w:t>
      </w:r>
      <w:proofErr w:type="spellEnd"/>
      <w:r w:rsidRPr="0041279B">
        <w:rPr>
          <w:rFonts w:asciiTheme="minorBidi" w:hAnsiTheme="minorBidi" w:cstheme="minorBidi"/>
          <w:color w:val="000000" w:themeColor="text1"/>
          <w:sz w:val="22"/>
          <w:szCs w:val="22"/>
        </w:rPr>
        <w:t xml:space="preserve"> et al.</w:t>
      </w:r>
      <w:proofErr w:type="gramStart"/>
      <w:r w:rsidRPr="0041279B">
        <w:rPr>
          <w:rFonts w:asciiTheme="minorBidi" w:hAnsiTheme="minorBidi" w:cstheme="minorBidi"/>
          <w:color w:val="000000" w:themeColor="text1"/>
          <w:sz w:val="22"/>
          <w:szCs w:val="22"/>
        </w:rPr>
        <w:t>,2022</w:t>
      </w:r>
      <w:proofErr w:type="gramEnd"/>
      <w:r w:rsidRPr="0041279B">
        <w:rPr>
          <w:rFonts w:asciiTheme="minorBidi" w:hAnsiTheme="minorBidi" w:cstheme="minorBidi"/>
          <w:color w:val="000000" w:themeColor="text1"/>
          <w:sz w:val="22"/>
          <w:szCs w:val="22"/>
        </w:rPr>
        <w:t xml:space="preserve">). By applying the findings from the </w:t>
      </w:r>
      <w:proofErr w:type="spellStart"/>
      <w:r w:rsidRPr="0041279B">
        <w:rPr>
          <w:rFonts w:asciiTheme="minorBidi" w:hAnsiTheme="minorBidi" w:cstheme="minorBidi"/>
          <w:color w:val="000000" w:themeColor="text1"/>
          <w:sz w:val="22"/>
          <w:szCs w:val="22"/>
        </w:rPr>
        <w:t>Muro</w:t>
      </w:r>
      <w:proofErr w:type="spellEnd"/>
      <w:r w:rsidRPr="0041279B">
        <w:rPr>
          <w:rFonts w:asciiTheme="minorBidi" w:hAnsiTheme="minorBidi" w:cstheme="minorBidi"/>
          <w:color w:val="000000" w:themeColor="text1"/>
          <w:sz w:val="22"/>
          <w:szCs w:val="22"/>
        </w:rPr>
        <w:t xml:space="preserve"> et al. (2022) study to the findings of </w:t>
      </w:r>
      <w:proofErr w:type="spellStart"/>
      <w:r w:rsidRPr="0041279B">
        <w:rPr>
          <w:rFonts w:asciiTheme="minorBidi" w:hAnsiTheme="minorBidi" w:cstheme="minorBidi"/>
          <w:color w:val="000000" w:themeColor="text1"/>
          <w:sz w:val="22"/>
          <w:szCs w:val="22"/>
        </w:rPr>
        <w:t>Shahid</w:t>
      </w:r>
      <w:proofErr w:type="spellEnd"/>
      <w:r w:rsidRPr="0041279B">
        <w:rPr>
          <w:rFonts w:asciiTheme="minorBidi" w:hAnsiTheme="minorBidi" w:cstheme="minorBidi"/>
          <w:color w:val="000000" w:themeColor="text1"/>
          <w:sz w:val="22"/>
          <w:szCs w:val="22"/>
        </w:rPr>
        <w:t xml:space="preserve"> et al. (2025), one can say that the issues present in the clinical practice in Pakistan are of general nature rather than individual.</w:t>
      </w:r>
    </w:p>
    <w:p w14:paraId="16974859" w14:textId="3ACA0467" w:rsidR="00D340EB" w:rsidRPr="0041279B" w:rsidRDefault="00FA13DA" w:rsidP="001362A5">
      <w:pPr>
        <w:pStyle w:val="Heading2"/>
        <w:rPr>
          <w:rFonts w:asciiTheme="minorBidi" w:hAnsiTheme="minorBidi" w:cstheme="minorBidi"/>
          <w:b/>
          <w:bCs/>
          <w:i/>
          <w:iCs/>
          <w:color w:val="000000" w:themeColor="text1"/>
          <w:sz w:val="22"/>
          <w:szCs w:val="22"/>
        </w:rPr>
      </w:pPr>
      <w:bookmarkStart w:id="62" w:name="_Toc238647409"/>
      <w:r>
        <w:rPr>
          <w:rFonts w:asciiTheme="minorBidi" w:hAnsiTheme="minorBidi" w:cstheme="minorBidi"/>
          <w:b/>
          <w:bCs/>
          <w:i/>
          <w:iCs/>
          <w:color w:val="000000" w:themeColor="text1"/>
          <w:sz w:val="22"/>
          <w:szCs w:val="22"/>
        </w:rPr>
        <w:t xml:space="preserve">4.4.6 </w:t>
      </w:r>
      <w:r w:rsidR="00D340EB" w:rsidRPr="0041279B">
        <w:rPr>
          <w:rFonts w:asciiTheme="minorBidi" w:hAnsiTheme="minorBidi" w:cstheme="minorBidi"/>
          <w:b/>
          <w:bCs/>
          <w:i/>
          <w:iCs/>
          <w:color w:val="000000" w:themeColor="text1"/>
          <w:sz w:val="22"/>
          <w:szCs w:val="22"/>
        </w:rPr>
        <w:t xml:space="preserve">Critical Evaluation of Article 4: </w:t>
      </w:r>
      <w:proofErr w:type="spellStart"/>
      <w:r w:rsidR="00D340EB" w:rsidRPr="0041279B">
        <w:rPr>
          <w:rFonts w:asciiTheme="minorBidi" w:hAnsiTheme="minorBidi" w:cstheme="minorBidi"/>
          <w:b/>
          <w:bCs/>
          <w:i/>
          <w:iCs/>
          <w:color w:val="000000" w:themeColor="text1"/>
          <w:sz w:val="22"/>
          <w:szCs w:val="22"/>
        </w:rPr>
        <w:t>Waseem</w:t>
      </w:r>
      <w:proofErr w:type="spellEnd"/>
      <w:r w:rsidR="00D340EB" w:rsidRPr="0041279B">
        <w:rPr>
          <w:rFonts w:asciiTheme="minorBidi" w:hAnsiTheme="minorBidi" w:cstheme="minorBidi"/>
          <w:b/>
          <w:bCs/>
          <w:i/>
          <w:iCs/>
          <w:color w:val="000000" w:themeColor="text1"/>
          <w:sz w:val="22"/>
          <w:szCs w:val="22"/>
        </w:rPr>
        <w:t xml:space="preserve"> et al. (2019).</w:t>
      </w:r>
      <w:bookmarkEnd w:id="62"/>
    </w:p>
    <w:p w14:paraId="44BF3B66"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In their research, </w:t>
      </w:r>
      <w:proofErr w:type="spellStart"/>
      <w:r w:rsidRPr="0041279B">
        <w:rPr>
          <w:rFonts w:asciiTheme="minorBidi" w:hAnsiTheme="minorBidi" w:cstheme="minorBidi"/>
          <w:color w:val="000000" w:themeColor="text1"/>
          <w:sz w:val="22"/>
          <w:szCs w:val="22"/>
        </w:rPr>
        <w:t>Waseem</w:t>
      </w:r>
      <w:proofErr w:type="spellEnd"/>
      <w:r w:rsidRPr="0041279B">
        <w:rPr>
          <w:rFonts w:asciiTheme="minorBidi" w:hAnsiTheme="minorBidi" w:cstheme="minorBidi"/>
          <w:color w:val="000000" w:themeColor="text1"/>
          <w:sz w:val="22"/>
          <w:szCs w:val="22"/>
        </w:rPr>
        <w:t xml:space="preserve"> et al. (2019) found huge lapses in the awareness of AMR in Sialkot as 55.6% of the community participants showed inadequate knowledge, only 36.9% of the doctors being familiar with the environmental transmission, and 90.6% of pharmacy stores operating without any qualified pharmacist. This finding agrees with the previous international research findings confirming that low level of awareness and poor implementation of the stewardship measures is the main obstacle in combating AMR. According to Hawkins et al. (2022), example of Australia, the UK and Sweden demonstrate low levels of knowledge, attitudes and </w:t>
      </w:r>
      <w:proofErr w:type="spellStart"/>
      <w:r w:rsidRPr="0041279B">
        <w:rPr>
          <w:rFonts w:asciiTheme="minorBidi" w:hAnsiTheme="minorBidi" w:cstheme="minorBidi"/>
          <w:color w:val="000000" w:themeColor="text1"/>
          <w:sz w:val="22"/>
          <w:szCs w:val="22"/>
        </w:rPr>
        <w:t>behaviour</w:t>
      </w:r>
      <w:proofErr w:type="spellEnd"/>
      <w:r w:rsidRPr="0041279B">
        <w:rPr>
          <w:rFonts w:asciiTheme="minorBidi" w:hAnsiTheme="minorBidi" w:cstheme="minorBidi"/>
          <w:color w:val="000000" w:themeColor="text1"/>
          <w:sz w:val="22"/>
          <w:szCs w:val="22"/>
        </w:rPr>
        <w:t xml:space="preserve"> in relation to antibiotics in </w:t>
      </w:r>
      <w:r w:rsidRPr="0041279B">
        <w:rPr>
          <w:rFonts w:asciiTheme="minorBidi" w:hAnsiTheme="minorBidi" w:cstheme="minorBidi"/>
          <w:color w:val="000000" w:themeColor="text1"/>
          <w:sz w:val="22"/>
          <w:szCs w:val="22"/>
        </w:rPr>
        <w:lastRenderedPageBreak/>
        <w:t>despite of increased public awareness efforts (Hawkins et al., 2022). Taylor et al. (2023) reviewing research findings of 42 studies carried out with 13,089 doctors from 32 countries also pointed out the existence of countries having low AMR awareness level (Taylor et al., 2023).</w:t>
      </w:r>
    </w:p>
    <w:p w14:paraId="77569350" w14:textId="58537E26" w:rsidR="00D340EB" w:rsidRPr="0041279B" w:rsidRDefault="00FA13DA" w:rsidP="001362A5">
      <w:pPr>
        <w:pStyle w:val="Heading2"/>
        <w:rPr>
          <w:rFonts w:asciiTheme="minorBidi" w:hAnsiTheme="minorBidi" w:cstheme="minorBidi"/>
          <w:b/>
          <w:bCs/>
          <w:i/>
          <w:iCs/>
          <w:color w:val="000000" w:themeColor="text1"/>
          <w:sz w:val="22"/>
          <w:szCs w:val="22"/>
        </w:rPr>
      </w:pPr>
      <w:bookmarkStart w:id="63" w:name="_Toc238647410"/>
      <w:r>
        <w:rPr>
          <w:rFonts w:asciiTheme="minorBidi" w:hAnsiTheme="minorBidi" w:cstheme="minorBidi"/>
          <w:b/>
          <w:bCs/>
          <w:i/>
          <w:iCs/>
          <w:color w:val="000000" w:themeColor="text1"/>
          <w:sz w:val="22"/>
          <w:szCs w:val="22"/>
        </w:rPr>
        <w:t xml:space="preserve">4.4.7 </w:t>
      </w:r>
      <w:r w:rsidR="00D340EB" w:rsidRPr="0041279B">
        <w:rPr>
          <w:rFonts w:asciiTheme="minorBidi" w:hAnsiTheme="minorBidi" w:cstheme="minorBidi"/>
          <w:b/>
          <w:bCs/>
          <w:i/>
          <w:iCs/>
          <w:color w:val="000000" w:themeColor="text1"/>
          <w:sz w:val="22"/>
          <w:szCs w:val="22"/>
        </w:rPr>
        <w:t xml:space="preserve">Critical Evaluation of Article 5: </w:t>
      </w:r>
      <w:proofErr w:type="spellStart"/>
      <w:r w:rsidR="00D340EB" w:rsidRPr="0041279B">
        <w:rPr>
          <w:rFonts w:asciiTheme="minorBidi" w:hAnsiTheme="minorBidi" w:cstheme="minorBidi"/>
          <w:b/>
          <w:bCs/>
          <w:i/>
          <w:iCs/>
          <w:color w:val="000000" w:themeColor="text1"/>
          <w:sz w:val="22"/>
          <w:szCs w:val="22"/>
        </w:rPr>
        <w:t>Saif</w:t>
      </w:r>
      <w:proofErr w:type="spellEnd"/>
      <w:r w:rsidR="00D340EB" w:rsidRPr="0041279B">
        <w:rPr>
          <w:rFonts w:asciiTheme="minorBidi" w:hAnsiTheme="minorBidi" w:cstheme="minorBidi"/>
          <w:b/>
          <w:bCs/>
          <w:i/>
          <w:iCs/>
          <w:color w:val="000000" w:themeColor="text1"/>
          <w:sz w:val="22"/>
          <w:szCs w:val="22"/>
        </w:rPr>
        <w:t xml:space="preserve"> et al. 2024</w:t>
      </w:r>
      <w:bookmarkEnd w:id="63"/>
    </w:p>
    <w:p w14:paraId="4F5E6D68" w14:textId="77777777" w:rsidR="00D340EB" w:rsidRPr="0041279B" w:rsidRDefault="00D340EB" w:rsidP="00D340EB">
      <w:pPr>
        <w:pStyle w:val="NormalWeb"/>
        <w:spacing w:line="360" w:lineRule="auto"/>
        <w:jc w:val="both"/>
        <w:rPr>
          <w:rFonts w:asciiTheme="minorBidi" w:eastAsia="Wingdings" w:hAnsiTheme="minorBidi" w:cstheme="minorBidi"/>
          <w:color w:val="000000" w:themeColor="text1"/>
          <w:kern w:val="2"/>
          <w:sz w:val="22"/>
          <w:szCs w:val="22"/>
        </w:rPr>
      </w:pPr>
      <w:proofErr w:type="spellStart"/>
      <w:r w:rsidRPr="0041279B">
        <w:rPr>
          <w:rFonts w:asciiTheme="minorBidi" w:eastAsia="Wingdings" w:hAnsiTheme="minorBidi" w:cstheme="minorBidi"/>
          <w:color w:val="000000" w:themeColor="text1"/>
          <w:kern w:val="2"/>
          <w:sz w:val="22"/>
          <w:szCs w:val="22"/>
        </w:rPr>
        <w:t>Saif</w:t>
      </w:r>
      <w:proofErr w:type="spellEnd"/>
      <w:r w:rsidRPr="0041279B">
        <w:rPr>
          <w:rFonts w:asciiTheme="minorBidi" w:eastAsia="Wingdings" w:hAnsiTheme="minorBidi" w:cstheme="minorBidi"/>
          <w:color w:val="000000" w:themeColor="text1"/>
          <w:kern w:val="2"/>
          <w:sz w:val="22"/>
          <w:szCs w:val="22"/>
        </w:rPr>
        <w:t xml:space="preserve"> et al. (2024) revealed that people who watched a video created by the WHO experienced improvement in their knowledge about antibiotics, but the transition from the knowledge gained to its application turned out to be difficult, as the antibiotics could be obtained without prescriptions. This finding aligns with the research of </w:t>
      </w:r>
      <w:proofErr w:type="spellStart"/>
      <w:r w:rsidRPr="0041279B">
        <w:rPr>
          <w:rFonts w:asciiTheme="minorBidi" w:eastAsia="Wingdings" w:hAnsiTheme="minorBidi" w:cstheme="minorBidi"/>
          <w:color w:val="000000" w:themeColor="text1"/>
          <w:kern w:val="2"/>
          <w:sz w:val="22"/>
          <w:szCs w:val="22"/>
        </w:rPr>
        <w:t>Orok</w:t>
      </w:r>
      <w:proofErr w:type="spellEnd"/>
      <w:r w:rsidRPr="0041279B">
        <w:rPr>
          <w:rFonts w:asciiTheme="minorBidi" w:eastAsia="Wingdings" w:hAnsiTheme="minorBidi" w:cstheme="minorBidi"/>
          <w:color w:val="000000" w:themeColor="text1"/>
          <w:kern w:val="2"/>
          <w:sz w:val="22"/>
          <w:szCs w:val="22"/>
        </w:rPr>
        <w:t xml:space="preserve"> et al. (2025), conducted in Nigeria, where the use of educational intervention resulted in a significant increase of knowledge about AMR: the right answers related to its nature and consequences increased from 40.5% to 62.4% and good knowledge, in general, increased from 28.1% to 44.6% (</w:t>
      </w:r>
      <w:proofErr w:type="spellStart"/>
      <w:r w:rsidRPr="0041279B">
        <w:rPr>
          <w:rFonts w:asciiTheme="minorBidi" w:eastAsia="Wingdings" w:hAnsiTheme="minorBidi" w:cstheme="minorBidi"/>
          <w:color w:val="000000" w:themeColor="text1"/>
          <w:kern w:val="2"/>
          <w:sz w:val="22"/>
          <w:szCs w:val="22"/>
        </w:rPr>
        <w:t>Orok</w:t>
      </w:r>
      <w:proofErr w:type="spellEnd"/>
      <w:r w:rsidRPr="0041279B">
        <w:rPr>
          <w:rFonts w:asciiTheme="minorBidi" w:eastAsia="Wingdings" w:hAnsiTheme="minorBidi" w:cstheme="minorBidi"/>
          <w:color w:val="000000" w:themeColor="text1"/>
          <w:kern w:val="2"/>
          <w:sz w:val="22"/>
          <w:szCs w:val="22"/>
        </w:rPr>
        <w:t xml:space="preserve"> et al., 2025). However, longstanding misconceptions showed that education is not enough to change the behavior. The same trend was detected in a European multinational study where students had good knowledge about AMR, but many of them did not understand how to act in accordance with that knowledge.</w:t>
      </w:r>
    </w:p>
    <w:p w14:paraId="749806AB" w14:textId="01905C7E" w:rsidR="00D340EB" w:rsidRPr="0041279B" w:rsidRDefault="00FA13DA" w:rsidP="001362A5">
      <w:pPr>
        <w:pStyle w:val="Heading2"/>
        <w:rPr>
          <w:rFonts w:asciiTheme="minorBidi" w:hAnsiTheme="minorBidi" w:cstheme="minorBidi"/>
          <w:b/>
          <w:bCs/>
          <w:i/>
          <w:iCs/>
          <w:color w:val="000000" w:themeColor="text1"/>
          <w:sz w:val="22"/>
          <w:szCs w:val="22"/>
        </w:rPr>
      </w:pPr>
      <w:bookmarkStart w:id="64" w:name="_Toc238647411"/>
      <w:r>
        <w:rPr>
          <w:rFonts w:asciiTheme="minorBidi" w:hAnsiTheme="minorBidi" w:cstheme="minorBidi"/>
          <w:b/>
          <w:bCs/>
          <w:i/>
          <w:iCs/>
          <w:color w:val="000000" w:themeColor="text1"/>
          <w:sz w:val="22"/>
          <w:szCs w:val="22"/>
        </w:rPr>
        <w:t xml:space="preserve">4.4.8 </w:t>
      </w:r>
      <w:r w:rsidR="00D340EB" w:rsidRPr="0041279B">
        <w:rPr>
          <w:rFonts w:asciiTheme="minorBidi" w:hAnsiTheme="minorBidi" w:cstheme="minorBidi"/>
          <w:b/>
          <w:bCs/>
          <w:i/>
          <w:iCs/>
          <w:color w:val="000000" w:themeColor="text1"/>
          <w:sz w:val="22"/>
          <w:szCs w:val="22"/>
        </w:rPr>
        <w:t xml:space="preserve">Critical Evaluation of Article 6: </w:t>
      </w:r>
      <w:proofErr w:type="spellStart"/>
      <w:r w:rsidR="00D340EB" w:rsidRPr="0041279B">
        <w:rPr>
          <w:rFonts w:asciiTheme="minorBidi" w:hAnsiTheme="minorBidi" w:cstheme="minorBidi"/>
          <w:b/>
          <w:bCs/>
          <w:i/>
          <w:iCs/>
          <w:color w:val="000000" w:themeColor="text1"/>
          <w:sz w:val="22"/>
          <w:szCs w:val="22"/>
        </w:rPr>
        <w:t>Faizullah</w:t>
      </w:r>
      <w:proofErr w:type="spellEnd"/>
      <w:r w:rsidR="00D340EB" w:rsidRPr="0041279B">
        <w:rPr>
          <w:rFonts w:asciiTheme="minorBidi" w:hAnsiTheme="minorBidi" w:cstheme="minorBidi"/>
          <w:b/>
          <w:bCs/>
          <w:i/>
          <w:iCs/>
          <w:color w:val="000000" w:themeColor="text1"/>
          <w:sz w:val="22"/>
          <w:szCs w:val="22"/>
        </w:rPr>
        <w:t xml:space="preserve"> et al. (2017)</w:t>
      </w:r>
      <w:bookmarkEnd w:id="64"/>
    </w:p>
    <w:p w14:paraId="0744D0CD"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proofErr w:type="spellStart"/>
      <w:r w:rsidRPr="0041279B">
        <w:rPr>
          <w:rFonts w:asciiTheme="minorBidi" w:hAnsiTheme="minorBidi" w:cstheme="minorBidi"/>
          <w:color w:val="000000" w:themeColor="text1"/>
          <w:sz w:val="22"/>
          <w:szCs w:val="22"/>
        </w:rPr>
        <w:t>Faizullah</w:t>
      </w:r>
      <w:proofErr w:type="spellEnd"/>
      <w:r w:rsidRPr="0041279B">
        <w:rPr>
          <w:rFonts w:asciiTheme="minorBidi" w:hAnsiTheme="minorBidi" w:cstheme="minorBidi"/>
          <w:color w:val="000000" w:themeColor="text1"/>
          <w:sz w:val="22"/>
          <w:szCs w:val="22"/>
        </w:rPr>
        <w:t xml:space="preserve"> and others (2017) found a notable knowledge-practice gap in 384 doctors in Khyber </w:t>
      </w:r>
      <w:proofErr w:type="spellStart"/>
      <w:r w:rsidRPr="0041279B">
        <w:rPr>
          <w:rFonts w:asciiTheme="minorBidi" w:hAnsiTheme="minorBidi" w:cstheme="minorBidi"/>
          <w:color w:val="000000" w:themeColor="text1"/>
          <w:sz w:val="22"/>
          <w:szCs w:val="22"/>
        </w:rPr>
        <w:t>Pakhtunkhwa</w:t>
      </w:r>
      <w:proofErr w:type="spellEnd"/>
      <w:r w:rsidRPr="0041279B">
        <w:rPr>
          <w:rFonts w:asciiTheme="minorBidi" w:hAnsiTheme="minorBidi" w:cstheme="minorBidi"/>
          <w:color w:val="000000" w:themeColor="text1"/>
          <w:sz w:val="22"/>
          <w:szCs w:val="22"/>
        </w:rPr>
        <w:t xml:space="preserve">: while 74.2% of them acknowledged AMR as a serious global issue, 46.4% of the doctors said that they depend on empirical information based on their experience. This observation is corroborated by Wang and others (2021), who studied 207,804 prescriptions written by 327 primary care doctors and revealed that a higher degree of diagnostic uncertainty was related to </w:t>
      </w:r>
      <w:proofErr w:type="gramStart"/>
      <w:r w:rsidRPr="0041279B">
        <w:rPr>
          <w:rFonts w:asciiTheme="minorBidi" w:hAnsiTheme="minorBidi" w:cstheme="minorBidi"/>
          <w:color w:val="000000" w:themeColor="text1"/>
          <w:sz w:val="22"/>
          <w:szCs w:val="22"/>
        </w:rPr>
        <w:t>increased</w:t>
      </w:r>
      <w:proofErr w:type="gramEnd"/>
      <w:r w:rsidRPr="0041279B">
        <w:rPr>
          <w:rFonts w:asciiTheme="minorBidi" w:hAnsiTheme="minorBidi" w:cstheme="minorBidi"/>
          <w:color w:val="000000" w:themeColor="text1"/>
          <w:sz w:val="22"/>
          <w:szCs w:val="22"/>
        </w:rPr>
        <w:t xml:space="preserve"> antibiotic prescribing in such cases as upper respiratory tract infections for which antibiotics were not warranted to be prescribed. Likewise, five-country Asian research involving 367 doctors revealed a substantial variation in the practice of empirical or presumptive prescribing with the rates of de-escalation going from just 10% to 60% in different specialties. More importantly, it should be noted that doctors performing laboratory testing prior to making empirical prescriptions were more likely to use the antibiotics properly (</w:t>
      </w:r>
      <w:proofErr w:type="spellStart"/>
      <w:r w:rsidRPr="0041279B">
        <w:rPr>
          <w:rFonts w:asciiTheme="minorBidi" w:hAnsiTheme="minorBidi" w:cstheme="minorBidi"/>
          <w:color w:val="000000" w:themeColor="text1"/>
          <w:sz w:val="22"/>
          <w:szCs w:val="22"/>
        </w:rPr>
        <w:t>aOR</w:t>
      </w:r>
      <w:proofErr w:type="spellEnd"/>
      <w:r w:rsidRPr="0041279B">
        <w:rPr>
          <w:rFonts w:asciiTheme="minorBidi" w:hAnsiTheme="minorBidi" w:cstheme="minorBidi"/>
          <w:color w:val="000000" w:themeColor="text1"/>
          <w:sz w:val="22"/>
          <w:szCs w:val="22"/>
        </w:rPr>
        <w:t xml:space="preserve"> 2.83). This means that findings of </w:t>
      </w:r>
      <w:proofErr w:type="spellStart"/>
      <w:r w:rsidRPr="0041279B">
        <w:rPr>
          <w:rFonts w:asciiTheme="minorBidi" w:hAnsiTheme="minorBidi" w:cstheme="minorBidi"/>
          <w:color w:val="000000" w:themeColor="text1"/>
          <w:sz w:val="22"/>
          <w:szCs w:val="22"/>
        </w:rPr>
        <w:t>Faizullah</w:t>
      </w:r>
      <w:proofErr w:type="spellEnd"/>
      <w:r w:rsidRPr="0041279B">
        <w:rPr>
          <w:rFonts w:asciiTheme="minorBidi" w:hAnsiTheme="minorBidi" w:cstheme="minorBidi"/>
          <w:color w:val="000000" w:themeColor="text1"/>
          <w:sz w:val="22"/>
          <w:szCs w:val="22"/>
        </w:rPr>
        <w:t xml:space="preserve"> et al. have international significance and highlight that uncertainty in diagnosis and inadequate testing techniques can lead to empirical prescribing practices.</w:t>
      </w:r>
    </w:p>
    <w:p w14:paraId="760AF38E" w14:textId="76232AE4" w:rsidR="00D340EB" w:rsidRPr="0041279B" w:rsidRDefault="00D340EB" w:rsidP="001362A5">
      <w:pPr>
        <w:pStyle w:val="Heading2"/>
        <w:rPr>
          <w:rFonts w:asciiTheme="minorBidi" w:hAnsiTheme="minorBidi" w:cstheme="minorBidi"/>
          <w:b/>
          <w:bCs/>
          <w:i/>
          <w:iCs/>
          <w:color w:val="000000" w:themeColor="text1"/>
          <w:sz w:val="22"/>
          <w:szCs w:val="22"/>
        </w:rPr>
      </w:pPr>
      <w:bookmarkStart w:id="65" w:name="_Toc238647412"/>
      <w:r w:rsidRPr="0041279B">
        <w:rPr>
          <w:rFonts w:asciiTheme="minorBidi" w:hAnsiTheme="minorBidi" w:cstheme="minorBidi"/>
          <w:b/>
          <w:bCs/>
          <w:i/>
          <w:iCs/>
          <w:color w:val="000000" w:themeColor="text1"/>
          <w:sz w:val="22"/>
          <w:szCs w:val="22"/>
        </w:rPr>
        <w:t>4</w:t>
      </w:r>
      <w:r w:rsidR="00FA13DA">
        <w:rPr>
          <w:rFonts w:asciiTheme="minorBidi" w:hAnsiTheme="minorBidi" w:cstheme="minorBidi"/>
          <w:b/>
          <w:bCs/>
          <w:i/>
          <w:iCs/>
          <w:color w:val="000000" w:themeColor="text1"/>
          <w:sz w:val="22"/>
          <w:szCs w:val="22"/>
        </w:rPr>
        <w:t xml:space="preserve">.4.9 </w:t>
      </w:r>
      <w:r w:rsidRPr="0041279B">
        <w:rPr>
          <w:rFonts w:asciiTheme="minorBidi" w:hAnsiTheme="minorBidi" w:cstheme="minorBidi"/>
          <w:b/>
          <w:bCs/>
          <w:i/>
          <w:iCs/>
          <w:color w:val="000000" w:themeColor="text1"/>
          <w:sz w:val="22"/>
          <w:szCs w:val="22"/>
        </w:rPr>
        <w:t>Critical Evaluation of Article 7: Ashraf et al. (2022)</w:t>
      </w:r>
      <w:bookmarkEnd w:id="65"/>
    </w:p>
    <w:p w14:paraId="1D2E7970"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Ashraf et al., (2022) conducted a thorough </w:t>
      </w:r>
      <w:proofErr w:type="spellStart"/>
      <w:r w:rsidRPr="0041279B">
        <w:rPr>
          <w:rFonts w:asciiTheme="minorBidi" w:hAnsiTheme="minorBidi" w:cstheme="minorBidi"/>
          <w:color w:val="000000" w:themeColor="text1"/>
          <w:sz w:val="22"/>
          <w:szCs w:val="22"/>
        </w:rPr>
        <w:t>multicentric</w:t>
      </w:r>
      <w:proofErr w:type="spellEnd"/>
      <w:r w:rsidRPr="0041279B">
        <w:rPr>
          <w:rFonts w:asciiTheme="minorBidi" w:hAnsiTheme="minorBidi" w:cstheme="minorBidi"/>
          <w:color w:val="000000" w:themeColor="text1"/>
          <w:sz w:val="22"/>
          <w:szCs w:val="22"/>
        </w:rPr>
        <w:t xml:space="preserve"> study among 336 physicians where the results showcase the KAP of doctors towards antimicrobial stewardship (AMS) in Lahore, Pakistan. The sample of the study includes a high percentage (74.3 %) of graduate trainees and so the outcomes </w:t>
      </w:r>
      <w:r w:rsidRPr="0041279B">
        <w:rPr>
          <w:rFonts w:asciiTheme="minorBidi" w:hAnsiTheme="minorBidi" w:cstheme="minorBidi"/>
          <w:color w:val="000000" w:themeColor="text1"/>
          <w:sz w:val="22"/>
          <w:szCs w:val="22"/>
        </w:rPr>
        <w:lastRenderedPageBreak/>
        <w:t xml:space="preserve">provide interesting insights into how physicians are prescribing medicines on daily basis. This systemic failure to close the gap between policy and practice has been discussed in detail in the global literature. In their research work, </w:t>
      </w:r>
      <w:proofErr w:type="spellStart"/>
      <w:r w:rsidRPr="0041279B">
        <w:rPr>
          <w:rFonts w:asciiTheme="minorBidi" w:hAnsiTheme="minorBidi" w:cstheme="minorBidi"/>
          <w:color w:val="000000" w:themeColor="text1"/>
          <w:sz w:val="22"/>
          <w:szCs w:val="22"/>
        </w:rPr>
        <w:t>Harun</w:t>
      </w:r>
      <w:proofErr w:type="spellEnd"/>
      <w:r w:rsidRPr="0041279B">
        <w:rPr>
          <w:rFonts w:asciiTheme="minorBidi" w:hAnsiTheme="minorBidi" w:cstheme="minorBidi"/>
          <w:color w:val="000000" w:themeColor="text1"/>
          <w:sz w:val="22"/>
          <w:szCs w:val="22"/>
        </w:rPr>
        <w:t xml:space="preserve"> et al. (2024) assessed how AMS programs might be implemented in hospitals, and they assert that policy decisions tend to be ineffective because on the one hand, they are imposed from above but on the other hand, they are not supported by structural conditions. </w:t>
      </w:r>
      <w:proofErr w:type="spellStart"/>
      <w:r w:rsidRPr="0041279B">
        <w:rPr>
          <w:rFonts w:asciiTheme="minorBidi" w:hAnsiTheme="minorBidi" w:cstheme="minorBidi"/>
          <w:color w:val="000000" w:themeColor="text1"/>
          <w:sz w:val="22"/>
          <w:szCs w:val="22"/>
        </w:rPr>
        <w:t>Harun</w:t>
      </w:r>
      <w:proofErr w:type="spellEnd"/>
      <w:r w:rsidRPr="0041279B">
        <w:rPr>
          <w:rFonts w:asciiTheme="minorBidi" w:hAnsiTheme="minorBidi" w:cstheme="minorBidi"/>
          <w:color w:val="000000" w:themeColor="text1"/>
          <w:sz w:val="22"/>
          <w:szCs w:val="22"/>
        </w:rPr>
        <w:t xml:space="preserve"> et al., (2024) also compared this finding with their findings in Ashraf et al. (2022), pointing out the fact that it concerns the situation when physicians do not have an opportunity for stewardship training and so it becomes apparent that they need to use broad-spectrum antibiotics to deal with the increased volume of patients they serve. </w:t>
      </w:r>
    </w:p>
    <w:p w14:paraId="1AF57211" w14:textId="2447B784" w:rsidR="00D340EB" w:rsidRPr="0041279B" w:rsidRDefault="001362A5" w:rsidP="001362A5">
      <w:pPr>
        <w:pStyle w:val="Heading2"/>
        <w:rPr>
          <w:rFonts w:asciiTheme="minorBidi" w:hAnsiTheme="minorBidi" w:cstheme="minorBidi"/>
          <w:b/>
          <w:bCs/>
          <w:i/>
          <w:iCs/>
          <w:color w:val="000000" w:themeColor="text1"/>
          <w:sz w:val="22"/>
          <w:szCs w:val="22"/>
        </w:rPr>
      </w:pPr>
      <w:bookmarkStart w:id="66" w:name="_Toc238647413"/>
      <w:r w:rsidRPr="0041279B">
        <w:rPr>
          <w:rFonts w:asciiTheme="minorBidi" w:hAnsiTheme="minorBidi" w:cstheme="minorBidi"/>
          <w:b/>
          <w:bCs/>
          <w:i/>
          <w:iCs/>
          <w:color w:val="000000" w:themeColor="text1"/>
          <w:kern w:val="0"/>
          <w:sz w:val="22"/>
          <w:szCs w:val="22"/>
        </w:rPr>
        <w:t xml:space="preserve">4.4.10 </w:t>
      </w:r>
      <w:r w:rsidR="00D340EB" w:rsidRPr="0041279B">
        <w:rPr>
          <w:rFonts w:asciiTheme="minorBidi" w:hAnsiTheme="minorBidi" w:cstheme="minorBidi"/>
          <w:b/>
          <w:bCs/>
          <w:i/>
          <w:iCs/>
          <w:color w:val="000000" w:themeColor="text1"/>
          <w:sz w:val="22"/>
          <w:szCs w:val="22"/>
        </w:rPr>
        <w:t>Critical Evaluation of Article 8:</w:t>
      </w:r>
      <w:r w:rsidR="00D340EB" w:rsidRPr="0041279B">
        <w:rPr>
          <w:rFonts w:asciiTheme="minorBidi" w:hAnsiTheme="minorBidi" w:cstheme="minorBidi"/>
          <w:b/>
          <w:bCs/>
          <w:i/>
          <w:iCs/>
          <w:color w:val="000000" w:themeColor="text1"/>
          <w:kern w:val="0"/>
          <w:sz w:val="22"/>
          <w:szCs w:val="22"/>
        </w:rPr>
        <w:t xml:space="preserve"> </w:t>
      </w:r>
      <w:proofErr w:type="spellStart"/>
      <w:r w:rsidR="00D340EB" w:rsidRPr="0041279B">
        <w:rPr>
          <w:rFonts w:asciiTheme="minorBidi" w:hAnsiTheme="minorBidi" w:cstheme="minorBidi"/>
          <w:b/>
          <w:bCs/>
          <w:i/>
          <w:iCs/>
          <w:color w:val="000000" w:themeColor="text1"/>
          <w:kern w:val="0"/>
          <w:sz w:val="22"/>
          <w:szCs w:val="22"/>
        </w:rPr>
        <w:t>Gillani</w:t>
      </w:r>
      <w:proofErr w:type="spellEnd"/>
      <w:r w:rsidR="00D340EB" w:rsidRPr="0041279B">
        <w:rPr>
          <w:rFonts w:asciiTheme="minorBidi" w:hAnsiTheme="minorBidi" w:cstheme="minorBidi"/>
          <w:b/>
          <w:bCs/>
          <w:i/>
          <w:iCs/>
          <w:color w:val="000000" w:themeColor="text1"/>
          <w:kern w:val="0"/>
          <w:sz w:val="22"/>
          <w:szCs w:val="22"/>
        </w:rPr>
        <w:t xml:space="preserve"> et al. (2021)</w:t>
      </w:r>
      <w:bookmarkEnd w:id="66"/>
    </w:p>
    <w:p w14:paraId="5525A860" w14:textId="77777777" w:rsidR="00D340EB" w:rsidRPr="0041279B" w:rsidRDefault="00D340EB" w:rsidP="00D340EB">
      <w:pPr>
        <w:spacing w:before="100" w:beforeAutospacing="1" w:after="100" w:afterAutospacing="1" w:line="360" w:lineRule="auto"/>
        <w:jc w:val="both"/>
        <w:rPr>
          <w:rFonts w:asciiTheme="minorBidi" w:hAnsiTheme="minorBidi" w:cstheme="minorBidi"/>
          <w:i/>
          <w:iCs/>
          <w:color w:val="000000" w:themeColor="text1"/>
          <w:sz w:val="22"/>
          <w:szCs w:val="22"/>
        </w:rPr>
      </w:pPr>
      <w:proofErr w:type="spellStart"/>
      <w:r w:rsidRPr="0041279B">
        <w:rPr>
          <w:rFonts w:asciiTheme="minorBidi" w:hAnsiTheme="minorBidi" w:cstheme="minorBidi"/>
          <w:color w:val="000000" w:themeColor="text1"/>
          <w:sz w:val="22"/>
          <w:szCs w:val="22"/>
        </w:rPr>
        <w:t>Gillani</w:t>
      </w:r>
      <w:proofErr w:type="spellEnd"/>
      <w:r w:rsidRPr="0041279B">
        <w:rPr>
          <w:rFonts w:asciiTheme="minorBidi" w:hAnsiTheme="minorBidi" w:cstheme="minorBidi"/>
          <w:color w:val="000000" w:themeColor="text1"/>
          <w:sz w:val="22"/>
          <w:szCs w:val="22"/>
        </w:rPr>
        <w:t xml:space="preserve"> et al. (2021) identified a significant discrepancy between knowledge and practice in the results of their study conducted among 2,106 people in Punjab, Pakistan: although they possessed good knowledge of antibiotics, 60% of the respondents self-medicated using antibiotics. This observation confirms the results of Wang et al. (2024) whose systematic review involved both qualitative and quantitative evidence from 242 studies and yielded a global pooled prevalence of antibiotic self-medication equal to 27.7% (Wang et al., 2024). The review points out people obtaining antibiotics without prescriptions, storing antibiotics at home and purchasing antibiotics from pharmacies as significant correlates of antibiotic self-medication, while qualitative studies mentioned accessibility to health services and pharmacies as important factors. Moreover, study by Do and fellows conducted across six low- and middle-income countries found a high level of self-medicated antibiotic use, with 55.2% of respondents using antibiotics for self-treatment in Vietnam, 45.7% in Bangladesh and 36.1% in Ghana, which can be explained by convenience, low price and saving time (Do et al., 2021).</w:t>
      </w:r>
    </w:p>
    <w:p w14:paraId="20B95F8A" w14:textId="4A50F292" w:rsidR="00D340EB" w:rsidRPr="0041279B" w:rsidRDefault="0041279B" w:rsidP="0041279B">
      <w:pPr>
        <w:pStyle w:val="Heading2"/>
        <w:rPr>
          <w:rFonts w:asciiTheme="minorBidi" w:hAnsiTheme="minorBidi" w:cstheme="minorBidi"/>
          <w:b/>
          <w:bCs/>
          <w:i/>
          <w:iCs/>
          <w:color w:val="000000" w:themeColor="text1"/>
          <w:kern w:val="0"/>
          <w:sz w:val="22"/>
          <w:szCs w:val="22"/>
        </w:rPr>
      </w:pPr>
      <w:bookmarkStart w:id="67" w:name="_Toc238647414"/>
      <w:r w:rsidRPr="0041279B">
        <w:rPr>
          <w:rFonts w:asciiTheme="minorBidi" w:hAnsiTheme="minorBidi" w:cstheme="minorBidi"/>
          <w:b/>
          <w:bCs/>
          <w:i/>
          <w:iCs/>
          <w:color w:val="000000" w:themeColor="text1"/>
          <w:kern w:val="0"/>
          <w:sz w:val="22"/>
          <w:szCs w:val="22"/>
        </w:rPr>
        <w:t xml:space="preserve">4.4.11 </w:t>
      </w:r>
      <w:r w:rsidR="00D340EB" w:rsidRPr="0041279B">
        <w:rPr>
          <w:rFonts w:asciiTheme="minorBidi" w:hAnsiTheme="minorBidi" w:cstheme="minorBidi"/>
          <w:b/>
          <w:bCs/>
          <w:i/>
          <w:iCs/>
          <w:color w:val="000000" w:themeColor="text1"/>
          <w:sz w:val="22"/>
          <w:szCs w:val="22"/>
        </w:rPr>
        <w:t>Critical Evaluation of Article 9: Shah et al. (2022)</w:t>
      </w:r>
      <w:bookmarkEnd w:id="67"/>
    </w:p>
    <w:p w14:paraId="029303DC"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Shah et al. (2022) conducted research on the knowledge, attitudes and practices regarding antibiotics of 525 medical and non-medical students in Punjab, Pakistan, and found the theory-practice gap in existence. Despite being educated medically, there was still evidence of inappropriate antibiotic behavior since 14% of the participant’s thought antibiotics were suitable for treating viral infections, while 15% of them stopped the treatment once they started feeling better. These results coincide closely with the findings of </w:t>
      </w:r>
      <w:proofErr w:type="spellStart"/>
      <w:r w:rsidRPr="0041279B">
        <w:rPr>
          <w:rFonts w:asciiTheme="minorBidi" w:hAnsiTheme="minorBidi" w:cstheme="minorBidi"/>
          <w:color w:val="000000" w:themeColor="text1"/>
          <w:sz w:val="22"/>
          <w:szCs w:val="22"/>
        </w:rPr>
        <w:t>Haque</w:t>
      </w:r>
      <w:proofErr w:type="spellEnd"/>
      <w:r w:rsidRPr="0041279B">
        <w:rPr>
          <w:rFonts w:asciiTheme="minorBidi" w:hAnsiTheme="minorBidi" w:cstheme="minorBidi"/>
          <w:color w:val="000000" w:themeColor="text1"/>
          <w:sz w:val="22"/>
          <w:szCs w:val="22"/>
        </w:rPr>
        <w:t xml:space="preserve"> et al. (2019) regarding students in Malaysia since 39.3% of 649 students self-medicated with antibiotics, while 89% thought self-medication was acceptable, even though medical students possessed more knowledge about antibiotics than other students (</w:t>
      </w:r>
      <w:proofErr w:type="spellStart"/>
      <w:r w:rsidRPr="0041279B">
        <w:rPr>
          <w:rFonts w:asciiTheme="minorBidi" w:hAnsiTheme="minorBidi" w:cstheme="minorBidi"/>
          <w:color w:val="000000" w:themeColor="text1"/>
          <w:sz w:val="22"/>
          <w:szCs w:val="22"/>
        </w:rPr>
        <w:t>Haque</w:t>
      </w:r>
      <w:proofErr w:type="spellEnd"/>
      <w:r w:rsidRPr="0041279B">
        <w:rPr>
          <w:rFonts w:asciiTheme="minorBidi" w:hAnsiTheme="minorBidi" w:cstheme="minorBidi"/>
          <w:color w:val="000000" w:themeColor="text1"/>
          <w:sz w:val="22"/>
          <w:szCs w:val="22"/>
        </w:rPr>
        <w:t xml:space="preserve"> et al., 2019). At the same time, </w:t>
      </w:r>
      <w:proofErr w:type="spellStart"/>
      <w:r w:rsidRPr="0041279B">
        <w:rPr>
          <w:rFonts w:asciiTheme="minorBidi" w:hAnsiTheme="minorBidi" w:cstheme="minorBidi"/>
          <w:color w:val="000000" w:themeColor="text1"/>
          <w:sz w:val="22"/>
          <w:szCs w:val="22"/>
        </w:rPr>
        <w:t>Zeb</w:t>
      </w:r>
      <w:proofErr w:type="spellEnd"/>
      <w:r w:rsidRPr="0041279B">
        <w:rPr>
          <w:rFonts w:asciiTheme="minorBidi" w:hAnsiTheme="minorBidi" w:cstheme="minorBidi"/>
          <w:color w:val="000000" w:themeColor="text1"/>
          <w:sz w:val="22"/>
          <w:szCs w:val="22"/>
        </w:rPr>
        <w:t xml:space="preserve"> et al. (2022), revealed about 1,250 university students, among these students’ antibiotics were the most popular self-medicated medications (50.4%), mainly </w:t>
      </w:r>
      <w:r w:rsidRPr="0041279B">
        <w:rPr>
          <w:rFonts w:asciiTheme="minorBidi" w:hAnsiTheme="minorBidi" w:cstheme="minorBidi"/>
          <w:color w:val="000000" w:themeColor="text1"/>
          <w:sz w:val="22"/>
          <w:szCs w:val="22"/>
        </w:rPr>
        <w:lastRenderedPageBreak/>
        <w:t>because they are the cheapest and easiest to obtain medicines (</w:t>
      </w:r>
      <w:proofErr w:type="spellStart"/>
      <w:r w:rsidRPr="0041279B">
        <w:rPr>
          <w:rFonts w:asciiTheme="minorBidi" w:hAnsiTheme="minorBidi" w:cstheme="minorBidi"/>
          <w:color w:val="000000" w:themeColor="text1"/>
          <w:sz w:val="22"/>
          <w:szCs w:val="22"/>
        </w:rPr>
        <w:t>Zeb</w:t>
      </w:r>
      <w:proofErr w:type="spellEnd"/>
      <w:r w:rsidRPr="0041279B">
        <w:rPr>
          <w:rFonts w:asciiTheme="minorBidi" w:hAnsiTheme="minorBidi" w:cstheme="minorBidi"/>
          <w:color w:val="000000" w:themeColor="text1"/>
          <w:sz w:val="22"/>
          <w:szCs w:val="22"/>
        </w:rPr>
        <w:t xml:space="preserve"> et al., 2022). These investigations prove that academic knowledge does not lead to responsible </w:t>
      </w:r>
      <w:proofErr w:type="spellStart"/>
      <w:r w:rsidRPr="0041279B">
        <w:rPr>
          <w:rFonts w:asciiTheme="minorBidi" w:hAnsiTheme="minorBidi" w:cstheme="minorBidi"/>
          <w:color w:val="000000" w:themeColor="text1"/>
          <w:sz w:val="22"/>
          <w:szCs w:val="22"/>
        </w:rPr>
        <w:t>behaviour</w:t>
      </w:r>
      <w:proofErr w:type="spellEnd"/>
      <w:r w:rsidRPr="0041279B">
        <w:rPr>
          <w:rFonts w:asciiTheme="minorBidi" w:hAnsiTheme="minorBidi" w:cstheme="minorBidi"/>
          <w:color w:val="000000" w:themeColor="text1"/>
          <w:sz w:val="22"/>
          <w:szCs w:val="22"/>
        </w:rPr>
        <w:t xml:space="preserve"> regarding antibiotics.</w:t>
      </w:r>
    </w:p>
    <w:p w14:paraId="5D07B06A" w14:textId="362BC627" w:rsidR="00D340EB" w:rsidRPr="0041279B" w:rsidRDefault="0041279B" w:rsidP="0041279B">
      <w:pPr>
        <w:pStyle w:val="Heading2"/>
        <w:rPr>
          <w:rFonts w:asciiTheme="minorBidi" w:hAnsiTheme="minorBidi" w:cstheme="minorBidi"/>
          <w:b/>
          <w:bCs/>
          <w:i/>
          <w:iCs/>
          <w:color w:val="000000" w:themeColor="text1"/>
          <w:sz w:val="22"/>
          <w:szCs w:val="22"/>
        </w:rPr>
      </w:pPr>
      <w:bookmarkStart w:id="68" w:name="_Toc238647415"/>
      <w:r w:rsidRPr="0041279B">
        <w:rPr>
          <w:rFonts w:asciiTheme="minorBidi" w:hAnsiTheme="minorBidi" w:cstheme="minorBidi"/>
          <w:b/>
          <w:bCs/>
          <w:i/>
          <w:iCs/>
          <w:color w:val="000000" w:themeColor="text1"/>
          <w:kern w:val="0"/>
          <w:sz w:val="22"/>
          <w:szCs w:val="22"/>
        </w:rPr>
        <w:t xml:space="preserve">4.4.12 </w:t>
      </w:r>
      <w:r w:rsidR="00D340EB" w:rsidRPr="0041279B">
        <w:rPr>
          <w:rFonts w:asciiTheme="minorBidi" w:hAnsiTheme="minorBidi" w:cstheme="minorBidi"/>
          <w:b/>
          <w:bCs/>
          <w:i/>
          <w:iCs/>
          <w:color w:val="000000" w:themeColor="text1"/>
          <w:sz w:val="22"/>
          <w:szCs w:val="22"/>
        </w:rPr>
        <w:t>Critical Evaluation of Article 10:</w:t>
      </w:r>
      <w:r w:rsidR="00D340EB" w:rsidRPr="0041279B">
        <w:rPr>
          <w:rFonts w:asciiTheme="minorBidi" w:hAnsiTheme="minorBidi" w:cstheme="minorBidi"/>
          <w:b/>
          <w:bCs/>
          <w:i/>
          <w:iCs/>
          <w:color w:val="000000" w:themeColor="text1"/>
          <w:kern w:val="0"/>
          <w:sz w:val="22"/>
          <w:szCs w:val="22"/>
        </w:rPr>
        <w:t xml:space="preserve"> Khan et al. (2020)</w:t>
      </w:r>
      <w:bookmarkEnd w:id="68"/>
    </w:p>
    <w:p w14:paraId="0B07B3C5"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 xml:space="preserve">Khan et al. (2020) reported relatively low levels of knowledge regarding antibiotic usage among 399 pharmacy consumers in the Swat Valley: 83.7% had no idea what AMR stands for, with 71.4% having never heard of this term, 57.6% possessing antibiotics at home, while 66.7% ignoring the recommended dosage (p&lt;0.05). These findings correspond to those of </w:t>
      </w:r>
      <w:proofErr w:type="spellStart"/>
      <w:r w:rsidRPr="0041279B">
        <w:rPr>
          <w:rFonts w:asciiTheme="minorBidi" w:hAnsiTheme="minorBidi" w:cstheme="minorBidi"/>
          <w:color w:val="000000" w:themeColor="text1"/>
          <w:sz w:val="22"/>
          <w:szCs w:val="22"/>
        </w:rPr>
        <w:t>Wahab</w:t>
      </w:r>
      <w:proofErr w:type="spellEnd"/>
      <w:r w:rsidRPr="0041279B">
        <w:rPr>
          <w:rFonts w:asciiTheme="minorBidi" w:hAnsiTheme="minorBidi" w:cstheme="minorBidi"/>
          <w:color w:val="000000" w:themeColor="text1"/>
          <w:sz w:val="22"/>
          <w:szCs w:val="22"/>
        </w:rPr>
        <w:t xml:space="preserve"> et al. (2023) conducted in Bangladesh, where 61.0% of 1,000 investigated students practiced self-medication with antibiotics and 60.0% had limited knowledge of these drugs. Paul et al. (2022) reported that 61.0% of 200 students engaged in self-medication with antibiotics, while 32.5% of them kept antibiotics at home for future use, and 38.0% were wrong to stop treatment when symptoms gone away. Thus, Khan et al. proved that insufficient knowledge and practices signal existing AMR problems.</w:t>
      </w:r>
    </w:p>
    <w:p w14:paraId="41884E34" w14:textId="77777777" w:rsidR="00D340EB" w:rsidRPr="0041279B" w:rsidRDefault="00D340EB" w:rsidP="0041279B">
      <w:pPr>
        <w:pStyle w:val="Heading2"/>
        <w:rPr>
          <w:rFonts w:asciiTheme="minorBidi" w:hAnsiTheme="minorBidi" w:cstheme="minorBidi"/>
          <w:b/>
          <w:bCs/>
          <w:color w:val="000000" w:themeColor="text1"/>
          <w:sz w:val="22"/>
          <w:szCs w:val="22"/>
        </w:rPr>
      </w:pPr>
      <w:bookmarkStart w:id="69" w:name="_Toc238647416"/>
      <w:r w:rsidRPr="0041279B">
        <w:rPr>
          <w:rFonts w:asciiTheme="minorBidi" w:hAnsiTheme="minorBidi" w:cstheme="minorBidi"/>
          <w:b/>
          <w:bCs/>
          <w:color w:val="000000" w:themeColor="text1"/>
          <w:sz w:val="22"/>
          <w:szCs w:val="22"/>
        </w:rPr>
        <w:t>4.5 Chapter Summary</w:t>
      </w:r>
      <w:bookmarkEnd w:id="69"/>
    </w:p>
    <w:p w14:paraId="252CFF3A" w14:textId="77777777" w:rsidR="00D340EB" w:rsidRPr="0041279B" w:rsidRDefault="00D340EB" w:rsidP="00D340EB">
      <w:pPr>
        <w:spacing w:line="360" w:lineRule="auto"/>
        <w:jc w:val="both"/>
        <w:rPr>
          <w:rFonts w:asciiTheme="minorBidi" w:hAnsiTheme="minorBidi" w:cstheme="minorBidi"/>
          <w:color w:val="000000" w:themeColor="text1"/>
          <w:sz w:val="22"/>
          <w:szCs w:val="22"/>
        </w:rPr>
      </w:pPr>
      <w:r w:rsidRPr="0041279B">
        <w:rPr>
          <w:rFonts w:asciiTheme="minorBidi" w:hAnsiTheme="minorBidi" w:cstheme="minorBidi"/>
          <w:color w:val="000000" w:themeColor="text1"/>
          <w:sz w:val="22"/>
          <w:szCs w:val="22"/>
        </w:rPr>
        <w:t>Chapter 4 details the systematic data extraction and critical appraisal of ten included studies investigating AMR-related KAP in Pakistan. Using a standardized extraction form, key study characteristics and outcomes were recorded. Methodological quality and risk of bias were evaluated employing a dual-framework approach: JBI checklists for observational designs and MMAT for mixed-methods research. This rigorous evaluation establishes the methodological trustworthiness of the synthesized evidence. Chapter 5 executes the descriptive quantitative analysis and thematic synthesis of the appraised data.</w:t>
      </w:r>
    </w:p>
    <w:p w14:paraId="4A4821D8" w14:textId="77777777" w:rsidR="00D340EB" w:rsidRPr="00015E49" w:rsidRDefault="00D340EB" w:rsidP="00D340EB">
      <w:pPr>
        <w:spacing w:line="360" w:lineRule="auto"/>
        <w:jc w:val="both"/>
        <w:rPr>
          <w:rFonts w:ascii="Arial" w:hAnsi="Arial" w:cs="Arial"/>
          <w:sz w:val="22"/>
          <w:szCs w:val="22"/>
        </w:rPr>
      </w:pPr>
    </w:p>
    <w:p w14:paraId="4C474A23" w14:textId="77777777" w:rsidR="00D340EB" w:rsidRDefault="00D340EB" w:rsidP="00D340EB">
      <w:pPr>
        <w:spacing w:line="360" w:lineRule="auto"/>
        <w:jc w:val="both"/>
        <w:rPr>
          <w:rFonts w:ascii="Arial" w:hAnsi="Arial" w:cs="Arial"/>
          <w:sz w:val="22"/>
          <w:szCs w:val="22"/>
        </w:rPr>
      </w:pPr>
    </w:p>
    <w:p w14:paraId="376385AD" w14:textId="77777777" w:rsidR="00CE70B9" w:rsidRDefault="00CE70B9" w:rsidP="00D340EB">
      <w:pPr>
        <w:spacing w:line="360" w:lineRule="auto"/>
        <w:jc w:val="both"/>
        <w:rPr>
          <w:rFonts w:ascii="Arial" w:hAnsi="Arial" w:cs="Arial"/>
          <w:sz w:val="22"/>
          <w:szCs w:val="22"/>
        </w:rPr>
      </w:pPr>
    </w:p>
    <w:p w14:paraId="000C16CB" w14:textId="77777777" w:rsidR="00CE70B9" w:rsidRDefault="00CE70B9" w:rsidP="00D340EB">
      <w:pPr>
        <w:spacing w:line="360" w:lineRule="auto"/>
        <w:jc w:val="both"/>
        <w:rPr>
          <w:rFonts w:ascii="Arial" w:hAnsi="Arial" w:cs="Arial"/>
          <w:sz w:val="22"/>
          <w:szCs w:val="22"/>
        </w:rPr>
      </w:pPr>
    </w:p>
    <w:p w14:paraId="6AD30E29" w14:textId="77777777" w:rsidR="00CE70B9" w:rsidRDefault="00CE70B9" w:rsidP="00D340EB">
      <w:pPr>
        <w:spacing w:line="360" w:lineRule="auto"/>
        <w:jc w:val="both"/>
        <w:rPr>
          <w:rFonts w:ascii="Arial" w:hAnsi="Arial" w:cs="Arial"/>
          <w:sz w:val="22"/>
          <w:szCs w:val="22"/>
        </w:rPr>
      </w:pPr>
    </w:p>
    <w:p w14:paraId="3DD31F60" w14:textId="77777777" w:rsidR="00CE70B9" w:rsidRPr="00015E49" w:rsidRDefault="00CE70B9" w:rsidP="00D340EB">
      <w:pPr>
        <w:spacing w:line="360" w:lineRule="auto"/>
        <w:jc w:val="both"/>
        <w:rPr>
          <w:rFonts w:ascii="Arial" w:hAnsi="Arial" w:cs="Arial"/>
          <w:sz w:val="22"/>
          <w:szCs w:val="22"/>
        </w:rPr>
      </w:pPr>
    </w:p>
    <w:p w14:paraId="65F4056B" w14:textId="77777777" w:rsidR="00D340EB" w:rsidRPr="00015E49" w:rsidRDefault="00D340EB" w:rsidP="00D340EB">
      <w:pPr>
        <w:spacing w:line="360" w:lineRule="auto"/>
        <w:jc w:val="both"/>
        <w:rPr>
          <w:rFonts w:ascii="Arial" w:hAnsi="Arial" w:cs="Arial"/>
          <w:sz w:val="22"/>
          <w:szCs w:val="22"/>
        </w:rPr>
      </w:pPr>
    </w:p>
    <w:p w14:paraId="2E331683" w14:textId="77777777" w:rsidR="00D340EB" w:rsidRPr="00015E49" w:rsidRDefault="00D340EB" w:rsidP="00D340EB">
      <w:pPr>
        <w:spacing w:line="360" w:lineRule="auto"/>
        <w:jc w:val="both"/>
        <w:rPr>
          <w:rFonts w:ascii="Arial" w:hAnsi="Arial" w:cs="Arial"/>
          <w:b/>
          <w:bCs/>
          <w:sz w:val="22"/>
          <w:szCs w:val="22"/>
        </w:rPr>
      </w:pPr>
    </w:p>
    <w:p w14:paraId="78F37DC6" w14:textId="77777777" w:rsidR="00D340EB" w:rsidRPr="00CE70B9" w:rsidRDefault="00D340EB" w:rsidP="00CE70B9">
      <w:pPr>
        <w:pStyle w:val="Heading1"/>
        <w:jc w:val="center"/>
        <w:rPr>
          <w:rFonts w:asciiTheme="minorBidi" w:hAnsiTheme="minorBidi" w:cstheme="minorBidi"/>
          <w:b/>
          <w:bCs/>
          <w:color w:val="000000" w:themeColor="text1"/>
          <w:sz w:val="22"/>
          <w:szCs w:val="22"/>
        </w:rPr>
      </w:pPr>
      <w:bookmarkStart w:id="70" w:name="_Toc238647417"/>
      <w:r w:rsidRPr="00CE70B9">
        <w:rPr>
          <w:rFonts w:asciiTheme="minorBidi" w:hAnsiTheme="minorBidi" w:cstheme="minorBidi"/>
          <w:b/>
          <w:bCs/>
          <w:color w:val="000000" w:themeColor="text1"/>
          <w:sz w:val="22"/>
          <w:szCs w:val="22"/>
        </w:rPr>
        <w:lastRenderedPageBreak/>
        <w:t>Chapter 5: Data Analysis and Synthesis</w:t>
      </w:r>
      <w:bookmarkEnd w:id="70"/>
    </w:p>
    <w:p w14:paraId="302CFB22"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71" w:name="_Toc238647418"/>
      <w:r w:rsidRPr="00CE70B9">
        <w:rPr>
          <w:rFonts w:asciiTheme="minorBidi" w:hAnsiTheme="minorBidi" w:cstheme="minorBidi"/>
          <w:b/>
          <w:bCs/>
          <w:i/>
          <w:iCs/>
          <w:color w:val="000000" w:themeColor="text1"/>
          <w:sz w:val="22"/>
          <w:szCs w:val="22"/>
        </w:rPr>
        <w:t>5.1 Introduction to Chapter</w:t>
      </w:r>
      <w:bookmarkEnd w:id="71"/>
    </w:p>
    <w:p w14:paraId="48AB17E6" w14:textId="77777777" w:rsidR="00D340EB" w:rsidRPr="00CE70B9" w:rsidRDefault="00D340EB" w:rsidP="00D340EB">
      <w:pPr>
        <w:spacing w:line="360" w:lineRule="auto"/>
        <w:jc w:val="both"/>
        <w:rPr>
          <w:rFonts w:asciiTheme="minorBidi" w:hAnsiTheme="minorBidi" w:cstheme="minorBidi"/>
          <w:sz w:val="22"/>
          <w:szCs w:val="22"/>
        </w:rPr>
      </w:pPr>
      <w:r w:rsidRPr="00CE70B9">
        <w:rPr>
          <w:rFonts w:asciiTheme="minorBidi" w:hAnsiTheme="minorBidi" w:cstheme="minorBidi"/>
          <w:sz w:val="22"/>
          <w:szCs w:val="22"/>
        </w:rPr>
        <w:t>This chapter contains the systematic examination and compilation of empirical evidence gathered from the ten chosen studies exploring KAP regarding AMR and antibiotic consumption in Pakistan. The goal of this review is to determine how the social determinants are influencing the behavioral elements of AMR analysis.</w:t>
      </w:r>
    </w:p>
    <w:p w14:paraId="66C0B682" w14:textId="77777777" w:rsidR="00D340EB" w:rsidRPr="00CE70B9" w:rsidRDefault="00D340EB" w:rsidP="00D340EB">
      <w:pPr>
        <w:spacing w:line="360" w:lineRule="auto"/>
        <w:jc w:val="both"/>
        <w:rPr>
          <w:rFonts w:asciiTheme="minorBidi" w:hAnsiTheme="minorBidi" w:cstheme="minorBidi"/>
          <w:sz w:val="22"/>
          <w:szCs w:val="22"/>
        </w:rPr>
      </w:pPr>
      <w:r w:rsidRPr="00CE70B9">
        <w:rPr>
          <w:rFonts w:asciiTheme="minorBidi" w:hAnsiTheme="minorBidi" w:cstheme="minorBidi"/>
          <w:sz w:val="22"/>
          <w:szCs w:val="22"/>
        </w:rPr>
        <w:t>To accomplish a thorough synthesis, this chapter employs quantitative descriptive analysis plus thematic analysis. The section 5.2 presents the quantitative analysis of the data including characteristics of studies, measures of statistics, outcomes of KAP, data cleaning process, etc. The section 5.3 has conducted thematic synthesis by categorizing the findings into five main concepts with distinct subheadings that provide detailed information about the quantitative metrics making up AMR in Pakistan.</w:t>
      </w:r>
    </w:p>
    <w:p w14:paraId="0A267EE8"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72" w:name="_Toc238647419"/>
      <w:r w:rsidRPr="00CE70B9">
        <w:rPr>
          <w:rFonts w:asciiTheme="minorBidi" w:hAnsiTheme="minorBidi" w:cstheme="minorBidi"/>
          <w:b/>
          <w:bCs/>
          <w:i/>
          <w:iCs/>
          <w:color w:val="000000" w:themeColor="text1"/>
          <w:sz w:val="22"/>
          <w:szCs w:val="22"/>
        </w:rPr>
        <w:t>5.2 Descriptive Analysis of Quantitative Studies</w:t>
      </w:r>
      <w:bookmarkEnd w:id="72"/>
    </w:p>
    <w:p w14:paraId="01DF506B" w14:textId="77777777" w:rsidR="00D340EB" w:rsidRPr="00CE70B9" w:rsidRDefault="00D340EB" w:rsidP="00D340EB">
      <w:pPr>
        <w:spacing w:line="360" w:lineRule="auto"/>
        <w:jc w:val="both"/>
        <w:rPr>
          <w:rFonts w:asciiTheme="minorBidi" w:hAnsiTheme="minorBidi" w:cstheme="minorBidi"/>
          <w:sz w:val="22"/>
          <w:szCs w:val="22"/>
        </w:rPr>
      </w:pPr>
      <w:r w:rsidRPr="00CE70B9">
        <w:rPr>
          <w:rFonts w:asciiTheme="minorBidi" w:hAnsiTheme="minorBidi" w:cstheme="minorBidi"/>
          <w:sz w:val="22"/>
          <w:szCs w:val="22"/>
        </w:rPr>
        <w:t>The descriptive synthesis method plays a crucial role in the formulation of the synthesis of quantitative and qualitative evidence. According to Sun et al. (2022), their research that involved the review of 54 quantitative studies, nine qualitative studies, and eight mixed-method studies showcased that access to healthcare, social attitudes, and policies of regulation influence antibiotic utilization (Sun et al., 2022). Moreover, research by Ahmed et al. (2023) covered an area of 68 studies by applying statistical and thematic analysis proved that dissatisfaction with healthcare services, high costs, and low accessibility have a significant effect on antibiotic self-medication. Furthermore, Li et al. (2023) through reviewing 162 studies across 52 countries showed that non-prescription dispensing was 63.4% which can be explained by high customers’ demand, incentives and ineffective regulations. Therefore, the quantitative findings herein should not be taken as a stand-alone informative content; on the contrary, such statistics imply the interaction of knowledge with economic, social, and institutional environments.</w:t>
      </w:r>
    </w:p>
    <w:p w14:paraId="6F1CCCF2" w14:textId="77777777" w:rsidR="00D340EB" w:rsidRPr="00CE70B9" w:rsidRDefault="00D340EB" w:rsidP="00D340EB">
      <w:pPr>
        <w:spacing w:line="360" w:lineRule="auto"/>
        <w:jc w:val="both"/>
        <w:rPr>
          <w:rFonts w:asciiTheme="minorBidi" w:hAnsiTheme="minorBidi" w:cstheme="minorBidi"/>
          <w:sz w:val="22"/>
          <w:szCs w:val="22"/>
        </w:rPr>
      </w:pPr>
      <w:r w:rsidRPr="00CE70B9">
        <w:rPr>
          <w:rFonts w:asciiTheme="minorBidi" w:hAnsiTheme="minorBidi" w:cstheme="minorBidi"/>
          <w:sz w:val="22"/>
          <w:szCs w:val="22"/>
        </w:rPr>
        <w:t xml:space="preserve">The comprehensive content analysis of quantitative data from the reviewed studies allows to present a wide-scale overview of the characteristics and trends of the obtained data concerning knowledge, Practice and GAPs in relation to AMR in Pakistan. The data has been summarized in Table 3, which indicates that the reviewed studies have varying study designs, sample sizes from 180 to 2,106 people and different characteristics of participants in terms of industrial and rural location as well as occupation (community pharmacists, doctors, college students and ordinary consumers). These studies collectively capture the geographic and institutional breadth of Pakistan’s healthcare </w:t>
      </w:r>
      <w:r w:rsidRPr="00CE70B9">
        <w:rPr>
          <w:rFonts w:asciiTheme="minorBidi" w:hAnsiTheme="minorBidi" w:cstheme="minorBidi"/>
          <w:sz w:val="22"/>
          <w:szCs w:val="22"/>
        </w:rPr>
        <w:lastRenderedPageBreak/>
        <w:t xml:space="preserve">landscape, highlighting how localized sampling frameworks establish the empirical foundation for examining social determinants of health and antimicrobial utilization behaviors. </w:t>
      </w:r>
    </w:p>
    <w:p w14:paraId="3EEF42F9"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Table 3: Characteristics of Studies Investigating KAP regarding AMR.</w:t>
      </w:r>
    </w:p>
    <w:tbl>
      <w:tblPr>
        <w:tblW w:w="5000" w:type="pct"/>
        <w:tblLook w:val="04A0" w:firstRow="1" w:lastRow="0" w:firstColumn="1" w:lastColumn="0" w:noHBand="0" w:noVBand="1"/>
      </w:tblPr>
      <w:tblGrid>
        <w:gridCol w:w="1114"/>
        <w:gridCol w:w="1183"/>
        <w:gridCol w:w="1635"/>
        <w:gridCol w:w="962"/>
        <w:gridCol w:w="975"/>
        <w:gridCol w:w="3810"/>
      </w:tblGrid>
      <w:tr w:rsidR="00D340EB" w:rsidRPr="00015E49" w14:paraId="4561BE5A" w14:textId="77777777" w:rsidTr="00775F7D">
        <w:trPr>
          <w:trHeight w:val="935"/>
        </w:trPr>
        <w:tc>
          <w:tcPr>
            <w:tcW w:w="61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7BE919F4"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Authors &amp; Year</w:t>
            </w:r>
          </w:p>
        </w:tc>
        <w:tc>
          <w:tcPr>
            <w:tcW w:w="586" w:type="pct"/>
            <w:tcBorders>
              <w:top w:val="single" w:sz="4" w:space="0" w:color="auto"/>
              <w:left w:val="nil"/>
              <w:bottom w:val="single" w:sz="4" w:space="0" w:color="auto"/>
              <w:right w:val="single" w:sz="4" w:space="0" w:color="auto"/>
            </w:tcBorders>
            <w:shd w:val="clear" w:color="auto" w:fill="D9D9D9"/>
            <w:vAlign w:val="center"/>
            <w:hideMark/>
          </w:tcPr>
          <w:p w14:paraId="38959B21"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Study Design</w:t>
            </w:r>
          </w:p>
        </w:tc>
        <w:tc>
          <w:tcPr>
            <w:tcW w:w="751" w:type="pct"/>
            <w:tcBorders>
              <w:top w:val="single" w:sz="4" w:space="0" w:color="auto"/>
              <w:left w:val="nil"/>
              <w:bottom w:val="single" w:sz="4" w:space="0" w:color="auto"/>
              <w:right w:val="single" w:sz="4" w:space="0" w:color="auto"/>
            </w:tcBorders>
            <w:shd w:val="clear" w:color="auto" w:fill="D9D9D9"/>
            <w:vAlign w:val="center"/>
            <w:hideMark/>
          </w:tcPr>
          <w:p w14:paraId="5E6D13A2"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Population / Demographics</w:t>
            </w:r>
          </w:p>
        </w:tc>
        <w:tc>
          <w:tcPr>
            <w:tcW w:w="509" w:type="pct"/>
            <w:tcBorders>
              <w:top w:val="single" w:sz="4" w:space="0" w:color="auto"/>
              <w:left w:val="nil"/>
              <w:bottom w:val="single" w:sz="4" w:space="0" w:color="auto"/>
              <w:right w:val="single" w:sz="4" w:space="0" w:color="auto"/>
            </w:tcBorders>
            <w:shd w:val="clear" w:color="auto" w:fill="D9D9D9"/>
            <w:vAlign w:val="center"/>
            <w:hideMark/>
          </w:tcPr>
          <w:p w14:paraId="1997151B"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Sample Size</w:t>
            </w:r>
          </w:p>
        </w:tc>
        <w:tc>
          <w:tcPr>
            <w:tcW w:w="496" w:type="pct"/>
            <w:tcBorders>
              <w:top w:val="single" w:sz="4" w:space="0" w:color="auto"/>
              <w:left w:val="nil"/>
              <w:bottom w:val="single" w:sz="4" w:space="0" w:color="auto"/>
              <w:right w:val="single" w:sz="4" w:space="0" w:color="auto"/>
            </w:tcBorders>
            <w:shd w:val="clear" w:color="auto" w:fill="D9D9D9"/>
            <w:vAlign w:val="center"/>
            <w:hideMark/>
          </w:tcPr>
          <w:p w14:paraId="54116BD3"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Study Domain</w:t>
            </w:r>
          </w:p>
        </w:tc>
        <w:tc>
          <w:tcPr>
            <w:tcW w:w="2041" w:type="pct"/>
            <w:tcBorders>
              <w:top w:val="single" w:sz="4" w:space="0" w:color="auto"/>
              <w:left w:val="nil"/>
              <w:bottom w:val="single" w:sz="4" w:space="0" w:color="auto"/>
              <w:right w:val="single" w:sz="4" w:space="0" w:color="auto"/>
            </w:tcBorders>
            <w:shd w:val="clear" w:color="auto" w:fill="D9D9D9"/>
            <w:vAlign w:val="center"/>
            <w:hideMark/>
          </w:tcPr>
          <w:p w14:paraId="3B624E47"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Key Findings</w:t>
            </w:r>
          </w:p>
        </w:tc>
      </w:tr>
      <w:tr w:rsidR="00D340EB" w:rsidRPr="00015E49" w14:paraId="27281B6D"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51D06440"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Khan et al. (2021)</w:t>
            </w:r>
          </w:p>
        </w:tc>
        <w:tc>
          <w:tcPr>
            <w:tcW w:w="586" w:type="pct"/>
            <w:tcBorders>
              <w:top w:val="nil"/>
              <w:left w:val="nil"/>
              <w:bottom w:val="single" w:sz="4" w:space="0" w:color="auto"/>
              <w:right w:val="single" w:sz="4" w:space="0" w:color="auto"/>
            </w:tcBorders>
            <w:shd w:val="clear" w:color="000000" w:fill="FFFFFF"/>
            <w:vAlign w:val="center"/>
            <w:hideMark/>
          </w:tcPr>
          <w:p w14:paraId="42A2D81F"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 Mix Method Approach</w:t>
            </w:r>
          </w:p>
        </w:tc>
        <w:tc>
          <w:tcPr>
            <w:tcW w:w="751" w:type="pct"/>
            <w:tcBorders>
              <w:top w:val="nil"/>
              <w:left w:val="nil"/>
              <w:bottom w:val="single" w:sz="4" w:space="0" w:color="auto"/>
              <w:right w:val="single" w:sz="4" w:space="0" w:color="auto"/>
            </w:tcBorders>
            <w:shd w:val="clear" w:color="000000" w:fill="FFFFFF"/>
            <w:vAlign w:val="center"/>
            <w:hideMark/>
          </w:tcPr>
          <w:p w14:paraId="7C49F42D"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Pharmacists</w:t>
            </w:r>
          </w:p>
        </w:tc>
        <w:tc>
          <w:tcPr>
            <w:tcW w:w="509" w:type="pct"/>
            <w:tcBorders>
              <w:top w:val="nil"/>
              <w:left w:val="nil"/>
              <w:bottom w:val="single" w:sz="4" w:space="0" w:color="auto"/>
              <w:right w:val="single" w:sz="4" w:space="0" w:color="auto"/>
            </w:tcBorders>
            <w:shd w:val="clear" w:color="000000" w:fill="FFFFFF"/>
            <w:vAlign w:val="center"/>
            <w:hideMark/>
          </w:tcPr>
          <w:p w14:paraId="3C295729"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180</w:t>
            </w:r>
          </w:p>
        </w:tc>
        <w:tc>
          <w:tcPr>
            <w:tcW w:w="496" w:type="pct"/>
            <w:tcBorders>
              <w:top w:val="nil"/>
              <w:left w:val="nil"/>
              <w:bottom w:val="single" w:sz="4" w:space="0" w:color="auto"/>
              <w:right w:val="single" w:sz="4" w:space="0" w:color="auto"/>
            </w:tcBorders>
            <w:shd w:val="clear" w:color="000000" w:fill="FFFFFF"/>
            <w:vAlign w:val="center"/>
            <w:hideMark/>
          </w:tcPr>
          <w:p w14:paraId="1901A0A1"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6E7C0711"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Good knowledge of AMR but poor in differentiating antibiotic groups; positive attitude; acceptable practice leaning towards education</w:t>
            </w:r>
          </w:p>
        </w:tc>
      </w:tr>
      <w:tr w:rsidR="00D340EB" w:rsidRPr="00015E49" w14:paraId="7954415D"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48B0EF00" w14:textId="77777777" w:rsidR="00D340EB" w:rsidRPr="00015E49" w:rsidRDefault="00D340EB" w:rsidP="00775F7D">
            <w:pPr>
              <w:spacing w:after="0" w:line="240" w:lineRule="auto"/>
              <w:jc w:val="center"/>
              <w:rPr>
                <w:rFonts w:ascii="Arial" w:eastAsia="Courier New" w:hAnsi="Arial" w:cs="Arial"/>
                <w:kern w:val="0"/>
                <w:sz w:val="22"/>
                <w:szCs w:val="22"/>
              </w:rPr>
            </w:pPr>
            <w:proofErr w:type="spellStart"/>
            <w:r w:rsidRPr="00015E49">
              <w:rPr>
                <w:rFonts w:ascii="Arial" w:eastAsia="Courier New" w:hAnsi="Arial" w:cs="Arial"/>
                <w:kern w:val="0"/>
                <w:sz w:val="22"/>
                <w:szCs w:val="22"/>
              </w:rPr>
              <w:t>Nabeel</w:t>
            </w:r>
            <w:proofErr w:type="spellEnd"/>
            <w:r w:rsidRPr="00015E49">
              <w:rPr>
                <w:rFonts w:ascii="Arial" w:eastAsia="Courier New" w:hAnsi="Arial" w:cs="Arial"/>
                <w:kern w:val="0"/>
                <w:sz w:val="22"/>
                <w:szCs w:val="22"/>
              </w:rPr>
              <w:t xml:space="preserve"> et al. (2024)</w:t>
            </w:r>
          </w:p>
        </w:tc>
        <w:tc>
          <w:tcPr>
            <w:tcW w:w="586" w:type="pct"/>
            <w:tcBorders>
              <w:top w:val="nil"/>
              <w:left w:val="nil"/>
              <w:bottom w:val="single" w:sz="4" w:space="0" w:color="auto"/>
              <w:right w:val="single" w:sz="4" w:space="0" w:color="auto"/>
            </w:tcBorders>
            <w:shd w:val="clear" w:color="000000" w:fill="FFFFFF"/>
            <w:vAlign w:val="center"/>
            <w:hideMark/>
          </w:tcPr>
          <w:p w14:paraId="46CDBB00"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vAlign w:val="center"/>
            <w:hideMark/>
          </w:tcPr>
          <w:p w14:paraId="5D8BCD55"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Pharmacists</w:t>
            </w:r>
          </w:p>
        </w:tc>
        <w:tc>
          <w:tcPr>
            <w:tcW w:w="509" w:type="pct"/>
            <w:tcBorders>
              <w:top w:val="nil"/>
              <w:left w:val="nil"/>
              <w:bottom w:val="single" w:sz="4" w:space="0" w:color="auto"/>
              <w:right w:val="single" w:sz="4" w:space="0" w:color="auto"/>
            </w:tcBorders>
            <w:shd w:val="clear" w:color="000000" w:fill="FFFFFF"/>
            <w:vAlign w:val="center"/>
            <w:hideMark/>
          </w:tcPr>
          <w:p w14:paraId="57512A04"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359</w:t>
            </w:r>
          </w:p>
        </w:tc>
        <w:tc>
          <w:tcPr>
            <w:tcW w:w="496" w:type="pct"/>
            <w:tcBorders>
              <w:top w:val="nil"/>
              <w:left w:val="nil"/>
              <w:bottom w:val="single" w:sz="4" w:space="0" w:color="auto"/>
              <w:right w:val="single" w:sz="4" w:space="0" w:color="auto"/>
            </w:tcBorders>
            <w:shd w:val="clear" w:color="000000" w:fill="FFFFFF"/>
            <w:vAlign w:val="center"/>
            <w:hideMark/>
          </w:tcPr>
          <w:p w14:paraId="5FC5CA1F"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41E7EBF7"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Adequate knowledge, positive attitude, but poor practices regarding dispensing without prescription.</w:t>
            </w:r>
          </w:p>
        </w:tc>
      </w:tr>
      <w:tr w:rsidR="00D340EB" w:rsidRPr="00015E49" w14:paraId="4C41F446"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305C766F" w14:textId="77777777" w:rsidR="00D340EB" w:rsidRPr="00015E49" w:rsidRDefault="00D340EB" w:rsidP="00775F7D">
            <w:pPr>
              <w:spacing w:after="0" w:line="240" w:lineRule="auto"/>
              <w:jc w:val="center"/>
              <w:rPr>
                <w:rFonts w:ascii="Arial" w:eastAsia="Courier New" w:hAnsi="Arial" w:cs="Arial"/>
                <w:kern w:val="0"/>
                <w:sz w:val="22"/>
                <w:szCs w:val="22"/>
              </w:rPr>
            </w:pPr>
            <w:proofErr w:type="spellStart"/>
            <w:r w:rsidRPr="00015E49">
              <w:rPr>
                <w:rFonts w:ascii="Arial" w:eastAsia="Courier New" w:hAnsi="Arial" w:cs="Arial"/>
                <w:kern w:val="0"/>
                <w:sz w:val="22"/>
                <w:szCs w:val="22"/>
              </w:rPr>
              <w:t>Shahid</w:t>
            </w:r>
            <w:proofErr w:type="spellEnd"/>
            <w:r w:rsidRPr="00015E49">
              <w:rPr>
                <w:rFonts w:ascii="Arial" w:eastAsia="Courier New" w:hAnsi="Arial" w:cs="Arial"/>
                <w:kern w:val="0"/>
                <w:sz w:val="22"/>
                <w:szCs w:val="22"/>
              </w:rPr>
              <w:t xml:space="preserve"> et al. (2025)</w:t>
            </w:r>
          </w:p>
        </w:tc>
        <w:tc>
          <w:tcPr>
            <w:tcW w:w="586" w:type="pct"/>
            <w:tcBorders>
              <w:top w:val="nil"/>
              <w:left w:val="nil"/>
              <w:bottom w:val="single" w:sz="4" w:space="0" w:color="auto"/>
              <w:right w:val="single" w:sz="4" w:space="0" w:color="auto"/>
            </w:tcBorders>
            <w:shd w:val="clear" w:color="000000" w:fill="FFFFFF"/>
            <w:vAlign w:val="center"/>
            <w:hideMark/>
          </w:tcPr>
          <w:p w14:paraId="66385EA8"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 Mix Method</w:t>
            </w:r>
          </w:p>
        </w:tc>
        <w:tc>
          <w:tcPr>
            <w:tcW w:w="751" w:type="pct"/>
            <w:tcBorders>
              <w:top w:val="nil"/>
              <w:left w:val="nil"/>
              <w:bottom w:val="single" w:sz="4" w:space="0" w:color="auto"/>
              <w:right w:val="single" w:sz="4" w:space="0" w:color="auto"/>
            </w:tcBorders>
            <w:shd w:val="clear" w:color="000000" w:fill="FFFFFF"/>
            <w:vAlign w:val="center"/>
            <w:hideMark/>
          </w:tcPr>
          <w:p w14:paraId="1B94472C"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HCPs</w:t>
            </w:r>
          </w:p>
        </w:tc>
        <w:tc>
          <w:tcPr>
            <w:tcW w:w="509" w:type="pct"/>
            <w:tcBorders>
              <w:top w:val="nil"/>
              <w:left w:val="nil"/>
              <w:bottom w:val="single" w:sz="4" w:space="0" w:color="auto"/>
              <w:right w:val="single" w:sz="4" w:space="0" w:color="auto"/>
            </w:tcBorders>
            <w:shd w:val="clear" w:color="000000" w:fill="FFFFFF"/>
            <w:vAlign w:val="center"/>
            <w:hideMark/>
          </w:tcPr>
          <w:p w14:paraId="227B2B4B"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326</w:t>
            </w:r>
          </w:p>
        </w:tc>
        <w:tc>
          <w:tcPr>
            <w:tcW w:w="496" w:type="pct"/>
            <w:tcBorders>
              <w:top w:val="nil"/>
              <w:left w:val="nil"/>
              <w:bottom w:val="single" w:sz="4" w:space="0" w:color="auto"/>
              <w:right w:val="single" w:sz="4" w:space="0" w:color="auto"/>
            </w:tcBorders>
            <w:shd w:val="clear" w:color="000000" w:fill="FFFFFF"/>
            <w:vAlign w:val="center"/>
            <w:hideMark/>
          </w:tcPr>
          <w:p w14:paraId="6A389A96"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188F4B21"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Poor knowledge (55.5%), relatively positive attitudes (54.6%), and unfavorable practices (48.3%).</w:t>
            </w:r>
          </w:p>
        </w:tc>
      </w:tr>
      <w:tr w:rsidR="00D340EB" w:rsidRPr="00015E49" w14:paraId="19442AF2"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1944FF9E" w14:textId="77777777" w:rsidR="00D340EB" w:rsidRPr="00015E49" w:rsidRDefault="00D340EB" w:rsidP="00775F7D">
            <w:pPr>
              <w:spacing w:after="0" w:line="240" w:lineRule="auto"/>
              <w:jc w:val="center"/>
              <w:rPr>
                <w:rFonts w:ascii="Arial" w:eastAsia="Courier New" w:hAnsi="Arial" w:cs="Arial"/>
                <w:kern w:val="0"/>
                <w:sz w:val="22"/>
                <w:szCs w:val="22"/>
              </w:rPr>
            </w:pPr>
            <w:proofErr w:type="spellStart"/>
            <w:r w:rsidRPr="00015E49">
              <w:rPr>
                <w:rFonts w:ascii="Arial" w:eastAsia="Courier New" w:hAnsi="Arial" w:cs="Arial"/>
                <w:kern w:val="0"/>
                <w:sz w:val="22"/>
                <w:szCs w:val="22"/>
              </w:rPr>
              <w:t>Waseem</w:t>
            </w:r>
            <w:proofErr w:type="spellEnd"/>
            <w:r w:rsidRPr="00015E49">
              <w:rPr>
                <w:rFonts w:ascii="Arial" w:eastAsia="Courier New" w:hAnsi="Arial" w:cs="Arial"/>
                <w:kern w:val="0"/>
                <w:sz w:val="22"/>
                <w:szCs w:val="22"/>
              </w:rPr>
              <w:t xml:space="preserve"> et al. (20</w:t>
            </w:r>
            <w:r>
              <w:rPr>
                <w:rFonts w:ascii="Arial" w:eastAsia="Courier New" w:hAnsi="Arial" w:cs="Arial"/>
                <w:kern w:val="0"/>
                <w:sz w:val="22"/>
                <w:szCs w:val="22"/>
              </w:rPr>
              <w:t>19</w:t>
            </w:r>
            <w:r w:rsidRPr="00015E49">
              <w:rPr>
                <w:rFonts w:ascii="Arial" w:eastAsia="Courier New" w:hAnsi="Arial" w:cs="Arial"/>
                <w:kern w:val="0"/>
                <w:sz w:val="22"/>
                <w:szCs w:val="22"/>
              </w:rPr>
              <w:t>)</w:t>
            </w:r>
          </w:p>
        </w:tc>
        <w:tc>
          <w:tcPr>
            <w:tcW w:w="586" w:type="pct"/>
            <w:tcBorders>
              <w:top w:val="nil"/>
              <w:left w:val="nil"/>
              <w:bottom w:val="single" w:sz="4" w:space="0" w:color="auto"/>
              <w:right w:val="single" w:sz="4" w:space="0" w:color="auto"/>
            </w:tcBorders>
            <w:shd w:val="clear" w:color="000000" w:fill="FFFFFF"/>
            <w:vAlign w:val="center"/>
            <w:hideMark/>
          </w:tcPr>
          <w:p w14:paraId="070F103E"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vAlign w:val="center"/>
            <w:hideMark/>
          </w:tcPr>
          <w:p w14:paraId="67EEC4B5"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Pharmacists</w:t>
            </w:r>
          </w:p>
        </w:tc>
        <w:tc>
          <w:tcPr>
            <w:tcW w:w="509" w:type="pct"/>
            <w:tcBorders>
              <w:top w:val="nil"/>
              <w:left w:val="nil"/>
              <w:bottom w:val="single" w:sz="4" w:space="0" w:color="auto"/>
              <w:right w:val="single" w:sz="4" w:space="0" w:color="auto"/>
            </w:tcBorders>
            <w:shd w:val="clear" w:color="000000" w:fill="FFFFFF"/>
            <w:vAlign w:val="center"/>
            <w:hideMark/>
          </w:tcPr>
          <w:p w14:paraId="4DFD37B5"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385</w:t>
            </w:r>
          </w:p>
        </w:tc>
        <w:tc>
          <w:tcPr>
            <w:tcW w:w="496" w:type="pct"/>
            <w:tcBorders>
              <w:top w:val="nil"/>
              <w:left w:val="nil"/>
              <w:bottom w:val="single" w:sz="4" w:space="0" w:color="auto"/>
              <w:right w:val="single" w:sz="4" w:space="0" w:color="auto"/>
            </w:tcBorders>
            <w:shd w:val="clear" w:color="000000" w:fill="FFFFFF"/>
            <w:vAlign w:val="center"/>
            <w:hideMark/>
          </w:tcPr>
          <w:p w14:paraId="064F006F"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 &amp; A</w:t>
            </w:r>
          </w:p>
        </w:tc>
        <w:tc>
          <w:tcPr>
            <w:tcW w:w="2041" w:type="pct"/>
            <w:tcBorders>
              <w:top w:val="nil"/>
              <w:left w:val="nil"/>
              <w:bottom w:val="single" w:sz="4" w:space="0" w:color="auto"/>
              <w:right w:val="single" w:sz="4" w:space="0" w:color="auto"/>
            </w:tcBorders>
            <w:shd w:val="clear" w:color="000000" w:fill="FFFFFF"/>
            <w:vAlign w:val="center"/>
            <w:hideMark/>
          </w:tcPr>
          <w:p w14:paraId="1FD06876"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Highlighted Poor AMR knowledge; pharmacist absence and stewardship awareness highlighted significant gaps nationwide.</w:t>
            </w:r>
          </w:p>
        </w:tc>
      </w:tr>
      <w:tr w:rsidR="00D340EB" w:rsidRPr="00015E49" w14:paraId="12163603"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6730429B" w14:textId="77777777" w:rsidR="00D340EB" w:rsidRPr="00015E49" w:rsidRDefault="00D340EB" w:rsidP="00775F7D">
            <w:pPr>
              <w:spacing w:after="0" w:line="240" w:lineRule="auto"/>
              <w:jc w:val="center"/>
              <w:rPr>
                <w:rFonts w:ascii="Arial" w:eastAsia="Courier New" w:hAnsi="Arial" w:cs="Arial"/>
                <w:kern w:val="0"/>
                <w:sz w:val="22"/>
                <w:szCs w:val="22"/>
              </w:rPr>
            </w:pPr>
            <w:proofErr w:type="spellStart"/>
            <w:r w:rsidRPr="00015E49">
              <w:rPr>
                <w:rFonts w:ascii="Arial" w:eastAsia="Courier New" w:hAnsi="Arial" w:cs="Arial"/>
                <w:kern w:val="0"/>
                <w:sz w:val="22"/>
                <w:szCs w:val="22"/>
              </w:rPr>
              <w:t>Saif</w:t>
            </w:r>
            <w:proofErr w:type="spellEnd"/>
            <w:r w:rsidRPr="00015E49">
              <w:rPr>
                <w:rFonts w:ascii="Arial" w:eastAsia="Courier New" w:hAnsi="Arial" w:cs="Arial"/>
                <w:kern w:val="0"/>
                <w:sz w:val="22"/>
                <w:szCs w:val="22"/>
              </w:rPr>
              <w:t xml:space="preserve"> et al. (2024)</w:t>
            </w:r>
          </w:p>
        </w:tc>
        <w:tc>
          <w:tcPr>
            <w:tcW w:w="586" w:type="pct"/>
            <w:tcBorders>
              <w:top w:val="nil"/>
              <w:left w:val="nil"/>
              <w:bottom w:val="single" w:sz="4" w:space="0" w:color="auto"/>
              <w:right w:val="single" w:sz="4" w:space="0" w:color="auto"/>
            </w:tcBorders>
            <w:shd w:val="clear" w:color="000000" w:fill="FFFFFF"/>
            <w:vAlign w:val="center"/>
            <w:hideMark/>
          </w:tcPr>
          <w:p w14:paraId="41781318"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vAlign w:val="center"/>
            <w:hideMark/>
          </w:tcPr>
          <w:p w14:paraId="368150F1"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General Population</w:t>
            </w:r>
          </w:p>
        </w:tc>
        <w:tc>
          <w:tcPr>
            <w:tcW w:w="509" w:type="pct"/>
            <w:tcBorders>
              <w:top w:val="nil"/>
              <w:left w:val="nil"/>
              <w:bottom w:val="single" w:sz="4" w:space="0" w:color="auto"/>
              <w:right w:val="single" w:sz="4" w:space="0" w:color="auto"/>
            </w:tcBorders>
            <w:shd w:val="clear" w:color="000000" w:fill="FFFFFF"/>
            <w:vAlign w:val="center"/>
            <w:hideMark/>
          </w:tcPr>
          <w:p w14:paraId="1A0B037F"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493</w:t>
            </w:r>
          </w:p>
        </w:tc>
        <w:tc>
          <w:tcPr>
            <w:tcW w:w="496" w:type="pct"/>
            <w:tcBorders>
              <w:top w:val="nil"/>
              <w:left w:val="nil"/>
              <w:bottom w:val="single" w:sz="4" w:space="0" w:color="auto"/>
              <w:right w:val="single" w:sz="4" w:space="0" w:color="auto"/>
            </w:tcBorders>
            <w:shd w:val="clear" w:color="000000" w:fill="FFFFFF"/>
            <w:vAlign w:val="center"/>
            <w:hideMark/>
          </w:tcPr>
          <w:p w14:paraId="3391DFBA"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7E40AC12"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39.2% practiced self-medication; 42% non-adherent to treatment; significant improvement noted after video-based intervention.</w:t>
            </w:r>
          </w:p>
        </w:tc>
      </w:tr>
      <w:tr w:rsidR="00D340EB" w:rsidRPr="00015E49" w14:paraId="7960D945"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7922D426" w14:textId="77777777" w:rsidR="00D340EB" w:rsidRPr="00015E49" w:rsidRDefault="00D340EB" w:rsidP="00775F7D">
            <w:pPr>
              <w:spacing w:after="0" w:line="240" w:lineRule="auto"/>
              <w:jc w:val="center"/>
              <w:rPr>
                <w:rFonts w:ascii="Arial" w:eastAsia="Courier New" w:hAnsi="Arial" w:cs="Arial"/>
                <w:kern w:val="0"/>
                <w:sz w:val="22"/>
                <w:szCs w:val="22"/>
              </w:rPr>
            </w:pPr>
            <w:proofErr w:type="spellStart"/>
            <w:r w:rsidRPr="00015E49">
              <w:rPr>
                <w:rFonts w:ascii="Arial" w:eastAsia="Courier New" w:hAnsi="Arial" w:cs="Arial"/>
                <w:kern w:val="0"/>
                <w:sz w:val="22"/>
                <w:szCs w:val="22"/>
              </w:rPr>
              <w:t>Faizullah</w:t>
            </w:r>
            <w:proofErr w:type="spellEnd"/>
            <w:r w:rsidRPr="00015E49">
              <w:rPr>
                <w:rFonts w:ascii="Arial" w:eastAsia="Courier New" w:hAnsi="Arial" w:cs="Arial"/>
                <w:kern w:val="0"/>
                <w:sz w:val="22"/>
                <w:szCs w:val="22"/>
              </w:rPr>
              <w:t xml:space="preserve"> et al.  (2017)</w:t>
            </w:r>
          </w:p>
        </w:tc>
        <w:tc>
          <w:tcPr>
            <w:tcW w:w="586" w:type="pct"/>
            <w:tcBorders>
              <w:top w:val="nil"/>
              <w:left w:val="nil"/>
              <w:bottom w:val="single" w:sz="4" w:space="0" w:color="auto"/>
              <w:right w:val="single" w:sz="4" w:space="0" w:color="auto"/>
            </w:tcBorders>
            <w:shd w:val="clear" w:color="000000" w:fill="FFFFFF"/>
            <w:vAlign w:val="center"/>
            <w:hideMark/>
          </w:tcPr>
          <w:p w14:paraId="4831A573"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vAlign w:val="center"/>
            <w:hideMark/>
          </w:tcPr>
          <w:p w14:paraId="33A4F921"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Physicians</w:t>
            </w:r>
          </w:p>
        </w:tc>
        <w:tc>
          <w:tcPr>
            <w:tcW w:w="509" w:type="pct"/>
            <w:tcBorders>
              <w:top w:val="nil"/>
              <w:left w:val="nil"/>
              <w:bottom w:val="single" w:sz="4" w:space="0" w:color="auto"/>
              <w:right w:val="single" w:sz="4" w:space="0" w:color="auto"/>
            </w:tcBorders>
            <w:shd w:val="clear" w:color="000000" w:fill="FFFFFF"/>
            <w:vAlign w:val="center"/>
            <w:hideMark/>
          </w:tcPr>
          <w:p w14:paraId="5AF64459"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320</w:t>
            </w:r>
          </w:p>
        </w:tc>
        <w:tc>
          <w:tcPr>
            <w:tcW w:w="496" w:type="pct"/>
            <w:tcBorders>
              <w:top w:val="nil"/>
              <w:left w:val="nil"/>
              <w:bottom w:val="single" w:sz="4" w:space="0" w:color="auto"/>
              <w:right w:val="single" w:sz="4" w:space="0" w:color="auto"/>
            </w:tcBorders>
            <w:shd w:val="clear" w:color="000000" w:fill="FFFFFF"/>
            <w:vAlign w:val="center"/>
            <w:hideMark/>
          </w:tcPr>
          <w:p w14:paraId="34A8F09C"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50236830"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Generally good knowledge but flawed practices; 94.1% cited failure to complete courses as a cause of resistance.</w:t>
            </w:r>
          </w:p>
        </w:tc>
      </w:tr>
      <w:tr w:rsidR="00D340EB" w:rsidRPr="00015E49" w14:paraId="3846FAE4"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137C121F"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Ashraf et al. (2022)</w:t>
            </w:r>
          </w:p>
        </w:tc>
        <w:tc>
          <w:tcPr>
            <w:tcW w:w="586" w:type="pct"/>
            <w:tcBorders>
              <w:top w:val="nil"/>
              <w:left w:val="nil"/>
              <w:bottom w:val="single" w:sz="4" w:space="0" w:color="auto"/>
              <w:right w:val="single" w:sz="4" w:space="0" w:color="auto"/>
            </w:tcBorders>
            <w:shd w:val="clear" w:color="000000" w:fill="FFFFFF"/>
            <w:vAlign w:val="center"/>
            <w:hideMark/>
          </w:tcPr>
          <w:p w14:paraId="19CFF207"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vAlign w:val="center"/>
            <w:hideMark/>
          </w:tcPr>
          <w:p w14:paraId="5984A3F3"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Clinicians</w:t>
            </w:r>
          </w:p>
        </w:tc>
        <w:tc>
          <w:tcPr>
            <w:tcW w:w="509" w:type="pct"/>
            <w:tcBorders>
              <w:top w:val="nil"/>
              <w:left w:val="nil"/>
              <w:bottom w:val="single" w:sz="4" w:space="0" w:color="auto"/>
              <w:right w:val="single" w:sz="4" w:space="0" w:color="auto"/>
            </w:tcBorders>
            <w:shd w:val="clear" w:color="000000" w:fill="FFFFFF"/>
            <w:vAlign w:val="center"/>
            <w:hideMark/>
          </w:tcPr>
          <w:p w14:paraId="50927DF7"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336</w:t>
            </w:r>
          </w:p>
        </w:tc>
        <w:tc>
          <w:tcPr>
            <w:tcW w:w="496" w:type="pct"/>
            <w:tcBorders>
              <w:top w:val="nil"/>
              <w:left w:val="nil"/>
              <w:bottom w:val="single" w:sz="4" w:space="0" w:color="auto"/>
              <w:right w:val="single" w:sz="4" w:space="0" w:color="auto"/>
            </w:tcBorders>
            <w:shd w:val="clear" w:color="000000" w:fill="FFFFFF"/>
            <w:vAlign w:val="center"/>
            <w:hideMark/>
          </w:tcPr>
          <w:p w14:paraId="1EF73AA9"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0D921547"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Knowledge is relatively poor regarding spectrum/choice; clinicians are aware of shortcomings and desire improvement.</w:t>
            </w:r>
          </w:p>
        </w:tc>
      </w:tr>
      <w:tr w:rsidR="00D340EB" w:rsidRPr="00015E49" w14:paraId="51047A60"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1613DC37" w14:textId="77777777" w:rsidR="00D340EB" w:rsidRPr="00015E49" w:rsidRDefault="00D340EB" w:rsidP="00775F7D">
            <w:pPr>
              <w:spacing w:after="0" w:line="240" w:lineRule="auto"/>
              <w:jc w:val="center"/>
              <w:rPr>
                <w:rFonts w:ascii="Arial" w:eastAsia="Courier New" w:hAnsi="Arial" w:cs="Arial"/>
                <w:kern w:val="0"/>
                <w:sz w:val="22"/>
                <w:szCs w:val="22"/>
              </w:rPr>
            </w:pPr>
            <w:proofErr w:type="spellStart"/>
            <w:r w:rsidRPr="00015E49">
              <w:rPr>
                <w:rFonts w:ascii="Arial" w:eastAsia="Courier New" w:hAnsi="Arial" w:cs="Arial"/>
                <w:kern w:val="0"/>
                <w:sz w:val="22"/>
                <w:szCs w:val="22"/>
              </w:rPr>
              <w:t>Gillani</w:t>
            </w:r>
            <w:proofErr w:type="spellEnd"/>
            <w:r w:rsidRPr="00015E49">
              <w:rPr>
                <w:rFonts w:ascii="Arial" w:eastAsia="Courier New" w:hAnsi="Arial" w:cs="Arial"/>
                <w:kern w:val="0"/>
                <w:sz w:val="22"/>
                <w:szCs w:val="22"/>
              </w:rPr>
              <w:t xml:space="preserve"> et al. (2021)</w:t>
            </w:r>
          </w:p>
        </w:tc>
        <w:tc>
          <w:tcPr>
            <w:tcW w:w="586" w:type="pct"/>
            <w:tcBorders>
              <w:top w:val="nil"/>
              <w:left w:val="nil"/>
              <w:bottom w:val="single" w:sz="4" w:space="0" w:color="auto"/>
              <w:right w:val="single" w:sz="4" w:space="0" w:color="auto"/>
            </w:tcBorders>
            <w:shd w:val="clear" w:color="000000" w:fill="FFFFFF"/>
            <w:vAlign w:val="center"/>
            <w:hideMark/>
          </w:tcPr>
          <w:p w14:paraId="12F3E63A"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vAlign w:val="center"/>
            <w:hideMark/>
          </w:tcPr>
          <w:p w14:paraId="31D3F40C"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General Population</w:t>
            </w:r>
          </w:p>
        </w:tc>
        <w:tc>
          <w:tcPr>
            <w:tcW w:w="509" w:type="pct"/>
            <w:tcBorders>
              <w:top w:val="nil"/>
              <w:left w:val="nil"/>
              <w:bottom w:val="single" w:sz="4" w:space="0" w:color="auto"/>
              <w:right w:val="single" w:sz="4" w:space="0" w:color="auto"/>
            </w:tcBorders>
            <w:shd w:val="clear" w:color="000000" w:fill="FFFFFF"/>
            <w:vAlign w:val="center"/>
            <w:hideMark/>
          </w:tcPr>
          <w:p w14:paraId="2B4633F2"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2106</w:t>
            </w:r>
          </w:p>
        </w:tc>
        <w:tc>
          <w:tcPr>
            <w:tcW w:w="496" w:type="pct"/>
            <w:tcBorders>
              <w:top w:val="nil"/>
              <w:left w:val="nil"/>
              <w:bottom w:val="single" w:sz="4" w:space="0" w:color="auto"/>
              <w:right w:val="single" w:sz="4" w:space="0" w:color="auto"/>
            </w:tcBorders>
            <w:shd w:val="clear" w:color="000000" w:fill="FFFFFF"/>
            <w:vAlign w:val="center"/>
            <w:hideMark/>
          </w:tcPr>
          <w:p w14:paraId="3F439E9C"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20289C64"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High inappropriate use; 47.5% believed antibiotics treat cold/flu; nearly 60% practiced self-medication.</w:t>
            </w:r>
          </w:p>
        </w:tc>
      </w:tr>
      <w:tr w:rsidR="00D340EB" w:rsidRPr="00015E49" w14:paraId="5D9BDFEE"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33D78ABE"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Shah et al. (2022)</w:t>
            </w:r>
          </w:p>
        </w:tc>
        <w:tc>
          <w:tcPr>
            <w:tcW w:w="586" w:type="pct"/>
            <w:tcBorders>
              <w:top w:val="nil"/>
              <w:left w:val="nil"/>
              <w:bottom w:val="single" w:sz="4" w:space="0" w:color="auto"/>
              <w:right w:val="single" w:sz="4" w:space="0" w:color="auto"/>
            </w:tcBorders>
            <w:shd w:val="clear" w:color="000000" w:fill="FFFFFF"/>
            <w:vAlign w:val="center"/>
            <w:hideMark/>
          </w:tcPr>
          <w:p w14:paraId="6EF27B01"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noWrap/>
            <w:vAlign w:val="center"/>
            <w:hideMark/>
          </w:tcPr>
          <w:p w14:paraId="6765C95A"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Students</w:t>
            </w:r>
          </w:p>
        </w:tc>
        <w:tc>
          <w:tcPr>
            <w:tcW w:w="509" w:type="pct"/>
            <w:tcBorders>
              <w:top w:val="nil"/>
              <w:left w:val="nil"/>
              <w:bottom w:val="single" w:sz="4" w:space="0" w:color="auto"/>
              <w:right w:val="single" w:sz="4" w:space="0" w:color="auto"/>
            </w:tcBorders>
            <w:shd w:val="clear" w:color="000000" w:fill="FFFFFF"/>
            <w:vAlign w:val="center"/>
            <w:hideMark/>
          </w:tcPr>
          <w:p w14:paraId="46EA626D"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525</w:t>
            </w:r>
          </w:p>
        </w:tc>
        <w:tc>
          <w:tcPr>
            <w:tcW w:w="496" w:type="pct"/>
            <w:tcBorders>
              <w:top w:val="nil"/>
              <w:left w:val="nil"/>
              <w:bottom w:val="single" w:sz="4" w:space="0" w:color="auto"/>
              <w:right w:val="single" w:sz="4" w:space="0" w:color="auto"/>
            </w:tcBorders>
            <w:shd w:val="clear" w:color="000000" w:fill="FFFFFF"/>
            <w:vAlign w:val="center"/>
            <w:hideMark/>
          </w:tcPr>
          <w:p w14:paraId="28CEDC8C"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22EF9E62"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14% agreed antibiotics treat viral infections; 54% bought antibiotics without prescription.</w:t>
            </w:r>
          </w:p>
        </w:tc>
      </w:tr>
      <w:tr w:rsidR="00D340EB" w:rsidRPr="00015E49" w14:paraId="4671DDBE" w14:textId="77777777" w:rsidTr="00775F7D">
        <w:trPr>
          <w:trHeight w:hRule="exact" w:val="1152"/>
        </w:trPr>
        <w:tc>
          <w:tcPr>
            <w:tcW w:w="618" w:type="pct"/>
            <w:tcBorders>
              <w:top w:val="nil"/>
              <w:left w:val="single" w:sz="4" w:space="0" w:color="auto"/>
              <w:bottom w:val="single" w:sz="4" w:space="0" w:color="auto"/>
              <w:right w:val="single" w:sz="4" w:space="0" w:color="auto"/>
            </w:tcBorders>
            <w:shd w:val="clear" w:color="000000" w:fill="FFFFFF"/>
            <w:vAlign w:val="center"/>
            <w:hideMark/>
          </w:tcPr>
          <w:p w14:paraId="3FEA8E7E"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lastRenderedPageBreak/>
              <w:t>Khan et al. (2020)</w:t>
            </w:r>
          </w:p>
        </w:tc>
        <w:tc>
          <w:tcPr>
            <w:tcW w:w="586" w:type="pct"/>
            <w:tcBorders>
              <w:top w:val="nil"/>
              <w:left w:val="nil"/>
              <w:bottom w:val="single" w:sz="4" w:space="0" w:color="auto"/>
              <w:right w:val="single" w:sz="4" w:space="0" w:color="auto"/>
            </w:tcBorders>
            <w:shd w:val="clear" w:color="000000" w:fill="FFFFFF"/>
            <w:vAlign w:val="center"/>
            <w:hideMark/>
          </w:tcPr>
          <w:p w14:paraId="24695A3B"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Cross Sectional</w:t>
            </w:r>
          </w:p>
        </w:tc>
        <w:tc>
          <w:tcPr>
            <w:tcW w:w="751" w:type="pct"/>
            <w:tcBorders>
              <w:top w:val="nil"/>
              <w:left w:val="nil"/>
              <w:bottom w:val="single" w:sz="4" w:space="0" w:color="auto"/>
              <w:right w:val="single" w:sz="4" w:space="0" w:color="auto"/>
            </w:tcBorders>
            <w:shd w:val="clear" w:color="000000" w:fill="FFFFFF"/>
            <w:vAlign w:val="center"/>
            <w:hideMark/>
          </w:tcPr>
          <w:p w14:paraId="78B756D5"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Consumers</w:t>
            </w:r>
          </w:p>
        </w:tc>
        <w:tc>
          <w:tcPr>
            <w:tcW w:w="509" w:type="pct"/>
            <w:tcBorders>
              <w:top w:val="nil"/>
              <w:left w:val="nil"/>
              <w:bottom w:val="single" w:sz="4" w:space="0" w:color="auto"/>
              <w:right w:val="single" w:sz="4" w:space="0" w:color="auto"/>
            </w:tcBorders>
            <w:shd w:val="clear" w:color="000000" w:fill="FFFFFF"/>
            <w:vAlign w:val="center"/>
            <w:hideMark/>
          </w:tcPr>
          <w:p w14:paraId="2C8B1B92"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399</w:t>
            </w:r>
          </w:p>
        </w:tc>
        <w:tc>
          <w:tcPr>
            <w:tcW w:w="496" w:type="pct"/>
            <w:tcBorders>
              <w:top w:val="nil"/>
              <w:left w:val="nil"/>
              <w:bottom w:val="single" w:sz="4" w:space="0" w:color="auto"/>
              <w:right w:val="single" w:sz="4" w:space="0" w:color="auto"/>
            </w:tcBorders>
            <w:shd w:val="clear" w:color="000000" w:fill="FFFFFF"/>
            <w:vAlign w:val="center"/>
            <w:hideMark/>
          </w:tcPr>
          <w:p w14:paraId="6FAD82FB"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KAP</w:t>
            </w:r>
          </w:p>
        </w:tc>
        <w:tc>
          <w:tcPr>
            <w:tcW w:w="2041" w:type="pct"/>
            <w:tcBorders>
              <w:top w:val="nil"/>
              <w:left w:val="nil"/>
              <w:bottom w:val="single" w:sz="4" w:space="0" w:color="auto"/>
              <w:right w:val="single" w:sz="4" w:space="0" w:color="auto"/>
            </w:tcBorders>
            <w:shd w:val="clear" w:color="000000" w:fill="FFFFFF"/>
            <w:vAlign w:val="center"/>
            <w:hideMark/>
          </w:tcPr>
          <w:p w14:paraId="6E86DA4E" w14:textId="77777777" w:rsidR="00D340EB" w:rsidRPr="00015E49" w:rsidRDefault="00D340EB" w:rsidP="00775F7D">
            <w:pPr>
              <w:spacing w:after="0" w:line="240" w:lineRule="auto"/>
              <w:jc w:val="center"/>
              <w:rPr>
                <w:rFonts w:ascii="Arial" w:eastAsia="Courier New" w:hAnsi="Arial" w:cs="Arial"/>
                <w:kern w:val="0"/>
                <w:sz w:val="22"/>
                <w:szCs w:val="22"/>
              </w:rPr>
            </w:pPr>
            <w:r w:rsidRPr="00015E49">
              <w:rPr>
                <w:rFonts w:ascii="Arial" w:eastAsia="Courier New" w:hAnsi="Arial" w:cs="Arial"/>
                <w:kern w:val="0"/>
                <w:sz w:val="22"/>
                <w:szCs w:val="22"/>
              </w:rPr>
              <w:t>Poor to moderate knowledge; 66.7% did not follow prescribed dosage regimen; storage of antibiotics at home was common.</w:t>
            </w:r>
          </w:p>
        </w:tc>
      </w:tr>
    </w:tbl>
    <w:p w14:paraId="1954A229" w14:textId="77777777" w:rsidR="00D340EB" w:rsidRPr="00015E49" w:rsidRDefault="00D340EB" w:rsidP="00D340EB">
      <w:pPr>
        <w:spacing w:line="360" w:lineRule="auto"/>
        <w:jc w:val="both"/>
        <w:rPr>
          <w:rFonts w:ascii="Arial" w:hAnsi="Arial" w:cs="Arial"/>
          <w:sz w:val="22"/>
          <w:szCs w:val="22"/>
        </w:rPr>
      </w:pPr>
    </w:p>
    <w:p w14:paraId="5EDDB418" w14:textId="77777777" w:rsidR="00D340EB" w:rsidRDefault="00D340EB" w:rsidP="00D340EB">
      <w:pPr>
        <w:autoSpaceDE w:val="0"/>
        <w:autoSpaceDN w:val="0"/>
        <w:adjustRightInd w:val="0"/>
        <w:spacing w:after="0" w:line="360" w:lineRule="auto"/>
        <w:jc w:val="both"/>
        <w:rPr>
          <w:rFonts w:ascii="Arial" w:hAnsi="Arial" w:cs="Arial"/>
          <w:sz w:val="22"/>
          <w:szCs w:val="22"/>
        </w:rPr>
      </w:pPr>
      <w:r w:rsidRPr="008D46BD">
        <w:rPr>
          <w:rFonts w:ascii="Arial" w:hAnsi="Arial" w:cs="Arial"/>
          <w:sz w:val="22"/>
          <w:szCs w:val="22"/>
        </w:rPr>
        <w:t>Based on these peculiarities of the studies, the data analysis represented in Table 4 outlines the distribution of quantitative studies and explains the tendency in region</w:t>
      </w:r>
      <w:r>
        <w:rPr>
          <w:rFonts w:ascii="Arial" w:hAnsi="Arial" w:cs="Arial"/>
          <w:sz w:val="22"/>
          <w:szCs w:val="22"/>
        </w:rPr>
        <w:t>s, methods, subject populations</w:t>
      </w:r>
      <w:r w:rsidRPr="008D46BD">
        <w:rPr>
          <w:rFonts w:ascii="Arial" w:hAnsi="Arial" w:cs="Arial"/>
          <w:sz w:val="22"/>
          <w:szCs w:val="22"/>
        </w:rPr>
        <w:t xml:space="preserve"> and sample sizes. With an average sample size of 523.70 subjects (SD = 567.58, variance = 322,148.01) and uniform allocation of the scoring values between studies, we can conclude that the data show significant universality of the study approach and method used. Nevertheless, these peculiarities can be explained by different settings for</w:t>
      </w:r>
      <w:r>
        <w:rPr>
          <w:rFonts w:ascii="Arial" w:hAnsi="Arial" w:cs="Arial"/>
          <w:sz w:val="22"/>
          <w:szCs w:val="22"/>
        </w:rPr>
        <w:t xml:space="preserve"> antimicrobial resistance KAP to</w:t>
      </w:r>
      <w:r w:rsidRPr="008D46BD">
        <w:rPr>
          <w:rFonts w:ascii="Arial" w:hAnsi="Arial" w:cs="Arial"/>
          <w:sz w:val="22"/>
          <w:szCs w:val="22"/>
        </w:rPr>
        <w:t xml:space="preserve"> be evaluated. It proves that public studies can take data for the analysis but not in the case of the use of narrower populations for reference.</w:t>
      </w:r>
    </w:p>
    <w:p w14:paraId="7A52D535" w14:textId="77777777" w:rsidR="00D340EB" w:rsidRPr="00015E49" w:rsidRDefault="00D340EB" w:rsidP="00D340EB">
      <w:pPr>
        <w:autoSpaceDE w:val="0"/>
        <w:autoSpaceDN w:val="0"/>
        <w:adjustRightInd w:val="0"/>
        <w:spacing w:after="0" w:line="240" w:lineRule="auto"/>
        <w:rPr>
          <w:rFonts w:ascii="Arial" w:hAnsi="Arial" w:cs="Arial"/>
          <w:sz w:val="22"/>
          <w:szCs w:val="22"/>
        </w:rPr>
      </w:pPr>
      <w:r w:rsidRPr="00015E49">
        <w:rPr>
          <w:rFonts w:ascii="Arial" w:hAnsi="Arial" w:cs="Arial"/>
          <w:kern w:val="0"/>
          <w:sz w:val="22"/>
          <w:szCs w:val="22"/>
        </w:rPr>
        <w:t xml:space="preserve">Table 4: </w:t>
      </w:r>
      <w:r w:rsidRPr="00015E49">
        <w:rPr>
          <w:rFonts w:ascii="Arial" w:hAnsi="Arial" w:cs="Arial"/>
          <w:sz w:val="22"/>
          <w:szCs w:val="22"/>
        </w:rPr>
        <w:t>Descriptive Statistics of identifies Studies</w:t>
      </w:r>
    </w:p>
    <w:p w14:paraId="56CA3FF3" w14:textId="77777777" w:rsidR="00D340EB" w:rsidRPr="00015E49" w:rsidRDefault="00D340EB" w:rsidP="00D340EB">
      <w:pPr>
        <w:autoSpaceDE w:val="0"/>
        <w:autoSpaceDN w:val="0"/>
        <w:adjustRightInd w:val="0"/>
        <w:spacing w:after="0" w:line="240" w:lineRule="auto"/>
        <w:rPr>
          <w:rFonts w:ascii="Arial" w:hAnsi="Arial" w:cs="Arial"/>
          <w:kern w:val="0"/>
          <w:sz w:val="22"/>
          <w:szCs w:val="22"/>
        </w:rPr>
      </w:pPr>
    </w:p>
    <w:tbl>
      <w:tblPr>
        <w:tblW w:w="486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000" w:firstRow="0" w:lastRow="0" w:firstColumn="0" w:lastColumn="0" w:noHBand="0" w:noVBand="0"/>
      </w:tblPr>
      <w:tblGrid>
        <w:gridCol w:w="2264"/>
        <w:gridCol w:w="1809"/>
        <w:gridCol w:w="1733"/>
        <w:gridCol w:w="1809"/>
        <w:gridCol w:w="1805"/>
      </w:tblGrid>
      <w:tr w:rsidR="00D340EB" w:rsidRPr="00015E49" w14:paraId="5A57BF98" w14:textId="77777777" w:rsidTr="00775F7D">
        <w:trPr>
          <w:cantSplit/>
          <w:trHeight w:val="827"/>
        </w:trPr>
        <w:tc>
          <w:tcPr>
            <w:tcW w:w="1202" w:type="pct"/>
            <w:tcBorders>
              <w:bottom w:val="nil"/>
            </w:tcBorders>
            <w:shd w:val="clear" w:color="auto" w:fill="D9D9D9"/>
            <w:vAlign w:val="bottom"/>
          </w:tcPr>
          <w:p w14:paraId="2804241F"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Determinants</w:t>
            </w:r>
          </w:p>
        </w:tc>
        <w:tc>
          <w:tcPr>
            <w:tcW w:w="960" w:type="pct"/>
            <w:shd w:val="clear" w:color="auto" w:fill="D9D9D9"/>
            <w:vAlign w:val="bottom"/>
          </w:tcPr>
          <w:p w14:paraId="41EA80BE"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Study Regional Distribution</w:t>
            </w:r>
          </w:p>
        </w:tc>
        <w:tc>
          <w:tcPr>
            <w:tcW w:w="920" w:type="pct"/>
            <w:shd w:val="clear" w:color="auto" w:fill="D9D9D9"/>
            <w:vAlign w:val="bottom"/>
          </w:tcPr>
          <w:p w14:paraId="5C59DDCD"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Study Design</w:t>
            </w:r>
          </w:p>
        </w:tc>
        <w:tc>
          <w:tcPr>
            <w:tcW w:w="960" w:type="pct"/>
            <w:shd w:val="clear" w:color="auto" w:fill="D9D9D9"/>
            <w:vAlign w:val="bottom"/>
          </w:tcPr>
          <w:p w14:paraId="7E9EE712"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Sample Population</w:t>
            </w:r>
          </w:p>
        </w:tc>
        <w:tc>
          <w:tcPr>
            <w:tcW w:w="958" w:type="pct"/>
            <w:shd w:val="clear" w:color="auto" w:fill="D9D9D9"/>
            <w:vAlign w:val="bottom"/>
          </w:tcPr>
          <w:p w14:paraId="3113A96E"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Study Sample Size</w:t>
            </w:r>
          </w:p>
        </w:tc>
      </w:tr>
      <w:tr w:rsidR="00D340EB" w:rsidRPr="00015E49" w14:paraId="656E9A3E" w14:textId="77777777" w:rsidTr="00775F7D">
        <w:trPr>
          <w:cantSplit/>
          <w:trHeight w:val="407"/>
        </w:trPr>
        <w:tc>
          <w:tcPr>
            <w:tcW w:w="1202" w:type="pct"/>
            <w:tcBorders>
              <w:top w:val="single" w:sz="4" w:space="0" w:color="auto"/>
              <w:left w:val="single" w:sz="4" w:space="0" w:color="auto"/>
              <w:bottom w:val="single" w:sz="4" w:space="0" w:color="auto"/>
              <w:right w:val="single" w:sz="4" w:space="0" w:color="auto"/>
            </w:tcBorders>
          </w:tcPr>
          <w:p w14:paraId="735E13DD"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Number of Studies</w:t>
            </w:r>
          </w:p>
        </w:tc>
        <w:tc>
          <w:tcPr>
            <w:tcW w:w="960" w:type="pct"/>
            <w:tcBorders>
              <w:left w:val="nil"/>
            </w:tcBorders>
          </w:tcPr>
          <w:p w14:paraId="7B2D09D4"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10</w:t>
            </w:r>
          </w:p>
        </w:tc>
        <w:tc>
          <w:tcPr>
            <w:tcW w:w="920" w:type="pct"/>
          </w:tcPr>
          <w:p w14:paraId="09DF16A9"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10</w:t>
            </w:r>
          </w:p>
        </w:tc>
        <w:tc>
          <w:tcPr>
            <w:tcW w:w="960" w:type="pct"/>
          </w:tcPr>
          <w:p w14:paraId="4E75029F"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10</w:t>
            </w:r>
          </w:p>
        </w:tc>
        <w:tc>
          <w:tcPr>
            <w:tcW w:w="958" w:type="pct"/>
          </w:tcPr>
          <w:p w14:paraId="79F2748F"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10</w:t>
            </w:r>
          </w:p>
        </w:tc>
      </w:tr>
      <w:tr w:rsidR="00D340EB" w:rsidRPr="00015E49" w14:paraId="100FBB89" w14:textId="77777777" w:rsidTr="00775F7D">
        <w:trPr>
          <w:cantSplit/>
          <w:trHeight w:val="419"/>
        </w:trPr>
        <w:tc>
          <w:tcPr>
            <w:tcW w:w="1202" w:type="pct"/>
            <w:tcBorders>
              <w:top w:val="single" w:sz="4" w:space="0" w:color="auto"/>
            </w:tcBorders>
          </w:tcPr>
          <w:p w14:paraId="5F2025F2"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Mean</w:t>
            </w:r>
          </w:p>
        </w:tc>
        <w:tc>
          <w:tcPr>
            <w:tcW w:w="960" w:type="pct"/>
          </w:tcPr>
          <w:p w14:paraId="6F5CA48E"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2.20</w:t>
            </w:r>
          </w:p>
        </w:tc>
        <w:tc>
          <w:tcPr>
            <w:tcW w:w="920" w:type="pct"/>
          </w:tcPr>
          <w:p w14:paraId="5021CE27"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1.20</w:t>
            </w:r>
          </w:p>
        </w:tc>
        <w:tc>
          <w:tcPr>
            <w:tcW w:w="960" w:type="pct"/>
          </w:tcPr>
          <w:p w14:paraId="3BEE7DAB"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2.60</w:t>
            </w:r>
          </w:p>
        </w:tc>
        <w:tc>
          <w:tcPr>
            <w:tcW w:w="958" w:type="pct"/>
          </w:tcPr>
          <w:p w14:paraId="4757D83F"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523.70</w:t>
            </w:r>
          </w:p>
        </w:tc>
      </w:tr>
      <w:tr w:rsidR="00D340EB" w:rsidRPr="00015E49" w14:paraId="4670FD74" w14:textId="77777777" w:rsidTr="00775F7D">
        <w:trPr>
          <w:cantSplit/>
          <w:trHeight w:val="407"/>
        </w:trPr>
        <w:tc>
          <w:tcPr>
            <w:tcW w:w="1202" w:type="pct"/>
          </w:tcPr>
          <w:p w14:paraId="469A37A8"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Std. Error of Mean</w:t>
            </w:r>
          </w:p>
        </w:tc>
        <w:tc>
          <w:tcPr>
            <w:tcW w:w="960" w:type="pct"/>
          </w:tcPr>
          <w:p w14:paraId="25560D69"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.327</w:t>
            </w:r>
          </w:p>
        </w:tc>
        <w:tc>
          <w:tcPr>
            <w:tcW w:w="920" w:type="pct"/>
          </w:tcPr>
          <w:p w14:paraId="714D45C4"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.133</w:t>
            </w:r>
          </w:p>
        </w:tc>
        <w:tc>
          <w:tcPr>
            <w:tcW w:w="960" w:type="pct"/>
          </w:tcPr>
          <w:p w14:paraId="3C7A5B20"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.427</w:t>
            </w:r>
          </w:p>
        </w:tc>
        <w:tc>
          <w:tcPr>
            <w:tcW w:w="958" w:type="pct"/>
          </w:tcPr>
          <w:p w14:paraId="3D06BC42"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179.485</w:t>
            </w:r>
          </w:p>
        </w:tc>
      </w:tr>
      <w:tr w:rsidR="00D340EB" w:rsidRPr="00015E49" w14:paraId="24525E10" w14:textId="77777777" w:rsidTr="00775F7D">
        <w:trPr>
          <w:cantSplit/>
          <w:trHeight w:val="419"/>
        </w:trPr>
        <w:tc>
          <w:tcPr>
            <w:tcW w:w="1202" w:type="pct"/>
          </w:tcPr>
          <w:p w14:paraId="77B81DEF"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Std. Deviation</w:t>
            </w:r>
          </w:p>
        </w:tc>
        <w:tc>
          <w:tcPr>
            <w:tcW w:w="960" w:type="pct"/>
          </w:tcPr>
          <w:p w14:paraId="6D614F02"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1.033</w:t>
            </w:r>
          </w:p>
        </w:tc>
        <w:tc>
          <w:tcPr>
            <w:tcW w:w="920" w:type="pct"/>
          </w:tcPr>
          <w:p w14:paraId="4921033A"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.422</w:t>
            </w:r>
          </w:p>
        </w:tc>
        <w:tc>
          <w:tcPr>
            <w:tcW w:w="960" w:type="pct"/>
          </w:tcPr>
          <w:p w14:paraId="12859985"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1.350</w:t>
            </w:r>
          </w:p>
        </w:tc>
        <w:tc>
          <w:tcPr>
            <w:tcW w:w="958" w:type="pct"/>
          </w:tcPr>
          <w:p w14:paraId="2A5F47CD"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567.581</w:t>
            </w:r>
          </w:p>
        </w:tc>
      </w:tr>
      <w:tr w:rsidR="00D340EB" w:rsidRPr="00015E49" w14:paraId="2D0EA69B" w14:textId="77777777" w:rsidTr="00775F7D">
        <w:trPr>
          <w:cantSplit/>
          <w:trHeight w:val="419"/>
        </w:trPr>
        <w:tc>
          <w:tcPr>
            <w:tcW w:w="1202" w:type="pct"/>
          </w:tcPr>
          <w:p w14:paraId="06EF5672"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Range</w:t>
            </w:r>
          </w:p>
        </w:tc>
        <w:tc>
          <w:tcPr>
            <w:tcW w:w="960" w:type="pct"/>
          </w:tcPr>
          <w:p w14:paraId="26D40398"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3</w:t>
            </w:r>
          </w:p>
        </w:tc>
        <w:tc>
          <w:tcPr>
            <w:tcW w:w="920" w:type="pct"/>
          </w:tcPr>
          <w:p w14:paraId="2E9AB031"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w:t>
            </w:r>
          </w:p>
        </w:tc>
        <w:tc>
          <w:tcPr>
            <w:tcW w:w="960" w:type="pct"/>
          </w:tcPr>
          <w:p w14:paraId="7F6616B2"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3</w:t>
            </w:r>
          </w:p>
        </w:tc>
        <w:tc>
          <w:tcPr>
            <w:tcW w:w="958" w:type="pct"/>
          </w:tcPr>
          <w:p w14:paraId="0A81B523"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1926</w:t>
            </w:r>
          </w:p>
        </w:tc>
      </w:tr>
      <w:tr w:rsidR="00D340EB" w:rsidRPr="00015E49" w14:paraId="62B13E15" w14:textId="77777777" w:rsidTr="00775F7D">
        <w:trPr>
          <w:cantSplit/>
          <w:trHeight w:val="407"/>
        </w:trPr>
        <w:tc>
          <w:tcPr>
            <w:tcW w:w="1202" w:type="pct"/>
          </w:tcPr>
          <w:p w14:paraId="261A4634"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Minimum</w:t>
            </w:r>
          </w:p>
        </w:tc>
        <w:tc>
          <w:tcPr>
            <w:tcW w:w="960" w:type="pct"/>
          </w:tcPr>
          <w:p w14:paraId="5903EDB7"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w:t>
            </w:r>
          </w:p>
        </w:tc>
        <w:tc>
          <w:tcPr>
            <w:tcW w:w="920" w:type="pct"/>
          </w:tcPr>
          <w:p w14:paraId="06C3617F"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w:t>
            </w:r>
          </w:p>
        </w:tc>
        <w:tc>
          <w:tcPr>
            <w:tcW w:w="960" w:type="pct"/>
          </w:tcPr>
          <w:p w14:paraId="107FFAB7"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w:t>
            </w:r>
          </w:p>
        </w:tc>
        <w:tc>
          <w:tcPr>
            <w:tcW w:w="958" w:type="pct"/>
          </w:tcPr>
          <w:p w14:paraId="18C1ED17"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180</w:t>
            </w:r>
          </w:p>
        </w:tc>
      </w:tr>
      <w:tr w:rsidR="00D340EB" w:rsidRPr="00015E49" w14:paraId="6408B980" w14:textId="77777777" w:rsidTr="00775F7D">
        <w:trPr>
          <w:cantSplit/>
          <w:trHeight w:val="407"/>
        </w:trPr>
        <w:tc>
          <w:tcPr>
            <w:tcW w:w="1202" w:type="pct"/>
          </w:tcPr>
          <w:p w14:paraId="44A78458"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Maximum</w:t>
            </w:r>
          </w:p>
        </w:tc>
        <w:tc>
          <w:tcPr>
            <w:tcW w:w="960" w:type="pct"/>
          </w:tcPr>
          <w:p w14:paraId="698D0034"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4</w:t>
            </w:r>
          </w:p>
        </w:tc>
        <w:tc>
          <w:tcPr>
            <w:tcW w:w="920" w:type="pct"/>
          </w:tcPr>
          <w:p w14:paraId="614DBBBB"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2</w:t>
            </w:r>
          </w:p>
        </w:tc>
        <w:tc>
          <w:tcPr>
            <w:tcW w:w="960" w:type="pct"/>
          </w:tcPr>
          <w:p w14:paraId="7E27E3E6"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4</w:t>
            </w:r>
          </w:p>
        </w:tc>
        <w:tc>
          <w:tcPr>
            <w:tcW w:w="958" w:type="pct"/>
          </w:tcPr>
          <w:p w14:paraId="5B5EEF21" w14:textId="77777777" w:rsidR="00D340EB" w:rsidRPr="00015E49" w:rsidRDefault="00D340EB" w:rsidP="00775F7D">
            <w:pPr>
              <w:jc w:val="center"/>
              <w:rPr>
                <w:rFonts w:ascii="Arial" w:hAnsi="Arial" w:cs="Arial"/>
                <w:sz w:val="22"/>
                <w:szCs w:val="22"/>
              </w:rPr>
            </w:pPr>
            <w:r w:rsidRPr="00015E49">
              <w:rPr>
                <w:rFonts w:ascii="Arial" w:hAnsi="Arial" w:cs="Arial"/>
                <w:sz w:val="22"/>
                <w:szCs w:val="22"/>
              </w:rPr>
              <w:t>2106</w:t>
            </w:r>
          </w:p>
        </w:tc>
      </w:tr>
    </w:tbl>
    <w:p w14:paraId="3DC14EA6" w14:textId="77777777" w:rsidR="00D340EB" w:rsidRPr="00015E49" w:rsidRDefault="00D340EB" w:rsidP="00D340EB">
      <w:pPr>
        <w:spacing w:line="360" w:lineRule="auto"/>
        <w:jc w:val="both"/>
        <w:rPr>
          <w:rFonts w:ascii="Arial" w:hAnsi="Arial" w:cs="Arial"/>
          <w:sz w:val="22"/>
          <w:szCs w:val="22"/>
        </w:rPr>
      </w:pPr>
    </w:p>
    <w:p w14:paraId="3BF30667" w14:textId="77777777" w:rsidR="00D340EB" w:rsidRPr="00015E49" w:rsidRDefault="00D340EB" w:rsidP="00D340EB">
      <w:pPr>
        <w:spacing w:line="360" w:lineRule="auto"/>
        <w:jc w:val="both"/>
        <w:rPr>
          <w:rFonts w:ascii="Arial" w:hAnsi="Arial" w:cs="Arial"/>
          <w:sz w:val="22"/>
          <w:szCs w:val="22"/>
        </w:rPr>
      </w:pPr>
      <w:r w:rsidRPr="008D46BD">
        <w:rPr>
          <w:rFonts w:ascii="Arial" w:hAnsi="Arial" w:cs="Arial"/>
          <w:sz w:val="22"/>
          <w:szCs w:val="22"/>
        </w:rPr>
        <w:t>As shown in Table 5, the knowledge levels show</w:t>
      </w:r>
      <w:r>
        <w:rPr>
          <w:rFonts w:ascii="Arial" w:hAnsi="Arial" w:cs="Arial"/>
          <w:sz w:val="22"/>
          <w:szCs w:val="22"/>
        </w:rPr>
        <w:t>ed</w:t>
      </w:r>
      <w:r w:rsidRPr="008D46BD">
        <w:rPr>
          <w:rFonts w:ascii="Arial" w:hAnsi="Arial" w:cs="Arial"/>
          <w:sz w:val="22"/>
          <w:szCs w:val="22"/>
        </w:rPr>
        <w:t xml:space="preserve"> that the overall knowledge of antimicrobia</w:t>
      </w:r>
      <w:r>
        <w:rPr>
          <w:rFonts w:ascii="Arial" w:hAnsi="Arial" w:cs="Arial"/>
          <w:sz w:val="22"/>
          <w:szCs w:val="22"/>
        </w:rPr>
        <w:t>l resistance is adequate</w:t>
      </w:r>
      <w:r w:rsidRPr="008D46BD">
        <w:rPr>
          <w:rFonts w:ascii="Arial" w:hAnsi="Arial" w:cs="Arial"/>
          <w:sz w:val="22"/>
          <w:szCs w:val="22"/>
        </w:rPr>
        <w:t xml:space="preserve"> reaching the</w:t>
      </w:r>
      <w:r>
        <w:rPr>
          <w:rFonts w:ascii="Arial" w:hAnsi="Arial" w:cs="Arial"/>
          <w:sz w:val="22"/>
          <w:szCs w:val="22"/>
        </w:rPr>
        <w:t xml:space="preserve"> average value of 59.88 percent</w:t>
      </w:r>
      <w:r w:rsidRPr="008D46BD">
        <w:rPr>
          <w:rFonts w:ascii="Arial" w:hAnsi="Arial" w:cs="Arial"/>
          <w:sz w:val="22"/>
          <w:szCs w:val="22"/>
        </w:rPr>
        <w:t xml:space="preserve"> there are some gaps in some respects and groups of populations as well. The maximum amounts of knowledge were mainly found among the university students and students at medical schools with the values of 86% and 85% respectively, while the lowest values were observed among the consumers in the community a</w:t>
      </w:r>
      <w:r>
        <w:rPr>
          <w:rFonts w:ascii="Arial" w:hAnsi="Arial" w:cs="Arial"/>
          <w:sz w:val="22"/>
          <w:szCs w:val="22"/>
        </w:rPr>
        <w:t>nd among the staff in hospitals</w:t>
      </w:r>
      <w:r w:rsidRPr="008D46BD">
        <w:rPr>
          <w:rFonts w:ascii="Arial" w:hAnsi="Arial" w:cs="Arial"/>
          <w:sz w:val="22"/>
          <w:szCs w:val="22"/>
        </w:rPr>
        <w:t xml:space="preserve"> where low knowledge values reached the point of 66%. Additionally, there is still much confusion in the field of public health, for instance, the beliefs that antibiotics can </w:t>
      </w:r>
      <w:r w:rsidRPr="008D46BD">
        <w:rPr>
          <w:rFonts w:ascii="Arial" w:hAnsi="Arial" w:cs="Arial"/>
          <w:sz w:val="22"/>
          <w:szCs w:val="22"/>
        </w:rPr>
        <w:lastRenderedPageBreak/>
        <w:t>help with the cold and the flu and the ignorance of the public regarding the impact of the antimic</w:t>
      </w:r>
      <w:r>
        <w:rPr>
          <w:rFonts w:ascii="Arial" w:hAnsi="Arial" w:cs="Arial"/>
          <w:sz w:val="22"/>
          <w:szCs w:val="22"/>
        </w:rPr>
        <w:t>robial resistance</w:t>
      </w:r>
      <w:r w:rsidRPr="00015E49">
        <w:rPr>
          <w:rFonts w:ascii="Arial" w:hAnsi="Arial" w:cs="Arial"/>
          <w:sz w:val="22"/>
          <w:szCs w:val="22"/>
        </w:rPr>
        <w:t xml:space="preserve">. </w:t>
      </w:r>
    </w:p>
    <w:p w14:paraId="75497DEC"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Table 5: Distribution of KAP Outcomes among included Studies (n=10).</w:t>
      </w:r>
    </w:p>
    <w:tbl>
      <w:tblPr>
        <w:tblW w:w="4912" w:type="pct"/>
        <w:tblLook w:val="04A0" w:firstRow="1" w:lastRow="0" w:firstColumn="1" w:lastColumn="0" w:noHBand="0" w:noVBand="1"/>
      </w:tblPr>
      <w:tblGrid>
        <w:gridCol w:w="2332"/>
        <w:gridCol w:w="1390"/>
        <w:gridCol w:w="1390"/>
        <w:gridCol w:w="1134"/>
        <w:gridCol w:w="1134"/>
        <w:gridCol w:w="1134"/>
        <w:gridCol w:w="1134"/>
      </w:tblGrid>
      <w:tr w:rsidR="00D340EB" w:rsidRPr="00015E49" w14:paraId="15311919" w14:textId="77777777" w:rsidTr="00775F7D">
        <w:trPr>
          <w:trHeight w:val="694"/>
        </w:trPr>
        <w:tc>
          <w:tcPr>
            <w:tcW w:w="1202" w:type="pct"/>
            <w:vMerge w:val="restart"/>
            <w:tcBorders>
              <w:top w:val="single" w:sz="4" w:space="0" w:color="auto"/>
              <w:left w:val="single" w:sz="4" w:space="0" w:color="auto"/>
              <w:bottom w:val="single" w:sz="4" w:space="0" w:color="auto"/>
              <w:right w:val="single" w:sz="4" w:space="0" w:color="auto"/>
            </w:tcBorders>
            <w:shd w:val="clear" w:color="000000" w:fill="D9D9D9"/>
            <w:vAlign w:val="center"/>
            <w:hideMark/>
          </w:tcPr>
          <w:p w14:paraId="1F70C524"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Studies</w:t>
            </w:r>
          </w:p>
        </w:tc>
        <w:tc>
          <w:tcPr>
            <w:tcW w:w="1403" w:type="pct"/>
            <w:gridSpan w:val="2"/>
            <w:tcBorders>
              <w:top w:val="single" w:sz="4" w:space="0" w:color="auto"/>
              <w:left w:val="nil"/>
              <w:bottom w:val="single" w:sz="4" w:space="0" w:color="auto"/>
              <w:right w:val="single" w:sz="4" w:space="0" w:color="auto"/>
            </w:tcBorders>
            <w:shd w:val="clear" w:color="auto" w:fill="D9F2D0"/>
            <w:vAlign w:val="bottom"/>
          </w:tcPr>
          <w:p w14:paraId="4447BA0A" w14:textId="77777777" w:rsidR="00D340EB" w:rsidRPr="00015E49" w:rsidRDefault="00D340EB" w:rsidP="00775F7D">
            <w:pPr>
              <w:spacing w:after="0" w:line="240" w:lineRule="auto"/>
              <w:jc w:val="center"/>
              <w:rPr>
                <w:rFonts w:ascii="Arial" w:hAnsi="Arial" w:cs="Arial"/>
                <w:b/>
                <w:bCs/>
                <w:color w:val="000000"/>
                <w:kern w:val="0"/>
                <w:sz w:val="22"/>
                <w:szCs w:val="22"/>
              </w:rPr>
            </w:pPr>
            <w:r w:rsidRPr="00015E49">
              <w:rPr>
                <w:rFonts w:ascii="Arial" w:hAnsi="Arial" w:cs="Arial"/>
                <w:b/>
                <w:bCs/>
                <w:color w:val="000000"/>
                <w:sz w:val="22"/>
                <w:szCs w:val="22"/>
              </w:rPr>
              <w:t>Knowledge</w:t>
            </w:r>
          </w:p>
          <w:p w14:paraId="0EB8E1CF"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p>
        </w:tc>
        <w:tc>
          <w:tcPr>
            <w:tcW w:w="1245" w:type="pct"/>
            <w:gridSpan w:val="2"/>
            <w:tcBorders>
              <w:top w:val="single" w:sz="4" w:space="0" w:color="auto"/>
              <w:left w:val="nil"/>
              <w:bottom w:val="single" w:sz="4" w:space="0" w:color="auto"/>
              <w:right w:val="single" w:sz="4" w:space="0" w:color="auto"/>
            </w:tcBorders>
            <w:shd w:val="clear" w:color="auto" w:fill="D9F2D0"/>
            <w:vAlign w:val="bottom"/>
          </w:tcPr>
          <w:p w14:paraId="65BB834F" w14:textId="77777777" w:rsidR="00D340EB" w:rsidRPr="00015E49" w:rsidRDefault="00D340EB" w:rsidP="00775F7D">
            <w:pPr>
              <w:spacing w:after="0" w:line="240" w:lineRule="auto"/>
              <w:jc w:val="center"/>
              <w:rPr>
                <w:rFonts w:ascii="Arial" w:hAnsi="Arial" w:cs="Arial"/>
                <w:b/>
                <w:bCs/>
                <w:color w:val="000000"/>
                <w:kern w:val="0"/>
                <w:sz w:val="22"/>
                <w:szCs w:val="22"/>
              </w:rPr>
            </w:pPr>
            <w:r w:rsidRPr="00015E49">
              <w:rPr>
                <w:rFonts w:ascii="Arial" w:hAnsi="Arial" w:cs="Arial"/>
                <w:b/>
                <w:bCs/>
                <w:color w:val="000000"/>
                <w:sz w:val="22"/>
                <w:szCs w:val="22"/>
              </w:rPr>
              <w:t xml:space="preserve">Attitude </w:t>
            </w:r>
          </w:p>
          <w:p w14:paraId="65A967FB"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p>
        </w:tc>
        <w:tc>
          <w:tcPr>
            <w:tcW w:w="1149" w:type="pct"/>
            <w:gridSpan w:val="2"/>
            <w:tcBorders>
              <w:top w:val="single" w:sz="4" w:space="0" w:color="auto"/>
              <w:left w:val="nil"/>
              <w:bottom w:val="single" w:sz="4" w:space="0" w:color="auto"/>
              <w:right w:val="single" w:sz="4" w:space="0" w:color="auto"/>
            </w:tcBorders>
            <w:shd w:val="clear" w:color="auto" w:fill="D9F2D0"/>
            <w:vAlign w:val="bottom"/>
          </w:tcPr>
          <w:p w14:paraId="2F06F2CF" w14:textId="77777777" w:rsidR="00D340EB" w:rsidRPr="00015E49" w:rsidRDefault="00D340EB" w:rsidP="00775F7D">
            <w:pPr>
              <w:spacing w:after="0" w:line="240" w:lineRule="auto"/>
              <w:jc w:val="center"/>
              <w:rPr>
                <w:rFonts w:ascii="Arial" w:hAnsi="Arial" w:cs="Arial"/>
                <w:b/>
                <w:bCs/>
                <w:color w:val="000000"/>
                <w:kern w:val="0"/>
                <w:sz w:val="22"/>
                <w:szCs w:val="22"/>
              </w:rPr>
            </w:pPr>
            <w:r w:rsidRPr="00015E49">
              <w:rPr>
                <w:rFonts w:ascii="Arial" w:hAnsi="Arial" w:cs="Arial"/>
                <w:b/>
                <w:bCs/>
                <w:color w:val="000000"/>
                <w:sz w:val="22"/>
                <w:szCs w:val="22"/>
              </w:rPr>
              <w:t xml:space="preserve">Practice </w:t>
            </w:r>
          </w:p>
          <w:p w14:paraId="389DB4E2"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p>
        </w:tc>
      </w:tr>
      <w:tr w:rsidR="00D340EB" w:rsidRPr="00015E49" w14:paraId="7CCBE2F3" w14:textId="77777777" w:rsidTr="00775F7D">
        <w:trPr>
          <w:trHeight w:val="1265"/>
        </w:trPr>
        <w:tc>
          <w:tcPr>
            <w:tcW w:w="1202" w:type="pct"/>
            <w:vMerge/>
            <w:tcBorders>
              <w:top w:val="single" w:sz="4" w:space="0" w:color="auto"/>
              <w:left w:val="single" w:sz="4" w:space="0" w:color="auto"/>
              <w:bottom w:val="single" w:sz="4" w:space="0" w:color="auto"/>
              <w:right w:val="single" w:sz="4" w:space="0" w:color="auto"/>
            </w:tcBorders>
            <w:vAlign w:val="center"/>
            <w:hideMark/>
          </w:tcPr>
          <w:p w14:paraId="179C8324" w14:textId="77777777" w:rsidR="00D340EB" w:rsidRPr="00015E49" w:rsidRDefault="00D340EB" w:rsidP="00775F7D">
            <w:pPr>
              <w:spacing w:after="0" w:line="240" w:lineRule="auto"/>
              <w:rPr>
                <w:rFonts w:ascii="Arial" w:eastAsia="Courier New" w:hAnsi="Arial" w:cs="Arial"/>
                <w:b/>
                <w:bCs/>
                <w:color w:val="000000"/>
                <w:kern w:val="0"/>
                <w:sz w:val="22"/>
                <w:szCs w:val="22"/>
              </w:rPr>
            </w:pPr>
          </w:p>
        </w:tc>
        <w:tc>
          <w:tcPr>
            <w:tcW w:w="701" w:type="pct"/>
            <w:tcBorders>
              <w:top w:val="nil"/>
              <w:left w:val="nil"/>
              <w:bottom w:val="single" w:sz="4" w:space="0" w:color="auto"/>
              <w:right w:val="single" w:sz="4" w:space="0" w:color="auto"/>
            </w:tcBorders>
            <w:shd w:val="clear" w:color="auto" w:fill="D9F2D0"/>
            <w:vAlign w:val="center"/>
            <w:hideMark/>
          </w:tcPr>
          <w:p w14:paraId="6A5FB240"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Good / Adequate Knowledge (%)</w:t>
            </w:r>
          </w:p>
        </w:tc>
        <w:tc>
          <w:tcPr>
            <w:tcW w:w="701" w:type="pct"/>
            <w:tcBorders>
              <w:top w:val="nil"/>
              <w:left w:val="nil"/>
              <w:bottom w:val="single" w:sz="4" w:space="0" w:color="auto"/>
              <w:right w:val="single" w:sz="4" w:space="0" w:color="auto"/>
            </w:tcBorders>
            <w:shd w:val="clear" w:color="000000" w:fill="D9D9D9"/>
            <w:vAlign w:val="center"/>
            <w:hideMark/>
          </w:tcPr>
          <w:p w14:paraId="74462799"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Moderate / Poor Knowledge (%)</w:t>
            </w:r>
          </w:p>
        </w:tc>
        <w:tc>
          <w:tcPr>
            <w:tcW w:w="575" w:type="pct"/>
            <w:tcBorders>
              <w:top w:val="nil"/>
              <w:left w:val="nil"/>
              <w:bottom w:val="single" w:sz="4" w:space="0" w:color="auto"/>
              <w:right w:val="single" w:sz="4" w:space="0" w:color="auto"/>
            </w:tcBorders>
            <w:shd w:val="clear" w:color="auto" w:fill="D9F2D0"/>
            <w:vAlign w:val="center"/>
            <w:hideMark/>
          </w:tcPr>
          <w:p w14:paraId="426A1D6E"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Positive Attitude (%)</w:t>
            </w:r>
          </w:p>
        </w:tc>
        <w:tc>
          <w:tcPr>
            <w:tcW w:w="671" w:type="pct"/>
            <w:tcBorders>
              <w:top w:val="nil"/>
              <w:left w:val="nil"/>
              <w:bottom w:val="single" w:sz="4" w:space="0" w:color="auto"/>
              <w:right w:val="single" w:sz="4" w:space="0" w:color="auto"/>
            </w:tcBorders>
            <w:shd w:val="clear" w:color="000000" w:fill="D9D9D9"/>
            <w:vAlign w:val="center"/>
            <w:hideMark/>
          </w:tcPr>
          <w:p w14:paraId="7BF7E0BF"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Negative / Poor Attitude (%)</w:t>
            </w:r>
          </w:p>
        </w:tc>
        <w:tc>
          <w:tcPr>
            <w:tcW w:w="575" w:type="pct"/>
            <w:tcBorders>
              <w:top w:val="nil"/>
              <w:left w:val="nil"/>
              <w:bottom w:val="single" w:sz="4" w:space="0" w:color="auto"/>
              <w:right w:val="single" w:sz="4" w:space="0" w:color="auto"/>
            </w:tcBorders>
            <w:shd w:val="clear" w:color="auto" w:fill="D9F2D0"/>
            <w:vAlign w:val="center"/>
            <w:hideMark/>
          </w:tcPr>
          <w:p w14:paraId="6F75ECC8"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Good Practice (%)</w:t>
            </w:r>
          </w:p>
        </w:tc>
        <w:tc>
          <w:tcPr>
            <w:tcW w:w="575" w:type="pct"/>
            <w:tcBorders>
              <w:top w:val="nil"/>
              <w:left w:val="nil"/>
              <w:bottom w:val="single" w:sz="4" w:space="0" w:color="auto"/>
              <w:right w:val="single" w:sz="4" w:space="0" w:color="auto"/>
            </w:tcBorders>
            <w:shd w:val="clear" w:color="000000" w:fill="D9D9D9"/>
            <w:vAlign w:val="center"/>
            <w:hideMark/>
          </w:tcPr>
          <w:p w14:paraId="1A0995FE"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Poor Practice (%)</w:t>
            </w:r>
          </w:p>
        </w:tc>
      </w:tr>
      <w:tr w:rsidR="00D340EB" w:rsidRPr="00015E49" w14:paraId="74BD4512"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34CE6E8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Khan et al. (2021)</w:t>
            </w:r>
          </w:p>
        </w:tc>
        <w:tc>
          <w:tcPr>
            <w:tcW w:w="701" w:type="pct"/>
            <w:tcBorders>
              <w:top w:val="nil"/>
              <w:left w:val="nil"/>
              <w:bottom w:val="single" w:sz="4" w:space="0" w:color="auto"/>
              <w:right w:val="single" w:sz="4" w:space="0" w:color="auto"/>
            </w:tcBorders>
            <w:shd w:val="clear" w:color="auto" w:fill="D9F2D0"/>
            <w:noWrap/>
            <w:vAlign w:val="center"/>
            <w:hideMark/>
          </w:tcPr>
          <w:p w14:paraId="6E72FA6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65.60%</w:t>
            </w:r>
          </w:p>
        </w:tc>
        <w:tc>
          <w:tcPr>
            <w:tcW w:w="701" w:type="pct"/>
            <w:tcBorders>
              <w:top w:val="nil"/>
              <w:left w:val="nil"/>
              <w:bottom w:val="single" w:sz="4" w:space="0" w:color="auto"/>
              <w:right w:val="single" w:sz="4" w:space="0" w:color="auto"/>
            </w:tcBorders>
            <w:noWrap/>
            <w:vAlign w:val="center"/>
            <w:hideMark/>
          </w:tcPr>
          <w:p w14:paraId="4BFCEE3A"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31.10%</w:t>
            </w:r>
          </w:p>
        </w:tc>
        <w:tc>
          <w:tcPr>
            <w:tcW w:w="575" w:type="pct"/>
            <w:tcBorders>
              <w:top w:val="nil"/>
              <w:left w:val="nil"/>
              <w:bottom w:val="single" w:sz="4" w:space="0" w:color="auto"/>
              <w:right w:val="single" w:sz="4" w:space="0" w:color="auto"/>
            </w:tcBorders>
            <w:shd w:val="clear" w:color="auto" w:fill="D9F2D0"/>
            <w:noWrap/>
            <w:vAlign w:val="center"/>
            <w:hideMark/>
          </w:tcPr>
          <w:p w14:paraId="414BF286"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90%</w:t>
            </w:r>
          </w:p>
        </w:tc>
        <w:tc>
          <w:tcPr>
            <w:tcW w:w="671" w:type="pct"/>
            <w:tcBorders>
              <w:top w:val="nil"/>
              <w:left w:val="nil"/>
              <w:bottom w:val="single" w:sz="4" w:space="0" w:color="auto"/>
              <w:right w:val="single" w:sz="4" w:space="0" w:color="auto"/>
            </w:tcBorders>
            <w:noWrap/>
            <w:vAlign w:val="center"/>
            <w:hideMark/>
          </w:tcPr>
          <w:p w14:paraId="19A3D526"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10%</w:t>
            </w:r>
          </w:p>
        </w:tc>
        <w:tc>
          <w:tcPr>
            <w:tcW w:w="575" w:type="pct"/>
            <w:tcBorders>
              <w:top w:val="nil"/>
              <w:left w:val="nil"/>
              <w:bottom w:val="single" w:sz="4" w:space="0" w:color="auto"/>
              <w:right w:val="single" w:sz="4" w:space="0" w:color="auto"/>
            </w:tcBorders>
            <w:shd w:val="clear" w:color="auto" w:fill="D9F2D0"/>
            <w:vAlign w:val="center"/>
            <w:hideMark/>
          </w:tcPr>
          <w:p w14:paraId="3D34DDCF"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52.80%</w:t>
            </w:r>
          </w:p>
        </w:tc>
        <w:tc>
          <w:tcPr>
            <w:tcW w:w="575" w:type="pct"/>
            <w:tcBorders>
              <w:top w:val="nil"/>
              <w:left w:val="nil"/>
              <w:bottom w:val="single" w:sz="4" w:space="0" w:color="auto"/>
              <w:right w:val="single" w:sz="4" w:space="0" w:color="auto"/>
            </w:tcBorders>
            <w:vAlign w:val="center"/>
            <w:hideMark/>
          </w:tcPr>
          <w:p w14:paraId="302E2139"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47.20%</w:t>
            </w:r>
          </w:p>
        </w:tc>
      </w:tr>
      <w:tr w:rsidR="00D340EB" w:rsidRPr="00015E49" w14:paraId="4D66827A"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1C0FBAAD"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w:t>
            </w:r>
          </w:p>
        </w:tc>
        <w:tc>
          <w:tcPr>
            <w:tcW w:w="701" w:type="pct"/>
            <w:tcBorders>
              <w:top w:val="nil"/>
              <w:left w:val="nil"/>
              <w:bottom w:val="single" w:sz="4" w:space="0" w:color="auto"/>
              <w:right w:val="single" w:sz="4" w:space="0" w:color="auto"/>
            </w:tcBorders>
            <w:shd w:val="clear" w:color="auto" w:fill="D9F2D0"/>
            <w:noWrap/>
            <w:vAlign w:val="center"/>
            <w:hideMark/>
          </w:tcPr>
          <w:p w14:paraId="2279517F"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83.00%</w:t>
            </w:r>
          </w:p>
        </w:tc>
        <w:tc>
          <w:tcPr>
            <w:tcW w:w="701" w:type="pct"/>
            <w:tcBorders>
              <w:top w:val="nil"/>
              <w:left w:val="nil"/>
              <w:bottom w:val="single" w:sz="4" w:space="0" w:color="auto"/>
              <w:right w:val="single" w:sz="4" w:space="0" w:color="auto"/>
            </w:tcBorders>
            <w:noWrap/>
            <w:vAlign w:val="center"/>
            <w:hideMark/>
          </w:tcPr>
          <w:p w14:paraId="23383607"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17.00%</w:t>
            </w:r>
          </w:p>
        </w:tc>
        <w:tc>
          <w:tcPr>
            <w:tcW w:w="575" w:type="pct"/>
            <w:tcBorders>
              <w:top w:val="nil"/>
              <w:left w:val="nil"/>
              <w:bottom w:val="single" w:sz="4" w:space="0" w:color="auto"/>
              <w:right w:val="single" w:sz="4" w:space="0" w:color="auto"/>
            </w:tcBorders>
            <w:shd w:val="clear" w:color="auto" w:fill="D9F2D0"/>
            <w:noWrap/>
            <w:vAlign w:val="center"/>
            <w:hideMark/>
          </w:tcPr>
          <w:p w14:paraId="3E7D698F"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81.90%</w:t>
            </w:r>
          </w:p>
        </w:tc>
        <w:tc>
          <w:tcPr>
            <w:tcW w:w="671" w:type="pct"/>
            <w:tcBorders>
              <w:top w:val="nil"/>
              <w:left w:val="nil"/>
              <w:bottom w:val="single" w:sz="4" w:space="0" w:color="auto"/>
              <w:right w:val="single" w:sz="4" w:space="0" w:color="auto"/>
            </w:tcBorders>
            <w:noWrap/>
            <w:vAlign w:val="center"/>
            <w:hideMark/>
          </w:tcPr>
          <w:p w14:paraId="6C476392"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18.90%</w:t>
            </w:r>
          </w:p>
        </w:tc>
        <w:tc>
          <w:tcPr>
            <w:tcW w:w="575" w:type="pct"/>
            <w:tcBorders>
              <w:top w:val="nil"/>
              <w:left w:val="nil"/>
              <w:bottom w:val="single" w:sz="4" w:space="0" w:color="auto"/>
              <w:right w:val="single" w:sz="4" w:space="0" w:color="auto"/>
            </w:tcBorders>
            <w:shd w:val="clear" w:color="auto" w:fill="D9F2D0"/>
            <w:vAlign w:val="center"/>
            <w:hideMark/>
          </w:tcPr>
          <w:p w14:paraId="09C3C2F7"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51.00%</w:t>
            </w:r>
          </w:p>
        </w:tc>
        <w:tc>
          <w:tcPr>
            <w:tcW w:w="575" w:type="pct"/>
            <w:tcBorders>
              <w:top w:val="nil"/>
              <w:left w:val="nil"/>
              <w:bottom w:val="single" w:sz="4" w:space="0" w:color="auto"/>
              <w:right w:val="single" w:sz="4" w:space="0" w:color="auto"/>
            </w:tcBorders>
            <w:vAlign w:val="center"/>
            <w:hideMark/>
          </w:tcPr>
          <w:p w14:paraId="361B390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49.00%</w:t>
            </w:r>
          </w:p>
        </w:tc>
      </w:tr>
      <w:tr w:rsidR="00D340EB" w:rsidRPr="00015E49" w14:paraId="21EEE500"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70A8551D"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Shahid</w:t>
            </w:r>
            <w:proofErr w:type="spellEnd"/>
            <w:r w:rsidRPr="00015E49">
              <w:rPr>
                <w:rFonts w:ascii="Arial" w:eastAsia="Courier New" w:hAnsi="Arial" w:cs="Arial"/>
                <w:color w:val="000000"/>
                <w:kern w:val="0"/>
                <w:sz w:val="22"/>
                <w:szCs w:val="22"/>
              </w:rPr>
              <w:t xml:space="preserve"> et al. (2025)</w:t>
            </w:r>
          </w:p>
        </w:tc>
        <w:tc>
          <w:tcPr>
            <w:tcW w:w="701" w:type="pct"/>
            <w:tcBorders>
              <w:top w:val="nil"/>
              <w:left w:val="nil"/>
              <w:bottom w:val="single" w:sz="4" w:space="0" w:color="auto"/>
              <w:right w:val="single" w:sz="4" w:space="0" w:color="auto"/>
            </w:tcBorders>
            <w:shd w:val="clear" w:color="auto" w:fill="D9F2D0"/>
            <w:noWrap/>
            <w:vAlign w:val="center"/>
            <w:hideMark/>
          </w:tcPr>
          <w:p w14:paraId="04D62EBA"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44.50%</w:t>
            </w:r>
          </w:p>
        </w:tc>
        <w:tc>
          <w:tcPr>
            <w:tcW w:w="701" w:type="pct"/>
            <w:tcBorders>
              <w:top w:val="nil"/>
              <w:left w:val="nil"/>
              <w:bottom w:val="single" w:sz="4" w:space="0" w:color="auto"/>
              <w:right w:val="single" w:sz="4" w:space="0" w:color="auto"/>
            </w:tcBorders>
            <w:noWrap/>
            <w:vAlign w:val="center"/>
            <w:hideMark/>
          </w:tcPr>
          <w:p w14:paraId="27CB4C58"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55.50%</w:t>
            </w:r>
          </w:p>
        </w:tc>
        <w:tc>
          <w:tcPr>
            <w:tcW w:w="575" w:type="pct"/>
            <w:tcBorders>
              <w:top w:val="nil"/>
              <w:left w:val="nil"/>
              <w:bottom w:val="single" w:sz="4" w:space="0" w:color="auto"/>
              <w:right w:val="single" w:sz="4" w:space="0" w:color="auto"/>
            </w:tcBorders>
            <w:shd w:val="clear" w:color="auto" w:fill="D9F2D0"/>
            <w:noWrap/>
            <w:vAlign w:val="center"/>
            <w:hideMark/>
          </w:tcPr>
          <w:p w14:paraId="3D3C9D57"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54.60%</w:t>
            </w:r>
          </w:p>
        </w:tc>
        <w:tc>
          <w:tcPr>
            <w:tcW w:w="671" w:type="pct"/>
            <w:tcBorders>
              <w:top w:val="nil"/>
              <w:left w:val="nil"/>
              <w:bottom w:val="single" w:sz="4" w:space="0" w:color="auto"/>
              <w:right w:val="single" w:sz="4" w:space="0" w:color="auto"/>
            </w:tcBorders>
            <w:noWrap/>
            <w:vAlign w:val="center"/>
            <w:hideMark/>
          </w:tcPr>
          <w:p w14:paraId="596CF67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45.40%</w:t>
            </w:r>
          </w:p>
        </w:tc>
        <w:tc>
          <w:tcPr>
            <w:tcW w:w="575" w:type="pct"/>
            <w:tcBorders>
              <w:top w:val="nil"/>
              <w:left w:val="nil"/>
              <w:bottom w:val="single" w:sz="4" w:space="0" w:color="auto"/>
              <w:right w:val="single" w:sz="4" w:space="0" w:color="auto"/>
            </w:tcBorders>
            <w:shd w:val="clear" w:color="auto" w:fill="D9F2D0"/>
            <w:vAlign w:val="center"/>
            <w:hideMark/>
          </w:tcPr>
          <w:p w14:paraId="4438D1C2"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59.90%</w:t>
            </w:r>
          </w:p>
        </w:tc>
        <w:tc>
          <w:tcPr>
            <w:tcW w:w="575" w:type="pct"/>
            <w:tcBorders>
              <w:top w:val="nil"/>
              <w:left w:val="nil"/>
              <w:bottom w:val="single" w:sz="4" w:space="0" w:color="auto"/>
              <w:right w:val="single" w:sz="4" w:space="0" w:color="auto"/>
            </w:tcBorders>
            <w:vAlign w:val="center"/>
            <w:hideMark/>
          </w:tcPr>
          <w:p w14:paraId="52D3C9B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40.10%</w:t>
            </w:r>
          </w:p>
        </w:tc>
      </w:tr>
      <w:tr w:rsidR="00D340EB" w:rsidRPr="00015E49" w14:paraId="223C6658"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64D3F136"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Waseem</w:t>
            </w:r>
            <w:proofErr w:type="spellEnd"/>
            <w:r w:rsidRPr="00015E49">
              <w:rPr>
                <w:rFonts w:ascii="Arial" w:eastAsia="Courier New" w:hAnsi="Arial" w:cs="Arial"/>
                <w:color w:val="000000"/>
                <w:kern w:val="0"/>
                <w:sz w:val="22"/>
                <w:szCs w:val="22"/>
              </w:rPr>
              <w:t xml:space="preserve"> et al. (20</w:t>
            </w:r>
            <w:r>
              <w:rPr>
                <w:rFonts w:ascii="Arial" w:eastAsia="Courier New" w:hAnsi="Arial" w:cs="Arial"/>
                <w:color w:val="000000"/>
                <w:kern w:val="0"/>
                <w:sz w:val="22"/>
                <w:szCs w:val="22"/>
              </w:rPr>
              <w:t>19</w:t>
            </w:r>
            <w:r w:rsidRPr="00015E49">
              <w:rPr>
                <w:rFonts w:ascii="Arial" w:eastAsia="Courier New" w:hAnsi="Arial" w:cs="Arial"/>
                <w:color w:val="000000"/>
                <w:kern w:val="0"/>
                <w:sz w:val="22"/>
                <w:szCs w:val="22"/>
              </w:rPr>
              <w:t>)</w:t>
            </w:r>
          </w:p>
        </w:tc>
        <w:tc>
          <w:tcPr>
            <w:tcW w:w="701" w:type="pct"/>
            <w:tcBorders>
              <w:top w:val="nil"/>
              <w:left w:val="nil"/>
              <w:bottom w:val="single" w:sz="4" w:space="0" w:color="auto"/>
              <w:right w:val="single" w:sz="4" w:space="0" w:color="auto"/>
            </w:tcBorders>
            <w:shd w:val="clear" w:color="auto" w:fill="D9F2D0"/>
            <w:noWrap/>
            <w:vAlign w:val="center"/>
            <w:hideMark/>
          </w:tcPr>
          <w:p w14:paraId="31D99802"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44.40%</w:t>
            </w:r>
          </w:p>
        </w:tc>
        <w:tc>
          <w:tcPr>
            <w:tcW w:w="701" w:type="pct"/>
            <w:tcBorders>
              <w:top w:val="nil"/>
              <w:left w:val="nil"/>
              <w:bottom w:val="single" w:sz="4" w:space="0" w:color="auto"/>
              <w:right w:val="single" w:sz="4" w:space="0" w:color="auto"/>
            </w:tcBorders>
            <w:noWrap/>
            <w:vAlign w:val="center"/>
            <w:hideMark/>
          </w:tcPr>
          <w:p w14:paraId="03A95414"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55.60%</w:t>
            </w:r>
          </w:p>
        </w:tc>
        <w:tc>
          <w:tcPr>
            <w:tcW w:w="575" w:type="pct"/>
            <w:tcBorders>
              <w:top w:val="nil"/>
              <w:left w:val="nil"/>
              <w:bottom w:val="single" w:sz="4" w:space="0" w:color="auto"/>
              <w:right w:val="single" w:sz="4" w:space="0" w:color="auto"/>
            </w:tcBorders>
            <w:shd w:val="clear" w:color="auto" w:fill="D9F2D0"/>
            <w:noWrap/>
            <w:vAlign w:val="center"/>
            <w:hideMark/>
          </w:tcPr>
          <w:p w14:paraId="120B447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38.20%</w:t>
            </w:r>
          </w:p>
        </w:tc>
        <w:tc>
          <w:tcPr>
            <w:tcW w:w="671" w:type="pct"/>
            <w:tcBorders>
              <w:top w:val="nil"/>
              <w:left w:val="nil"/>
              <w:bottom w:val="single" w:sz="4" w:space="0" w:color="auto"/>
              <w:right w:val="single" w:sz="4" w:space="0" w:color="auto"/>
            </w:tcBorders>
            <w:noWrap/>
            <w:vAlign w:val="center"/>
            <w:hideMark/>
          </w:tcPr>
          <w:p w14:paraId="554DF107"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61.80%</w:t>
            </w:r>
          </w:p>
        </w:tc>
        <w:tc>
          <w:tcPr>
            <w:tcW w:w="575" w:type="pct"/>
            <w:tcBorders>
              <w:top w:val="nil"/>
              <w:left w:val="nil"/>
              <w:bottom w:val="single" w:sz="4" w:space="0" w:color="auto"/>
              <w:right w:val="single" w:sz="4" w:space="0" w:color="auto"/>
            </w:tcBorders>
            <w:shd w:val="clear" w:color="auto" w:fill="D9F2D0"/>
            <w:vAlign w:val="center"/>
            <w:hideMark/>
          </w:tcPr>
          <w:p w14:paraId="2A24800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76.60%</w:t>
            </w:r>
          </w:p>
        </w:tc>
        <w:tc>
          <w:tcPr>
            <w:tcW w:w="575" w:type="pct"/>
            <w:tcBorders>
              <w:top w:val="nil"/>
              <w:left w:val="nil"/>
              <w:bottom w:val="single" w:sz="4" w:space="0" w:color="auto"/>
              <w:right w:val="single" w:sz="4" w:space="0" w:color="auto"/>
            </w:tcBorders>
            <w:vAlign w:val="center"/>
            <w:hideMark/>
          </w:tcPr>
          <w:p w14:paraId="5551126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23.40%</w:t>
            </w:r>
          </w:p>
        </w:tc>
      </w:tr>
      <w:tr w:rsidR="00D340EB" w:rsidRPr="00015E49" w14:paraId="2314C36E"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022EFEC9"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Saif</w:t>
            </w:r>
            <w:proofErr w:type="spellEnd"/>
            <w:r w:rsidRPr="00015E49">
              <w:rPr>
                <w:rFonts w:ascii="Arial" w:eastAsia="Courier New" w:hAnsi="Arial" w:cs="Arial"/>
                <w:color w:val="000000"/>
                <w:kern w:val="0"/>
                <w:sz w:val="22"/>
                <w:szCs w:val="22"/>
              </w:rPr>
              <w:t xml:space="preserve"> et al. (2024)</w:t>
            </w:r>
          </w:p>
        </w:tc>
        <w:tc>
          <w:tcPr>
            <w:tcW w:w="701" w:type="pct"/>
            <w:tcBorders>
              <w:top w:val="nil"/>
              <w:left w:val="nil"/>
              <w:bottom w:val="single" w:sz="4" w:space="0" w:color="auto"/>
              <w:right w:val="single" w:sz="4" w:space="0" w:color="auto"/>
            </w:tcBorders>
            <w:shd w:val="clear" w:color="auto" w:fill="D9F2D0"/>
            <w:noWrap/>
            <w:vAlign w:val="center"/>
            <w:hideMark/>
          </w:tcPr>
          <w:p w14:paraId="5FF11D1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68.40%</w:t>
            </w:r>
          </w:p>
        </w:tc>
        <w:tc>
          <w:tcPr>
            <w:tcW w:w="701" w:type="pct"/>
            <w:tcBorders>
              <w:top w:val="nil"/>
              <w:left w:val="nil"/>
              <w:bottom w:val="single" w:sz="4" w:space="0" w:color="auto"/>
              <w:right w:val="single" w:sz="4" w:space="0" w:color="auto"/>
            </w:tcBorders>
            <w:noWrap/>
            <w:vAlign w:val="center"/>
            <w:hideMark/>
          </w:tcPr>
          <w:p w14:paraId="3FF4E9E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31.60%</w:t>
            </w:r>
          </w:p>
        </w:tc>
        <w:tc>
          <w:tcPr>
            <w:tcW w:w="575" w:type="pct"/>
            <w:tcBorders>
              <w:top w:val="nil"/>
              <w:left w:val="nil"/>
              <w:bottom w:val="single" w:sz="4" w:space="0" w:color="auto"/>
              <w:right w:val="single" w:sz="4" w:space="0" w:color="auto"/>
            </w:tcBorders>
            <w:shd w:val="clear" w:color="auto" w:fill="D9F2D0"/>
            <w:noWrap/>
            <w:vAlign w:val="center"/>
            <w:hideMark/>
          </w:tcPr>
          <w:p w14:paraId="31BEDDE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50.70%</w:t>
            </w:r>
          </w:p>
        </w:tc>
        <w:tc>
          <w:tcPr>
            <w:tcW w:w="671" w:type="pct"/>
            <w:tcBorders>
              <w:top w:val="nil"/>
              <w:left w:val="nil"/>
              <w:bottom w:val="single" w:sz="4" w:space="0" w:color="auto"/>
              <w:right w:val="single" w:sz="4" w:space="0" w:color="auto"/>
            </w:tcBorders>
            <w:noWrap/>
            <w:vAlign w:val="center"/>
            <w:hideMark/>
          </w:tcPr>
          <w:p w14:paraId="025482C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49.30%</w:t>
            </w:r>
          </w:p>
        </w:tc>
        <w:tc>
          <w:tcPr>
            <w:tcW w:w="575" w:type="pct"/>
            <w:tcBorders>
              <w:top w:val="nil"/>
              <w:left w:val="nil"/>
              <w:bottom w:val="single" w:sz="4" w:space="0" w:color="auto"/>
              <w:right w:val="single" w:sz="4" w:space="0" w:color="auto"/>
            </w:tcBorders>
            <w:shd w:val="clear" w:color="auto" w:fill="D9F2D0"/>
            <w:vAlign w:val="center"/>
            <w:hideMark/>
          </w:tcPr>
          <w:p w14:paraId="7F28B552"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54.76%</w:t>
            </w:r>
          </w:p>
        </w:tc>
        <w:tc>
          <w:tcPr>
            <w:tcW w:w="575" w:type="pct"/>
            <w:tcBorders>
              <w:top w:val="nil"/>
              <w:left w:val="nil"/>
              <w:bottom w:val="single" w:sz="4" w:space="0" w:color="auto"/>
              <w:right w:val="single" w:sz="4" w:space="0" w:color="auto"/>
            </w:tcBorders>
            <w:vAlign w:val="center"/>
            <w:hideMark/>
          </w:tcPr>
          <w:p w14:paraId="57C1061F"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45.24%</w:t>
            </w:r>
          </w:p>
        </w:tc>
      </w:tr>
      <w:tr w:rsidR="00D340EB" w:rsidRPr="00015E49" w14:paraId="56F69E32"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6E9A2993"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Faizullah</w:t>
            </w:r>
            <w:proofErr w:type="spellEnd"/>
            <w:r w:rsidRPr="00015E49">
              <w:rPr>
                <w:rFonts w:ascii="Arial" w:eastAsia="Courier New" w:hAnsi="Arial" w:cs="Arial"/>
                <w:color w:val="000000"/>
                <w:kern w:val="0"/>
                <w:sz w:val="22"/>
                <w:szCs w:val="22"/>
              </w:rPr>
              <w:t xml:space="preserve"> et al. (2017)</w:t>
            </w:r>
          </w:p>
        </w:tc>
        <w:tc>
          <w:tcPr>
            <w:tcW w:w="701" w:type="pct"/>
            <w:tcBorders>
              <w:top w:val="nil"/>
              <w:left w:val="nil"/>
              <w:bottom w:val="single" w:sz="4" w:space="0" w:color="auto"/>
              <w:right w:val="single" w:sz="4" w:space="0" w:color="auto"/>
            </w:tcBorders>
            <w:shd w:val="clear" w:color="auto" w:fill="D9F2D0"/>
            <w:noWrap/>
            <w:vAlign w:val="center"/>
            <w:hideMark/>
          </w:tcPr>
          <w:p w14:paraId="2B39EBB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85.00%</w:t>
            </w:r>
          </w:p>
        </w:tc>
        <w:tc>
          <w:tcPr>
            <w:tcW w:w="701" w:type="pct"/>
            <w:tcBorders>
              <w:top w:val="nil"/>
              <w:left w:val="nil"/>
              <w:bottom w:val="single" w:sz="4" w:space="0" w:color="auto"/>
              <w:right w:val="single" w:sz="4" w:space="0" w:color="auto"/>
            </w:tcBorders>
            <w:noWrap/>
            <w:vAlign w:val="center"/>
            <w:hideMark/>
          </w:tcPr>
          <w:p w14:paraId="6814499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15.00%</w:t>
            </w:r>
          </w:p>
        </w:tc>
        <w:tc>
          <w:tcPr>
            <w:tcW w:w="575" w:type="pct"/>
            <w:tcBorders>
              <w:top w:val="nil"/>
              <w:left w:val="nil"/>
              <w:bottom w:val="single" w:sz="4" w:space="0" w:color="auto"/>
              <w:right w:val="single" w:sz="4" w:space="0" w:color="auto"/>
            </w:tcBorders>
            <w:shd w:val="clear" w:color="auto" w:fill="D9F2D0"/>
            <w:noWrap/>
            <w:vAlign w:val="center"/>
            <w:hideMark/>
          </w:tcPr>
          <w:p w14:paraId="6D58AAC1"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91.85%</w:t>
            </w:r>
          </w:p>
        </w:tc>
        <w:tc>
          <w:tcPr>
            <w:tcW w:w="671" w:type="pct"/>
            <w:tcBorders>
              <w:top w:val="nil"/>
              <w:left w:val="nil"/>
              <w:bottom w:val="single" w:sz="4" w:space="0" w:color="auto"/>
              <w:right w:val="single" w:sz="4" w:space="0" w:color="auto"/>
            </w:tcBorders>
            <w:noWrap/>
            <w:vAlign w:val="center"/>
            <w:hideMark/>
          </w:tcPr>
          <w:p w14:paraId="7D9B9A1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8.15%</w:t>
            </w:r>
          </w:p>
        </w:tc>
        <w:tc>
          <w:tcPr>
            <w:tcW w:w="575" w:type="pct"/>
            <w:tcBorders>
              <w:top w:val="nil"/>
              <w:left w:val="nil"/>
              <w:bottom w:val="single" w:sz="4" w:space="0" w:color="auto"/>
              <w:right w:val="single" w:sz="4" w:space="0" w:color="auto"/>
            </w:tcBorders>
            <w:shd w:val="clear" w:color="auto" w:fill="D9F2D0"/>
            <w:vAlign w:val="center"/>
            <w:hideMark/>
          </w:tcPr>
          <w:p w14:paraId="55730E17"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93.70%</w:t>
            </w:r>
          </w:p>
        </w:tc>
        <w:tc>
          <w:tcPr>
            <w:tcW w:w="575" w:type="pct"/>
            <w:tcBorders>
              <w:top w:val="nil"/>
              <w:left w:val="nil"/>
              <w:bottom w:val="single" w:sz="4" w:space="0" w:color="auto"/>
              <w:right w:val="single" w:sz="4" w:space="0" w:color="auto"/>
            </w:tcBorders>
            <w:vAlign w:val="center"/>
            <w:hideMark/>
          </w:tcPr>
          <w:p w14:paraId="39F068F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6.30%</w:t>
            </w:r>
          </w:p>
        </w:tc>
      </w:tr>
      <w:tr w:rsidR="00D340EB" w:rsidRPr="00015E49" w14:paraId="3BFE43C5"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vAlign w:val="center"/>
            <w:hideMark/>
          </w:tcPr>
          <w:p w14:paraId="4E1FCA4A"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Ashraf et al. (2022)</w:t>
            </w:r>
          </w:p>
        </w:tc>
        <w:tc>
          <w:tcPr>
            <w:tcW w:w="701" w:type="pct"/>
            <w:tcBorders>
              <w:top w:val="nil"/>
              <w:left w:val="nil"/>
              <w:bottom w:val="single" w:sz="4" w:space="0" w:color="auto"/>
              <w:right w:val="single" w:sz="4" w:space="0" w:color="auto"/>
            </w:tcBorders>
            <w:shd w:val="clear" w:color="auto" w:fill="D9F2D0"/>
            <w:vAlign w:val="center"/>
            <w:hideMark/>
          </w:tcPr>
          <w:p w14:paraId="34A068D4"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34.00%</w:t>
            </w:r>
          </w:p>
        </w:tc>
        <w:tc>
          <w:tcPr>
            <w:tcW w:w="701" w:type="pct"/>
            <w:tcBorders>
              <w:top w:val="nil"/>
              <w:left w:val="nil"/>
              <w:bottom w:val="single" w:sz="4" w:space="0" w:color="auto"/>
              <w:right w:val="single" w:sz="4" w:space="0" w:color="auto"/>
            </w:tcBorders>
            <w:vAlign w:val="center"/>
            <w:hideMark/>
          </w:tcPr>
          <w:p w14:paraId="08E24EB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66.00%</w:t>
            </w:r>
          </w:p>
        </w:tc>
        <w:tc>
          <w:tcPr>
            <w:tcW w:w="575" w:type="pct"/>
            <w:tcBorders>
              <w:top w:val="nil"/>
              <w:left w:val="nil"/>
              <w:bottom w:val="single" w:sz="4" w:space="0" w:color="auto"/>
              <w:right w:val="single" w:sz="4" w:space="0" w:color="auto"/>
            </w:tcBorders>
            <w:shd w:val="clear" w:color="auto" w:fill="D9F2D0"/>
            <w:noWrap/>
            <w:vAlign w:val="center"/>
            <w:hideMark/>
          </w:tcPr>
          <w:p w14:paraId="6CF31ADF"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81.34%</w:t>
            </w:r>
          </w:p>
        </w:tc>
        <w:tc>
          <w:tcPr>
            <w:tcW w:w="671" w:type="pct"/>
            <w:tcBorders>
              <w:top w:val="nil"/>
              <w:left w:val="nil"/>
              <w:bottom w:val="single" w:sz="4" w:space="0" w:color="auto"/>
              <w:right w:val="single" w:sz="4" w:space="0" w:color="auto"/>
            </w:tcBorders>
            <w:noWrap/>
            <w:vAlign w:val="center"/>
            <w:hideMark/>
          </w:tcPr>
          <w:p w14:paraId="455ACD08"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18.65%</w:t>
            </w:r>
          </w:p>
        </w:tc>
        <w:tc>
          <w:tcPr>
            <w:tcW w:w="575" w:type="pct"/>
            <w:tcBorders>
              <w:top w:val="nil"/>
              <w:left w:val="nil"/>
              <w:bottom w:val="single" w:sz="4" w:space="0" w:color="auto"/>
              <w:right w:val="single" w:sz="4" w:space="0" w:color="auto"/>
            </w:tcBorders>
            <w:shd w:val="clear" w:color="auto" w:fill="D9F2D0"/>
            <w:vAlign w:val="center"/>
            <w:hideMark/>
          </w:tcPr>
          <w:p w14:paraId="477874A9"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68.00%</w:t>
            </w:r>
          </w:p>
        </w:tc>
        <w:tc>
          <w:tcPr>
            <w:tcW w:w="575" w:type="pct"/>
            <w:tcBorders>
              <w:top w:val="nil"/>
              <w:left w:val="nil"/>
              <w:bottom w:val="single" w:sz="4" w:space="0" w:color="auto"/>
              <w:right w:val="single" w:sz="4" w:space="0" w:color="auto"/>
            </w:tcBorders>
            <w:vAlign w:val="center"/>
            <w:hideMark/>
          </w:tcPr>
          <w:p w14:paraId="73205F8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32.00%</w:t>
            </w:r>
          </w:p>
        </w:tc>
      </w:tr>
      <w:tr w:rsidR="00D340EB" w:rsidRPr="00015E49" w14:paraId="67C2DAB2"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247AA22D"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Gillani</w:t>
            </w:r>
            <w:proofErr w:type="spellEnd"/>
            <w:r w:rsidRPr="00015E49">
              <w:rPr>
                <w:rFonts w:ascii="Arial" w:eastAsia="Courier New" w:hAnsi="Arial" w:cs="Arial"/>
                <w:color w:val="000000"/>
                <w:kern w:val="0"/>
                <w:sz w:val="22"/>
                <w:szCs w:val="22"/>
              </w:rPr>
              <w:t xml:space="preserve"> et al. (2021)</w:t>
            </w:r>
          </w:p>
        </w:tc>
        <w:tc>
          <w:tcPr>
            <w:tcW w:w="701" w:type="pct"/>
            <w:tcBorders>
              <w:top w:val="nil"/>
              <w:left w:val="nil"/>
              <w:bottom w:val="single" w:sz="4" w:space="0" w:color="auto"/>
              <w:right w:val="single" w:sz="4" w:space="0" w:color="auto"/>
            </w:tcBorders>
            <w:shd w:val="clear" w:color="auto" w:fill="D9F2D0"/>
            <w:noWrap/>
            <w:vAlign w:val="center"/>
            <w:hideMark/>
          </w:tcPr>
          <w:p w14:paraId="0FAC686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52.50%</w:t>
            </w:r>
          </w:p>
        </w:tc>
        <w:tc>
          <w:tcPr>
            <w:tcW w:w="701" w:type="pct"/>
            <w:tcBorders>
              <w:top w:val="nil"/>
              <w:left w:val="nil"/>
              <w:bottom w:val="single" w:sz="4" w:space="0" w:color="auto"/>
              <w:right w:val="single" w:sz="4" w:space="0" w:color="auto"/>
            </w:tcBorders>
            <w:noWrap/>
            <w:vAlign w:val="center"/>
            <w:hideMark/>
          </w:tcPr>
          <w:p w14:paraId="642CDE0D"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47.50%</w:t>
            </w:r>
          </w:p>
        </w:tc>
        <w:tc>
          <w:tcPr>
            <w:tcW w:w="575" w:type="pct"/>
            <w:tcBorders>
              <w:top w:val="nil"/>
              <w:left w:val="nil"/>
              <w:bottom w:val="single" w:sz="4" w:space="0" w:color="auto"/>
              <w:right w:val="single" w:sz="4" w:space="0" w:color="auto"/>
            </w:tcBorders>
            <w:shd w:val="clear" w:color="auto" w:fill="D9F2D0"/>
            <w:noWrap/>
            <w:vAlign w:val="center"/>
            <w:hideMark/>
          </w:tcPr>
          <w:p w14:paraId="284F74E3"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31.60%</w:t>
            </w:r>
          </w:p>
        </w:tc>
        <w:tc>
          <w:tcPr>
            <w:tcW w:w="671" w:type="pct"/>
            <w:tcBorders>
              <w:top w:val="nil"/>
              <w:left w:val="nil"/>
              <w:bottom w:val="single" w:sz="4" w:space="0" w:color="auto"/>
              <w:right w:val="single" w:sz="4" w:space="0" w:color="auto"/>
            </w:tcBorders>
            <w:noWrap/>
            <w:vAlign w:val="center"/>
            <w:hideMark/>
          </w:tcPr>
          <w:p w14:paraId="0B43EBF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68.40%</w:t>
            </w:r>
          </w:p>
        </w:tc>
        <w:tc>
          <w:tcPr>
            <w:tcW w:w="575" w:type="pct"/>
            <w:tcBorders>
              <w:top w:val="nil"/>
              <w:left w:val="nil"/>
              <w:bottom w:val="single" w:sz="4" w:space="0" w:color="auto"/>
              <w:right w:val="single" w:sz="4" w:space="0" w:color="auto"/>
            </w:tcBorders>
            <w:shd w:val="clear" w:color="auto" w:fill="D9F2D0"/>
            <w:vAlign w:val="center"/>
            <w:hideMark/>
          </w:tcPr>
          <w:p w14:paraId="47C0A28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40.40%</w:t>
            </w:r>
          </w:p>
        </w:tc>
        <w:tc>
          <w:tcPr>
            <w:tcW w:w="575" w:type="pct"/>
            <w:tcBorders>
              <w:top w:val="nil"/>
              <w:left w:val="nil"/>
              <w:bottom w:val="single" w:sz="4" w:space="0" w:color="auto"/>
              <w:right w:val="single" w:sz="4" w:space="0" w:color="auto"/>
            </w:tcBorders>
            <w:vAlign w:val="center"/>
            <w:hideMark/>
          </w:tcPr>
          <w:p w14:paraId="4428AEB3"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59.60%</w:t>
            </w:r>
          </w:p>
        </w:tc>
      </w:tr>
      <w:tr w:rsidR="00D340EB" w:rsidRPr="00015E49" w14:paraId="00A6EA15"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394CDE6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Shah et al. (2022)</w:t>
            </w:r>
          </w:p>
        </w:tc>
        <w:tc>
          <w:tcPr>
            <w:tcW w:w="701" w:type="pct"/>
            <w:tcBorders>
              <w:top w:val="nil"/>
              <w:left w:val="nil"/>
              <w:bottom w:val="single" w:sz="4" w:space="0" w:color="auto"/>
              <w:right w:val="single" w:sz="4" w:space="0" w:color="auto"/>
            </w:tcBorders>
            <w:shd w:val="clear" w:color="auto" w:fill="D9F2D0"/>
            <w:noWrap/>
            <w:vAlign w:val="center"/>
            <w:hideMark/>
          </w:tcPr>
          <w:p w14:paraId="54FD7D18"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86.00%</w:t>
            </w:r>
          </w:p>
        </w:tc>
        <w:tc>
          <w:tcPr>
            <w:tcW w:w="701" w:type="pct"/>
            <w:tcBorders>
              <w:top w:val="nil"/>
              <w:left w:val="nil"/>
              <w:bottom w:val="single" w:sz="4" w:space="0" w:color="auto"/>
              <w:right w:val="single" w:sz="4" w:space="0" w:color="auto"/>
            </w:tcBorders>
            <w:noWrap/>
            <w:vAlign w:val="center"/>
            <w:hideMark/>
          </w:tcPr>
          <w:p w14:paraId="1BB4F3D6"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14.00%</w:t>
            </w:r>
          </w:p>
        </w:tc>
        <w:tc>
          <w:tcPr>
            <w:tcW w:w="575" w:type="pct"/>
            <w:tcBorders>
              <w:top w:val="nil"/>
              <w:left w:val="nil"/>
              <w:bottom w:val="single" w:sz="4" w:space="0" w:color="auto"/>
              <w:right w:val="single" w:sz="4" w:space="0" w:color="auto"/>
            </w:tcBorders>
            <w:shd w:val="clear" w:color="auto" w:fill="D9F2D0"/>
            <w:vAlign w:val="center"/>
            <w:hideMark/>
          </w:tcPr>
          <w:p w14:paraId="07FB24B9"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85%</w:t>
            </w:r>
          </w:p>
        </w:tc>
        <w:tc>
          <w:tcPr>
            <w:tcW w:w="671" w:type="pct"/>
            <w:tcBorders>
              <w:top w:val="nil"/>
              <w:left w:val="nil"/>
              <w:bottom w:val="single" w:sz="4" w:space="0" w:color="auto"/>
              <w:right w:val="single" w:sz="4" w:space="0" w:color="auto"/>
            </w:tcBorders>
            <w:vAlign w:val="center"/>
            <w:hideMark/>
          </w:tcPr>
          <w:p w14:paraId="48BC87BA"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15%</w:t>
            </w:r>
          </w:p>
        </w:tc>
        <w:tc>
          <w:tcPr>
            <w:tcW w:w="575" w:type="pct"/>
            <w:tcBorders>
              <w:top w:val="nil"/>
              <w:left w:val="nil"/>
              <w:bottom w:val="single" w:sz="4" w:space="0" w:color="auto"/>
              <w:right w:val="single" w:sz="4" w:space="0" w:color="auto"/>
            </w:tcBorders>
            <w:shd w:val="clear" w:color="auto" w:fill="D9F2D0"/>
            <w:vAlign w:val="center"/>
            <w:hideMark/>
          </w:tcPr>
          <w:p w14:paraId="03AFBF18"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65.70%</w:t>
            </w:r>
          </w:p>
        </w:tc>
        <w:tc>
          <w:tcPr>
            <w:tcW w:w="575" w:type="pct"/>
            <w:tcBorders>
              <w:top w:val="nil"/>
              <w:left w:val="nil"/>
              <w:bottom w:val="single" w:sz="4" w:space="0" w:color="auto"/>
              <w:right w:val="single" w:sz="4" w:space="0" w:color="auto"/>
            </w:tcBorders>
            <w:vAlign w:val="center"/>
            <w:hideMark/>
          </w:tcPr>
          <w:p w14:paraId="0842AB01"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34.30%</w:t>
            </w:r>
          </w:p>
        </w:tc>
      </w:tr>
      <w:tr w:rsidR="00D340EB" w:rsidRPr="00015E49" w14:paraId="1E82859A" w14:textId="77777777" w:rsidTr="00775F7D">
        <w:trPr>
          <w:trHeight w:val="563"/>
        </w:trPr>
        <w:tc>
          <w:tcPr>
            <w:tcW w:w="1202" w:type="pct"/>
            <w:tcBorders>
              <w:top w:val="nil"/>
              <w:left w:val="single" w:sz="4" w:space="0" w:color="auto"/>
              <w:bottom w:val="single" w:sz="4" w:space="0" w:color="auto"/>
              <w:right w:val="single" w:sz="4" w:space="0" w:color="auto"/>
            </w:tcBorders>
            <w:shd w:val="clear" w:color="000000" w:fill="FFFFFF"/>
            <w:noWrap/>
            <w:vAlign w:val="center"/>
            <w:hideMark/>
          </w:tcPr>
          <w:p w14:paraId="1E6EDB4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Khan et al. (2020)</w:t>
            </w:r>
          </w:p>
        </w:tc>
        <w:tc>
          <w:tcPr>
            <w:tcW w:w="701" w:type="pct"/>
            <w:tcBorders>
              <w:top w:val="nil"/>
              <w:left w:val="nil"/>
              <w:bottom w:val="single" w:sz="4" w:space="0" w:color="auto"/>
              <w:right w:val="single" w:sz="4" w:space="0" w:color="auto"/>
            </w:tcBorders>
            <w:shd w:val="clear" w:color="auto" w:fill="D9F2D0"/>
            <w:noWrap/>
            <w:vAlign w:val="center"/>
            <w:hideMark/>
          </w:tcPr>
          <w:p w14:paraId="1DDE2C3A"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35.00%</w:t>
            </w:r>
          </w:p>
        </w:tc>
        <w:tc>
          <w:tcPr>
            <w:tcW w:w="701" w:type="pct"/>
            <w:tcBorders>
              <w:top w:val="nil"/>
              <w:left w:val="nil"/>
              <w:bottom w:val="single" w:sz="4" w:space="0" w:color="auto"/>
              <w:right w:val="single" w:sz="4" w:space="0" w:color="auto"/>
            </w:tcBorders>
            <w:noWrap/>
            <w:vAlign w:val="center"/>
            <w:hideMark/>
          </w:tcPr>
          <w:p w14:paraId="6F53635A"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65.00%</w:t>
            </w:r>
          </w:p>
        </w:tc>
        <w:tc>
          <w:tcPr>
            <w:tcW w:w="575" w:type="pct"/>
            <w:tcBorders>
              <w:top w:val="nil"/>
              <w:left w:val="nil"/>
              <w:bottom w:val="single" w:sz="4" w:space="0" w:color="auto"/>
              <w:right w:val="single" w:sz="4" w:space="0" w:color="auto"/>
            </w:tcBorders>
            <w:shd w:val="clear" w:color="auto" w:fill="D9F2D0"/>
            <w:noWrap/>
            <w:vAlign w:val="center"/>
            <w:hideMark/>
          </w:tcPr>
          <w:p w14:paraId="6D1777AE"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80%</w:t>
            </w:r>
          </w:p>
        </w:tc>
        <w:tc>
          <w:tcPr>
            <w:tcW w:w="671" w:type="pct"/>
            <w:tcBorders>
              <w:top w:val="nil"/>
              <w:left w:val="nil"/>
              <w:bottom w:val="single" w:sz="4" w:space="0" w:color="auto"/>
              <w:right w:val="single" w:sz="4" w:space="0" w:color="auto"/>
            </w:tcBorders>
            <w:noWrap/>
            <w:vAlign w:val="center"/>
            <w:hideMark/>
          </w:tcPr>
          <w:p w14:paraId="385739B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20%</w:t>
            </w:r>
          </w:p>
        </w:tc>
        <w:tc>
          <w:tcPr>
            <w:tcW w:w="575" w:type="pct"/>
            <w:tcBorders>
              <w:top w:val="nil"/>
              <w:left w:val="nil"/>
              <w:bottom w:val="single" w:sz="4" w:space="0" w:color="auto"/>
              <w:right w:val="single" w:sz="4" w:space="0" w:color="auto"/>
            </w:tcBorders>
            <w:shd w:val="clear" w:color="auto" w:fill="D9F2D0"/>
            <w:vAlign w:val="center"/>
            <w:hideMark/>
          </w:tcPr>
          <w:p w14:paraId="054EADF4"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33.30%</w:t>
            </w:r>
          </w:p>
        </w:tc>
        <w:tc>
          <w:tcPr>
            <w:tcW w:w="575" w:type="pct"/>
            <w:tcBorders>
              <w:top w:val="nil"/>
              <w:left w:val="nil"/>
              <w:bottom w:val="single" w:sz="4" w:space="0" w:color="auto"/>
              <w:right w:val="single" w:sz="4" w:space="0" w:color="auto"/>
            </w:tcBorders>
            <w:vAlign w:val="center"/>
            <w:hideMark/>
          </w:tcPr>
          <w:p w14:paraId="36741626"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66.70%</w:t>
            </w:r>
          </w:p>
        </w:tc>
      </w:tr>
      <w:tr w:rsidR="00D340EB" w:rsidRPr="00015E49" w14:paraId="740B141C" w14:textId="77777777" w:rsidTr="00775F7D">
        <w:trPr>
          <w:trHeight w:val="563"/>
        </w:trPr>
        <w:tc>
          <w:tcPr>
            <w:tcW w:w="1202" w:type="pct"/>
            <w:tcBorders>
              <w:top w:val="single" w:sz="4" w:space="0" w:color="auto"/>
              <w:left w:val="single" w:sz="4" w:space="0" w:color="auto"/>
              <w:bottom w:val="single" w:sz="4" w:space="0" w:color="auto"/>
              <w:right w:val="single" w:sz="4" w:space="0" w:color="auto"/>
            </w:tcBorders>
            <w:shd w:val="clear" w:color="000000" w:fill="FFFFFF"/>
            <w:noWrap/>
            <w:vAlign w:val="center"/>
          </w:tcPr>
          <w:p w14:paraId="104C179A"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Mean</w:t>
            </w:r>
          </w:p>
        </w:tc>
        <w:tc>
          <w:tcPr>
            <w:tcW w:w="701" w:type="pct"/>
            <w:tcBorders>
              <w:top w:val="single" w:sz="4" w:space="0" w:color="auto"/>
              <w:left w:val="nil"/>
              <w:bottom w:val="single" w:sz="4" w:space="0" w:color="auto"/>
              <w:right w:val="single" w:sz="4" w:space="0" w:color="auto"/>
            </w:tcBorders>
            <w:noWrap/>
          </w:tcPr>
          <w:p w14:paraId="52321A54"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59.8800</w:t>
            </w:r>
          </w:p>
        </w:tc>
        <w:tc>
          <w:tcPr>
            <w:tcW w:w="701" w:type="pct"/>
            <w:tcBorders>
              <w:top w:val="single" w:sz="4" w:space="0" w:color="auto"/>
              <w:left w:val="nil"/>
              <w:bottom w:val="single" w:sz="4" w:space="0" w:color="auto"/>
              <w:right w:val="single" w:sz="4" w:space="0" w:color="auto"/>
            </w:tcBorders>
            <w:noWrap/>
          </w:tcPr>
          <w:p w14:paraId="6728E8DF"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39.8200</w:t>
            </w:r>
          </w:p>
        </w:tc>
        <w:tc>
          <w:tcPr>
            <w:tcW w:w="575" w:type="pct"/>
            <w:tcBorders>
              <w:top w:val="single" w:sz="4" w:space="0" w:color="auto"/>
              <w:left w:val="nil"/>
              <w:bottom w:val="single" w:sz="4" w:space="0" w:color="auto"/>
              <w:right w:val="single" w:sz="4" w:space="0" w:color="auto"/>
            </w:tcBorders>
            <w:noWrap/>
          </w:tcPr>
          <w:p w14:paraId="277AA37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68.5190</w:t>
            </w:r>
          </w:p>
        </w:tc>
        <w:tc>
          <w:tcPr>
            <w:tcW w:w="671" w:type="pct"/>
            <w:tcBorders>
              <w:top w:val="single" w:sz="4" w:space="0" w:color="auto"/>
              <w:left w:val="nil"/>
              <w:bottom w:val="single" w:sz="4" w:space="0" w:color="auto"/>
              <w:right w:val="single" w:sz="4" w:space="0" w:color="auto"/>
            </w:tcBorders>
            <w:noWrap/>
          </w:tcPr>
          <w:p w14:paraId="26DE71D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31.5600</w:t>
            </w:r>
          </w:p>
        </w:tc>
        <w:tc>
          <w:tcPr>
            <w:tcW w:w="575" w:type="pct"/>
            <w:tcBorders>
              <w:top w:val="single" w:sz="4" w:space="0" w:color="auto"/>
              <w:left w:val="nil"/>
              <w:bottom w:val="single" w:sz="4" w:space="0" w:color="auto"/>
              <w:right w:val="single" w:sz="4" w:space="0" w:color="auto"/>
            </w:tcBorders>
          </w:tcPr>
          <w:p w14:paraId="3EC1010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59.6160</w:t>
            </w:r>
          </w:p>
        </w:tc>
        <w:tc>
          <w:tcPr>
            <w:tcW w:w="575" w:type="pct"/>
            <w:tcBorders>
              <w:top w:val="single" w:sz="4" w:space="0" w:color="auto"/>
              <w:left w:val="nil"/>
              <w:bottom w:val="single" w:sz="4" w:space="0" w:color="auto"/>
              <w:right w:val="single" w:sz="4" w:space="0" w:color="auto"/>
            </w:tcBorders>
          </w:tcPr>
          <w:p w14:paraId="0D50E919"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40.3840</w:t>
            </w:r>
          </w:p>
        </w:tc>
      </w:tr>
      <w:tr w:rsidR="00D340EB" w:rsidRPr="00015E49" w14:paraId="65EAF2A8" w14:textId="77777777" w:rsidTr="00775F7D">
        <w:trPr>
          <w:trHeight w:val="563"/>
        </w:trPr>
        <w:tc>
          <w:tcPr>
            <w:tcW w:w="1202" w:type="pct"/>
            <w:tcBorders>
              <w:top w:val="single" w:sz="4" w:space="0" w:color="auto"/>
              <w:left w:val="single" w:sz="4" w:space="0" w:color="auto"/>
              <w:bottom w:val="single" w:sz="4" w:space="0" w:color="auto"/>
              <w:right w:val="single" w:sz="4" w:space="0" w:color="auto"/>
            </w:tcBorders>
            <w:shd w:val="clear" w:color="000000" w:fill="FFFFFF"/>
            <w:noWrap/>
          </w:tcPr>
          <w:p w14:paraId="680F609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hAnsi="Arial" w:cs="Arial"/>
                <w:sz w:val="22"/>
                <w:szCs w:val="22"/>
              </w:rPr>
              <w:t>Std. Error of Mean</w:t>
            </w:r>
          </w:p>
        </w:tc>
        <w:tc>
          <w:tcPr>
            <w:tcW w:w="701" w:type="pct"/>
            <w:tcBorders>
              <w:top w:val="single" w:sz="4" w:space="0" w:color="auto"/>
              <w:left w:val="nil"/>
              <w:bottom w:val="single" w:sz="4" w:space="0" w:color="auto"/>
              <w:right w:val="single" w:sz="4" w:space="0" w:color="auto"/>
            </w:tcBorders>
            <w:noWrap/>
          </w:tcPr>
          <w:p w14:paraId="30F8982F"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6.47841</w:t>
            </w:r>
          </w:p>
        </w:tc>
        <w:tc>
          <w:tcPr>
            <w:tcW w:w="701" w:type="pct"/>
            <w:tcBorders>
              <w:top w:val="single" w:sz="4" w:space="0" w:color="auto"/>
              <w:left w:val="nil"/>
              <w:bottom w:val="single" w:sz="4" w:space="0" w:color="auto"/>
              <w:right w:val="single" w:sz="4" w:space="0" w:color="auto"/>
            </w:tcBorders>
            <w:noWrap/>
          </w:tcPr>
          <w:p w14:paraId="4BF30011"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6.51673</w:t>
            </w:r>
          </w:p>
        </w:tc>
        <w:tc>
          <w:tcPr>
            <w:tcW w:w="575" w:type="pct"/>
            <w:tcBorders>
              <w:top w:val="single" w:sz="4" w:space="0" w:color="auto"/>
              <w:left w:val="nil"/>
              <w:bottom w:val="single" w:sz="4" w:space="0" w:color="auto"/>
              <w:right w:val="single" w:sz="4" w:space="0" w:color="auto"/>
            </w:tcBorders>
            <w:noWrap/>
          </w:tcPr>
          <w:p w14:paraId="44566078"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7.10723</w:t>
            </w:r>
          </w:p>
        </w:tc>
        <w:tc>
          <w:tcPr>
            <w:tcW w:w="671" w:type="pct"/>
            <w:tcBorders>
              <w:top w:val="single" w:sz="4" w:space="0" w:color="auto"/>
              <w:left w:val="nil"/>
              <w:bottom w:val="single" w:sz="4" w:space="0" w:color="auto"/>
              <w:right w:val="single" w:sz="4" w:space="0" w:color="auto"/>
            </w:tcBorders>
            <w:noWrap/>
          </w:tcPr>
          <w:p w14:paraId="40BFC2B2"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7.09113</w:t>
            </w:r>
          </w:p>
        </w:tc>
        <w:tc>
          <w:tcPr>
            <w:tcW w:w="575" w:type="pct"/>
            <w:tcBorders>
              <w:top w:val="single" w:sz="4" w:space="0" w:color="auto"/>
              <w:left w:val="nil"/>
              <w:bottom w:val="single" w:sz="4" w:space="0" w:color="auto"/>
              <w:right w:val="single" w:sz="4" w:space="0" w:color="auto"/>
            </w:tcBorders>
          </w:tcPr>
          <w:p w14:paraId="179CFE1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5.54138</w:t>
            </w:r>
          </w:p>
        </w:tc>
        <w:tc>
          <w:tcPr>
            <w:tcW w:w="575" w:type="pct"/>
            <w:tcBorders>
              <w:top w:val="single" w:sz="4" w:space="0" w:color="auto"/>
              <w:left w:val="nil"/>
              <w:bottom w:val="single" w:sz="4" w:space="0" w:color="auto"/>
              <w:right w:val="single" w:sz="4" w:space="0" w:color="auto"/>
            </w:tcBorders>
          </w:tcPr>
          <w:p w14:paraId="7CCD2AA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hAnsi="Arial" w:cs="Arial"/>
                <w:sz w:val="22"/>
                <w:szCs w:val="22"/>
              </w:rPr>
              <w:t>5.54138</w:t>
            </w:r>
          </w:p>
        </w:tc>
      </w:tr>
      <w:tr w:rsidR="00D340EB" w:rsidRPr="00015E49" w14:paraId="72DCD8AC" w14:textId="77777777" w:rsidTr="00775F7D">
        <w:trPr>
          <w:trHeight w:val="563"/>
        </w:trPr>
        <w:tc>
          <w:tcPr>
            <w:tcW w:w="1202" w:type="pct"/>
            <w:tcBorders>
              <w:top w:val="single" w:sz="4" w:space="0" w:color="auto"/>
              <w:left w:val="single" w:sz="4" w:space="0" w:color="auto"/>
              <w:bottom w:val="single" w:sz="4" w:space="0" w:color="auto"/>
              <w:right w:val="single" w:sz="4" w:space="0" w:color="auto"/>
            </w:tcBorders>
            <w:shd w:val="clear" w:color="000000" w:fill="FFFFFF"/>
            <w:noWrap/>
          </w:tcPr>
          <w:p w14:paraId="016BFFB6" w14:textId="77777777" w:rsidR="00D340EB" w:rsidRPr="00015E49" w:rsidRDefault="00D340EB" w:rsidP="00775F7D">
            <w:pPr>
              <w:spacing w:after="0" w:line="240" w:lineRule="auto"/>
              <w:rPr>
                <w:rFonts w:ascii="Arial" w:hAnsi="Arial" w:cs="Arial"/>
                <w:sz w:val="22"/>
                <w:szCs w:val="22"/>
              </w:rPr>
            </w:pPr>
            <w:r w:rsidRPr="00015E49">
              <w:rPr>
                <w:rFonts w:ascii="Arial" w:hAnsi="Arial" w:cs="Arial"/>
                <w:sz w:val="22"/>
                <w:szCs w:val="22"/>
              </w:rPr>
              <w:t>Median</w:t>
            </w:r>
          </w:p>
        </w:tc>
        <w:tc>
          <w:tcPr>
            <w:tcW w:w="701" w:type="pct"/>
            <w:tcBorders>
              <w:top w:val="single" w:sz="4" w:space="0" w:color="auto"/>
              <w:left w:val="nil"/>
              <w:bottom w:val="single" w:sz="4" w:space="0" w:color="auto"/>
              <w:right w:val="single" w:sz="4" w:space="0" w:color="auto"/>
            </w:tcBorders>
            <w:noWrap/>
          </w:tcPr>
          <w:p w14:paraId="273D9314"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59.2500</w:t>
            </w:r>
          </w:p>
        </w:tc>
        <w:tc>
          <w:tcPr>
            <w:tcW w:w="701" w:type="pct"/>
            <w:tcBorders>
              <w:top w:val="single" w:sz="4" w:space="0" w:color="auto"/>
              <w:left w:val="nil"/>
              <w:bottom w:val="single" w:sz="4" w:space="0" w:color="auto"/>
              <w:right w:val="single" w:sz="4" w:space="0" w:color="auto"/>
            </w:tcBorders>
            <w:noWrap/>
          </w:tcPr>
          <w:p w14:paraId="00403552"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39.5500</w:t>
            </w:r>
          </w:p>
        </w:tc>
        <w:tc>
          <w:tcPr>
            <w:tcW w:w="575" w:type="pct"/>
            <w:tcBorders>
              <w:top w:val="single" w:sz="4" w:space="0" w:color="auto"/>
              <w:left w:val="nil"/>
              <w:bottom w:val="single" w:sz="4" w:space="0" w:color="auto"/>
              <w:right w:val="single" w:sz="4" w:space="0" w:color="auto"/>
            </w:tcBorders>
            <w:noWrap/>
          </w:tcPr>
          <w:p w14:paraId="3A4A3B9B"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80.6700</w:t>
            </w:r>
          </w:p>
        </w:tc>
        <w:tc>
          <w:tcPr>
            <w:tcW w:w="671" w:type="pct"/>
            <w:tcBorders>
              <w:top w:val="single" w:sz="4" w:space="0" w:color="auto"/>
              <w:left w:val="nil"/>
              <w:bottom w:val="single" w:sz="4" w:space="0" w:color="auto"/>
              <w:right w:val="single" w:sz="4" w:space="0" w:color="auto"/>
            </w:tcBorders>
            <w:noWrap/>
          </w:tcPr>
          <w:p w14:paraId="4CDD7CF8"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19.4500</w:t>
            </w:r>
          </w:p>
        </w:tc>
        <w:tc>
          <w:tcPr>
            <w:tcW w:w="575" w:type="pct"/>
            <w:tcBorders>
              <w:top w:val="single" w:sz="4" w:space="0" w:color="auto"/>
              <w:left w:val="nil"/>
              <w:bottom w:val="single" w:sz="4" w:space="0" w:color="auto"/>
              <w:right w:val="single" w:sz="4" w:space="0" w:color="auto"/>
            </w:tcBorders>
          </w:tcPr>
          <w:p w14:paraId="6810037E"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57.3300</w:t>
            </w:r>
          </w:p>
        </w:tc>
        <w:tc>
          <w:tcPr>
            <w:tcW w:w="575" w:type="pct"/>
            <w:tcBorders>
              <w:top w:val="single" w:sz="4" w:space="0" w:color="auto"/>
              <w:left w:val="nil"/>
              <w:bottom w:val="single" w:sz="4" w:space="0" w:color="auto"/>
              <w:right w:val="single" w:sz="4" w:space="0" w:color="auto"/>
            </w:tcBorders>
          </w:tcPr>
          <w:p w14:paraId="4962EAF7"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42.6700</w:t>
            </w:r>
          </w:p>
        </w:tc>
      </w:tr>
      <w:tr w:rsidR="00D340EB" w:rsidRPr="00015E49" w14:paraId="24225A07" w14:textId="77777777" w:rsidTr="00775F7D">
        <w:trPr>
          <w:trHeight w:val="563"/>
        </w:trPr>
        <w:tc>
          <w:tcPr>
            <w:tcW w:w="1202" w:type="pct"/>
            <w:tcBorders>
              <w:top w:val="single" w:sz="4" w:space="0" w:color="auto"/>
              <w:left w:val="single" w:sz="4" w:space="0" w:color="auto"/>
              <w:bottom w:val="single" w:sz="4" w:space="0" w:color="auto"/>
              <w:right w:val="single" w:sz="4" w:space="0" w:color="auto"/>
            </w:tcBorders>
            <w:shd w:val="clear" w:color="000000" w:fill="FFFFFF"/>
            <w:noWrap/>
          </w:tcPr>
          <w:p w14:paraId="1D71419D" w14:textId="77777777" w:rsidR="00D340EB" w:rsidRPr="00015E49" w:rsidRDefault="00D340EB" w:rsidP="00775F7D">
            <w:pPr>
              <w:spacing w:after="0" w:line="240" w:lineRule="auto"/>
              <w:rPr>
                <w:rFonts w:ascii="Arial" w:hAnsi="Arial" w:cs="Arial"/>
                <w:sz w:val="22"/>
                <w:szCs w:val="22"/>
              </w:rPr>
            </w:pPr>
            <w:r w:rsidRPr="00015E49">
              <w:rPr>
                <w:rFonts w:ascii="Arial" w:hAnsi="Arial" w:cs="Arial"/>
                <w:sz w:val="22"/>
                <w:szCs w:val="22"/>
              </w:rPr>
              <w:t>Mode</w:t>
            </w:r>
          </w:p>
        </w:tc>
        <w:tc>
          <w:tcPr>
            <w:tcW w:w="701" w:type="pct"/>
            <w:tcBorders>
              <w:top w:val="single" w:sz="4" w:space="0" w:color="auto"/>
              <w:left w:val="nil"/>
              <w:bottom w:val="single" w:sz="4" w:space="0" w:color="auto"/>
              <w:right w:val="single" w:sz="4" w:space="0" w:color="auto"/>
            </w:tcBorders>
            <w:noWrap/>
          </w:tcPr>
          <w:p w14:paraId="1CEED2B8"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34.00</w:t>
            </w:r>
            <w:r w:rsidRPr="00015E49">
              <w:rPr>
                <w:rFonts w:ascii="Arial" w:hAnsi="Arial" w:cs="Arial"/>
                <w:sz w:val="22"/>
                <w:szCs w:val="22"/>
                <w:vertAlign w:val="superscript"/>
              </w:rPr>
              <w:t>a</w:t>
            </w:r>
          </w:p>
        </w:tc>
        <w:tc>
          <w:tcPr>
            <w:tcW w:w="701" w:type="pct"/>
            <w:tcBorders>
              <w:top w:val="single" w:sz="4" w:space="0" w:color="auto"/>
              <w:left w:val="nil"/>
              <w:bottom w:val="single" w:sz="4" w:space="0" w:color="auto"/>
              <w:right w:val="single" w:sz="4" w:space="0" w:color="auto"/>
            </w:tcBorders>
            <w:noWrap/>
          </w:tcPr>
          <w:p w14:paraId="1116968B"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14.00</w:t>
            </w:r>
            <w:r w:rsidRPr="00015E49">
              <w:rPr>
                <w:rFonts w:ascii="Arial" w:hAnsi="Arial" w:cs="Arial"/>
                <w:sz w:val="22"/>
                <w:szCs w:val="22"/>
                <w:vertAlign w:val="superscript"/>
              </w:rPr>
              <w:t>a</w:t>
            </w:r>
          </w:p>
        </w:tc>
        <w:tc>
          <w:tcPr>
            <w:tcW w:w="575" w:type="pct"/>
            <w:tcBorders>
              <w:top w:val="single" w:sz="4" w:space="0" w:color="auto"/>
              <w:left w:val="nil"/>
              <w:bottom w:val="single" w:sz="4" w:space="0" w:color="auto"/>
              <w:right w:val="single" w:sz="4" w:space="0" w:color="auto"/>
            </w:tcBorders>
            <w:noWrap/>
          </w:tcPr>
          <w:p w14:paraId="2A9A00BA"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31.60</w:t>
            </w:r>
            <w:r w:rsidRPr="00015E49">
              <w:rPr>
                <w:rFonts w:ascii="Arial" w:hAnsi="Arial" w:cs="Arial"/>
                <w:sz w:val="22"/>
                <w:szCs w:val="22"/>
                <w:vertAlign w:val="superscript"/>
              </w:rPr>
              <w:t>a</w:t>
            </w:r>
          </w:p>
        </w:tc>
        <w:tc>
          <w:tcPr>
            <w:tcW w:w="671" w:type="pct"/>
            <w:tcBorders>
              <w:top w:val="single" w:sz="4" w:space="0" w:color="auto"/>
              <w:left w:val="nil"/>
              <w:bottom w:val="single" w:sz="4" w:space="0" w:color="auto"/>
              <w:right w:val="single" w:sz="4" w:space="0" w:color="auto"/>
            </w:tcBorders>
            <w:noWrap/>
          </w:tcPr>
          <w:p w14:paraId="711ABC2E"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8.15</w:t>
            </w:r>
            <w:r w:rsidRPr="00015E49">
              <w:rPr>
                <w:rFonts w:ascii="Arial" w:hAnsi="Arial" w:cs="Arial"/>
                <w:sz w:val="22"/>
                <w:szCs w:val="22"/>
                <w:vertAlign w:val="superscript"/>
              </w:rPr>
              <w:t>a</w:t>
            </w:r>
          </w:p>
        </w:tc>
        <w:tc>
          <w:tcPr>
            <w:tcW w:w="575" w:type="pct"/>
            <w:tcBorders>
              <w:top w:val="single" w:sz="4" w:space="0" w:color="auto"/>
              <w:left w:val="nil"/>
              <w:bottom w:val="single" w:sz="4" w:space="0" w:color="auto"/>
              <w:right w:val="single" w:sz="4" w:space="0" w:color="auto"/>
            </w:tcBorders>
          </w:tcPr>
          <w:p w14:paraId="29B21E08"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33.30</w:t>
            </w:r>
            <w:r w:rsidRPr="00015E49">
              <w:rPr>
                <w:rFonts w:ascii="Arial" w:hAnsi="Arial" w:cs="Arial"/>
                <w:sz w:val="22"/>
                <w:szCs w:val="22"/>
                <w:vertAlign w:val="superscript"/>
              </w:rPr>
              <w:t>a</w:t>
            </w:r>
          </w:p>
        </w:tc>
        <w:tc>
          <w:tcPr>
            <w:tcW w:w="575" w:type="pct"/>
            <w:tcBorders>
              <w:top w:val="single" w:sz="4" w:space="0" w:color="auto"/>
              <w:left w:val="nil"/>
              <w:bottom w:val="single" w:sz="4" w:space="0" w:color="auto"/>
              <w:right w:val="single" w:sz="4" w:space="0" w:color="auto"/>
            </w:tcBorders>
          </w:tcPr>
          <w:p w14:paraId="3136F359"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6.30</w:t>
            </w:r>
            <w:r w:rsidRPr="00015E49">
              <w:rPr>
                <w:rFonts w:ascii="Arial" w:hAnsi="Arial" w:cs="Arial"/>
                <w:sz w:val="22"/>
                <w:szCs w:val="22"/>
                <w:vertAlign w:val="superscript"/>
              </w:rPr>
              <w:t>a</w:t>
            </w:r>
          </w:p>
        </w:tc>
      </w:tr>
      <w:tr w:rsidR="00D340EB" w:rsidRPr="00015E49" w14:paraId="7967A7BD" w14:textId="77777777" w:rsidTr="00775F7D">
        <w:trPr>
          <w:trHeight w:val="563"/>
        </w:trPr>
        <w:tc>
          <w:tcPr>
            <w:tcW w:w="1202" w:type="pct"/>
            <w:tcBorders>
              <w:top w:val="single" w:sz="4" w:space="0" w:color="auto"/>
              <w:left w:val="single" w:sz="4" w:space="0" w:color="auto"/>
              <w:bottom w:val="single" w:sz="4" w:space="0" w:color="auto"/>
              <w:right w:val="single" w:sz="4" w:space="0" w:color="auto"/>
            </w:tcBorders>
            <w:shd w:val="clear" w:color="000000" w:fill="FFFFFF"/>
            <w:noWrap/>
          </w:tcPr>
          <w:p w14:paraId="54E476F7" w14:textId="77777777" w:rsidR="00D340EB" w:rsidRPr="00015E49" w:rsidRDefault="00D340EB" w:rsidP="00775F7D">
            <w:pPr>
              <w:spacing w:after="0" w:line="240" w:lineRule="auto"/>
              <w:rPr>
                <w:rFonts w:ascii="Arial" w:hAnsi="Arial" w:cs="Arial"/>
                <w:sz w:val="22"/>
                <w:szCs w:val="22"/>
              </w:rPr>
            </w:pPr>
            <w:r w:rsidRPr="00015E49">
              <w:rPr>
                <w:rFonts w:ascii="Arial" w:hAnsi="Arial" w:cs="Arial"/>
                <w:sz w:val="22"/>
                <w:szCs w:val="22"/>
              </w:rPr>
              <w:t>Std. Deviation</w:t>
            </w:r>
          </w:p>
        </w:tc>
        <w:tc>
          <w:tcPr>
            <w:tcW w:w="701" w:type="pct"/>
            <w:tcBorders>
              <w:top w:val="single" w:sz="4" w:space="0" w:color="auto"/>
              <w:left w:val="nil"/>
              <w:bottom w:val="single" w:sz="4" w:space="0" w:color="auto"/>
              <w:right w:val="single" w:sz="4" w:space="0" w:color="auto"/>
            </w:tcBorders>
            <w:noWrap/>
          </w:tcPr>
          <w:p w14:paraId="5BB4B2F4"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20.48652</w:t>
            </w:r>
          </w:p>
        </w:tc>
        <w:tc>
          <w:tcPr>
            <w:tcW w:w="701" w:type="pct"/>
            <w:tcBorders>
              <w:top w:val="single" w:sz="4" w:space="0" w:color="auto"/>
              <w:left w:val="nil"/>
              <w:bottom w:val="single" w:sz="4" w:space="0" w:color="auto"/>
              <w:right w:val="single" w:sz="4" w:space="0" w:color="auto"/>
            </w:tcBorders>
            <w:noWrap/>
          </w:tcPr>
          <w:p w14:paraId="3E421095"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20.60770</w:t>
            </w:r>
          </w:p>
        </w:tc>
        <w:tc>
          <w:tcPr>
            <w:tcW w:w="575" w:type="pct"/>
            <w:tcBorders>
              <w:top w:val="single" w:sz="4" w:space="0" w:color="auto"/>
              <w:left w:val="nil"/>
              <w:bottom w:val="single" w:sz="4" w:space="0" w:color="auto"/>
              <w:right w:val="single" w:sz="4" w:space="0" w:color="auto"/>
            </w:tcBorders>
            <w:noWrap/>
          </w:tcPr>
          <w:p w14:paraId="07830B16"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22.47503</w:t>
            </w:r>
          </w:p>
        </w:tc>
        <w:tc>
          <w:tcPr>
            <w:tcW w:w="671" w:type="pct"/>
            <w:tcBorders>
              <w:top w:val="single" w:sz="4" w:space="0" w:color="auto"/>
              <w:left w:val="nil"/>
              <w:bottom w:val="single" w:sz="4" w:space="0" w:color="auto"/>
              <w:right w:val="single" w:sz="4" w:space="0" w:color="auto"/>
            </w:tcBorders>
            <w:noWrap/>
          </w:tcPr>
          <w:p w14:paraId="494CEE22"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22.42412</w:t>
            </w:r>
          </w:p>
        </w:tc>
        <w:tc>
          <w:tcPr>
            <w:tcW w:w="575" w:type="pct"/>
            <w:tcBorders>
              <w:top w:val="single" w:sz="4" w:space="0" w:color="auto"/>
              <w:left w:val="nil"/>
              <w:bottom w:val="single" w:sz="4" w:space="0" w:color="auto"/>
              <w:right w:val="single" w:sz="4" w:space="0" w:color="auto"/>
            </w:tcBorders>
          </w:tcPr>
          <w:p w14:paraId="27586F76"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17.52339</w:t>
            </w:r>
          </w:p>
        </w:tc>
        <w:tc>
          <w:tcPr>
            <w:tcW w:w="575" w:type="pct"/>
            <w:tcBorders>
              <w:top w:val="single" w:sz="4" w:space="0" w:color="auto"/>
              <w:left w:val="nil"/>
              <w:bottom w:val="single" w:sz="4" w:space="0" w:color="auto"/>
              <w:right w:val="single" w:sz="4" w:space="0" w:color="auto"/>
            </w:tcBorders>
          </w:tcPr>
          <w:p w14:paraId="06B8C4EF"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17.52339</w:t>
            </w:r>
          </w:p>
        </w:tc>
      </w:tr>
      <w:tr w:rsidR="00D340EB" w:rsidRPr="00015E49" w14:paraId="246E03B0" w14:textId="77777777" w:rsidTr="00775F7D">
        <w:trPr>
          <w:trHeight w:val="563"/>
        </w:trPr>
        <w:tc>
          <w:tcPr>
            <w:tcW w:w="1202" w:type="pct"/>
            <w:tcBorders>
              <w:top w:val="single" w:sz="4" w:space="0" w:color="auto"/>
              <w:left w:val="single" w:sz="4" w:space="0" w:color="auto"/>
              <w:bottom w:val="single" w:sz="4" w:space="0" w:color="auto"/>
              <w:right w:val="single" w:sz="4" w:space="0" w:color="auto"/>
            </w:tcBorders>
            <w:shd w:val="clear" w:color="000000" w:fill="FFFFFF"/>
            <w:noWrap/>
          </w:tcPr>
          <w:p w14:paraId="189AF03A" w14:textId="77777777" w:rsidR="00D340EB" w:rsidRPr="00015E49" w:rsidRDefault="00D340EB" w:rsidP="00775F7D">
            <w:pPr>
              <w:spacing w:after="0" w:line="240" w:lineRule="auto"/>
              <w:rPr>
                <w:rFonts w:ascii="Arial" w:hAnsi="Arial" w:cs="Arial"/>
                <w:sz w:val="22"/>
                <w:szCs w:val="22"/>
              </w:rPr>
            </w:pPr>
            <w:r w:rsidRPr="00015E49">
              <w:rPr>
                <w:rFonts w:ascii="Arial" w:hAnsi="Arial" w:cs="Arial"/>
                <w:sz w:val="22"/>
                <w:szCs w:val="22"/>
              </w:rPr>
              <w:t>Variance</w:t>
            </w:r>
          </w:p>
        </w:tc>
        <w:tc>
          <w:tcPr>
            <w:tcW w:w="701" w:type="pct"/>
            <w:tcBorders>
              <w:top w:val="single" w:sz="4" w:space="0" w:color="auto"/>
              <w:left w:val="nil"/>
              <w:bottom w:val="single" w:sz="4" w:space="0" w:color="auto"/>
              <w:right w:val="single" w:sz="4" w:space="0" w:color="auto"/>
            </w:tcBorders>
            <w:noWrap/>
          </w:tcPr>
          <w:p w14:paraId="0AFEB093"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419.697</w:t>
            </w:r>
          </w:p>
        </w:tc>
        <w:tc>
          <w:tcPr>
            <w:tcW w:w="701" w:type="pct"/>
            <w:tcBorders>
              <w:top w:val="single" w:sz="4" w:space="0" w:color="auto"/>
              <w:left w:val="nil"/>
              <w:bottom w:val="single" w:sz="4" w:space="0" w:color="auto"/>
              <w:right w:val="single" w:sz="4" w:space="0" w:color="auto"/>
            </w:tcBorders>
            <w:noWrap/>
          </w:tcPr>
          <w:p w14:paraId="67C8A029"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424.677</w:t>
            </w:r>
          </w:p>
        </w:tc>
        <w:tc>
          <w:tcPr>
            <w:tcW w:w="575" w:type="pct"/>
            <w:tcBorders>
              <w:top w:val="single" w:sz="4" w:space="0" w:color="auto"/>
              <w:left w:val="nil"/>
              <w:bottom w:val="single" w:sz="4" w:space="0" w:color="auto"/>
              <w:right w:val="single" w:sz="4" w:space="0" w:color="auto"/>
            </w:tcBorders>
            <w:noWrap/>
          </w:tcPr>
          <w:p w14:paraId="16B53DE8"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505.127</w:t>
            </w:r>
          </w:p>
        </w:tc>
        <w:tc>
          <w:tcPr>
            <w:tcW w:w="671" w:type="pct"/>
            <w:tcBorders>
              <w:top w:val="single" w:sz="4" w:space="0" w:color="auto"/>
              <w:left w:val="nil"/>
              <w:bottom w:val="single" w:sz="4" w:space="0" w:color="auto"/>
              <w:right w:val="single" w:sz="4" w:space="0" w:color="auto"/>
            </w:tcBorders>
            <w:noWrap/>
          </w:tcPr>
          <w:p w14:paraId="4214AE2B"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502.841</w:t>
            </w:r>
          </w:p>
        </w:tc>
        <w:tc>
          <w:tcPr>
            <w:tcW w:w="575" w:type="pct"/>
            <w:tcBorders>
              <w:top w:val="single" w:sz="4" w:space="0" w:color="auto"/>
              <w:left w:val="nil"/>
              <w:bottom w:val="single" w:sz="4" w:space="0" w:color="auto"/>
              <w:right w:val="single" w:sz="4" w:space="0" w:color="auto"/>
            </w:tcBorders>
          </w:tcPr>
          <w:p w14:paraId="2E6A8D00"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307.069</w:t>
            </w:r>
          </w:p>
        </w:tc>
        <w:tc>
          <w:tcPr>
            <w:tcW w:w="575" w:type="pct"/>
            <w:tcBorders>
              <w:top w:val="single" w:sz="4" w:space="0" w:color="auto"/>
              <w:left w:val="nil"/>
              <w:bottom w:val="single" w:sz="4" w:space="0" w:color="auto"/>
              <w:right w:val="single" w:sz="4" w:space="0" w:color="auto"/>
            </w:tcBorders>
          </w:tcPr>
          <w:p w14:paraId="48B0099F"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307.069</w:t>
            </w:r>
          </w:p>
        </w:tc>
      </w:tr>
      <w:tr w:rsidR="00D340EB" w:rsidRPr="00015E49" w14:paraId="4C28F12E" w14:textId="77777777" w:rsidTr="00775F7D">
        <w:trPr>
          <w:trHeight w:val="563"/>
        </w:trPr>
        <w:tc>
          <w:tcPr>
            <w:tcW w:w="1202" w:type="pct"/>
            <w:tcBorders>
              <w:top w:val="single" w:sz="4" w:space="0" w:color="auto"/>
              <w:left w:val="single" w:sz="4" w:space="0" w:color="auto"/>
              <w:bottom w:val="single" w:sz="4" w:space="0" w:color="auto"/>
              <w:right w:val="single" w:sz="4" w:space="0" w:color="auto"/>
            </w:tcBorders>
            <w:shd w:val="clear" w:color="000000" w:fill="FFFFFF"/>
            <w:noWrap/>
          </w:tcPr>
          <w:p w14:paraId="2B903222" w14:textId="77777777" w:rsidR="00D340EB" w:rsidRPr="00015E49" w:rsidRDefault="00D340EB" w:rsidP="00775F7D">
            <w:pPr>
              <w:spacing w:after="0" w:line="240" w:lineRule="auto"/>
              <w:rPr>
                <w:rFonts w:ascii="Arial" w:hAnsi="Arial" w:cs="Arial"/>
                <w:sz w:val="22"/>
                <w:szCs w:val="22"/>
              </w:rPr>
            </w:pPr>
            <w:r w:rsidRPr="00015E49">
              <w:rPr>
                <w:rFonts w:ascii="Arial" w:hAnsi="Arial" w:cs="Arial"/>
                <w:sz w:val="22"/>
                <w:szCs w:val="22"/>
              </w:rPr>
              <w:lastRenderedPageBreak/>
              <w:t>Range</w:t>
            </w:r>
          </w:p>
        </w:tc>
        <w:tc>
          <w:tcPr>
            <w:tcW w:w="701" w:type="pct"/>
            <w:tcBorders>
              <w:top w:val="single" w:sz="4" w:space="0" w:color="auto"/>
              <w:left w:val="nil"/>
              <w:bottom w:val="single" w:sz="4" w:space="0" w:color="auto"/>
              <w:right w:val="single" w:sz="4" w:space="0" w:color="auto"/>
            </w:tcBorders>
            <w:noWrap/>
          </w:tcPr>
          <w:p w14:paraId="55E008DC"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52.00</w:t>
            </w:r>
          </w:p>
        </w:tc>
        <w:tc>
          <w:tcPr>
            <w:tcW w:w="701" w:type="pct"/>
            <w:tcBorders>
              <w:top w:val="single" w:sz="4" w:space="0" w:color="auto"/>
              <w:left w:val="nil"/>
              <w:bottom w:val="single" w:sz="4" w:space="0" w:color="auto"/>
              <w:right w:val="single" w:sz="4" w:space="0" w:color="auto"/>
            </w:tcBorders>
            <w:noWrap/>
          </w:tcPr>
          <w:p w14:paraId="0EC0B6D8"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52.00</w:t>
            </w:r>
          </w:p>
        </w:tc>
        <w:tc>
          <w:tcPr>
            <w:tcW w:w="575" w:type="pct"/>
            <w:tcBorders>
              <w:top w:val="single" w:sz="4" w:space="0" w:color="auto"/>
              <w:left w:val="nil"/>
              <w:bottom w:val="single" w:sz="4" w:space="0" w:color="auto"/>
              <w:right w:val="single" w:sz="4" w:space="0" w:color="auto"/>
            </w:tcBorders>
            <w:noWrap/>
          </w:tcPr>
          <w:p w14:paraId="1233248F"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60.25</w:t>
            </w:r>
          </w:p>
        </w:tc>
        <w:tc>
          <w:tcPr>
            <w:tcW w:w="671" w:type="pct"/>
            <w:tcBorders>
              <w:top w:val="single" w:sz="4" w:space="0" w:color="auto"/>
              <w:left w:val="nil"/>
              <w:bottom w:val="single" w:sz="4" w:space="0" w:color="auto"/>
              <w:right w:val="single" w:sz="4" w:space="0" w:color="auto"/>
            </w:tcBorders>
            <w:noWrap/>
          </w:tcPr>
          <w:p w14:paraId="4F0E3C3E"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60.25</w:t>
            </w:r>
          </w:p>
        </w:tc>
        <w:tc>
          <w:tcPr>
            <w:tcW w:w="575" w:type="pct"/>
            <w:tcBorders>
              <w:top w:val="single" w:sz="4" w:space="0" w:color="auto"/>
              <w:left w:val="nil"/>
              <w:bottom w:val="single" w:sz="4" w:space="0" w:color="auto"/>
              <w:right w:val="single" w:sz="4" w:space="0" w:color="auto"/>
            </w:tcBorders>
          </w:tcPr>
          <w:p w14:paraId="7029FC80"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60.40</w:t>
            </w:r>
          </w:p>
        </w:tc>
        <w:tc>
          <w:tcPr>
            <w:tcW w:w="575" w:type="pct"/>
            <w:tcBorders>
              <w:top w:val="single" w:sz="4" w:space="0" w:color="auto"/>
              <w:left w:val="nil"/>
              <w:bottom w:val="single" w:sz="4" w:space="0" w:color="auto"/>
              <w:right w:val="single" w:sz="4" w:space="0" w:color="auto"/>
            </w:tcBorders>
          </w:tcPr>
          <w:p w14:paraId="15C89C82" w14:textId="77777777" w:rsidR="00D340EB" w:rsidRPr="00015E49" w:rsidRDefault="00D340EB" w:rsidP="00775F7D">
            <w:pPr>
              <w:spacing w:after="0" w:line="240" w:lineRule="auto"/>
              <w:jc w:val="center"/>
              <w:rPr>
                <w:rFonts w:ascii="Arial" w:hAnsi="Arial" w:cs="Arial"/>
                <w:sz w:val="22"/>
                <w:szCs w:val="22"/>
              </w:rPr>
            </w:pPr>
            <w:r w:rsidRPr="00015E49">
              <w:rPr>
                <w:rFonts w:ascii="Arial" w:hAnsi="Arial" w:cs="Arial"/>
                <w:sz w:val="22"/>
                <w:szCs w:val="22"/>
              </w:rPr>
              <w:t>60.40</w:t>
            </w:r>
          </w:p>
        </w:tc>
      </w:tr>
    </w:tbl>
    <w:p w14:paraId="59B95643" w14:textId="77777777" w:rsidR="00D340EB" w:rsidRPr="00015E49" w:rsidRDefault="00D340EB" w:rsidP="00D340EB">
      <w:pPr>
        <w:spacing w:line="360" w:lineRule="auto"/>
        <w:jc w:val="both"/>
        <w:rPr>
          <w:rFonts w:ascii="Arial" w:hAnsi="Arial" w:cs="Arial"/>
          <w:sz w:val="22"/>
          <w:szCs w:val="22"/>
        </w:rPr>
      </w:pPr>
    </w:p>
    <w:p w14:paraId="362F3F67" w14:textId="77777777" w:rsidR="00D340EB" w:rsidRPr="00015E49" w:rsidRDefault="00D340EB" w:rsidP="00D340EB">
      <w:pPr>
        <w:spacing w:line="360" w:lineRule="auto"/>
        <w:jc w:val="both"/>
        <w:rPr>
          <w:rFonts w:ascii="Arial" w:hAnsi="Arial" w:cs="Arial"/>
          <w:sz w:val="22"/>
          <w:szCs w:val="22"/>
        </w:rPr>
      </w:pPr>
      <w:r w:rsidRPr="008D46BD">
        <w:rPr>
          <w:rFonts w:ascii="Arial" w:hAnsi="Arial" w:cs="Arial"/>
          <w:sz w:val="22"/>
          <w:szCs w:val="22"/>
        </w:rPr>
        <w:t>Simultaneously, the attitude outcome distribution demonstrates that positive perceptions concerning an</w:t>
      </w:r>
      <w:r>
        <w:rPr>
          <w:rFonts w:ascii="Arial" w:hAnsi="Arial" w:cs="Arial"/>
          <w:sz w:val="22"/>
          <w:szCs w:val="22"/>
        </w:rPr>
        <w:t>timicrobial stewardship prevail</w:t>
      </w:r>
      <w:r w:rsidRPr="008D46BD">
        <w:rPr>
          <w:rFonts w:ascii="Arial" w:hAnsi="Arial" w:cs="Arial"/>
          <w:sz w:val="22"/>
          <w:szCs w:val="22"/>
        </w:rPr>
        <w:t xml:space="preserve"> as reflected by the mean positive attitude score of 68.52% compared to the 31.56% mean negative attitude score. Among the highest positive attitude scores were those of healthcare professionals, postgraduate</w:t>
      </w:r>
      <w:r>
        <w:rPr>
          <w:rFonts w:ascii="Arial" w:hAnsi="Arial" w:cs="Arial"/>
          <w:sz w:val="22"/>
          <w:szCs w:val="22"/>
        </w:rPr>
        <w:t xml:space="preserve"> trainees, and clinical doctors</w:t>
      </w:r>
      <w:r w:rsidRPr="008D46BD">
        <w:rPr>
          <w:rFonts w:ascii="Arial" w:hAnsi="Arial" w:cs="Arial"/>
          <w:sz w:val="22"/>
          <w:szCs w:val="22"/>
        </w:rPr>
        <w:t xml:space="preserve"> who surpassed the 90.00% mark in support for effective prescribing and stewardship initiatives. On the other hand, community members and limited-resource practitioners showed more negative attitudes toward antimicrobial stewardship. Despite this positive attitude by the professionals toward antimicrobial stewardship, there is a huge gap between attitudes and actual behaviors as reco</w:t>
      </w:r>
      <w:r>
        <w:rPr>
          <w:rFonts w:ascii="Arial" w:hAnsi="Arial" w:cs="Arial"/>
          <w:sz w:val="22"/>
          <w:szCs w:val="22"/>
        </w:rPr>
        <w:t>rded in the outcome of practice</w:t>
      </w:r>
      <w:r w:rsidRPr="00015E49">
        <w:rPr>
          <w:rFonts w:ascii="Arial" w:hAnsi="Arial" w:cs="Arial"/>
          <w:sz w:val="22"/>
          <w:szCs w:val="22"/>
        </w:rPr>
        <w:t xml:space="preserve">. </w:t>
      </w:r>
    </w:p>
    <w:p w14:paraId="4DA01DF2" w14:textId="77777777" w:rsidR="00D340EB" w:rsidRDefault="00D340EB" w:rsidP="00D340EB">
      <w:pPr>
        <w:spacing w:line="360" w:lineRule="auto"/>
        <w:jc w:val="both"/>
        <w:rPr>
          <w:rFonts w:ascii="Arial" w:hAnsi="Arial" w:cs="Arial"/>
          <w:sz w:val="22"/>
          <w:szCs w:val="22"/>
        </w:rPr>
      </w:pPr>
      <w:r w:rsidRPr="008D46BD">
        <w:rPr>
          <w:rFonts w:ascii="Arial" w:hAnsi="Arial" w:cs="Arial"/>
          <w:sz w:val="22"/>
          <w:szCs w:val="22"/>
        </w:rPr>
        <w:t>The summary of practice results presented in Table 5 exemplifies this conflicting situation, as it shows that the average score for good practice is 59.62, whereas the score for inappropriate practice is 40.38 with tremendous variability (from 6.30 to 93.70) among the cohorts in question. The analysis of the practice areas indicates very high rates of self-treatment of patients by means of a varied number of different medicines (up to 60.00%) and excessive purchase of antibiotics by students and consumers, as well as considerable noncompliance with the prescribed treatment regime. Among healthcare professionals and pharmacy specialists, undesirable practices result in the practice of overprescribing, which is widespread among practitioners.</w:t>
      </w:r>
    </w:p>
    <w:p w14:paraId="12A9AA5A"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Table 6: Overall Distribution Metrics of AMR-Related KAP (n=10).</w:t>
      </w:r>
    </w:p>
    <w:tbl>
      <w:tblPr>
        <w:tblW w:w="4893" w:type="pct"/>
        <w:tblLook w:val="04A0" w:firstRow="1" w:lastRow="0" w:firstColumn="1" w:lastColumn="0" w:noHBand="0" w:noVBand="1"/>
      </w:tblPr>
      <w:tblGrid>
        <w:gridCol w:w="1879"/>
        <w:gridCol w:w="2067"/>
        <w:gridCol w:w="1881"/>
        <w:gridCol w:w="3645"/>
      </w:tblGrid>
      <w:tr w:rsidR="00D340EB" w:rsidRPr="00015E49" w14:paraId="263B9D31" w14:textId="77777777" w:rsidTr="00775F7D">
        <w:trPr>
          <w:trHeight w:val="1187"/>
        </w:trPr>
        <w:tc>
          <w:tcPr>
            <w:tcW w:w="992"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1F90595"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KAP Domain</w:t>
            </w:r>
          </w:p>
        </w:tc>
        <w:tc>
          <w:tcPr>
            <w:tcW w:w="1091" w:type="pct"/>
            <w:tcBorders>
              <w:top w:val="single" w:sz="4" w:space="0" w:color="auto"/>
              <w:left w:val="nil"/>
              <w:bottom w:val="single" w:sz="4" w:space="0" w:color="auto"/>
              <w:right w:val="single" w:sz="4" w:space="0" w:color="auto"/>
            </w:tcBorders>
            <w:shd w:val="clear" w:color="auto" w:fill="D9D9D9"/>
            <w:vAlign w:val="center"/>
            <w:hideMark/>
          </w:tcPr>
          <w:p w14:paraId="1957D22A"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Good / Adequate Outcome (%)</w:t>
            </w:r>
          </w:p>
        </w:tc>
        <w:tc>
          <w:tcPr>
            <w:tcW w:w="993" w:type="pct"/>
            <w:tcBorders>
              <w:top w:val="single" w:sz="4" w:space="0" w:color="auto"/>
              <w:left w:val="nil"/>
              <w:bottom w:val="single" w:sz="4" w:space="0" w:color="auto"/>
              <w:right w:val="single" w:sz="4" w:space="0" w:color="auto"/>
            </w:tcBorders>
            <w:shd w:val="clear" w:color="auto" w:fill="D9D9D9"/>
            <w:vAlign w:val="center"/>
            <w:hideMark/>
          </w:tcPr>
          <w:p w14:paraId="59264F1A"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Suboptimal / Poor Outcome (%)</w:t>
            </w:r>
          </w:p>
        </w:tc>
        <w:tc>
          <w:tcPr>
            <w:tcW w:w="1924" w:type="pct"/>
            <w:tcBorders>
              <w:top w:val="single" w:sz="4" w:space="0" w:color="auto"/>
              <w:left w:val="nil"/>
              <w:bottom w:val="single" w:sz="4" w:space="0" w:color="auto"/>
              <w:right w:val="single" w:sz="4" w:space="0" w:color="auto"/>
            </w:tcBorders>
            <w:shd w:val="clear" w:color="auto" w:fill="D9D9D9"/>
            <w:vAlign w:val="center"/>
            <w:hideMark/>
          </w:tcPr>
          <w:p w14:paraId="2DB57AFA"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Key Distribution Metrics</w:t>
            </w:r>
          </w:p>
        </w:tc>
      </w:tr>
      <w:tr w:rsidR="00D340EB" w:rsidRPr="00015E49" w14:paraId="60BA934A" w14:textId="77777777" w:rsidTr="00775F7D">
        <w:trPr>
          <w:trHeight w:val="616"/>
        </w:trPr>
        <w:tc>
          <w:tcPr>
            <w:tcW w:w="992" w:type="pct"/>
            <w:vMerge w:val="restart"/>
            <w:tcBorders>
              <w:top w:val="nil"/>
              <w:left w:val="single" w:sz="4" w:space="0" w:color="auto"/>
              <w:bottom w:val="single" w:sz="4" w:space="0" w:color="auto"/>
              <w:right w:val="single" w:sz="4" w:space="0" w:color="auto"/>
            </w:tcBorders>
            <w:vAlign w:val="center"/>
            <w:hideMark/>
          </w:tcPr>
          <w:p w14:paraId="580A2882"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Knowledge</w:t>
            </w:r>
          </w:p>
        </w:tc>
        <w:tc>
          <w:tcPr>
            <w:tcW w:w="1091" w:type="pct"/>
            <w:vMerge w:val="restart"/>
            <w:tcBorders>
              <w:top w:val="nil"/>
              <w:left w:val="single" w:sz="4" w:space="0" w:color="auto"/>
              <w:bottom w:val="single" w:sz="4" w:space="0" w:color="auto"/>
              <w:right w:val="single" w:sz="4" w:space="0" w:color="auto"/>
            </w:tcBorders>
            <w:vAlign w:val="center"/>
            <w:hideMark/>
          </w:tcPr>
          <w:p w14:paraId="18C0D68D"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59.88%±20.49%</w:t>
            </w:r>
          </w:p>
        </w:tc>
        <w:tc>
          <w:tcPr>
            <w:tcW w:w="993" w:type="pct"/>
            <w:vMerge w:val="restart"/>
            <w:tcBorders>
              <w:top w:val="nil"/>
              <w:left w:val="single" w:sz="4" w:space="0" w:color="auto"/>
              <w:bottom w:val="single" w:sz="4" w:space="0" w:color="auto"/>
              <w:right w:val="single" w:sz="4" w:space="0" w:color="auto"/>
            </w:tcBorders>
            <w:vAlign w:val="center"/>
            <w:hideMark/>
          </w:tcPr>
          <w:p w14:paraId="38F3921A"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39.82%±20.61%</w:t>
            </w:r>
          </w:p>
        </w:tc>
        <w:tc>
          <w:tcPr>
            <w:tcW w:w="1924" w:type="pct"/>
            <w:tcBorders>
              <w:top w:val="nil"/>
              <w:left w:val="nil"/>
              <w:bottom w:val="single" w:sz="4" w:space="0" w:color="auto"/>
              <w:right w:val="single" w:sz="4" w:space="0" w:color="auto"/>
            </w:tcBorders>
            <w:vAlign w:val="center"/>
            <w:hideMark/>
          </w:tcPr>
          <w:p w14:paraId="7338AFB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Median: 59.25%</w:t>
            </w:r>
          </w:p>
        </w:tc>
      </w:tr>
      <w:tr w:rsidR="00D340EB" w:rsidRPr="00015E49" w14:paraId="62D3E312" w14:textId="77777777" w:rsidTr="00775F7D">
        <w:trPr>
          <w:trHeight w:val="616"/>
        </w:trPr>
        <w:tc>
          <w:tcPr>
            <w:tcW w:w="992" w:type="pct"/>
            <w:vMerge/>
            <w:tcBorders>
              <w:top w:val="nil"/>
              <w:left w:val="single" w:sz="4" w:space="0" w:color="auto"/>
              <w:bottom w:val="single" w:sz="4" w:space="0" w:color="auto"/>
              <w:right w:val="single" w:sz="4" w:space="0" w:color="auto"/>
            </w:tcBorders>
            <w:vAlign w:val="center"/>
            <w:hideMark/>
          </w:tcPr>
          <w:p w14:paraId="70B16F8C"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1091" w:type="pct"/>
            <w:vMerge/>
            <w:tcBorders>
              <w:top w:val="nil"/>
              <w:left w:val="single" w:sz="4" w:space="0" w:color="auto"/>
              <w:bottom w:val="single" w:sz="4" w:space="0" w:color="auto"/>
              <w:right w:val="single" w:sz="4" w:space="0" w:color="auto"/>
            </w:tcBorders>
            <w:vAlign w:val="center"/>
            <w:hideMark/>
          </w:tcPr>
          <w:p w14:paraId="62113CC0"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993" w:type="pct"/>
            <w:vMerge/>
            <w:tcBorders>
              <w:top w:val="nil"/>
              <w:left w:val="single" w:sz="4" w:space="0" w:color="auto"/>
              <w:bottom w:val="single" w:sz="4" w:space="0" w:color="auto"/>
              <w:right w:val="single" w:sz="4" w:space="0" w:color="auto"/>
            </w:tcBorders>
            <w:vAlign w:val="center"/>
            <w:hideMark/>
          </w:tcPr>
          <w:p w14:paraId="4A548B5C"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1924" w:type="pct"/>
            <w:tcBorders>
              <w:top w:val="nil"/>
              <w:left w:val="nil"/>
              <w:bottom w:val="single" w:sz="4" w:space="0" w:color="auto"/>
              <w:right w:val="single" w:sz="4" w:space="0" w:color="auto"/>
            </w:tcBorders>
            <w:vAlign w:val="center"/>
            <w:hideMark/>
          </w:tcPr>
          <w:p w14:paraId="28731AB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Range: 34.00% – 86.00%</w:t>
            </w:r>
          </w:p>
        </w:tc>
      </w:tr>
      <w:tr w:rsidR="00D340EB" w:rsidRPr="00015E49" w14:paraId="3ACD6B14" w14:textId="77777777" w:rsidTr="00775F7D">
        <w:trPr>
          <w:trHeight w:val="616"/>
        </w:trPr>
        <w:tc>
          <w:tcPr>
            <w:tcW w:w="992" w:type="pct"/>
            <w:vMerge w:val="restart"/>
            <w:tcBorders>
              <w:top w:val="nil"/>
              <w:left w:val="single" w:sz="4" w:space="0" w:color="auto"/>
              <w:bottom w:val="single" w:sz="4" w:space="0" w:color="auto"/>
              <w:right w:val="single" w:sz="4" w:space="0" w:color="auto"/>
            </w:tcBorders>
            <w:vAlign w:val="center"/>
            <w:hideMark/>
          </w:tcPr>
          <w:p w14:paraId="75BB238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Attitudes</w:t>
            </w:r>
          </w:p>
        </w:tc>
        <w:tc>
          <w:tcPr>
            <w:tcW w:w="1091" w:type="pct"/>
            <w:vMerge w:val="restart"/>
            <w:tcBorders>
              <w:top w:val="nil"/>
              <w:left w:val="single" w:sz="4" w:space="0" w:color="auto"/>
              <w:bottom w:val="single" w:sz="4" w:space="0" w:color="auto"/>
              <w:right w:val="single" w:sz="4" w:space="0" w:color="auto"/>
            </w:tcBorders>
            <w:vAlign w:val="center"/>
            <w:hideMark/>
          </w:tcPr>
          <w:p w14:paraId="274E9A6E"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68.52%±22.48%</w:t>
            </w:r>
          </w:p>
        </w:tc>
        <w:tc>
          <w:tcPr>
            <w:tcW w:w="993" w:type="pct"/>
            <w:vMerge w:val="restart"/>
            <w:tcBorders>
              <w:top w:val="nil"/>
              <w:left w:val="single" w:sz="4" w:space="0" w:color="auto"/>
              <w:bottom w:val="single" w:sz="4" w:space="0" w:color="auto"/>
              <w:right w:val="single" w:sz="4" w:space="0" w:color="auto"/>
            </w:tcBorders>
            <w:vAlign w:val="center"/>
            <w:hideMark/>
          </w:tcPr>
          <w:p w14:paraId="0D87443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31.56%±22.42%</w:t>
            </w:r>
          </w:p>
        </w:tc>
        <w:tc>
          <w:tcPr>
            <w:tcW w:w="1924" w:type="pct"/>
            <w:tcBorders>
              <w:top w:val="nil"/>
              <w:left w:val="nil"/>
              <w:bottom w:val="single" w:sz="4" w:space="0" w:color="auto"/>
              <w:right w:val="single" w:sz="4" w:space="0" w:color="auto"/>
            </w:tcBorders>
            <w:vAlign w:val="center"/>
            <w:hideMark/>
          </w:tcPr>
          <w:p w14:paraId="19505B5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Median: 80.67%</w:t>
            </w:r>
          </w:p>
        </w:tc>
      </w:tr>
      <w:tr w:rsidR="00D340EB" w:rsidRPr="00015E49" w14:paraId="4C0A31AD" w14:textId="77777777" w:rsidTr="00775F7D">
        <w:trPr>
          <w:trHeight w:val="616"/>
        </w:trPr>
        <w:tc>
          <w:tcPr>
            <w:tcW w:w="992" w:type="pct"/>
            <w:vMerge/>
            <w:tcBorders>
              <w:top w:val="nil"/>
              <w:left w:val="single" w:sz="4" w:space="0" w:color="auto"/>
              <w:bottom w:val="single" w:sz="4" w:space="0" w:color="auto"/>
              <w:right w:val="single" w:sz="4" w:space="0" w:color="auto"/>
            </w:tcBorders>
            <w:vAlign w:val="center"/>
            <w:hideMark/>
          </w:tcPr>
          <w:p w14:paraId="7591C0DE"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1091" w:type="pct"/>
            <w:vMerge/>
            <w:tcBorders>
              <w:top w:val="nil"/>
              <w:left w:val="single" w:sz="4" w:space="0" w:color="auto"/>
              <w:bottom w:val="single" w:sz="4" w:space="0" w:color="auto"/>
              <w:right w:val="single" w:sz="4" w:space="0" w:color="auto"/>
            </w:tcBorders>
            <w:vAlign w:val="center"/>
            <w:hideMark/>
          </w:tcPr>
          <w:p w14:paraId="73A10659"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993" w:type="pct"/>
            <w:vMerge/>
            <w:tcBorders>
              <w:top w:val="nil"/>
              <w:left w:val="single" w:sz="4" w:space="0" w:color="auto"/>
              <w:bottom w:val="single" w:sz="4" w:space="0" w:color="auto"/>
              <w:right w:val="single" w:sz="4" w:space="0" w:color="auto"/>
            </w:tcBorders>
            <w:vAlign w:val="center"/>
            <w:hideMark/>
          </w:tcPr>
          <w:p w14:paraId="037D6E5C"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1924" w:type="pct"/>
            <w:tcBorders>
              <w:top w:val="nil"/>
              <w:left w:val="nil"/>
              <w:bottom w:val="single" w:sz="4" w:space="0" w:color="auto"/>
              <w:right w:val="single" w:sz="4" w:space="0" w:color="auto"/>
            </w:tcBorders>
            <w:noWrap/>
            <w:vAlign w:val="center"/>
            <w:hideMark/>
          </w:tcPr>
          <w:p w14:paraId="7DFF73C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Range: 31.60% – 91.85%</w:t>
            </w:r>
          </w:p>
        </w:tc>
      </w:tr>
      <w:tr w:rsidR="00D340EB" w:rsidRPr="00015E49" w14:paraId="52D8DCC3" w14:textId="77777777" w:rsidTr="00775F7D">
        <w:trPr>
          <w:trHeight w:val="616"/>
        </w:trPr>
        <w:tc>
          <w:tcPr>
            <w:tcW w:w="992" w:type="pct"/>
            <w:vMerge w:val="restart"/>
            <w:tcBorders>
              <w:top w:val="nil"/>
              <w:left w:val="single" w:sz="4" w:space="0" w:color="auto"/>
              <w:bottom w:val="single" w:sz="4" w:space="0" w:color="auto"/>
              <w:right w:val="single" w:sz="4" w:space="0" w:color="auto"/>
            </w:tcBorders>
            <w:vAlign w:val="center"/>
            <w:hideMark/>
          </w:tcPr>
          <w:p w14:paraId="3E20884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Practices</w:t>
            </w:r>
          </w:p>
        </w:tc>
        <w:tc>
          <w:tcPr>
            <w:tcW w:w="1091" w:type="pct"/>
            <w:vMerge w:val="restart"/>
            <w:tcBorders>
              <w:top w:val="nil"/>
              <w:left w:val="single" w:sz="4" w:space="0" w:color="auto"/>
              <w:bottom w:val="single" w:sz="4" w:space="0" w:color="auto"/>
              <w:right w:val="single" w:sz="4" w:space="0" w:color="auto"/>
            </w:tcBorders>
            <w:vAlign w:val="center"/>
            <w:hideMark/>
          </w:tcPr>
          <w:p w14:paraId="0119AC4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59.62%±17.52%</w:t>
            </w:r>
          </w:p>
        </w:tc>
        <w:tc>
          <w:tcPr>
            <w:tcW w:w="993" w:type="pct"/>
            <w:vMerge w:val="restart"/>
            <w:tcBorders>
              <w:top w:val="nil"/>
              <w:left w:val="single" w:sz="4" w:space="0" w:color="auto"/>
              <w:bottom w:val="single" w:sz="4" w:space="0" w:color="auto"/>
              <w:right w:val="single" w:sz="4" w:space="0" w:color="auto"/>
            </w:tcBorders>
            <w:vAlign w:val="center"/>
            <w:hideMark/>
          </w:tcPr>
          <w:p w14:paraId="50F292AE"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40.38%±17.52%</w:t>
            </w:r>
          </w:p>
        </w:tc>
        <w:tc>
          <w:tcPr>
            <w:tcW w:w="1924" w:type="pct"/>
            <w:tcBorders>
              <w:top w:val="nil"/>
              <w:left w:val="nil"/>
              <w:bottom w:val="single" w:sz="4" w:space="0" w:color="auto"/>
              <w:right w:val="single" w:sz="4" w:space="0" w:color="auto"/>
            </w:tcBorders>
            <w:vAlign w:val="center"/>
            <w:hideMark/>
          </w:tcPr>
          <w:p w14:paraId="04F1FF3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Median: 57.33%</w:t>
            </w:r>
          </w:p>
        </w:tc>
      </w:tr>
      <w:tr w:rsidR="00D340EB" w:rsidRPr="00015E49" w14:paraId="22E39D1E" w14:textId="77777777" w:rsidTr="00775F7D">
        <w:trPr>
          <w:trHeight w:val="616"/>
        </w:trPr>
        <w:tc>
          <w:tcPr>
            <w:tcW w:w="992" w:type="pct"/>
            <w:vMerge/>
            <w:tcBorders>
              <w:top w:val="nil"/>
              <w:left w:val="single" w:sz="4" w:space="0" w:color="auto"/>
              <w:bottom w:val="single" w:sz="4" w:space="0" w:color="auto"/>
              <w:right w:val="single" w:sz="4" w:space="0" w:color="auto"/>
            </w:tcBorders>
            <w:vAlign w:val="center"/>
            <w:hideMark/>
          </w:tcPr>
          <w:p w14:paraId="649A0160"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1091" w:type="pct"/>
            <w:vMerge/>
            <w:tcBorders>
              <w:top w:val="nil"/>
              <w:left w:val="single" w:sz="4" w:space="0" w:color="auto"/>
              <w:bottom w:val="single" w:sz="4" w:space="0" w:color="auto"/>
              <w:right w:val="single" w:sz="4" w:space="0" w:color="auto"/>
            </w:tcBorders>
            <w:vAlign w:val="center"/>
            <w:hideMark/>
          </w:tcPr>
          <w:p w14:paraId="0333A63B"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993" w:type="pct"/>
            <w:vMerge/>
            <w:tcBorders>
              <w:top w:val="nil"/>
              <w:left w:val="single" w:sz="4" w:space="0" w:color="auto"/>
              <w:bottom w:val="single" w:sz="4" w:space="0" w:color="auto"/>
              <w:right w:val="single" w:sz="4" w:space="0" w:color="auto"/>
            </w:tcBorders>
            <w:vAlign w:val="center"/>
            <w:hideMark/>
          </w:tcPr>
          <w:p w14:paraId="6F7CDD8D" w14:textId="77777777" w:rsidR="00D340EB" w:rsidRPr="00015E49" w:rsidRDefault="00D340EB" w:rsidP="00775F7D">
            <w:pPr>
              <w:spacing w:after="0" w:line="240" w:lineRule="auto"/>
              <w:rPr>
                <w:rFonts w:ascii="Arial" w:eastAsia="Courier New" w:hAnsi="Arial" w:cs="Arial"/>
                <w:color w:val="000000"/>
                <w:kern w:val="0"/>
                <w:sz w:val="22"/>
                <w:szCs w:val="22"/>
              </w:rPr>
            </w:pPr>
          </w:p>
        </w:tc>
        <w:tc>
          <w:tcPr>
            <w:tcW w:w="1924" w:type="pct"/>
            <w:tcBorders>
              <w:top w:val="nil"/>
              <w:left w:val="nil"/>
              <w:bottom w:val="single" w:sz="4" w:space="0" w:color="auto"/>
              <w:right w:val="single" w:sz="4" w:space="0" w:color="auto"/>
            </w:tcBorders>
            <w:noWrap/>
            <w:vAlign w:val="center"/>
            <w:hideMark/>
          </w:tcPr>
          <w:p w14:paraId="244C6C4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Range: 33.30% – 93.70%</w:t>
            </w:r>
          </w:p>
        </w:tc>
      </w:tr>
    </w:tbl>
    <w:p w14:paraId="110F44E5" w14:textId="77777777" w:rsidR="00D340EB" w:rsidRPr="00015E49" w:rsidRDefault="00D340EB" w:rsidP="00D340EB">
      <w:pPr>
        <w:spacing w:line="360" w:lineRule="auto"/>
        <w:jc w:val="both"/>
        <w:rPr>
          <w:rFonts w:ascii="Arial" w:hAnsi="Arial" w:cs="Arial"/>
          <w:sz w:val="22"/>
          <w:szCs w:val="22"/>
        </w:rPr>
      </w:pPr>
    </w:p>
    <w:p w14:paraId="11D2B320" w14:textId="77777777" w:rsidR="00D340EB" w:rsidRPr="00015E49" w:rsidRDefault="00D340EB" w:rsidP="00D340EB">
      <w:pPr>
        <w:spacing w:line="360" w:lineRule="auto"/>
        <w:jc w:val="both"/>
        <w:rPr>
          <w:rFonts w:ascii="Arial" w:hAnsi="Arial" w:cs="Arial"/>
          <w:sz w:val="22"/>
          <w:szCs w:val="22"/>
        </w:rPr>
      </w:pPr>
      <w:r w:rsidRPr="008D46BD">
        <w:rPr>
          <w:rFonts w:ascii="Arial" w:hAnsi="Arial" w:cs="Arial"/>
          <w:sz w:val="22"/>
          <w:szCs w:val="22"/>
        </w:rPr>
        <w:t>The synthesis of the Ke</w:t>
      </w:r>
      <w:r>
        <w:rPr>
          <w:rFonts w:ascii="Arial" w:hAnsi="Arial" w:cs="Arial"/>
          <w:sz w:val="22"/>
          <w:szCs w:val="22"/>
        </w:rPr>
        <w:t>y</w:t>
      </w:r>
      <w:r w:rsidRPr="008D46BD">
        <w:rPr>
          <w:rFonts w:ascii="Arial" w:hAnsi="Arial" w:cs="Arial"/>
          <w:sz w:val="22"/>
          <w:szCs w:val="22"/>
        </w:rPr>
        <w:t xml:space="preserve"> metrics points to the presence of the KAP gap in the structure where a high level of knowledge and favorable attitudes toward antibiotics do not guarantee the absence of irrational antibiotic use stemming from the systemic pressures from above. Overall KAP distribution metrics (Table 6) indicate that the scores for attitudes are the highest in the studies analyzed (with an average score of 68.52% and a median of 80.67%), while knowledge and practices are lower (59.88% and 59.62% respectively). The comparison of the various KAP aspects shows that the individual level awareness is u</w:t>
      </w:r>
      <w:r>
        <w:rPr>
          <w:rFonts w:ascii="Arial" w:hAnsi="Arial" w:cs="Arial"/>
          <w:sz w:val="22"/>
          <w:szCs w:val="22"/>
        </w:rPr>
        <w:t>ndermined by structural factors</w:t>
      </w:r>
      <w:r w:rsidRPr="008D46BD">
        <w:rPr>
          <w:rFonts w:ascii="Arial" w:hAnsi="Arial" w:cs="Arial"/>
          <w:sz w:val="22"/>
          <w:szCs w:val="22"/>
        </w:rPr>
        <w:t xml:space="preserve"> such as unregulated access to OTC me</w:t>
      </w:r>
      <w:r>
        <w:rPr>
          <w:rFonts w:ascii="Arial" w:hAnsi="Arial" w:cs="Arial"/>
          <w:sz w:val="22"/>
          <w:szCs w:val="22"/>
        </w:rPr>
        <w:t>dications, inertia in diagnosis</w:t>
      </w:r>
      <w:r w:rsidRPr="008D46BD">
        <w:rPr>
          <w:rFonts w:ascii="Arial" w:hAnsi="Arial" w:cs="Arial"/>
          <w:sz w:val="22"/>
          <w:szCs w:val="22"/>
        </w:rPr>
        <w:t xml:space="preserve"> and the high volume of patients. Ultimately, quantitative data show that dealing with antimicrobial resistance in Pakistan should move beyond awareness programs toward tackling equity-oriented regulations.</w:t>
      </w:r>
      <w:r w:rsidRPr="00015E49">
        <w:rPr>
          <w:rFonts w:ascii="Arial" w:hAnsi="Arial" w:cs="Arial"/>
          <w:sz w:val="22"/>
          <w:szCs w:val="22"/>
        </w:rPr>
        <w:t xml:space="preserve"> </w:t>
      </w:r>
    </w:p>
    <w:p w14:paraId="5B2E935D" w14:textId="77777777" w:rsidR="00D340EB" w:rsidRPr="00015E49" w:rsidRDefault="00D340EB" w:rsidP="00D340EB">
      <w:pPr>
        <w:spacing w:line="360" w:lineRule="auto"/>
        <w:jc w:val="both"/>
        <w:rPr>
          <w:rFonts w:ascii="Arial" w:hAnsi="Arial" w:cs="Arial"/>
          <w:sz w:val="22"/>
          <w:szCs w:val="22"/>
        </w:rPr>
      </w:pPr>
    </w:p>
    <w:p w14:paraId="24D82E3A" w14:textId="095AE480" w:rsidR="00D340EB" w:rsidRPr="00015E49" w:rsidRDefault="001112E7" w:rsidP="00D340EB">
      <w:pPr>
        <w:spacing w:line="360" w:lineRule="auto"/>
        <w:jc w:val="both"/>
        <w:rPr>
          <w:rFonts w:ascii="Arial" w:hAnsi="Arial" w:cs="Arial"/>
          <w:sz w:val="22"/>
          <w:szCs w:val="22"/>
        </w:rPr>
      </w:pPr>
      <w:r>
        <w:rPr>
          <w:rFonts w:ascii="Arial" w:hAnsi="Arial" w:cs="Arial"/>
          <w:noProof/>
          <w:color w:val="000000"/>
          <w:sz w:val="22"/>
          <w:szCs w:val="22"/>
        </w:rPr>
        <w:lastRenderedPageBreak/>
        <w:drawing>
          <wp:inline distT="0" distB="0" distL="0" distR="0" wp14:anchorId="64F6A087" wp14:editId="08CBB13B">
            <wp:extent cx="5311140" cy="5463540"/>
            <wp:effectExtent l="0" t="0" r="3810" b="3810"/>
            <wp:docPr id="2" name="Picture 2" descr="Black and Yellow Classy and Refined Curved Tex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Black and Yellow Classy and Refined Curved Text Logo"/>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311140" cy="5463540"/>
                    </a:xfrm>
                    <a:prstGeom prst="rect">
                      <a:avLst/>
                    </a:prstGeom>
                    <a:noFill/>
                    <a:ln>
                      <a:noFill/>
                    </a:ln>
                  </pic:spPr>
                </pic:pic>
              </a:graphicData>
            </a:graphic>
          </wp:inline>
        </w:drawing>
      </w:r>
    </w:p>
    <w:p w14:paraId="14723FF0" w14:textId="37CD5900" w:rsidR="00D340EB" w:rsidRPr="00015E49" w:rsidRDefault="001112E7" w:rsidP="00D340EB">
      <w:pPr>
        <w:spacing w:line="360" w:lineRule="auto"/>
        <w:jc w:val="center"/>
        <w:rPr>
          <w:rFonts w:ascii="Arial" w:hAnsi="Arial" w:cs="Arial"/>
          <w:noProof/>
          <w:sz w:val="22"/>
          <w:szCs w:val="22"/>
        </w:rPr>
      </w:pPr>
      <w:r>
        <w:rPr>
          <w:rFonts w:ascii="Arial" w:hAnsi="Arial" w:cs="Arial"/>
          <w:noProof/>
          <w:color w:val="000000"/>
          <w:sz w:val="22"/>
          <w:szCs w:val="22"/>
        </w:rPr>
        <w:lastRenderedPageBreak/>
        <w:drawing>
          <wp:inline distT="0" distB="0" distL="0" distR="0" wp14:anchorId="647944B1" wp14:editId="34BC531D">
            <wp:extent cx="6149340" cy="6416040"/>
            <wp:effectExtent l="0" t="0" r="3810" b="3810"/>
            <wp:docPr id="3" name="Picture 3" descr="Black and Yellow Classy and Refined Curved Text Logo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Black and Yellow Classy and Refined Curved Text Logo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149340" cy="6416040"/>
                    </a:xfrm>
                    <a:prstGeom prst="rect">
                      <a:avLst/>
                    </a:prstGeom>
                    <a:noFill/>
                    <a:ln>
                      <a:noFill/>
                    </a:ln>
                  </pic:spPr>
                </pic:pic>
              </a:graphicData>
            </a:graphic>
          </wp:inline>
        </w:drawing>
      </w:r>
    </w:p>
    <w:p w14:paraId="7E0B9DFF" w14:textId="77777777" w:rsidR="00D340EB" w:rsidRPr="00015E49" w:rsidRDefault="00D340EB" w:rsidP="00D340EB">
      <w:pPr>
        <w:spacing w:line="360" w:lineRule="auto"/>
        <w:jc w:val="center"/>
        <w:rPr>
          <w:rFonts w:ascii="Arial" w:hAnsi="Arial" w:cs="Arial"/>
          <w:noProof/>
          <w:sz w:val="22"/>
          <w:szCs w:val="22"/>
        </w:rPr>
      </w:pPr>
    </w:p>
    <w:p w14:paraId="1EB9283D" w14:textId="0082F672" w:rsidR="00D340EB" w:rsidRPr="00CE70B9" w:rsidRDefault="00CE70B9" w:rsidP="00CE70B9">
      <w:pPr>
        <w:pStyle w:val="Heading2"/>
        <w:rPr>
          <w:rFonts w:asciiTheme="minorBidi" w:hAnsiTheme="minorBidi" w:cstheme="minorBidi"/>
          <w:b/>
          <w:bCs/>
          <w:i/>
          <w:iCs/>
          <w:color w:val="000000" w:themeColor="text1"/>
          <w:sz w:val="22"/>
          <w:szCs w:val="22"/>
        </w:rPr>
      </w:pPr>
      <w:bookmarkStart w:id="73" w:name="_Toc238647420"/>
      <w:r>
        <w:rPr>
          <w:rFonts w:asciiTheme="minorBidi" w:hAnsiTheme="minorBidi" w:cstheme="minorBidi"/>
          <w:b/>
          <w:bCs/>
          <w:i/>
          <w:iCs/>
          <w:color w:val="000000" w:themeColor="text1"/>
          <w:sz w:val="22"/>
          <w:szCs w:val="22"/>
        </w:rPr>
        <w:t xml:space="preserve">5.3 </w:t>
      </w:r>
      <w:r w:rsidR="00D340EB" w:rsidRPr="00CE70B9">
        <w:rPr>
          <w:rFonts w:asciiTheme="minorBidi" w:hAnsiTheme="minorBidi" w:cstheme="minorBidi"/>
          <w:b/>
          <w:bCs/>
          <w:i/>
          <w:iCs/>
          <w:color w:val="000000" w:themeColor="text1"/>
          <w:sz w:val="22"/>
          <w:szCs w:val="22"/>
        </w:rPr>
        <w:t>Data Cleaning Summary</w:t>
      </w:r>
      <w:bookmarkEnd w:id="73"/>
    </w:p>
    <w:p w14:paraId="40497584" w14:textId="77777777" w:rsidR="00D340EB" w:rsidRPr="00CE70B9" w:rsidRDefault="00D340EB" w:rsidP="00D340EB">
      <w:pPr>
        <w:spacing w:line="360" w:lineRule="auto"/>
        <w:jc w:val="both"/>
        <w:rPr>
          <w:rFonts w:asciiTheme="minorBidi" w:hAnsiTheme="minorBidi" w:cstheme="minorBidi"/>
          <w:sz w:val="22"/>
          <w:szCs w:val="22"/>
        </w:rPr>
      </w:pPr>
      <w:r w:rsidRPr="00CE70B9">
        <w:rPr>
          <w:rFonts w:asciiTheme="minorBidi" w:hAnsiTheme="minorBidi" w:cstheme="minorBidi"/>
          <w:sz w:val="22"/>
          <w:szCs w:val="22"/>
        </w:rPr>
        <w:t xml:space="preserve">Table 7 outlines the data cleaning and methodological management steps implemented during the study synthesis. It details how missing demographic data and missing outcome measures were handled using only available explicit data without statistical imputation, while duplicate records were removed following PRISMA guidelines. Furthermore, it addresses inconsistent reporting of KAP </w:t>
      </w:r>
      <w:r w:rsidRPr="00CE70B9">
        <w:rPr>
          <w:rFonts w:asciiTheme="minorBidi" w:hAnsiTheme="minorBidi" w:cstheme="minorBidi"/>
          <w:sz w:val="22"/>
          <w:szCs w:val="22"/>
        </w:rPr>
        <w:lastRenderedPageBreak/>
        <w:t xml:space="preserve">outcomes by standardizing variables into common categories, cross-checking extracted data for verification and retaining all eligible studies despite sample size variations and outliers. </w:t>
      </w:r>
    </w:p>
    <w:p w14:paraId="5D2E1C1F"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Table 7: Data Cleaning Summary.</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34"/>
        <w:gridCol w:w="7445"/>
      </w:tblGrid>
      <w:tr w:rsidR="00D340EB" w:rsidRPr="00015E49" w14:paraId="3F0B9F85" w14:textId="77777777" w:rsidTr="00775F7D">
        <w:trPr>
          <w:trHeight w:val="494"/>
        </w:trPr>
        <w:tc>
          <w:tcPr>
            <w:tcW w:w="1154" w:type="pct"/>
            <w:shd w:val="clear" w:color="auto" w:fill="D9D9D9"/>
            <w:vAlign w:val="center"/>
            <w:hideMark/>
          </w:tcPr>
          <w:p w14:paraId="4CF9C2ED"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Issue</w:t>
            </w:r>
          </w:p>
        </w:tc>
        <w:tc>
          <w:tcPr>
            <w:tcW w:w="3846" w:type="pct"/>
            <w:shd w:val="clear" w:color="auto" w:fill="D9D9D9"/>
            <w:vAlign w:val="center"/>
            <w:hideMark/>
          </w:tcPr>
          <w:p w14:paraId="24B7ECFE"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Description</w:t>
            </w:r>
          </w:p>
        </w:tc>
      </w:tr>
      <w:tr w:rsidR="00D340EB" w:rsidRPr="00015E49" w14:paraId="4ED99053" w14:textId="77777777" w:rsidTr="00775F7D">
        <w:trPr>
          <w:trHeight w:val="904"/>
        </w:trPr>
        <w:tc>
          <w:tcPr>
            <w:tcW w:w="1154" w:type="pct"/>
            <w:vAlign w:val="center"/>
            <w:hideMark/>
          </w:tcPr>
          <w:p w14:paraId="3BF3839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Missing Data</w:t>
            </w:r>
          </w:p>
        </w:tc>
        <w:tc>
          <w:tcPr>
            <w:tcW w:w="3846" w:type="pct"/>
            <w:vAlign w:val="center"/>
            <w:hideMark/>
          </w:tcPr>
          <w:p w14:paraId="080BFC4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Some studies did not report demographic variables such as monthly income, urban/rural residence, and occupation. Analysis was based only on the available data.</w:t>
            </w:r>
          </w:p>
        </w:tc>
      </w:tr>
      <w:tr w:rsidR="00D340EB" w:rsidRPr="00015E49" w14:paraId="64DCC37C" w14:textId="77777777" w:rsidTr="00775F7D">
        <w:trPr>
          <w:trHeight w:val="904"/>
        </w:trPr>
        <w:tc>
          <w:tcPr>
            <w:tcW w:w="1154" w:type="pct"/>
            <w:vAlign w:val="center"/>
            <w:hideMark/>
          </w:tcPr>
          <w:p w14:paraId="0B828EE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Inconsistent Reporting</w:t>
            </w:r>
          </w:p>
        </w:tc>
        <w:tc>
          <w:tcPr>
            <w:tcW w:w="3846" w:type="pct"/>
            <w:vAlign w:val="center"/>
            <w:hideMark/>
          </w:tcPr>
          <w:p w14:paraId="2AB10A1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KAP outcomes were reported using different scoring methods and percentage formats across studies.</w:t>
            </w:r>
          </w:p>
        </w:tc>
      </w:tr>
      <w:tr w:rsidR="00D340EB" w:rsidRPr="00015E49" w14:paraId="3BE05F00" w14:textId="77777777" w:rsidTr="00775F7D">
        <w:trPr>
          <w:trHeight w:val="904"/>
        </w:trPr>
        <w:tc>
          <w:tcPr>
            <w:tcW w:w="1154" w:type="pct"/>
            <w:vAlign w:val="center"/>
            <w:hideMark/>
          </w:tcPr>
          <w:p w14:paraId="04444F8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Variable Standardization</w:t>
            </w:r>
          </w:p>
        </w:tc>
        <w:tc>
          <w:tcPr>
            <w:tcW w:w="3846" w:type="pct"/>
            <w:vAlign w:val="center"/>
            <w:hideMark/>
          </w:tcPr>
          <w:p w14:paraId="4BACB67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KAP outcomes and demographic variables were standardized into common categories to facilitate comparison and narrative synthesis.</w:t>
            </w:r>
          </w:p>
        </w:tc>
      </w:tr>
      <w:tr w:rsidR="00D340EB" w:rsidRPr="00015E49" w14:paraId="12B51317" w14:textId="77777777" w:rsidTr="00775F7D">
        <w:trPr>
          <w:trHeight w:val="904"/>
        </w:trPr>
        <w:tc>
          <w:tcPr>
            <w:tcW w:w="1154" w:type="pct"/>
            <w:vAlign w:val="center"/>
            <w:hideMark/>
          </w:tcPr>
          <w:p w14:paraId="29A95B3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Duplicate Records</w:t>
            </w:r>
          </w:p>
        </w:tc>
        <w:tc>
          <w:tcPr>
            <w:tcW w:w="3846" w:type="pct"/>
            <w:vAlign w:val="center"/>
            <w:hideMark/>
          </w:tcPr>
          <w:p w14:paraId="611C389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Duplicate articles identified during the database search were removed before the screening process following PRISMA guidelines.</w:t>
            </w:r>
          </w:p>
        </w:tc>
      </w:tr>
      <w:tr w:rsidR="00D340EB" w:rsidRPr="00015E49" w14:paraId="47AD0C1B" w14:textId="77777777" w:rsidTr="00775F7D">
        <w:trPr>
          <w:trHeight w:val="603"/>
        </w:trPr>
        <w:tc>
          <w:tcPr>
            <w:tcW w:w="1154" w:type="pct"/>
            <w:vAlign w:val="center"/>
            <w:hideMark/>
          </w:tcPr>
          <w:p w14:paraId="47AA1F5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Data Verification</w:t>
            </w:r>
          </w:p>
        </w:tc>
        <w:tc>
          <w:tcPr>
            <w:tcW w:w="3846" w:type="pct"/>
            <w:vAlign w:val="center"/>
            <w:hideMark/>
          </w:tcPr>
          <w:p w14:paraId="6481191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Extracted data were cross-checked with the original articles to ensure consistency and minimize extraction errors.</w:t>
            </w:r>
          </w:p>
        </w:tc>
      </w:tr>
      <w:tr w:rsidR="00D340EB" w:rsidRPr="00015E49" w14:paraId="3FA6D016" w14:textId="77777777" w:rsidTr="00775F7D">
        <w:trPr>
          <w:trHeight w:val="904"/>
        </w:trPr>
        <w:tc>
          <w:tcPr>
            <w:tcW w:w="1154" w:type="pct"/>
            <w:vAlign w:val="center"/>
            <w:hideMark/>
          </w:tcPr>
          <w:p w14:paraId="54B645D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Outliers</w:t>
            </w:r>
          </w:p>
        </w:tc>
        <w:tc>
          <w:tcPr>
            <w:tcW w:w="3846" w:type="pct"/>
            <w:vAlign w:val="center"/>
            <w:hideMark/>
          </w:tcPr>
          <w:p w14:paraId="6FA247B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Considerable variation in sample sizes (180–2,106 participants) was observed; however, all eligible studies were retained because they met the inclusion criteria.</w:t>
            </w:r>
          </w:p>
        </w:tc>
      </w:tr>
      <w:tr w:rsidR="00D340EB" w:rsidRPr="00015E49" w14:paraId="2BC5B056" w14:textId="77777777" w:rsidTr="00775F7D">
        <w:trPr>
          <w:trHeight w:val="904"/>
        </w:trPr>
        <w:tc>
          <w:tcPr>
            <w:tcW w:w="1154" w:type="pct"/>
            <w:vAlign w:val="center"/>
            <w:hideMark/>
          </w:tcPr>
          <w:p w14:paraId="7D89BF4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Missing Outcome Measures</w:t>
            </w:r>
          </w:p>
        </w:tc>
        <w:tc>
          <w:tcPr>
            <w:tcW w:w="3846" w:type="pct"/>
            <w:vAlign w:val="center"/>
            <w:hideMark/>
          </w:tcPr>
          <w:p w14:paraId="287BADC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Studies with incomplete reporting of specific variables were included if they provided sufficient data relevant to the review objectives.</w:t>
            </w:r>
          </w:p>
        </w:tc>
      </w:tr>
      <w:tr w:rsidR="00D340EB" w:rsidRPr="00015E49" w14:paraId="057CA569" w14:textId="77777777" w:rsidTr="00775F7D">
        <w:trPr>
          <w:trHeight w:val="904"/>
        </w:trPr>
        <w:tc>
          <w:tcPr>
            <w:tcW w:w="1154" w:type="pct"/>
            <w:vAlign w:val="center"/>
            <w:hideMark/>
          </w:tcPr>
          <w:p w14:paraId="5A0AAA4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Imputation</w:t>
            </w:r>
          </w:p>
        </w:tc>
        <w:tc>
          <w:tcPr>
            <w:tcW w:w="3846" w:type="pct"/>
            <w:vAlign w:val="center"/>
            <w:hideMark/>
          </w:tcPr>
          <w:p w14:paraId="6634751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No statistical imputation or estimation of missing data was performed. Only the data explicitly reported in the original studies were included in the analysis.</w:t>
            </w:r>
          </w:p>
        </w:tc>
      </w:tr>
    </w:tbl>
    <w:p w14:paraId="19E26D83" w14:textId="77777777" w:rsidR="00D340EB" w:rsidRPr="00CE70B9" w:rsidRDefault="00D340EB" w:rsidP="00D340EB">
      <w:pPr>
        <w:spacing w:line="360" w:lineRule="auto"/>
        <w:jc w:val="both"/>
        <w:rPr>
          <w:rFonts w:ascii="Arial" w:hAnsi="Arial" w:cs="Arial"/>
          <w:b/>
          <w:bCs/>
          <w:i/>
          <w:iCs/>
          <w:sz w:val="22"/>
          <w:szCs w:val="22"/>
        </w:rPr>
      </w:pPr>
    </w:p>
    <w:p w14:paraId="1E8FEF31" w14:textId="6C8AD963" w:rsidR="00D340EB" w:rsidRPr="00CE70B9" w:rsidRDefault="00CE70B9" w:rsidP="00CE70B9">
      <w:pPr>
        <w:pStyle w:val="Heading2"/>
        <w:rPr>
          <w:rFonts w:asciiTheme="minorBidi" w:hAnsiTheme="minorBidi" w:cstheme="minorBidi"/>
          <w:b/>
          <w:bCs/>
          <w:i/>
          <w:iCs/>
          <w:color w:val="000000" w:themeColor="text1"/>
          <w:sz w:val="22"/>
          <w:szCs w:val="22"/>
        </w:rPr>
      </w:pPr>
      <w:bookmarkStart w:id="74" w:name="_Toc238647421"/>
      <w:r>
        <w:rPr>
          <w:rFonts w:asciiTheme="minorBidi" w:hAnsiTheme="minorBidi" w:cstheme="minorBidi"/>
          <w:b/>
          <w:bCs/>
          <w:i/>
          <w:iCs/>
          <w:color w:val="000000" w:themeColor="text1"/>
          <w:sz w:val="22"/>
          <w:szCs w:val="22"/>
        </w:rPr>
        <w:t xml:space="preserve">5.4 </w:t>
      </w:r>
      <w:r w:rsidR="00D340EB" w:rsidRPr="00CE70B9">
        <w:rPr>
          <w:rFonts w:asciiTheme="minorBidi" w:hAnsiTheme="minorBidi" w:cstheme="minorBidi"/>
          <w:b/>
          <w:bCs/>
          <w:i/>
          <w:iCs/>
          <w:color w:val="000000" w:themeColor="text1"/>
          <w:sz w:val="22"/>
          <w:szCs w:val="22"/>
        </w:rPr>
        <w:t>Preliminary observation</w:t>
      </w:r>
      <w:bookmarkEnd w:id="74"/>
    </w:p>
    <w:p w14:paraId="12D7F1E9"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Table 8 summarizes the preliminary observations derived from the final inclusion of ten studies in the review. It highlights that the literature predominantly consists of cross-sectional designs featuring diverse populations such as community members, students, pharmacists and physicians with sample sizes ranging widely from 180 to 2,106 participants. The observations reveal that while participants generally possessed moderate-to-high knowledge and positive attitudes toward rational antibiotics, actual practices varied widely with persistent self-medication, heavily influenced by educational backgrounds, professional training and consistent calls for stronger antimicrobial stewardship and public awareness.</w:t>
      </w:r>
    </w:p>
    <w:p w14:paraId="01683996" w14:textId="77777777" w:rsidR="00D340EB" w:rsidRDefault="00D340EB" w:rsidP="00D340EB">
      <w:pPr>
        <w:spacing w:line="360" w:lineRule="auto"/>
        <w:jc w:val="both"/>
        <w:rPr>
          <w:rFonts w:ascii="Arial" w:hAnsi="Arial" w:cs="Arial"/>
          <w:b/>
          <w:bCs/>
          <w:sz w:val="22"/>
          <w:szCs w:val="22"/>
        </w:rPr>
      </w:pPr>
    </w:p>
    <w:p w14:paraId="1675DCFA" w14:textId="77777777" w:rsidR="00D340EB" w:rsidRPr="00F315C9" w:rsidRDefault="00D340EB" w:rsidP="00D340EB">
      <w:pPr>
        <w:spacing w:line="360" w:lineRule="auto"/>
        <w:jc w:val="both"/>
        <w:rPr>
          <w:rFonts w:ascii="Arial" w:hAnsi="Arial" w:cs="Arial"/>
          <w:sz w:val="22"/>
          <w:szCs w:val="22"/>
        </w:rPr>
      </w:pPr>
      <w:r w:rsidRPr="00F315C9">
        <w:rPr>
          <w:rFonts w:ascii="Arial" w:hAnsi="Arial" w:cs="Arial"/>
          <w:sz w:val="22"/>
          <w:szCs w:val="22"/>
        </w:rPr>
        <w:t>Table 8:</w:t>
      </w:r>
      <w:r>
        <w:rPr>
          <w:rFonts w:ascii="Arial" w:hAnsi="Arial" w:cs="Arial"/>
          <w:sz w:val="22"/>
          <w:szCs w:val="22"/>
        </w:rPr>
        <w:t xml:space="preserve"> </w:t>
      </w:r>
      <w:r w:rsidRPr="00F315C9">
        <w:rPr>
          <w:rFonts w:ascii="Arial" w:hAnsi="Arial" w:cs="Arial"/>
          <w:sz w:val="22"/>
          <w:szCs w:val="22"/>
        </w:rPr>
        <w:t>Preliminary Observations</w:t>
      </w:r>
      <w:r w:rsidRPr="00F315C9">
        <w:rPr>
          <w:rFonts w:ascii="Arial" w:hAnsi="Arial" w:cs="Arial"/>
          <w:sz w:val="22"/>
          <w:szCs w:val="22"/>
        </w:rPr>
        <w:tab/>
      </w:r>
    </w:p>
    <w:tbl>
      <w:tblPr>
        <w:tblW w:w="5000" w:type="pct"/>
        <w:tblLook w:val="04A0" w:firstRow="1" w:lastRow="0" w:firstColumn="1" w:lastColumn="0" w:noHBand="0" w:noVBand="1"/>
      </w:tblPr>
      <w:tblGrid>
        <w:gridCol w:w="4447"/>
        <w:gridCol w:w="5232"/>
      </w:tblGrid>
      <w:tr w:rsidR="00D340EB" w:rsidRPr="00015E49" w14:paraId="0C149669" w14:textId="77777777" w:rsidTr="00775F7D">
        <w:trPr>
          <w:trHeight w:val="549"/>
        </w:trPr>
        <w:tc>
          <w:tcPr>
            <w:tcW w:w="2297"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42AB201D"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Observation</w:t>
            </w:r>
          </w:p>
        </w:tc>
        <w:tc>
          <w:tcPr>
            <w:tcW w:w="2703" w:type="pct"/>
            <w:tcBorders>
              <w:top w:val="single" w:sz="4" w:space="0" w:color="auto"/>
              <w:left w:val="nil"/>
              <w:bottom w:val="single" w:sz="4" w:space="0" w:color="auto"/>
              <w:right w:val="single" w:sz="4" w:space="0" w:color="auto"/>
            </w:tcBorders>
            <w:shd w:val="clear" w:color="auto" w:fill="D9D9D9"/>
            <w:vAlign w:val="center"/>
            <w:hideMark/>
          </w:tcPr>
          <w:p w14:paraId="39FBCDD7"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Interpretation</w:t>
            </w:r>
          </w:p>
        </w:tc>
      </w:tr>
      <w:tr w:rsidR="00D340EB" w:rsidRPr="00015E49" w14:paraId="7532F159" w14:textId="77777777" w:rsidTr="00775F7D">
        <w:trPr>
          <w:trHeight w:val="875"/>
        </w:trPr>
        <w:tc>
          <w:tcPr>
            <w:tcW w:w="2297" w:type="pct"/>
            <w:tcBorders>
              <w:top w:val="nil"/>
              <w:left w:val="single" w:sz="4" w:space="0" w:color="auto"/>
              <w:bottom w:val="single" w:sz="4" w:space="0" w:color="auto"/>
              <w:right w:val="single" w:sz="4" w:space="0" w:color="auto"/>
            </w:tcBorders>
            <w:vAlign w:val="center"/>
            <w:hideMark/>
          </w:tcPr>
          <w:p w14:paraId="0CDB03CD"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Ten studies were included in the final review.</w:t>
            </w:r>
          </w:p>
        </w:tc>
        <w:tc>
          <w:tcPr>
            <w:tcW w:w="2703" w:type="pct"/>
            <w:tcBorders>
              <w:top w:val="nil"/>
              <w:left w:val="nil"/>
              <w:bottom w:val="single" w:sz="4" w:space="0" w:color="auto"/>
              <w:right w:val="single" w:sz="4" w:space="0" w:color="auto"/>
            </w:tcBorders>
            <w:vAlign w:val="center"/>
            <w:hideMark/>
          </w:tcPr>
          <w:p w14:paraId="492D9827"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The evidence synthesis was based on a defined and manageable body of literature relevant to the review objectives.</w:t>
            </w:r>
          </w:p>
        </w:tc>
      </w:tr>
      <w:tr w:rsidR="00D340EB" w:rsidRPr="00015E49" w14:paraId="21DA1183" w14:textId="77777777" w:rsidTr="00775F7D">
        <w:trPr>
          <w:trHeight w:val="875"/>
        </w:trPr>
        <w:tc>
          <w:tcPr>
            <w:tcW w:w="2297" w:type="pct"/>
            <w:tcBorders>
              <w:top w:val="nil"/>
              <w:left w:val="single" w:sz="4" w:space="0" w:color="auto"/>
              <w:bottom w:val="single" w:sz="4" w:space="0" w:color="auto"/>
              <w:right w:val="single" w:sz="4" w:space="0" w:color="auto"/>
            </w:tcBorders>
            <w:vAlign w:val="center"/>
            <w:hideMark/>
          </w:tcPr>
          <w:p w14:paraId="3E61D3BA"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Most included studies employed a cross-sectional study design.</w:t>
            </w:r>
          </w:p>
        </w:tc>
        <w:tc>
          <w:tcPr>
            <w:tcW w:w="2703" w:type="pct"/>
            <w:tcBorders>
              <w:top w:val="nil"/>
              <w:left w:val="nil"/>
              <w:bottom w:val="single" w:sz="4" w:space="0" w:color="auto"/>
              <w:right w:val="single" w:sz="4" w:space="0" w:color="auto"/>
            </w:tcBorders>
            <w:vAlign w:val="center"/>
            <w:hideMark/>
          </w:tcPr>
          <w:p w14:paraId="4A044BB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The available evidence primarily reflects participants' </w:t>
            </w:r>
            <w:r>
              <w:rPr>
                <w:rFonts w:ascii="Arial" w:eastAsia="Courier New" w:hAnsi="Arial" w:cs="Arial"/>
                <w:color w:val="000000"/>
                <w:kern w:val="0"/>
                <w:sz w:val="22"/>
                <w:szCs w:val="22"/>
              </w:rPr>
              <w:t>KAP</w:t>
            </w:r>
            <w:r w:rsidRPr="00015E49">
              <w:rPr>
                <w:rFonts w:ascii="Arial" w:eastAsia="Courier New" w:hAnsi="Arial" w:cs="Arial"/>
                <w:color w:val="000000"/>
                <w:kern w:val="0"/>
                <w:sz w:val="22"/>
                <w:szCs w:val="22"/>
              </w:rPr>
              <w:t xml:space="preserve"> at a single point in time.</w:t>
            </w:r>
          </w:p>
        </w:tc>
      </w:tr>
      <w:tr w:rsidR="00D340EB" w:rsidRPr="00015E49" w14:paraId="44E91194" w14:textId="77777777" w:rsidTr="00775F7D">
        <w:trPr>
          <w:trHeight w:val="875"/>
        </w:trPr>
        <w:tc>
          <w:tcPr>
            <w:tcW w:w="2297" w:type="pct"/>
            <w:tcBorders>
              <w:top w:val="nil"/>
              <w:left w:val="single" w:sz="4" w:space="0" w:color="auto"/>
              <w:bottom w:val="single" w:sz="4" w:space="0" w:color="auto"/>
              <w:right w:val="single" w:sz="4" w:space="0" w:color="auto"/>
            </w:tcBorders>
            <w:vAlign w:val="center"/>
            <w:hideMark/>
          </w:tcPr>
          <w:p w14:paraId="45DE9A7E"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Study populations varied across community members, pharmacists, physicians, healthcare professionals, and students.</w:t>
            </w:r>
          </w:p>
        </w:tc>
        <w:tc>
          <w:tcPr>
            <w:tcW w:w="2703" w:type="pct"/>
            <w:tcBorders>
              <w:top w:val="nil"/>
              <w:left w:val="nil"/>
              <w:bottom w:val="single" w:sz="4" w:space="0" w:color="auto"/>
              <w:right w:val="single" w:sz="4" w:space="0" w:color="auto"/>
            </w:tcBorders>
            <w:vAlign w:val="center"/>
            <w:hideMark/>
          </w:tcPr>
          <w:p w14:paraId="07D9ADB1"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The findings provide perspectives from diverse population groups involved in antibiotic use and antimicrobial resistance.</w:t>
            </w:r>
          </w:p>
        </w:tc>
      </w:tr>
      <w:tr w:rsidR="00D340EB" w:rsidRPr="00015E49" w14:paraId="5EA60E3E" w14:textId="77777777" w:rsidTr="00775F7D">
        <w:trPr>
          <w:trHeight w:val="583"/>
        </w:trPr>
        <w:tc>
          <w:tcPr>
            <w:tcW w:w="2297" w:type="pct"/>
            <w:tcBorders>
              <w:top w:val="nil"/>
              <w:left w:val="single" w:sz="4" w:space="0" w:color="auto"/>
              <w:bottom w:val="single" w:sz="4" w:space="0" w:color="auto"/>
              <w:right w:val="single" w:sz="4" w:space="0" w:color="auto"/>
            </w:tcBorders>
            <w:vAlign w:val="center"/>
            <w:hideMark/>
          </w:tcPr>
          <w:p w14:paraId="3C543009"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Sample sizes varied considerably (180–2,106 participants).</w:t>
            </w:r>
          </w:p>
        </w:tc>
        <w:tc>
          <w:tcPr>
            <w:tcW w:w="2703" w:type="pct"/>
            <w:tcBorders>
              <w:top w:val="nil"/>
              <w:left w:val="nil"/>
              <w:bottom w:val="single" w:sz="4" w:space="0" w:color="auto"/>
              <w:right w:val="single" w:sz="4" w:space="0" w:color="auto"/>
            </w:tcBorders>
            <w:vAlign w:val="center"/>
            <w:hideMark/>
          </w:tcPr>
          <w:p w14:paraId="04C397E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The included studies demonstrated heterogeneity in participant recruitment and study scale.</w:t>
            </w:r>
          </w:p>
        </w:tc>
      </w:tr>
      <w:tr w:rsidR="00D340EB" w:rsidRPr="00015E49" w14:paraId="69EE8B35" w14:textId="77777777" w:rsidTr="00775F7D">
        <w:trPr>
          <w:trHeight w:val="875"/>
        </w:trPr>
        <w:tc>
          <w:tcPr>
            <w:tcW w:w="2297" w:type="pct"/>
            <w:tcBorders>
              <w:top w:val="nil"/>
              <w:left w:val="single" w:sz="4" w:space="0" w:color="auto"/>
              <w:bottom w:val="single" w:sz="4" w:space="0" w:color="auto"/>
              <w:right w:val="single" w:sz="4" w:space="0" w:color="auto"/>
            </w:tcBorders>
            <w:vAlign w:val="center"/>
            <w:hideMark/>
          </w:tcPr>
          <w:p w14:paraId="237D3E43"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Knowledge regarding antimicrobial resistance was generally moderate to high.</w:t>
            </w:r>
          </w:p>
        </w:tc>
        <w:tc>
          <w:tcPr>
            <w:tcW w:w="2703" w:type="pct"/>
            <w:tcBorders>
              <w:top w:val="nil"/>
              <w:left w:val="nil"/>
              <w:bottom w:val="single" w:sz="4" w:space="0" w:color="auto"/>
              <w:right w:val="single" w:sz="4" w:space="0" w:color="auto"/>
            </w:tcBorders>
            <w:vAlign w:val="center"/>
            <w:hideMark/>
          </w:tcPr>
          <w:p w14:paraId="16CA4CBC"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Most participants were aware of AMR; however, important knowledge gaps remained in several population groups.</w:t>
            </w:r>
          </w:p>
        </w:tc>
      </w:tr>
      <w:tr w:rsidR="00D340EB" w:rsidRPr="00015E49" w14:paraId="2C22E050" w14:textId="77777777" w:rsidTr="00775F7D">
        <w:trPr>
          <w:trHeight w:val="583"/>
        </w:trPr>
        <w:tc>
          <w:tcPr>
            <w:tcW w:w="2297" w:type="pct"/>
            <w:tcBorders>
              <w:top w:val="nil"/>
              <w:left w:val="single" w:sz="4" w:space="0" w:color="auto"/>
              <w:bottom w:val="single" w:sz="4" w:space="0" w:color="auto"/>
              <w:right w:val="single" w:sz="4" w:space="0" w:color="auto"/>
            </w:tcBorders>
            <w:vAlign w:val="center"/>
            <w:hideMark/>
          </w:tcPr>
          <w:p w14:paraId="7F5F51F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Attitudes toward rational antibiotic use were generally positive.</w:t>
            </w:r>
          </w:p>
        </w:tc>
        <w:tc>
          <w:tcPr>
            <w:tcW w:w="2703" w:type="pct"/>
            <w:tcBorders>
              <w:top w:val="nil"/>
              <w:left w:val="nil"/>
              <w:bottom w:val="single" w:sz="4" w:space="0" w:color="auto"/>
              <w:right w:val="single" w:sz="4" w:space="0" w:color="auto"/>
            </w:tcBorders>
            <w:vAlign w:val="center"/>
            <w:hideMark/>
          </w:tcPr>
          <w:p w14:paraId="06D81ED1"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Many participants recognized AMR as a significant public health concern and supported appropriate antibiotic use.</w:t>
            </w:r>
          </w:p>
        </w:tc>
      </w:tr>
      <w:tr w:rsidR="00D340EB" w:rsidRPr="00015E49" w14:paraId="6C8AEE9A" w14:textId="77777777" w:rsidTr="00775F7D">
        <w:trPr>
          <w:trHeight w:val="875"/>
        </w:trPr>
        <w:tc>
          <w:tcPr>
            <w:tcW w:w="2297" w:type="pct"/>
            <w:tcBorders>
              <w:top w:val="nil"/>
              <w:left w:val="single" w:sz="4" w:space="0" w:color="auto"/>
              <w:bottom w:val="single" w:sz="4" w:space="0" w:color="auto"/>
              <w:right w:val="single" w:sz="4" w:space="0" w:color="auto"/>
            </w:tcBorders>
            <w:vAlign w:val="center"/>
            <w:hideMark/>
          </w:tcPr>
          <w:p w14:paraId="5104333B"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Antibiotic-use practices showed greater variability than knowledge and attitudes.</w:t>
            </w:r>
          </w:p>
        </w:tc>
        <w:tc>
          <w:tcPr>
            <w:tcW w:w="2703" w:type="pct"/>
            <w:tcBorders>
              <w:top w:val="nil"/>
              <w:left w:val="nil"/>
              <w:bottom w:val="single" w:sz="4" w:space="0" w:color="auto"/>
              <w:right w:val="single" w:sz="4" w:space="0" w:color="auto"/>
            </w:tcBorders>
            <w:vAlign w:val="center"/>
            <w:hideMark/>
          </w:tcPr>
          <w:p w14:paraId="292E33EE"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Self-medication and inappropriate antibiotic use remained common despite adequate knowledge in several studies.</w:t>
            </w:r>
          </w:p>
        </w:tc>
      </w:tr>
      <w:tr w:rsidR="00D340EB" w:rsidRPr="00015E49" w14:paraId="13067E51" w14:textId="77777777" w:rsidTr="00775F7D">
        <w:trPr>
          <w:trHeight w:val="583"/>
        </w:trPr>
        <w:tc>
          <w:tcPr>
            <w:tcW w:w="2297" w:type="pct"/>
            <w:tcBorders>
              <w:top w:val="nil"/>
              <w:left w:val="single" w:sz="4" w:space="0" w:color="auto"/>
              <w:bottom w:val="single" w:sz="4" w:space="0" w:color="auto"/>
              <w:right w:val="single" w:sz="4" w:space="0" w:color="auto"/>
            </w:tcBorders>
            <w:vAlign w:val="center"/>
            <w:hideMark/>
          </w:tcPr>
          <w:p w14:paraId="28F06C2E"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Educational level and professional background were frequently associated with KAP outcomes.</w:t>
            </w:r>
          </w:p>
        </w:tc>
        <w:tc>
          <w:tcPr>
            <w:tcW w:w="2703" w:type="pct"/>
            <w:tcBorders>
              <w:top w:val="nil"/>
              <w:left w:val="nil"/>
              <w:bottom w:val="single" w:sz="4" w:space="0" w:color="auto"/>
              <w:right w:val="single" w:sz="4" w:space="0" w:color="auto"/>
            </w:tcBorders>
            <w:vAlign w:val="center"/>
            <w:hideMark/>
          </w:tcPr>
          <w:p w14:paraId="2A72D949"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Higher education and professional training were linked to improved </w:t>
            </w:r>
            <w:r>
              <w:rPr>
                <w:rFonts w:ascii="Arial" w:eastAsia="Courier New" w:hAnsi="Arial" w:cs="Arial"/>
                <w:color w:val="000000"/>
                <w:kern w:val="0"/>
                <w:sz w:val="22"/>
                <w:szCs w:val="22"/>
              </w:rPr>
              <w:t>KAP</w:t>
            </w:r>
            <w:r w:rsidRPr="00015E49">
              <w:rPr>
                <w:rFonts w:ascii="Arial" w:eastAsia="Courier New" w:hAnsi="Arial" w:cs="Arial"/>
                <w:color w:val="000000"/>
                <w:kern w:val="0"/>
                <w:sz w:val="22"/>
                <w:szCs w:val="22"/>
              </w:rPr>
              <w:t>.</w:t>
            </w:r>
          </w:p>
        </w:tc>
      </w:tr>
      <w:tr w:rsidR="00D340EB" w:rsidRPr="00015E49" w14:paraId="5C2C0EFA" w14:textId="77777777" w:rsidTr="00775F7D">
        <w:trPr>
          <w:trHeight w:val="875"/>
        </w:trPr>
        <w:tc>
          <w:tcPr>
            <w:tcW w:w="2297" w:type="pct"/>
            <w:tcBorders>
              <w:top w:val="nil"/>
              <w:left w:val="single" w:sz="4" w:space="0" w:color="auto"/>
              <w:bottom w:val="single" w:sz="4" w:space="0" w:color="auto"/>
              <w:right w:val="single" w:sz="4" w:space="0" w:color="auto"/>
            </w:tcBorders>
            <w:vAlign w:val="center"/>
            <w:hideMark/>
          </w:tcPr>
          <w:p w14:paraId="7B28B72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Reporting of demographic variables was inconsistent across studies.</w:t>
            </w:r>
          </w:p>
        </w:tc>
        <w:tc>
          <w:tcPr>
            <w:tcW w:w="2703" w:type="pct"/>
            <w:tcBorders>
              <w:top w:val="nil"/>
              <w:left w:val="nil"/>
              <w:bottom w:val="single" w:sz="4" w:space="0" w:color="auto"/>
              <w:right w:val="single" w:sz="4" w:space="0" w:color="auto"/>
            </w:tcBorders>
            <w:vAlign w:val="center"/>
            <w:hideMark/>
          </w:tcPr>
          <w:p w14:paraId="64062E53"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Variables such as monthly income and urban/rural residence were not consistently reported, limiting subgroup comparisons.</w:t>
            </w:r>
          </w:p>
        </w:tc>
      </w:tr>
      <w:tr w:rsidR="00D340EB" w:rsidRPr="00015E49" w14:paraId="7D00541C" w14:textId="77777777" w:rsidTr="00775F7D">
        <w:trPr>
          <w:trHeight w:val="875"/>
        </w:trPr>
        <w:tc>
          <w:tcPr>
            <w:tcW w:w="2297" w:type="pct"/>
            <w:tcBorders>
              <w:top w:val="nil"/>
              <w:left w:val="single" w:sz="4" w:space="0" w:color="auto"/>
              <w:bottom w:val="single" w:sz="4" w:space="0" w:color="auto"/>
              <w:right w:val="single" w:sz="4" w:space="0" w:color="auto"/>
            </w:tcBorders>
            <w:vAlign w:val="center"/>
            <w:hideMark/>
          </w:tcPr>
          <w:p w14:paraId="21476B15"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Most studies recommend strengthening antimicrobial stewardship and public awareness.</w:t>
            </w:r>
          </w:p>
        </w:tc>
        <w:tc>
          <w:tcPr>
            <w:tcW w:w="2703" w:type="pct"/>
            <w:tcBorders>
              <w:top w:val="nil"/>
              <w:left w:val="nil"/>
              <w:bottom w:val="single" w:sz="4" w:space="0" w:color="auto"/>
              <w:right w:val="single" w:sz="4" w:space="0" w:color="auto"/>
            </w:tcBorders>
            <w:vAlign w:val="center"/>
            <w:hideMark/>
          </w:tcPr>
          <w:p w14:paraId="4BE3CB70" w14:textId="77777777" w:rsidR="00D340EB" w:rsidRPr="00015E49" w:rsidRDefault="00D340EB" w:rsidP="00775F7D">
            <w:pPr>
              <w:spacing w:after="0" w:line="240" w:lineRule="auto"/>
              <w:jc w:val="center"/>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Continued education, policy implementation, and awareness campaigns were identified as essential strategies to combat antimicrobial resistance.</w:t>
            </w:r>
          </w:p>
        </w:tc>
      </w:tr>
    </w:tbl>
    <w:p w14:paraId="10A7C0DE" w14:textId="77777777" w:rsidR="00D340EB" w:rsidRPr="00015E49" w:rsidRDefault="00D340EB" w:rsidP="00D340EB">
      <w:pPr>
        <w:spacing w:line="360" w:lineRule="auto"/>
        <w:jc w:val="both"/>
        <w:rPr>
          <w:rFonts w:ascii="Arial" w:hAnsi="Arial" w:cs="Arial"/>
          <w:sz w:val="22"/>
          <w:szCs w:val="22"/>
        </w:rPr>
      </w:pPr>
    </w:p>
    <w:p w14:paraId="0E9EC085" w14:textId="4F78F5BE" w:rsidR="00D340EB" w:rsidRPr="00CE70B9" w:rsidRDefault="00CE70B9" w:rsidP="00CE70B9">
      <w:pPr>
        <w:pStyle w:val="Heading2"/>
        <w:rPr>
          <w:rFonts w:asciiTheme="minorBidi" w:hAnsiTheme="minorBidi" w:cstheme="minorBidi"/>
          <w:b/>
          <w:bCs/>
          <w:i/>
          <w:iCs/>
          <w:color w:val="000000" w:themeColor="text1"/>
          <w:sz w:val="22"/>
          <w:szCs w:val="22"/>
        </w:rPr>
      </w:pPr>
      <w:bookmarkStart w:id="75" w:name="_Toc238647422"/>
      <w:r>
        <w:rPr>
          <w:rFonts w:asciiTheme="minorBidi" w:hAnsiTheme="minorBidi" w:cstheme="minorBidi"/>
          <w:b/>
          <w:bCs/>
          <w:i/>
          <w:iCs/>
          <w:color w:val="000000" w:themeColor="text1"/>
          <w:sz w:val="22"/>
          <w:szCs w:val="22"/>
        </w:rPr>
        <w:t xml:space="preserve">5.5 </w:t>
      </w:r>
      <w:r w:rsidR="00D340EB" w:rsidRPr="00CE70B9">
        <w:rPr>
          <w:rFonts w:asciiTheme="minorBidi" w:hAnsiTheme="minorBidi" w:cstheme="minorBidi"/>
          <w:b/>
          <w:bCs/>
          <w:i/>
          <w:iCs/>
          <w:color w:val="000000" w:themeColor="text1"/>
          <w:sz w:val="22"/>
          <w:szCs w:val="22"/>
        </w:rPr>
        <w:t>Thematic Analysis of Included Studies.</w:t>
      </w:r>
      <w:bookmarkEnd w:id="75"/>
    </w:p>
    <w:p w14:paraId="7B4C66CF"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 xml:space="preserve">AMR is one of the significant health challenges of the twenty-first century and is related mainly to socio-structural, socio-cultural and clinical contexts. In Pakistan, to comprehend antimicrobial misuse we conducted a thematic literature review. This literature review includes information obtained from different sectors, such as common public and highly appreciated practitioners. </w:t>
      </w:r>
    </w:p>
    <w:p w14:paraId="3D1111C1"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lastRenderedPageBreak/>
        <w:t xml:space="preserve">In Table 7 we present the structure of the thematic review and categorize it into five themes that show the diversity of AMR. The first theme (Theme 1) describes the basic knowledge about antimicrobials and common misconceptions regarding the use of antimicrobials and the resistance of viral pathogens. The second theme describes the different viewpoints regarding antibiotics it includes the insignificance of the public vs. the helplessness of the professionals (Theme 2). The next theme of the study (Theme 3) gives an overview of the theory-practice gap in terms of self-medication, empirical treatment and non-prescriptive dispensing. The last (Theme 4) describes the main </w:t>
      </w:r>
      <w:proofErr w:type="spellStart"/>
      <w:r w:rsidRPr="00CE70B9">
        <w:rPr>
          <w:rFonts w:asciiTheme="minorBidi" w:hAnsiTheme="minorBidi" w:cstheme="minorBidi"/>
          <w:color w:val="000000" w:themeColor="text1"/>
          <w:sz w:val="22"/>
          <w:szCs w:val="22"/>
        </w:rPr>
        <w:t>sociodemographic</w:t>
      </w:r>
      <w:proofErr w:type="spellEnd"/>
      <w:r w:rsidRPr="00CE70B9">
        <w:rPr>
          <w:rFonts w:asciiTheme="minorBidi" w:hAnsiTheme="minorBidi" w:cstheme="minorBidi"/>
          <w:color w:val="000000" w:themeColor="text1"/>
          <w:sz w:val="22"/>
          <w:szCs w:val="22"/>
        </w:rPr>
        <w:t xml:space="preserve"> and systemic factors that influence the behavior of people in regard to the use of antibiotics e.g., education level, poverty level and diagnostic mistakes. Together, these themes form the basis for the model designed for the solution to the AMR issue.</w:t>
      </w:r>
    </w:p>
    <w:p w14:paraId="52E2EB02" w14:textId="7F453328" w:rsidR="00D340EB" w:rsidRPr="00CE70B9" w:rsidRDefault="00CE70B9" w:rsidP="00CE70B9">
      <w:pPr>
        <w:pStyle w:val="Heading2"/>
        <w:rPr>
          <w:rFonts w:asciiTheme="minorBidi" w:hAnsiTheme="minorBidi" w:cstheme="minorBidi"/>
          <w:b/>
          <w:bCs/>
          <w:i/>
          <w:iCs/>
          <w:color w:val="000000" w:themeColor="text1"/>
          <w:sz w:val="22"/>
          <w:szCs w:val="22"/>
        </w:rPr>
      </w:pPr>
      <w:bookmarkStart w:id="76" w:name="_Toc238647423"/>
      <w:r>
        <w:rPr>
          <w:rFonts w:asciiTheme="minorBidi" w:hAnsiTheme="minorBidi" w:cstheme="minorBidi"/>
          <w:b/>
          <w:bCs/>
          <w:i/>
          <w:iCs/>
          <w:color w:val="000000" w:themeColor="text1"/>
          <w:sz w:val="22"/>
          <w:szCs w:val="22"/>
        </w:rPr>
        <w:t xml:space="preserve">5.5.1 </w:t>
      </w:r>
      <w:r w:rsidR="00D340EB" w:rsidRPr="00CE70B9">
        <w:rPr>
          <w:rFonts w:asciiTheme="minorBidi" w:hAnsiTheme="minorBidi" w:cstheme="minorBidi"/>
          <w:b/>
          <w:bCs/>
          <w:i/>
          <w:iCs/>
          <w:color w:val="000000" w:themeColor="text1"/>
          <w:sz w:val="22"/>
          <w:szCs w:val="22"/>
        </w:rPr>
        <w:t>Theme 1: Knowledge Regarding Antimicrobial Resistance and Utilization</w:t>
      </w:r>
      <w:bookmarkEnd w:id="76"/>
    </w:p>
    <w:p w14:paraId="665E9A05"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Antimicrobial resistance is regarded as one of the biggest public health concerns of the 21st century as its spread is facilitated mainly by various behavioral and structural determinants. The people of Pakistan as well as healthcare professionals have different levels of knowledge concerning the biological process of resistance and its clinical features and dangers. The thematic data has allowed us to identify different kinds of knowledge concerning the issue. Some people know something about antibiotics in general, while others may be able to understand how resistance of pathogen arises. There is a high level of basic understanding of the idea of medicine among population, but many asymmetries exist in the field of antimicrobials treatment.</w:t>
      </w:r>
    </w:p>
    <w:p w14:paraId="56479A0A"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 xml:space="preserve">Table </w:t>
      </w:r>
      <w:r>
        <w:rPr>
          <w:rFonts w:ascii="Arial" w:hAnsi="Arial" w:cs="Arial"/>
          <w:sz w:val="22"/>
          <w:szCs w:val="22"/>
        </w:rPr>
        <w:t>9</w:t>
      </w:r>
      <w:r w:rsidRPr="00015E49">
        <w:rPr>
          <w:rFonts w:ascii="Arial" w:hAnsi="Arial" w:cs="Arial"/>
          <w:sz w:val="22"/>
          <w:szCs w:val="22"/>
        </w:rPr>
        <w:t>: Thematic Synthesis of Findings on KAP and Determinants Regarding Antimicrobial Resistance (n = 10).</w:t>
      </w:r>
    </w:p>
    <w:tbl>
      <w:tblPr>
        <w:tblW w:w="5000" w:type="pct"/>
        <w:tblLook w:val="04A0" w:firstRow="1" w:lastRow="0" w:firstColumn="1" w:lastColumn="0" w:noHBand="0" w:noVBand="1"/>
      </w:tblPr>
      <w:tblGrid>
        <w:gridCol w:w="2185"/>
        <w:gridCol w:w="1733"/>
        <w:gridCol w:w="2504"/>
        <w:gridCol w:w="1928"/>
        <w:gridCol w:w="1329"/>
      </w:tblGrid>
      <w:tr w:rsidR="00D340EB" w:rsidRPr="00015E49" w14:paraId="7820494E" w14:textId="77777777" w:rsidTr="00775F7D">
        <w:trPr>
          <w:trHeight w:val="703"/>
        </w:trPr>
        <w:tc>
          <w:tcPr>
            <w:tcW w:w="1103"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13ED64E0"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Main Theme</w:t>
            </w:r>
          </w:p>
        </w:tc>
        <w:tc>
          <w:tcPr>
            <w:tcW w:w="450" w:type="pct"/>
            <w:tcBorders>
              <w:top w:val="single" w:sz="4" w:space="0" w:color="auto"/>
              <w:left w:val="nil"/>
              <w:bottom w:val="single" w:sz="4" w:space="0" w:color="auto"/>
              <w:right w:val="single" w:sz="4" w:space="0" w:color="auto"/>
            </w:tcBorders>
            <w:shd w:val="clear" w:color="auto" w:fill="D9D9D9"/>
            <w:vAlign w:val="center"/>
            <w:hideMark/>
          </w:tcPr>
          <w:p w14:paraId="1543A6CA"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Sub-theme</w:t>
            </w:r>
          </w:p>
        </w:tc>
        <w:tc>
          <w:tcPr>
            <w:tcW w:w="1535" w:type="pct"/>
            <w:tcBorders>
              <w:top w:val="single" w:sz="4" w:space="0" w:color="auto"/>
              <w:left w:val="nil"/>
              <w:bottom w:val="single" w:sz="4" w:space="0" w:color="auto"/>
              <w:right w:val="single" w:sz="4" w:space="0" w:color="auto"/>
            </w:tcBorders>
            <w:shd w:val="clear" w:color="auto" w:fill="D9D9D9"/>
            <w:vAlign w:val="center"/>
            <w:hideMark/>
          </w:tcPr>
          <w:p w14:paraId="5F625CD0"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Summary of Findings</w:t>
            </w:r>
          </w:p>
        </w:tc>
        <w:tc>
          <w:tcPr>
            <w:tcW w:w="1237" w:type="pct"/>
            <w:tcBorders>
              <w:top w:val="single" w:sz="4" w:space="0" w:color="auto"/>
              <w:left w:val="nil"/>
              <w:bottom w:val="single" w:sz="4" w:space="0" w:color="auto"/>
              <w:right w:val="single" w:sz="4" w:space="0" w:color="auto"/>
            </w:tcBorders>
            <w:shd w:val="clear" w:color="auto" w:fill="D9D9D9"/>
            <w:vAlign w:val="center"/>
            <w:hideMark/>
          </w:tcPr>
          <w:p w14:paraId="5B8F71B3"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Supporting Studies</w:t>
            </w:r>
          </w:p>
        </w:tc>
        <w:tc>
          <w:tcPr>
            <w:tcW w:w="675" w:type="pct"/>
            <w:tcBorders>
              <w:top w:val="single" w:sz="4" w:space="0" w:color="auto"/>
              <w:left w:val="nil"/>
              <w:bottom w:val="single" w:sz="4" w:space="0" w:color="auto"/>
              <w:right w:val="single" w:sz="4" w:space="0" w:color="auto"/>
            </w:tcBorders>
            <w:shd w:val="clear" w:color="auto" w:fill="D9D9D9"/>
            <w:vAlign w:val="center"/>
            <w:hideMark/>
          </w:tcPr>
          <w:p w14:paraId="2909CD93"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Frequency (n=10)</w:t>
            </w:r>
          </w:p>
        </w:tc>
      </w:tr>
      <w:tr w:rsidR="00D340EB" w:rsidRPr="00015E49" w14:paraId="52329564" w14:textId="77777777" w:rsidTr="00775F7D">
        <w:trPr>
          <w:trHeight w:val="1286"/>
        </w:trPr>
        <w:tc>
          <w:tcPr>
            <w:tcW w:w="1103" w:type="pct"/>
            <w:vMerge w:val="restart"/>
            <w:tcBorders>
              <w:top w:val="nil"/>
              <w:left w:val="single" w:sz="4" w:space="0" w:color="auto"/>
              <w:bottom w:val="single" w:sz="4" w:space="0" w:color="auto"/>
              <w:right w:val="single" w:sz="4" w:space="0" w:color="auto"/>
            </w:tcBorders>
            <w:vAlign w:val="center"/>
            <w:hideMark/>
          </w:tcPr>
          <w:p w14:paraId="09A92B6D"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Knowledge regarding AMR</w:t>
            </w:r>
          </w:p>
        </w:tc>
        <w:tc>
          <w:tcPr>
            <w:tcW w:w="450" w:type="pct"/>
            <w:tcBorders>
              <w:top w:val="nil"/>
              <w:left w:val="nil"/>
              <w:bottom w:val="single" w:sz="4" w:space="0" w:color="auto"/>
              <w:right w:val="single" w:sz="4" w:space="0" w:color="auto"/>
            </w:tcBorders>
            <w:vAlign w:val="center"/>
            <w:hideMark/>
          </w:tcPr>
          <w:p w14:paraId="39F3B244"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Awareness of AMR</w:t>
            </w:r>
          </w:p>
        </w:tc>
        <w:tc>
          <w:tcPr>
            <w:tcW w:w="1535" w:type="pct"/>
            <w:tcBorders>
              <w:top w:val="nil"/>
              <w:left w:val="nil"/>
              <w:bottom w:val="single" w:sz="4" w:space="0" w:color="auto"/>
              <w:right w:val="single" w:sz="4" w:space="0" w:color="auto"/>
            </w:tcBorders>
            <w:vAlign w:val="center"/>
            <w:hideMark/>
          </w:tcPr>
          <w:p w14:paraId="550AA0F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Most studies reported moderate to high knowledge of AMR and appropriate antibiotic use; however, important knowledge gaps remained among community members and some healthcare professionals.</w:t>
            </w:r>
          </w:p>
        </w:tc>
        <w:tc>
          <w:tcPr>
            <w:tcW w:w="1237" w:type="pct"/>
            <w:tcBorders>
              <w:top w:val="nil"/>
              <w:left w:val="nil"/>
              <w:bottom w:val="single" w:sz="4" w:space="0" w:color="auto"/>
              <w:right w:val="single" w:sz="4" w:space="0" w:color="auto"/>
            </w:tcBorders>
            <w:vAlign w:val="center"/>
            <w:hideMark/>
          </w:tcPr>
          <w:p w14:paraId="13CECBE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Khan et al. (2021); </w:t>
            </w: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 </w:t>
            </w:r>
            <w:proofErr w:type="spellStart"/>
            <w:r w:rsidRPr="00015E49">
              <w:rPr>
                <w:rFonts w:ascii="Arial" w:eastAsia="Courier New" w:hAnsi="Arial" w:cs="Arial"/>
                <w:color w:val="000000"/>
                <w:kern w:val="0"/>
                <w:sz w:val="22"/>
                <w:szCs w:val="22"/>
              </w:rPr>
              <w:t>Shahid</w:t>
            </w:r>
            <w:proofErr w:type="spellEnd"/>
            <w:r w:rsidRPr="00015E49">
              <w:rPr>
                <w:rFonts w:ascii="Arial" w:eastAsia="Courier New" w:hAnsi="Arial" w:cs="Arial"/>
                <w:color w:val="000000"/>
                <w:kern w:val="0"/>
                <w:sz w:val="22"/>
                <w:szCs w:val="22"/>
              </w:rPr>
              <w:t xml:space="preserve"> et al. (2025); </w:t>
            </w:r>
            <w:proofErr w:type="spellStart"/>
            <w:r w:rsidRPr="00015E49">
              <w:rPr>
                <w:rFonts w:ascii="Arial" w:eastAsia="Courier New" w:hAnsi="Arial" w:cs="Arial"/>
                <w:color w:val="000000"/>
                <w:kern w:val="0"/>
                <w:sz w:val="22"/>
                <w:szCs w:val="22"/>
              </w:rPr>
              <w:t>Waseem</w:t>
            </w:r>
            <w:proofErr w:type="spellEnd"/>
            <w:r w:rsidRPr="00015E49">
              <w:rPr>
                <w:rFonts w:ascii="Arial" w:eastAsia="Courier New" w:hAnsi="Arial" w:cs="Arial"/>
                <w:color w:val="000000"/>
                <w:kern w:val="0"/>
                <w:sz w:val="22"/>
                <w:szCs w:val="22"/>
              </w:rPr>
              <w:t xml:space="preserve"> et al. (20</w:t>
            </w:r>
            <w:r>
              <w:rPr>
                <w:rFonts w:ascii="Arial" w:eastAsia="Courier New" w:hAnsi="Arial" w:cs="Arial"/>
                <w:color w:val="000000"/>
                <w:kern w:val="0"/>
                <w:sz w:val="22"/>
                <w:szCs w:val="22"/>
              </w:rPr>
              <w:t>19</w:t>
            </w:r>
            <w:r w:rsidRPr="00015E49">
              <w:rPr>
                <w:rFonts w:ascii="Arial" w:eastAsia="Courier New" w:hAnsi="Arial" w:cs="Arial"/>
                <w:color w:val="000000"/>
                <w:kern w:val="0"/>
                <w:sz w:val="22"/>
                <w:szCs w:val="22"/>
              </w:rPr>
              <w:t xml:space="preserve">); </w:t>
            </w:r>
            <w:proofErr w:type="spellStart"/>
            <w:r w:rsidRPr="00015E49">
              <w:rPr>
                <w:rFonts w:ascii="Arial" w:eastAsia="Courier New" w:hAnsi="Arial" w:cs="Arial"/>
                <w:color w:val="000000"/>
                <w:kern w:val="0"/>
                <w:sz w:val="22"/>
                <w:szCs w:val="22"/>
              </w:rPr>
              <w:t>Saif</w:t>
            </w:r>
            <w:proofErr w:type="spellEnd"/>
            <w:r w:rsidRPr="00015E49">
              <w:rPr>
                <w:rFonts w:ascii="Arial" w:eastAsia="Courier New" w:hAnsi="Arial" w:cs="Arial"/>
                <w:color w:val="000000"/>
                <w:kern w:val="0"/>
                <w:sz w:val="22"/>
                <w:szCs w:val="22"/>
              </w:rPr>
              <w:t xml:space="preserve"> et al. (2024); </w:t>
            </w:r>
            <w:proofErr w:type="spellStart"/>
            <w:r w:rsidRPr="00015E49">
              <w:rPr>
                <w:rFonts w:ascii="Arial" w:eastAsia="Courier New" w:hAnsi="Arial" w:cs="Arial"/>
                <w:color w:val="000000"/>
                <w:kern w:val="0"/>
                <w:sz w:val="22"/>
                <w:szCs w:val="22"/>
              </w:rPr>
              <w:t>Faizullah</w:t>
            </w:r>
            <w:proofErr w:type="spellEnd"/>
            <w:r w:rsidRPr="00015E49">
              <w:rPr>
                <w:rFonts w:ascii="Arial" w:eastAsia="Courier New" w:hAnsi="Arial" w:cs="Arial"/>
                <w:color w:val="000000"/>
                <w:kern w:val="0"/>
                <w:sz w:val="22"/>
                <w:szCs w:val="22"/>
              </w:rPr>
              <w:t xml:space="preserve"> et al. (2017); Ashraf et al. (2022); </w:t>
            </w:r>
            <w:proofErr w:type="spellStart"/>
            <w:r w:rsidRPr="00015E49">
              <w:rPr>
                <w:rFonts w:ascii="Arial" w:eastAsia="Courier New" w:hAnsi="Arial" w:cs="Arial"/>
                <w:color w:val="000000"/>
                <w:kern w:val="0"/>
                <w:sz w:val="22"/>
                <w:szCs w:val="22"/>
              </w:rPr>
              <w:t>Gillani</w:t>
            </w:r>
            <w:proofErr w:type="spellEnd"/>
            <w:r w:rsidRPr="00015E49">
              <w:rPr>
                <w:rFonts w:ascii="Arial" w:eastAsia="Courier New" w:hAnsi="Arial" w:cs="Arial"/>
                <w:color w:val="000000"/>
                <w:kern w:val="0"/>
                <w:sz w:val="22"/>
                <w:szCs w:val="22"/>
              </w:rPr>
              <w:t xml:space="preserve"> et al. (2021); Shah et al. (2022); Khan et al. (2020)</w:t>
            </w:r>
          </w:p>
        </w:tc>
        <w:tc>
          <w:tcPr>
            <w:tcW w:w="675" w:type="pct"/>
            <w:tcBorders>
              <w:top w:val="nil"/>
              <w:left w:val="nil"/>
              <w:bottom w:val="single" w:sz="4" w:space="0" w:color="auto"/>
              <w:right w:val="single" w:sz="4" w:space="0" w:color="auto"/>
            </w:tcBorders>
            <w:vAlign w:val="center"/>
            <w:hideMark/>
          </w:tcPr>
          <w:p w14:paraId="7F71F78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10</w:t>
            </w:r>
          </w:p>
        </w:tc>
      </w:tr>
      <w:tr w:rsidR="00D340EB" w:rsidRPr="00015E49" w14:paraId="6CAB6FC6" w14:textId="77777777" w:rsidTr="00775F7D">
        <w:trPr>
          <w:trHeight w:val="1029"/>
        </w:trPr>
        <w:tc>
          <w:tcPr>
            <w:tcW w:w="1103" w:type="pct"/>
            <w:vMerge/>
            <w:tcBorders>
              <w:top w:val="nil"/>
              <w:left w:val="single" w:sz="4" w:space="0" w:color="auto"/>
              <w:bottom w:val="single" w:sz="4" w:space="0" w:color="auto"/>
              <w:right w:val="single" w:sz="4" w:space="0" w:color="auto"/>
            </w:tcBorders>
            <w:vAlign w:val="center"/>
            <w:hideMark/>
          </w:tcPr>
          <w:p w14:paraId="799A0DF1" w14:textId="77777777" w:rsidR="00D340EB" w:rsidRPr="00015E49" w:rsidRDefault="00D340EB" w:rsidP="00775F7D">
            <w:pPr>
              <w:spacing w:after="0" w:line="240" w:lineRule="auto"/>
              <w:rPr>
                <w:rFonts w:ascii="Arial" w:eastAsia="Courier New" w:hAnsi="Arial" w:cs="Arial"/>
                <w:b/>
                <w:bCs/>
                <w:color w:val="000000"/>
                <w:kern w:val="0"/>
                <w:sz w:val="22"/>
                <w:szCs w:val="22"/>
              </w:rPr>
            </w:pPr>
          </w:p>
        </w:tc>
        <w:tc>
          <w:tcPr>
            <w:tcW w:w="450" w:type="pct"/>
            <w:tcBorders>
              <w:top w:val="nil"/>
              <w:left w:val="nil"/>
              <w:bottom w:val="single" w:sz="4" w:space="0" w:color="auto"/>
              <w:right w:val="single" w:sz="4" w:space="0" w:color="auto"/>
            </w:tcBorders>
            <w:vAlign w:val="center"/>
            <w:hideMark/>
          </w:tcPr>
          <w:p w14:paraId="2615D6F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Misconceptions about antibiotics</w:t>
            </w:r>
          </w:p>
        </w:tc>
        <w:tc>
          <w:tcPr>
            <w:tcW w:w="1535" w:type="pct"/>
            <w:tcBorders>
              <w:top w:val="nil"/>
              <w:left w:val="nil"/>
              <w:bottom w:val="single" w:sz="4" w:space="0" w:color="auto"/>
              <w:right w:val="single" w:sz="4" w:space="0" w:color="auto"/>
            </w:tcBorders>
            <w:vAlign w:val="center"/>
            <w:hideMark/>
          </w:tcPr>
          <w:p w14:paraId="2EE51B8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Several studies identified misconceptions regarding the effectiveness of antibiotics against viral infections, inappropriate indications, and the development of antimicrobial resistance.</w:t>
            </w:r>
          </w:p>
        </w:tc>
        <w:tc>
          <w:tcPr>
            <w:tcW w:w="1237" w:type="pct"/>
            <w:tcBorders>
              <w:top w:val="nil"/>
              <w:left w:val="nil"/>
              <w:bottom w:val="single" w:sz="4" w:space="0" w:color="auto"/>
              <w:right w:val="single" w:sz="4" w:space="0" w:color="auto"/>
            </w:tcBorders>
            <w:vAlign w:val="center"/>
            <w:hideMark/>
          </w:tcPr>
          <w:p w14:paraId="265EA4D3"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Gillani</w:t>
            </w:r>
            <w:proofErr w:type="spellEnd"/>
            <w:r w:rsidRPr="00015E49">
              <w:rPr>
                <w:rFonts w:ascii="Arial" w:eastAsia="Courier New" w:hAnsi="Arial" w:cs="Arial"/>
                <w:color w:val="000000"/>
                <w:kern w:val="0"/>
                <w:sz w:val="22"/>
                <w:szCs w:val="22"/>
              </w:rPr>
              <w:t xml:space="preserve"> et al. (2021); Khan et al. (2020); </w:t>
            </w:r>
            <w:proofErr w:type="spellStart"/>
            <w:r w:rsidRPr="00015E49">
              <w:rPr>
                <w:rFonts w:ascii="Arial" w:eastAsia="Courier New" w:hAnsi="Arial" w:cs="Arial"/>
                <w:color w:val="000000"/>
                <w:kern w:val="0"/>
                <w:sz w:val="22"/>
                <w:szCs w:val="22"/>
              </w:rPr>
              <w:t>Saif</w:t>
            </w:r>
            <w:proofErr w:type="spellEnd"/>
            <w:r w:rsidRPr="00015E49">
              <w:rPr>
                <w:rFonts w:ascii="Arial" w:eastAsia="Courier New" w:hAnsi="Arial" w:cs="Arial"/>
                <w:color w:val="000000"/>
                <w:kern w:val="0"/>
                <w:sz w:val="22"/>
                <w:szCs w:val="22"/>
              </w:rPr>
              <w:t xml:space="preserve"> et al. (2024); </w:t>
            </w:r>
            <w:proofErr w:type="spellStart"/>
            <w:r w:rsidRPr="00015E49">
              <w:rPr>
                <w:rFonts w:ascii="Arial" w:eastAsia="Courier New" w:hAnsi="Arial" w:cs="Arial"/>
                <w:color w:val="000000"/>
                <w:kern w:val="0"/>
                <w:sz w:val="22"/>
                <w:szCs w:val="22"/>
              </w:rPr>
              <w:t>Shahid</w:t>
            </w:r>
            <w:proofErr w:type="spellEnd"/>
            <w:r w:rsidRPr="00015E49">
              <w:rPr>
                <w:rFonts w:ascii="Arial" w:eastAsia="Courier New" w:hAnsi="Arial" w:cs="Arial"/>
                <w:color w:val="000000"/>
                <w:kern w:val="0"/>
                <w:sz w:val="22"/>
                <w:szCs w:val="22"/>
              </w:rPr>
              <w:t xml:space="preserve"> et al. (2025)</w:t>
            </w:r>
          </w:p>
        </w:tc>
        <w:tc>
          <w:tcPr>
            <w:tcW w:w="675" w:type="pct"/>
            <w:tcBorders>
              <w:top w:val="nil"/>
              <w:left w:val="nil"/>
              <w:bottom w:val="single" w:sz="4" w:space="0" w:color="auto"/>
              <w:right w:val="single" w:sz="4" w:space="0" w:color="auto"/>
            </w:tcBorders>
            <w:vAlign w:val="center"/>
            <w:hideMark/>
          </w:tcPr>
          <w:p w14:paraId="17E5F9C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w:t>
            </w:r>
          </w:p>
        </w:tc>
      </w:tr>
      <w:tr w:rsidR="00D340EB" w:rsidRPr="00015E49" w14:paraId="776E86A1" w14:textId="77777777" w:rsidTr="00775F7D">
        <w:trPr>
          <w:trHeight w:val="1029"/>
        </w:trPr>
        <w:tc>
          <w:tcPr>
            <w:tcW w:w="1103" w:type="pct"/>
            <w:vMerge w:val="restart"/>
            <w:tcBorders>
              <w:top w:val="nil"/>
              <w:left w:val="single" w:sz="4" w:space="0" w:color="auto"/>
              <w:bottom w:val="single" w:sz="4" w:space="0" w:color="auto"/>
              <w:right w:val="single" w:sz="4" w:space="0" w:color="auto"/>
            </w:tcBorders>
            <w:vAlign w:val="center"/>
            <w:hideMark/>
          </w:tcPr>
          <w:p w14:paraId="07EBF924"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Attitudes toward antibiotic use and AMR</w:t>
            </w:r>
          </w:p>
        </w:tc>
        <w:tc>
          <w:tcPr>
            <w:tcW w:w="450" w:type="pct"/>
            <w:tcBorders>
              <w:top w:val="nil"/>
              <w:left w:val="nil"/>
              <w:bottom w:val="single" w:sz="4" w:space="0" w:color="auto"/>
              <w:right w:val="single" w:sz="4" w:space="0" w:color="auto"/>
            </w:tcBorders>
            <w:vAlign w:val="center"/>
            <w:hideMark/>
          </w:tcPr>
          <w:p w14:paraId="02C1977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Recognition of AMR as a public health issue</w:t>
            </w:r>
          </w:p>
        </w:tc>
        <w:tc>
          <w:tcPr>
            <w:tcW w:w="1535" w:type="pct"/>
            <w:tcBorders>
              <w:top w:val="nil"/>
              <w:left w:val="nil"/>
              <w:bottom w:val="single" w:sz="4" w:space="0" w:color="auto"/>
              <w:right w:val="single" w:sz="4" w:space="0" w:color="auto"/>
            </w:tcBorders>
            <w:vAlign w:val="center"/>
            <w:hideMark/>
          </w:tcPr>
          <w:p w14:paraId="57DBC13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Healthcare professionals and pharmacists generally demonstrated positive attitudes towards AMR prevention and acknowledged the importance of rational antibiotic use.</w:t>
            </w:r>
          </w:p>
        </w:tc>
        <w:tc>
          <w:tcPr>
            <w:tcW w:w="1237" w:type="pct"/>
            <w:tcBorders>
              <w:top w:val="nil"/>
              <w:left w:val="nil"/>
              <w:bottom w:val="single" w:sz="4" w:space="0" w:color="auto"/>
              <w:right w:val="single" w:sz="4" w:space="0" w:color="auto"/>
            </w:tcBorders>
            <w:vAlign w:val="center"/>
            <w:hideMark/>
          </w:tcPr>
          <w:p w14:paraId="248F20F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Khan et al. (2021); </w:t>
            </w: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 </w:t>
            </w:r>
            <w:proofErr w:type="spellStart"/>
            <w:r w:rsidRPr="00015E49">
              <w:rPr>
                <w:rFonts w:ascii="Arial" w:eastAsia="Courier New" w:hAnsi="Arial" w:cs="Arial"/>
                <w:color w:val="000000"/>
                <w:kern w:val="0"/>
                <w:sz w:val="22"/>
                <w:szCs w:val="22"/>
              </w:rPr>
              <w:t>Faizullah</w:t>
            </w:r>
            <w:proofErr w:type="spellEnd"/>
            <w:r w:rsidRPr="00015E49">
              <w:rPr>
                <w:rFonts w:ascii="Arial" w:eastAsia="Courier New" w:hAnsi="Arial" w:cs="Arial"/>
                <w:color w:val="000000"/>
                <w:kern w:val="0"/>
                <w:sz w:val="22"/>
                <w:szCs w:val="22"/>
              </w:rPr>
              <w:t xml:space="preserve"> et al. (2017); Ashraf et al. (2022); Shah et al. (2022)</w:t>
            </w:r>
          </w:p>
        </w:tc>
        <w:tc>
          <w:tcPr>
            <w:tcW w:w="675" w:type="pct"/>
            <w:tcBorders>
              <w:top w:val="nil"/>
              <w:left w:val="nil"/>
              <w:bottom w:val="single" w:sz="4" w:space="0" w:color="auto"/>
              <w:right w:val="single" w:sz="4" w:space="0" w:color="auto"/>
            </w:tcBorders>
            <w:vAlign w:val="center"/>
            <w:hideMark/>
          </w:tcPr>
          <w:p w14:paraId="21EF612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w:t>
            </w:r>
          </w:p>
        </w:tc>
      </w:tr>
      <w:tr w:rsidR="00D340EB" w:rsidRPr="00015E49" w14:paraId="069E1F87" w14:textId="77777777" w:rsidTr="00775F7D">
        <w:trPr>
          <w:trHeight w:val="772"/>
        </w:trPr>
        <w:tc>
          <w:tcPr>
            <w:tcW w:w="1103" w:type="pct"/>
            <w:vMerge/>
            <w:tcBorders>
              <w:top w:val="nil"/>
              <w:left w:val="single" w:sz="4" w:space="0" w:color="auto"/>
              <w:bottom w:val="single" w:sz="4" w:space="0" w:color="auto"/>
              <w:right w:val="single" w:sz="4" w:space="0" w:color="auto"/>
            </w:tcBorders>
            <w:vAlign w:val="center"/>
            <w:hideMark/>
          </w:tcPr>
          <w:p w14:paraId="662FC58C" w14:textId="77777777" w:rsidR="00D340EB" w:rsidRPr="00015E49" w:rsidRDefault="00D340EB" w:rsidP="00775F7D">
            <w:pPr>
              <w:spacing w:after="0" w:line="240" w:lineRule="auto"/>
              <w:rPr>
                <w:rFonts w:ascii="Arial" w:eastAsia="Courier New" w:hAnsi="Arial" w:cs="Arial"/>
                <w:b/>
                <w:bCs/>
                <w:color w:val="000000"/>
                <w:kern w:val="0"/>
                <w:sz w:val="22"/>
                <w:szCs w:val="22"/>
              </w:rPr>
            </w:pPr>
          </w:p>
        </w:tc>
        <w:tc>
          <w:tcPr>
            <w:tcW w:w="450" w:type="pct"/>
            <w:tcBorders>
              <w:top w:val="nil"/>
              <w:left w:val="nil"/>
              <w:bottom w:val="single" w:sz="4" w:space="0" w:color="auto"/>
              <w:right w:val="single" w:sz="4" w:space="0" w:color="auto"/>
            </w:tcBorders>
            <w:vAlign w:val="center"/>
            <w:hideMark/>
          </w:tcPr>
          <w:p w14:paraId="51BA7DD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Support for antimicrobial stewardship</w:t>
            </w:r>
          </w:p>
        </w:tc>
        <w:tc>
          <w:tcPr>
            <w:tcW w:w="1535" w:type="pct"/>
            <w:tcBorders>
              <w:top w:val="nil"/>
              <w:left w:val="nil"/>
              <w:bottom w:val="single" w:sz="4" w:space="0" w:color="auto"/>
              <w:right w:val="single" w:sz="4" w:space="0" w:color="auto"/>
            </w:tcBorders>
            <w:vAlign w:val="center"/>
            <w:hideMark/>
          </w:tcPr>
          <w:p w14:paraId="7A79EC0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Most professional groups supported educational initiatives, antibiotic stewardship programs, and policies promoting rational antibiotic prescribing.</w:t>
            </w:r>
          </w:p>
        </w:tc>
        <w:tc>
          <w:tcPr>
            <w:tcW w:w="1237" w:type="pct"/>
            <w:tcBorders>
              <w:top w:val="nil"/>
              <w:left w:val="nil"/>
              <w:bottom w:val="single" w:sz="4" w:space="0" w:color="auto"/>
              <w:right w:val="single" w:sz="4" w:space="0" w:color="auto"/>
            </w:tcBorders>
            <w:vAlign w:val="center"/>
            <w:hideMark/>
          </w:tcPr>
          <w:p w14:paraId="3261BE3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Khan et al. (2021); </w:t>
            </w: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 </w:t>
            </w:r>
            <w:proofErr w:type="spellStart"/>
            <w:r w:rsidRPr="00015E49">
              <w:rPr>
                <w:rFonts w:ascii="Arial" w:eastAsia="Courier New" w:hAnsi="Arial" w:cs="Arial"/>
                <w:color w:val="000000"/>
                <w:kern w:val="0"/>
                <w:sz w:val="22"/>
                <w:szCs w:val="22"/>
              </w:rPr>
              <w:t>Waseem</w:t>
            </w:r>
            <w:proofErr w:type="spellEnd"/>
            <w:r w:rsidRPr="00015E49">
              <w:rPr>
                <w:rFonts w:ascii="Arial" w:eastAsia="Courier New" w:hAnsi="Arial" w:cs="Arial"/>
                <w:color w:val="000000"/>
                <w:kern w:val="0"/>
                <w:sz w:val="22"/>
                <w:szCs w:val="22"/>
              </w:rPr>
              <w:t xml:space="preserve"> et al. (20</w:t>
            </w:r>
            <w:r>
              <w:rPr>
                <w:rFonts w:ascii="Arial" w:eastAsia="Courier New" w:hAnsi="Arial" w:cs="Arial"/>
                <w:color w:val="000000"/>
                <w:kern w:val="0"/>
                <w:sz w:val="22"/>
                <w:szCs w:val="22"/>
              </w:rPr>
              <w:t>19</w:t>
            </w:r>
            <w:r w:rsidRPr="00015E49">
              <w:rPr>
                <w:rFonts w:ascii="Arial" w:eastAsia="Courier New" w:hAnsi="Arial" w:cs="Arial"/>
                <w:color w:val="000000"/>
                <w:kern w:val="0"/>
                <w:sz w:val="22"/>
                <w:szCs w:val="22"/>
              </w:rPr>
              <w:t xml:space="preserve">); Ashraf et al. (2022); </w:t>
            </w:r>
            <w:proofErr w:type="spellStart"/>
            <w:r w:rsidRPr="00015E49">
              <w:rPr>
                <w:rFonts w:ascii="Arial" w:eastAsia="Courier New" w:hAnsi="Arial" w:cs="Arial"/>
                <w:color w:val="000000"/>
                <w:kern w:val="0"/>
                <w:sz w:val="22"/>
                <w:szCs w:val="22"/>
              </w:rPr>
              <w:t>Faizullah</w:t>
            </w:r>
            <w:proofErr w:type="spellEnd"/>
            <w:r w:rsidRPr="00015E49">
              <w:rPr>
                <w:rFonts w:ascii="Arial" w:eastAsia="Courier New" w:hAnsi="Arial" w:cs="Arial"/>
                <w:color w:val="000000"/>
                <w:kern w:val="0"/>
                <w:sz w:val="22"/>
                <w:szCs w:val="22"/>
              </w:rPr>
              <w:t xml:space="preserve"> et al. (2017)</w:t>
            </w:r>
          </w:p>
        </w:tc>
        <w:tc>
          <w:tcPr>
            <w:tcW w:w="675" w:type="pct"/>
            <w:tcBorders>
              <w:top w:val="nil"/>
              <w:left w:val="nil"/>
              <w:bottom w:val="single" w:sz="4" w:space="0" w:color="auto"/>
              <w:right w:val="single" w:sz="4" w:space="0" w:color="auto"/>
            </w:tcBorders>
            <w:vAlign w:val="center"/>
            <w:hideMark/>
          </w:tcPr>
          <w:p w14:paraId="6ACAF17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w:t>
            </w:r>
          </w:p>
        </w:tc>
      </w:tr>
      <w:tr w:rsidR="00D340EB" w:rsidRPr="00015E49" w14:paraId="58F2B15F" w14:textId="77777777" w:rsidTr="00775F7D">
        <w:trPr>
          <w:trHeight w:val="1286"/>
        </w:trPr>
        <w:tc>
          <w:tcPr>
            <w:tcW w:w="1103" w:type="pct"/>
            <w:vMerge w:val="restart"/>
            <w:tcBorders>
              <w:top w:val="nil"/>
              <w:left w:val="single" w:sz="4" w:space="0" w:color="auto"/>
              <w:bottom w:val="single" w:sz="4" w:space="0" w:color="auto"/>
              <w:right w:val="single" w:sz="4" w:space="0" w:color="auto"/>
            </w:tcBorders>
            <w:vAlign w:val="center"/>
            <w:hideMark/>
          </w:tcPr>
          <w:p w14:paraId="7B2C21A1"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Practices related to antibiotic use</w:t>
            </w:r>
          </w:p>
        </w:tc>
        <w:tc>
          <w:tcPr>
            <w:tcW w:w="450" w:type="pct"/>
            <w:tcBorders>
              <w:top w:val="nil"/>
              <w:left w:val="nil"/>
              <w:bottom w:val="single" w:sz="4" w:space="0" w:color="auto"/>
              <w:right w:val="single" w:sz="4" w:space="0" w:color="auto"/>
            </w:tcBorders>
            <w:vAlign w:val="center"/>
            <w:hideMark/>
          </w:tcPr>
          <w:p w14:paraId="6713286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Appropriate antibiotic use</w:t>
            </w:r>
          </w:p>
        </w:tc>
        <w:tc>
          <w:tcPr>
            <w:tcW w:w="1535" w:type="pct"/>
            <w:tcBorders>
              <w:top w:val="nil"/>
              <w:left w:val="nil"/>
              <w:bottom w:val="single" w:sz="4" w:space="0" w:color="auto"/>
              <w:right w:val="single" w:sz="4" w:space="0" w:color="auto"/>
            </w:tcBorders>
            <w:vAlign w:val="center"/>
            <w:hideMark/>
          </w:tcPr>
          <w:p w14:paraId="6501EEA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Appropriate practices such as completing prescribed antibiotic courses and following medical advice varied considerably across studies, with reported good practice ranging from approximately 33% to 94%.</w:t>
            </w:r>
          </w:p>
        </w:tc>
        <w:tc>
          <w:tcPr>
            <w:tcW w:w="1237" w:type="pct"/>
            <w:tcBorders>
              <w:top w:val="nil"/>
              <w:left w:val="nil"/>
              <w:bottom w:val="single" w:sz="4" w:space="0" w:color="auto"/>
              <w:right w:val="single" w:sz="4" w:space="0" w:color="auto"/>
            </w:tcBorders>
            <w:vAlign w:val="center"/>
            <w:hideMark/>
          </w:tcPr>
          <w:p w14:paraId="162C6FF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All included studies</w:t>
            </w:r>
          </w:p>
        </w:tc>
        <w:tc>
          <w:tcPr>
            <w:tcW w:w="675" w:type="pct"/>
            <w:tcBorders>
              <w:top w:val="nil"/>
              <w:left w:val="nil"/>
              <w:bottom w:val="single" w:sz="4" w:space="0" w:color="auto"/>
              <w:right w:val="single" w:sz="4" w:space="0" w:color="auto"/>
            </w:tcBorders>
            <w:vAlign w:val="center"/>
            <w:hideMark/>
          </w:tcPr>
          <w:p w14:paraId="41CFB8D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10</w:t>
            </w:r>
          </w:p>
        </w:tc>
      </w:tr>
      <w:tr w:rsidR="00D340EB" w:rsidRPr="00015E49" w14:paraId="24C06CAC" w14:textId="77777777" w:rsidTr="00775F7D">
        <w:trPr>
          <w:trHeight w:val="1029"/>
        </w:trPr>
        <w:tc>
          <w:tcPr>
            <w:tcW w:w="1103" w:type="pct"/>
            <w:vMerge/>
            <w:tcBorders>
              <w:top w:val="nil"/>
              <w:left w:val="single" w:sz="4" w:space="0" w:color="auto"/>
              <w:bottom w:val="single" w:sz="4" w:space="0" w:color="auto"/>
              <w:right w:val="single" w:sz="4" w:space="0" w:color="auto"/>
            </w:tcBorders>
            <w:vAlign w:val="center"/>
            <w:hideMark/>
          </w:tcPr>
          <w:p w14:paraId="718B7C39" w14:textId="77777777" w:rsidR="00D340EB" w:rsidRPr="00015E49" w:rsidRDefault="00D340EB" w:rsidP="00775F7D">
            <w:pPr>
              <w:spacing w:after="0" w:line="240" w:lineRule="auto"/>
              <w:rPr>
                <w:rFonts w:ascii="Arial" w:eastAsia="Courier New" w:hAnsi="Arial" w:cs="Arial"/>
                <w:b/>
                <w:bCs/>
                <w:color w:val="000000"/>
                <w:kern w:val="0"/>
                <w:sz w:val="22"/>
                <w:szCs w:val="22"/>
              </w:rPr>
            </w:pPr>
          </w:p>
        </w:tc>
        <w:tc>
          <w:tcPr>
            <w:tcW w:w="450" w:type="pct"/>
            <w:tcBorders>
              <w:top w:val="nil"/>
              <w:left w:val="nil"/>
              <w:bottom w:val="single" w:sz="4" w:space="0" w:color="auto"/>
              <w:right w:val="single" w:sz="4" w:space="0" w:color="auto"/>
            </w:tcBorders>
            <w:vAlign w:val="center"/>
            <w:hideMark/>
          </w:tcPr>
          <w:p w14:paraId="0F299A6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Self-medication with antibiotics</w:t>
            </w:r>
          </w:p>
        </w:tc>
        <w:tc>
          <w:tcPr>
            <w:tcW w:w="1535" w:type="pct"/>
            <w:tcBorders>
              <w:top w:val="nil"/>
              <w:left w:val="nil"/>
              <w:bottom w:val="single" w:sz="4" w:space="0" w:color="auto"/>
              <w:right w:val="single" w:sz="4" w:space="0" w:color="auto"/>
            </w:tcBorders>
            <w:vAlign w:val="center"/>
            <w:hideMark/>
          </w:tcPr>
          <w:p w14:paraId="4A16546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Self-medication, purchasing antibiotics without prescriptions, and discontinuing treatment early remained common among community participants and consumers.</w:t>
            </w:r>
          </w:p>
        </w:tc>
        <w:tc>
          <w:tcPr>
            <w:tcW w:w="1237" w:type="pct"/>
            <w:tcBorders>
              <w:top w:val="nil"/>
              <w:left w:val="nil"/>
              <w:bottom w:val="single" w:sz="4" w:space="0" w:color="auto"/>
              <w:right w:val="single" w:sz="4" w:space="0" w:color="auto"/>
            </w:tcBorders>
            <w:vAlign w:val="center"/>
            <w:hideMark/>
          </w:tcPr>
          <w:p w14:paraId="55B03F6B"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Gillani</w:t>
            </w:r>
            <w:proofErr w:type="spellEnd"/>
            <w:r w:rsidRPr="00015E49">
              <w:rPr>
                <w:rFonts w:ascii="Arial" w:eastAsia="Courier New" w:hAnsi="Arial" w:cs="Arial"/>
                <w:color w:val="000000"/>
                <w:kern w:val="0"/>
                <w:sz w:val="22"/>
                <w:szCs w:val="22"/>
              </w:rPr>
              <w:t xml:space="preserve"> et al. (2021); Khan et al. (2020); </w:t>
            </w:r>
            <w:proofErr w:type="spellStart"/>
            <w:r w:rsidRPr="00015E49">
              <w:rPr>
                <w:rFonts w:ascii="Arial" w:eastAsia="Courier New" w:hAnsi="Arial" w:cs="Arial"/>
                <w:color w:val="000000"/>
                <w:kern w:val="0"/>
                <w:sz w:val="22"/>
                <w:szCs w:val="22"/>
              </w:rPr>
              <w:t>Saif</w:t>
            </w:r>
            <w:proofErr w:type="spellEnd"/>
            <w:r w:rsidRPr="00015E49">
              <w:rPr>
                <w:rFonts w:ascii="Arial" w:eastAsia="Courier New" w:hAnsi="Arial" w:cs="Arial"/>
                <w:color w:val="000000"/>
                <w:kern w:val="0"/>
                <w:sz w:val="22"/>
                <w:szCs w:val="22"/>
              </w:rPr>
              <w:t xml:space="preserve"> et al. (2024); </w:t>
            </w:r>
            <w:proofErr w:type="spellStart"/>
            <w:r w:rsidRPr="00015E49">
              <w:rPr>
                <w:rFonts w:ascii="Arial" w:eastAsia="Courier New" w:hAnsi="Arial" w:cs="Arial"/>
                <w:color w:val="000000"/>
                <w:kern w:val="0"/>
                <w:sz w:val="22"/>
                <w:szCs w:val="22"/>
              </w:rPr>
              <w:t>Waseem</w:t>
            </w:r>
            <w:proofErr w:type="spellEnd"/>
            <w:r w:rsidRPr="00015E49">
              <w:rPr>
                <w:rFonts w:ascii="Arial" w:eastAsia="Courier New" w:hAnsi="Arial" w:cs="Arial"/>
                <w:color w:val="000000"/>
                <w:kern w:val="0"/>
                <w:sz w:val="22"/>
                <w:szCs w:val="22"/>
              </w:rPr>
              <w:t xml:space="preserve"> et al. (20</w:t>
            </w:r>
            <w:r>
              <w:rPr>
                <w:rFonts w:ascii="Arial" w:eastAsia="Courier New" w:hAnsi="Arial" w:cs="Arial"/>
                <w:color w:val="000000"/>
                <w:kern w:val="0"/>
                <w:sz w:val="22"/>
                <w:szCs w:val="22"/>
              </w:rPr>
              <w:t>19</w:t>
            </w:r>
            <w:r w:rsidRPr="00015E49">
              <w:rPr>
                <w:rFonts w:ascii="Arial" w:eastAsia="Courier New" w:hAnsi="Arial" w:cs="Arial"/>
                <w:color w:val="000000"/>
                <w:kern w:val="0"/>
                <w:sz w:val="22"/>
                <w:szCs w:val="22"/>
              </w:rPr>
              <w:t>)</w:t>
            </w:r>
          </w:p>
        </w:tc>
        <w:tc>
          <w:tcPr>
            <w:tcW w:w="675" w:type="pct"/>
            <w:tcBorders>
              <w:top w:val="nil"/>
              <w:left w:val="nil"/>
              <w:bottom w:val="single" w:sz="4" w:space="0" w:color="auto"/>
              <w:right w:val="single" w:sz="4" w:space="0" w:color="auto"/>
            </w:tcBorders>
            <w:vAlign w:val="center"/>
            <w:hideMark/>
          </w:tcPr>
          <w:p w14:paraId="657DC37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w:t>
            </w:r>
          </w:p>
        </w:tc>
      </w:tr>
      <w:tr w:rsidR="00D340EB" w:rsidRPr="00015E49" w14:paraId="326E4BA5" w14:textId="77777777" w:rsidTr="00775F7D">
        <w:trPr>
          <w:trHeight w:val="772"/>
        </w:trPr>
        <w:tc>
          <w:tcPr>
            <w:tcW w:w="1103" w:type="pct"/>
            <w:vMerge/>
            <w:tcBorders>
              <w:top w:val="nil"/>
              <w:left w:val="single" w:sz="4" w:space="0" w:color="auto"/>
              <w:bottom w:val="single" w:sz="4" w:space="0" w:color="auto"/>
              <w:right w:val="single" w:sz="4" w:space="0" w:color="auto"/>
            </w:tcBorders>
            <w:vAlign w:val="center"/>
            <w:hideMark/>
          </w:tcPr>
          <w:p w14:paraId="0515BE0E" w14:textId="77777777" w:rsidR="00D340EB" w:rsidRPr="00015E49" w:rsidRDefault="00D340EB" w:rsidP="00775F7D">
            <w:pPr>
              <w:spacing w:after="0" w:line="240" w:lineRule="auto"/>
              <w:rPr>
                <w:rFonts w:ascii="Arial" w:eastAsia="Courier New" w:hAnsi="Arial" w:cs="Arial"/>
                <w:b/>
                <w:bCs/>
                <w:color w:val="000000"/>
                <w:kern w:val="0"/>
                <w:sz w:val="22"/>
                <w:szCs w:val="22"/>
              </w:rPr>
            </w:pPr>
          </w:p>
        </w:tc>
        <w:tc>
          <w:tcPr>
            <w:tcW w:w="450" w:type="pct"/>
            <w:tcBorders>
              <w:top w:val="nil"/>
              <w:left w:val="nil"/>
              <w:bottom w:val="single" w:sz="4" w:space="0" w:color="auto"/>
              <w:right w:val="single" w:sz="4" w:space="0" w:color="auto"/>
            </w:tcBorders>
            <w:vAlign w:val="center"/>
            <w:hideMark/>
          </w:tcPr>
          <w:p w14:paraId="2E28E21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Patient counselling </w:t>
            </w:r>
            <w:r w:rsidRPr="00015E49">
              <w:rPr>
                <w:rFonts w:ascii="Arial" w:eastAsia="Courier New" w:hAnsi="Arial" w:cs="Arial"/>
                <w:color w:val="000000"/>
                <w:kern w:val="0"/>
                <w:sz w:val="22"/>
                <w:szCs w:val="22"/>
              </w:rPr>
              <w:lastRenderedPageBreak/>
              <w:t>and dispensing practice</w:t>
            </w:r>
          </w:p>
        </w:tc>
        <w:tc>
          <w:tcPr>
            <w:tcW w:w="1535" w:type="pct"/>
            <w:tcBorders>
              <w:top w:val="nil"/>
              <w:left w:val="nil"/>
              <w:bottom w:val="single" w:sz="4" w:space="0" w:color="auto"/>
              <w:right w:val="single" w:sz="4" w:space="0" w:color="auto"/>
            </w:tcBorders>
            <w:vAlign w:val="center"/>
            <w:hideMark/>
          </w:tcPr>
          <w:p w14:paraId="7175B53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lastRenderedPageBreak/>
              <w:t xml:space="preserve">Pharmacists emphasized counselling patients </w:t>
            </w:r>
            <w:r w:rsidRPr="00015E49">
              <w:rPr>
                <w:rFonts w:ascii="Arial" w:eastAsia="Courier New" w:hAnsi="Arial" w:cs="Arial"/>
                <w:color w:val="000000"/>
                <w:kern w:val="0"/>
                <w:sz w:val="22"/>
                <w:szCs w:val="22"/>
              </w:rPr>
              <w:lastRenderedPageBreak/>
              <w:t>regarding antibiotic adherence and rational use, although implementation varied between studies.</w:t>
            </w:r>
          </w:p>
        </w:tc>
        <w:tc>
          <w:tcPr>
            <w:tcW w:w="1237" w:type="pct"/>
            <w:tcBorders>
              <w:top w:val="nil"/>
              <w:left w:val="nil"/>
              <w:bottom w:val="single" w:sz="4" w:space="0" w:color="auto"/>
              <w:right w:val="single" w:sz="4" w:space="0" w:color="auto"/>
            </w:tcBorders>
            <w:vAlign w:val="center"/>
            <w:hideMark/>
          </w:tcPr>
          <w:p w14:paraId="4BB5CF4E"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lastRenderedPageBreak/>
              <w:t xml:space="preserve">Khan et al. (2021); </w:t>
            </w: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w:t>
            </w:r>
          </w:p>
        </w:tc>
        <w:tc>
          <w:tcPr>
            <w:tcW w:w="675" w:type="pct"/>
            <w:tcBorders>
              <w:top w:val="nil"/>
              <w:left w:val="nil"/>
              <w:bottom w:val="single" w:sz="4" w:space="0" w:color="auto"/>
              <w:right w:val="single" w:sz="4" w:space="0" w:color="auto"/>
            </w:tcBorders>
            <w:vAlign w:val="center"/>
            <w:hideMark/>
          </w:tcPr>
          <w:p w14:paraId="18DEB26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2</w:t>
            </w:r>
          </w:p>
        </w:tc>
      </w:tr>
      <w:tr w:rsidR="00D340EB" w:rsidRPr="00015E49" w14:paraId="3345502C" w14:textId="77777777" w:rsidTr="00775F7D">
        <w:trPr>
          <w:trHeight w:val="1243"/>
        </w:trPr>
        <w:tc>
          <w:tcPr>
            <w:tcW w:w="1103" w:type="pct"/>
            <w:vMerge w:val="restart"/>
            <w:tcBorders>
              <w:top w:val="nil"/>
              <w:left w:val="single" w:sz="4" w:space="0" w:color="auto"/>
              <w:bottom w:val="single" w:sz="4" w:space="0" w:color="auto"/>
              <w:right w:val="single" w:sz="4" w:space="0" w:color="auto"/>
            </w:tcBorders>
            <w:vAlign w:val="center"/>
            <w:hideMark/>
          </w:tcPr>
          <w:p w14:paraId="4C58BDF3"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lastRenderedPageBreak/>
              <w:t>Factors influencing KAP</w:t>
            </w:r>
          </w:p>
        </w:tc>
        <w:tc>
          <w:tcPr>
            <w:tcW w:w="450" w:type="pct"/>
            <w:tcBorders>
              <w:top w:val="nil"/>
              <w:left w:val="nil"/>
              <w:bottom w:val="single" w:sz="4" w:space="0" w:color="auto"/>
              <w:right w:val="single" w:sz="4" w:space="0" w:color="auto"/>
            </w:tcBorders>
            <w:vAlign w:val="center"/>
            <w:hideMark/>
          </w:tcPr>
          <w:p w14:paraId="037BF84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Educational status</w:t>
            </w:r>
          </w:p>
        </w:tc>
        <w:tc>
          <w:tcPr>
            <w:tcW w:w="1535" w:type="pct"/>
            <w:tcBorders>
              <w:top w:val="nil"/>
              <w:left w:val="nil"/>
              <w:bottom w:val="single" w:sz="4" w:space="0" w:color="auto"/>
              <w:right w:val="single" w:sz="4" w:space="0" w:color="auto"/>
            </w:tcBorders>
            <w:vAlign w:val="center"/>
            <w:hideMark/>
          </w:tcPr>
          <w:p w14:paraId="45F0B64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Higher educational attainment was consistently associated with better knowledge, more positive attitudes, and improved antibiotic-use practices.</w:t>
            </w:r>
          </w:p>
        </w:tc>
        <w:tc>
          <w:tcPr>
            <w:tcW w:w="1237" w:type="pct"/>
            <w:tcBorders>
              <w:top w:val="nil"/>
              <w:left w:val="nil"/>
              <w:bottom w:val="single" w:sz="4" w:space="0" w:color="auto"/>
              <w:right w:val="single" w:sz="4" w:space="0" w:color="auto"/>
            </w:tcBorders>
            <w:vAlign w:val="center"/>
            <w:hideMark/>
          </w:tcPr>
          <w:p w14:paraId="3E8E8123"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Saif</w:t>
            </w:r>
            <w:proofErr w:type="spellEnd"/>
            <w:r w:rsidRPr="00015E49">
              <w:rPr>
                <w:rFonts w:ascii="Arial" w:eastAsia="Courier New" w:hAnsi="Arial" w:cs="Arial"/>
                <w:color w:val="000000"/>
                <w:kern w:val="0"/>
                <w:sz w:val="22"/>
                <w:szCs w:val="22"/>
              </w:rPr>
              <w:t xml:space="preserve"> et al. (2024); Shah et al. (2022); </w:t>
            </w:r>
            <w:proofErr w:type="spellStart"/>
            <w:r w:rsidRPr="00015E49">
              <w:rPr>
                <w:rFonts w:ascii="Arial" w:eastAsia="Courier New" w:hAnsi="Arial" w:cs="Arial"/>
                <w:color w:val="000000"/>
                <w:kern w:val="0"/>
                <w:sz w:val="22"/>
                <w:szCs w:val="22"/>
              </w:rPr>
              <w:t>Gillani</w:t>
            </w:r>
            <w:proofErr w:type="spellEnd"/>
            <w:r w:rsidRPr="00015E49">
              <w:rPr>
                <w:rFonts w:ascii="Arial" w:eastAsia="Courier New" w:hAnsi="Arial" w:cs="Arial"/>
                <w:color w:val="000000"/>
                <w:kern w:val="0"/>
                <w:sz w:val="22"/>
                <w:szCs w:val="22"/>
              </w:rPr>
              <w:t xml:space="preserve"> et al. (2021); </w:t>
            </w:r>
            <w:proofErr w:type="spellStart"/>
            <w:r w:rsidRPr="00015E49">
              <w:rPr>
                <w:rFonts w:ascii="Arial" w:eastAsia="Courier New" w:hAnsi="Arial" w:cs="Arial"/>
                <w:color w:val="000000"/>
                <w:kern w:val="0"/>
                <w:sz w:val="22"/>
                <w:szCs w:val="22"/>
              </w:rPr>
              <w:t>Waseem</w:t>
            </w:r>
            <w:proofErr w:type="spellEnd"/>
            <w:r w:rsidRPr="00015E49">
              <w:rPr>
                <w:rFonts w:ascii="Arial" w:eastAsia="Courier New" w:hAnsi="Arial" w:cs="Arial"/>
                <w:color w:val="000000"/>
                <w:kern w:val="0"/>
                <w:sz w:val="22"/>
                <w:szCs w:val="22"/>
              </w:rPr>
              <w:t xml:space="preserve"> et al. (20</w:t>
            </w:r>
            <w:r>
              <w:rPr>
                <w:rFonts w:ascii="Arial" w:eastAsia="Courier New" w:hAnsi="Arial" w:cs="Arial"/>
                <w:color w:val="000000"/>
                <w:kern w:val="0"/>
                <w:sz w:val="22"/>
                <w:szCs w:val="22"/>
              </w:rPr>
              <w:t>19</w:t>
            </w:r>
            <w:r w:rsidRPr="00015E49">
              <w:rPr>
                <w:rFonts w:ascii="Arial" w:eastAsia="Courier New" w:hAnsi="Arial" w:cs="Arial"/>
                <w:color w:val="000000"/>
                <w:kern w:val="0"/>
                <w:sz w:val="22"/>
                <w:szCs w:val="22"/>
              </w:rPr>
              <w:t>)</w:t>
            </w:r>
          </w:p>
        </w:tc>
        <w:tc>
          <w:tcPr>
            <w:tcW w:w="675" w:type="pct"/>
            <w:tcBorders>
              <w:top w:val="nil"/>
              <w:left w:val="nil"/>
              <w:bottom w:val="single" w:sz="4" w:space="0" w:color="auto"/>
              <w:right w:val="single" w:sz="4" w:space="0" w:color="auto"/>
            </w:tcBorders>
            <w:vAlign w:val="center"/>
            <w:hideMark/>
          </w:tcPr>
          <w:p w14:paraId="7BFCFB65"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w:t>
            </w:r>
          </w:p>
        </w:tc>
      </w:tr>
      <w:tr w:rsidR="00D340EB" w:rsidRPr="00015E49" w14:paraId="67871DE4" w14:textId="77777777" w:rsidTr="00775F7D">
        <w:trPr>
          <w:trHeight w:val="772"/>
        </w:trPr>
        <w:tc>
          <w:tcPr>
            <w:tcW w:w="1103" w:type="pct"/>
            <w:vMerge/>
            <w:tcBorders>
              <w:top w:val="nil"/>
              <w:left w:val="single" w:sz="4" w:space="0" w:color="auto"/>
              <w:bottom w:val="single" w:sz="4" w:space="0" w:color="auto"/>
              <w:right w:val="single" w:sz="4" w:space="0" w:color="auto"/>
            </w:tcBorders>
            <w:vAlign w:val="center"/>
            <w:hideMark/>
          </w:tcPr>
          <w:p w14:paraId="052172D7" w14:textId="77777777" w:rsidR="00D340EB" w:rsidRPr="00015E49" w:rsidRDefault="00D340EB" w:rsidP="00775F7D">
            <w:pPr>
              <w:spacing w:after="0" w:line="240" w:lineRule="auto"/>
              <w:rPr>
                <w:rFonts w:ascii="Arial" w:eastAsia="Courier New" w:hAnsi="Arial" w:cs="Arial"/>
                <w:b/>
                <w:bCs/>
                <w:color w:val="000000"/>
                <w:kern w:val="0"/>
                <w:sz w:val="22"/>
                <w:szCs w:val="22"/>
              </w:rPr>
            </w:pPr>
          </w:p>
        </w:tc>
        <w:tc>
          <w:tcPr>
            <w:tcW w:w="450" w:type="pct"/>
            <w:tcBorders>
              <w:top w:val="nil"/>
              <w:left w:val="nil"/>
              <w:bottom w:val="single" w:sz="4" w:space="0" w:color="auto"/>
              <w:right w:val="single" w:sz="4" w:space="0" w:color="auto"/>
            </w:tcBorders>
            <w:vAlign w:val="center"/>
            <w:hideMark/>
          </w:tcPr>
          <w:p w14:paraId="6F3F673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Professional training and experience</w:t>
            </w:r>
          </w:p>
        </w:tc>
        <w:tc>
          <w:tcPr>
            <w:tcW w:w="1535" w:type="pct"/>
            <w:tcBorders>
              <w:top w:val="nil"/>
              <w:left w:val="nil"/>
              <w:bottom w:val="single" w:sz="4" w:space="0" w:color="auto"/>
              <w:right w:val="single" w:sz="4" w:space="0" w:color="auto"/>
            </w:tcBorders>
            <w:vAlign w:val="center"/>
            <w:hideMark/>
          </w:tcPr>
          <w:p w14:paraId="6E668868"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Healthcare professionals with greater clinical experience or formal AMR training demonstrated superior knowledge and prescribing practices.</w:t>
            </w:r>
          </w:p>
        </w:tc>
        <w:tc>
          <w:tcPr>
            <w:tcW w:w="1237" w:type="pct"/>
            <w:tcBorders>
              <w:top w:val="nil"/>
              <w:left w:val="nil"/>
              <w:bottom w:val="single" w:sz="4" w:space="0" w:color="auto"/>
              <w:right w:val="single" w:sz="4" w:space="0" w:color="auto"/>
            </w:tcBorders>
            <w:vAlign w:val="center"/>
            <w:hideMark/>
          </w:tcPr>
          <w:p w14:paraId="6E8BF43E"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Faizullah</w:t>
            </w:r>
            <w:proofErr w:type="spellEnd"/>
            <w:r w:rsidRPr="00015E49">
              <w:rPr>
                <w:rFonts w:ascii="Arial" w:eastAsia="Courier New" w:hAnsi="Arial" w:cs="Arial"/>
                <w:color w:val="000000"/>
                <w:kern w:val="0"/>
                <w:sz w:val="22"/>
                <w:szCs w:val="22"/>
              </w:rPr>
              <w:t xml:space="preserve"> et al. (2017); Ashraf et al. (2022); Khan et al. (2021); </w:t>
            </w: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w:t>
            </w:r>
          </w:p>
        </w:tc>
        <w:tc>
          <w:tcPr>
            <w:tcW w:w="675" w:type="pct"/>
            <w:tcBorders>
              <w:top w:val="nil"/>
              <w:left w:val="nil"/>
              <w:bottom w:val="single" w:sz="4" w:space="0" w:color="auto"/>
              <w:right w:val="single" w:sz="4" w:space="0" w:color="auto"/>
            </w:tcBorders>
            <w:vAlign w:val="center"/>
            <w:hideMark/>
          </w:tcPr>
          <w:p w14:paraId="0A25CF1C"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w:t>
            </w:r>
          </w:p>
        </w:tc>
      </w:tr>
      <w:tr w:rsidR="00D340EB" w:rsidRPr="00015E49" w14:paraId="49F5DB45" w14:textId="77777777" w:rsidTr="00775F7D">
        <w:trPr>
          <w:trHeight w:val="1029"/>
        </w:trPr>
        <w:tc>
          <w:tcPr>
            <w:tcW w:w="1103" w:type="pct"/>
            <w:vMerge w:val="restart"/>
            <w:tcBorders>
              <w:top w:val="nil"/>
              <w:left w:val="single" w:sz="4" w:space="0" w:color="auto"/>
              <w:bottom w:val="single" w:sz="4" w:space="0" w:color="auto"/>
              <w:right w:val="single" w:sz="4" w:space="0" w:color="auto"/>
            </w:tcBorders>
            <w:vAlign w:val="center"/>
            <w:hideMark/>
          </w:tcPr>
          <w:p w14:paraId="4592A0EC"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Recommendations for improving AMR control</w:t>
            </w:r>
          </w:p>
        </w:tc>
        <w:tc>
          <w:tcPr>
            <w:tcW w:w="450" w:type="pct"/>
            <w:tcBorders>
              <w:top w:val="nil"/>
              <w:left w:val="nil"/>
              <w:bottom w:val="single" w:sz="4" w:space="0" w:color="auto"/>
              <w:right w:val="single" w:sz="4" w:space="0" w:color="auto"/>
            </w:tcBorders>
            <w:vAlign w:val="center"/>
            <w:hideMark/>
          </w:tcPr>
          <w:p w14:paraId="2534698F"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Public awareness programs</w:t>
            </w:r>
          </w:p>
        </w:tc>
        <w:tc>
          <w:tcPr>
            <w:tcW w:w="1535" w:type="pct"/>
            <w:tcBorders>
              <w:top w:val="nil"/>
              <w:left w:val="nil"/>
              <w:bottom w:val="single" w:sz="4" w:space="0" w:color="auto"/>
              <w:right w:val="single" w:sz="4" w:space="0" w:color="auto"/>
            </w:tcBorders>
            <w:vAlign w:val="center"/>
            <w:hideMark/>
          </w:tcPr>
          <w:p w14:paraId="66C2550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Most studies recommended nationwide public education campaigns to improve awareness regarding appropriate antibiotic use and antimicrobial resistance.</w:t>
            </w:r>
          </w:p>
        </w:tc>
        <w:tc>
          <w:tcPr>
            <w:tcW w:w="1237" w:type="pct"/>
            <w:tcBorders>
              <w:top w:val="nil"/>
              <w:left w:val="nil"/>
              <w:bottom w:val="single" w:sz="4" w:space="0" w:color="auto"/>
              <w:right w:val="single" w:sz="4" w:space="0" w:color="auto"/>
            </w:tcBorders>
            <w:vAlign w:val="center"/>
            <w:hideMark/>
          </w:tcPr>
          <w:p w14:paraId="48451C0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Khan et al. (2021); </w:t>
            </w:r>
            <w:proofErr w:type="spellStart"/>
            <w:r w:rsidRPr="00015E49">
              <w:rPr>
                <w:rFonts w:ascii="Arial" w:eastAsia="Courier New" w:hAnsi="Arial" w:cs="Arial"/>
                <w:color w:val="000000"/>
                <w:kern w:val="0"/>
                <w:sz w:val="22"/>
                <w:szCs w:val="22"/>
              </w:rPr>
              <w:t>Waseem</w:t>
            </w:r>
            <w:proofErr w:type="spellEnd"/>
            <w:r w:rsidRPr="00015E49">
              <w:rPr>
                <w:rFonts w:ascii="Arial" w:eastAsia="Courier New" w:hAnsi="Arial" w:cs="Arial"/>
                <w:color w:val="000000"/>
                <w:kern w:val="0"/>
                <w:sz w:val="22"/>
                <w:szCs w:val="22"/>
              </w:rPr>
              <w:t xml:space="preserve"> et al. (20</w:t>
            </w:r>
            <w:r>
              <w:rPr>
                <w:rFonts w:ascii="Arial" w:eastAsia="Courier New" w:hAnsi="Arial" w:cs="Arial"/>
                <w:color w:val="000000"/>
                <w:kern w:val="0"/>
                <w:sz w:val="22"/>
                <w:szCs w:val="22"/>
              </w:rPr>
              <w:t>19</w:t>
            </w:r>
            <w:r w:rsidRPr="00015E49">
              <w:rPr>
                <w:rFonts w:ascii="Arial" w:eastAsia="Courier New" w:hAnsi="Arial" w:cs="Arial"/>
                <w:color w:val="000000"/>
                <w:kern w:val="0"/>
                <w:sz w:val="22"/>
                <w:szCs w:val="22"/>
              </w:rPr>
              <w:t xml:space="preserve">); </w:t>
            </w:r>
            <w:proofErr w:type="spellStart"/>
            <w:r w:rsidRPr="00015E49">
              <w:rPr>
                <w:rFonts w:ascii="Arial" w:eastAsia="Courier New" w:hAnsi="Arial" w:cs="Arial"/>
                <w:color w:val="000000"/>
                <w:kern w:val="0"/>
                <w:sz w:val="22"/>
                <w:szCs w:val="22"/>
              </w:rPr>
              <w:t>Saif</w:t>
            </w:r>
            <w:proofErr w:type="spellEnd"/>
            <w:r w:rsidRPr="00015E49">
              <w:rPr>
                <w:rFonts w:ascii="Arial" w:eastAsia="Courier New" w:hAnsi="Arial" w:cs="Arial"/>
                <w:color w:val="000000"/>
                <w:kern w:val="0"/>
                <w:sz w:val="22"/>
                <w:szCs w:val="22"/>
              </w:rPr>
              <w:t xml:space="preserve"> et al. (2024); </w:t>
            </w:r>
            <w:proofErr w:type="spellStart"/>
            <w:r w:rsidRPr="00015E49">
              <w:rPr>
                <w:rFonts w:ascii="Arial" w:eastAsia="Courier New" w:hAnsi="Arial" w:cs="Arial"/>
                <w:color w:val="000000"/>
                <w:kern w:val="0"/>
                <w:sz w:val="22"/>
                <w:szCs w:val="22"/>
              </w:rPr>
              <w:t>Gillani</w:t>
            </w:r>
            <w:proofErr w:type="spellEnd"/>
            <w:r w:rsidRPr="00015E49">
              <w:rPr>
                <w:rFonts w:ascii="Arial" w:eastAsia="Courier New" w:hAnsi="Arial" w:cs="Arial"/>
                <w:color w:val="000000"/>
                <w:kern w:val="0"/>
                <w:sz w:val="22"/>
                <w:szCs w:val="22"/>
              </w:rPr>
              <w:t xml:space="preserve"> et al. (2021); Khan et al. (2020)</w:t>
            </w:r>
          </w:p>
        </w:tc>
        <w:tc>
          <w:tcPr>
            <w:tcW w:w="675" w:type="pct"/>
            <w:tcBorders>
              <w:top w:val="nil"/>
              <w:left w:val="nil"/>
              <w:bottom w:val="single" w:sz="4" w:space="0" w:color="auto"/>
              <w:right w:val="single" w:sz="4" w:space="0" w:color="auto"/>
            </w:tcBorders>
            <w:vAlign w:val="center"/>
            <w:hideMark/>
          </w:tcPr>
          <w:p w14:paraId="1E51FA23"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5</w:t>
            </w:r>
          </w:p>
        </w:tc>
      </w:tr>
      <w:tr w:rsidR="00D340EB" w:rsidRPr="00015E49" w14:paraId="25F380CF" w14:textId="77777777" w:rsidTr="00775F7D">
        <w:trPr>
          <w:trHeight w:val="1029"/>
        </w:trPr>
        <w:tc>
          <w:tcPr>
            <w:tcW w:w="1103" w:type="pct"/>
            <w:vMerge/>
            <w:tcBorders>
              <w:top w:val="nil"/>
              <w:left w:val="single" w:sz="4" w:space="0" w:color="auto"/>
              <w:bottom w:val="single" w:sz="4" w:space="0" w:color="auto"/>
              <w:right w:val="single" w:sz="4" w:space="0" w:color="auto"/>
            </w:tcBorders>
            <w:vAlign w:val="center"/>
            <w:hideMark/>
          </w:tcPr>
          <w:p w14:paraId="77E9B5A3" w14:textId="77777777" w:rsidR="00D340EB" w:rsidRPr="00015E49" w:rsidRDefault="00D340EB" w:rsidP="00775F7D">
            <w:pPr>
              <w:spacing w:after="0" w:line="240" w:lineRule="auto"/>
              <w:rPr>
                <w:rFonts w:ascii="Arial" w:eastAsia="Courier New" w:hAnsi="Arial" w:cs="Arial"/>
                <w:b/>
                <w:bCs/>
                <w:color w:val="000000"/>
                <w:kern w:val="0"/>
                <w:sz w:val="22"/>
                <w:szCs w:val="22"/>
              </w:rPr>
            </w:pPr>
          </w:p>
        </w:tc>
        <w:tc>
          <w:tcPr>
            <w:tcW w:w="450" w:type="pct"/>
            <w:tcBorders>
              <w:top w:val="nil"/>
              <w:left w:val="nil"/>
              <w:bottom w:val="single" w:sz="4" w:space="0" w:color="auto"/>
              <w:right w:val="single" w:sz="4" w:space="0" w:color="auto"/>
            </w:tcBorders>
            <w:vAlign w:val="center"/>
            <w:hideMark/>
          </w:tcPr>
          <w:p w14:paraId="5BEA2AA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Continuing professional education</w:t>
            </w:r>
          </w:p>
        </w:tc>
        <w:tc>
          <w:tcPr>
            <w:tcW w:w="1535" w:type="pct"/>
            <w:tcBorders>
              <w:top w:val="nil"/>
              <w:left w:val="nil"/>
              <w:bottom w:val="single" w:sz="4" w:space="0" w:color="auto"/>
              <w:right w:val="single" w:sz="4" w:space="0" w:color="auto"/>
            </w:tcBorders>
            <w:vAlign w:val="center"/>
            <w:hideMark/>
          </w:tcPr>
          <w:p w14:paraId="4173D71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Several studies recommended regular AMR training, updated prescribing guidelines, and continuing education for physicians and pharmacists.</w:t>
            </w:r>
          </w:p>
        </w:tc>
        <w:tc>
          <w:tcPr>
            <w:tcW w:w="1237" w:type="pct"/>
            <w:tcBorders>
              <w:top w:val="nil"/>
              <w:left w:val="nil"/>
              <w:bottom w:val="single" w:sz="4" w:space="0" w:color="auto"/>
              <w:right w:val="single" w:sz="4" w:space="0" w:color="auto"/>
            </w:tcBorders>
            <w:vAlign w:val="center"/>
            <w:hideMark/>
          </w:tcPr>
          <w:p w14:paraId="140F2F3A" w14:textId="77777777" w:rsidR="00D340EB" w:rsidRPr="00015E49" w:rsidRDefault="00D340EB" w:rsidP="00775F7D">
            <w:pPr>
              <w:spacing w:after="0" w:line="240" w:lineRule="auto"/>
              <w:rPr>
                <w:rFonts w:ascii="Arial" w:eastAsia="Courier New" w:hAnsi="Arial" w:cs="Arial"/>
                <w:color w:val="000000"/>
                <w:kern w:val="0"/>
                <w:sz w:val="22"/>
                <w:szCs w:val="22"/>
              </w:rPr>
            </w:pPr>
            <w:proofErr w:type="spellStart"/>
            <w:r w:rsidRPr="00015E49">
              <w:rPr>
                <w:rFonts w:ascii="Arial" w:eastAsia="Courier New" w:hAnsi="Arial" w:cs="Arial"/>
                <w:color w:val="000000"/>
                <w:kern w:val="0"/>
                <w:sz w:val="22"/>
                <w:szCs w:val="22"/>
              </w:rPr>
              <w:t>Faizullah</w:t>
            </w:r>
            <w:proofErr w:type="spellEnd"/>
            <w:r w:rsidRPr="00015E49">
              <w:rPr>
                <w:rFonts w:ascii="Arial" w:eastAsia="Courier New" w:hAnsi="Arial" w:cs="Arial"/>
                <w:color w:val="000000"/>
                <w:kern w:val="0"/>
                <w:sz w:val="22"/>
                <w:szCs w:val="22"/>
              </w:rPr>
              <w:t xml:space="preserve"> et al. (2017); Ashraf et al. (2022); Khan et al. (2021); </w:t>
            </w:r>
            <w:proofErr w:type="spellStart"/>
            <w:r w:rsidRPr="00015E49">
              <w:rPr>
                <w:rFonts w:ascii="Arial" w:eastAsia="Courier New" w:hAnsi="Arial" w:cs="Arial"/>
                <w:color w:val="000000"/>
                <w:kern w:val="0"/>
                <w:sz w:val="22"/>
                <w:szCs w:val="22"/>
              </w:rPr>
              <w:t>Nabeel</w:t>
            </w:r>
            <w:proofErr w:type="spellEnd"/>
            <w:r w:rsidRPr="00015E49">
              <w:rPr>
                <w:rFonts w:ascii="Arial" w:eastAsia="Courier New" w:hAnsi="Arial" w:cs="Arial"/>
                <w:color w:val="000000"/>
                <w:kern w:val="0"/>
                <w:sz w:val="22"/>
                <w:szCs w:val="22"/>
              </w:rPr>
              <w:t xml:space="preserve"> et al. (2024)</w:t>
            </w:r>
          </w:p>
        </w:tc>
        <w:tc>
          <w:tcPr>
            <w:tcW w:w="675" w:type="pct"/>
            <w:tcBorders>
              <w:top w:val="nil"/>
              <w:left w:val="nil"/>
              <w:bottom w:val="single" w:sz="4" w:space="0" w:color="auto"/>
              <w:right w:val="single" w:sz="4" w:space="0" w:color="auto"/>
            </w:tcBorders>
            <w:vAlign w:val="center"/>
            <w:hideMark/>
          </w:tcPr>
          <w:p w14:paraId="25937B7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4</w:t>
            </w:r>
          </w:p>
        </w:tc>
      </w:tr>
    </w:tbl>
    <w:p w14:paraId="09A1481D" w14:textId="77777777" w:rsidR="00D340EB" w:rsidRPr="00015E49" w:rsidRDefault="00D340EB" w:rsidP="00D340EB">
      <w:pPr>
        <w:spacing w:line="360" w:lineRule="auto"/>
        <w:jc w:val="both"/>
        <w:rPr>
          <w:rFonts w:ascii="Arial" w:hAnsi="Arial" w:cs="Arial"/>
          <w:sz w:val="22"/>
          <w:szCs w:val="22"/>
        </w:rPr>
      </w:pPr>
    </w:p>
    <w:p w14:paraId="0B583BE2"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According to a close reading of the literature, it can be said that there are numerous misconceptions about antibiotics in the public sector. For example, the available data from Punjab illustrates that nearly half of the respondents are under the impression that antibiotics can be used to treat viral diseases such as the common cold and flu. These misconceptions can be found in academic cohort; university students also show significant gaps in their knowledge about antimicrobials. Furthermore, it should be mentioned that patients stock the medications up at home and do not understand the possible dangers of the incomplete treatment course.</w:t>
      </w:r>
    </w:p>
    <w:p w14:paraId="52FDFB2E"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lastRenderedPageBreak/>
        <w:t>On the other hand, professional groups like physicians and certified pharmacists proclaim that they have broader knowledge about antimicrobial resistance. However, even among professionals there are still gaps in specific fields of knowledge such as the areas of diagnosis, environmental transmission and precision medicine. In this connection, it can be concluded that while public campaigns successfully promote awareness, they fail to develop detailed knowledge.</w:t>
      </w:r>
    </w:p>
    <w:p w14:paraId="749A08BF" w14:textId="653034AB" w:rsidR="00D340EB" w:rsidRPr="00CE70B9" w:rsidRDefault="00CE70B9" w:rsidP="00CE70B9">
      <w:pPr>
        <w:pStyle w:val="Heading2"/>
        <w:rPr>
          <w:rFonts w:asciiTheme="minorBidi" w:hAnsiTheme="minorBidi" w:cstheme="minorBidi"/>
          <w:b/>
          <w:bCs/>
          <w:i/>
          <w:iCs/>
          <w:color w:val="000000" w:themeColor="text1"/>
          <w:sz w:val="22"/>
          <w:szCs w:val="22"/>
        </w:rPr>
      </w:pPr>
      <w:bookmarkStart w:id="77" w:name="_Toc238647424"/>
      <w:r>
        <w:rPr>
          <w:rFonts w:asciiTheme="minorBidi" w:hAnsiTheme="minorBidi" w:cstheme="minorBidi"/>
          <w:b/>
          <w:bCs/>
          <w:i/>
          <w:iCs/>
          <w:color w:val="000000" w:themeColor="text1"/>
          <w:sz w:val="22"/>
          <w:szCs w:val="22"/>
        </w:rPr>
        <w:t xml:space="preserve">5.5.2 </w:t>
      </w:r>
      <w:r w:rsidR="00D340EB" w:rsidRPr="00CE70B9">
        <w:rPr>
          <w:rFonts w:asciiTheme="minorBidi" w:hAnsiTheme="minorBidi" w:cstheme="minorBidi"/>
          <w:b/>
          <w:bCs/>
          <w:i/>
          <w:iCs/>
          <w:color w:val="000000" w:themeColor="text1"/>
          <w:sz w:val="22"/>
          <w:szCs w:val="22"/>
        </w:rPr>
        <w:t xml:space="preserve">Theme 2: Attitudes </w:t>
      </w:r>
      <w:proofErr w:type="gramStart"/>
      <w:r w:rsidR="00D340EB" w:rsidRPr="00CE70B9">
        <w:rPr>
          <w:rFonts w:asciiTheme="minorBidi" w:hAnsiTheme="minorBidi" w:cstheme="minorBidi"/>
          <w:b/>
          <w:bCs/>
          <w:i/>
          <w:iCs/>
          <w:color w:val="000000" w:themeColor="text1"/>
          <w:sz w:val="22"/>
          <w:szCs w:val="22"/>
        </w:rPr>
        <w:t>Toward</w:t>
      </w:r>
      <w:proofErr w:type="gramEnd"/>
      <w:r w:rsidR="00D340EB" w:rsidRPr="00CE70B9">
        <w:rPr>
          <w:rFonts w:asciiTheme="minorBidi" w:hAnsiTheme="minorBidi" w:cstheme="minorBidi"/>
          <w:b/>
          <w:bCs/>
          <w:i/>
          <w:iCs/>
          <w:color w:val="000000" w:themeColor="text1"/>
          <w:sz w:val="22"/>
          <w:szCs w:val="22"/>
        </w:rPr>
        <w:t xml:space="preserve"> Antibiotic Use and Stewardship</w:t>
      </w:r>
      <w:bookmarkEnd w:id="77"/>
    </w:p>
    <w:p w14:paraId="544E7CF3"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 xml:space="preserve">Attitudinal orientations towards antimicrobial stewardship determine the ways individuals perceive both their individual and professional responsibility for fighting against drug resistance. The literature reviewed shows that healthcare professionals generally have a good attitude and recognize AMR as a significant national and international problem. The physicians and medical students covered in the surveys support antimicrobial stewardship programs, educational efforts, and the enforcement of stricter regulations. </w:t>
      </w:r>
    </w:p>
    <w:p w14:paraId="621C4FF7"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 xml:space="preserve">Despite this positive professional attitude, it can be observed that there is a difference in attitudes between the </w:t>
      </w:r>
      <w:proofErr w:type="gramStart"/>
      <w:r w:rsidRPr="00CE70B9">
        <w:rPr>
          <w:rFonts w:asciiTheme="minorBidi" w:hAnsiTheme="minorBidi" w:cstheme="minorBidi"/>
          <w:color w:val="000000" w:themeColor="text1"/>
          <w:sz w:val="22"/>
          <w:szCs w:val="22"/>
        </w:rPr>
        <w:t>idea</w:t>
      </w:r>
      <w:proofErr w:type="gramEnd"/>
      <w:r w:rsidRPr="00CE70B9">
        <w:rPr>
          <w:rFonts w:asciiTheme="minorBidi" w:hAnsiTheme="minorBidi" w:cstheme="minorBidi"/>
          <w:color w:val="000000" w:themeColor="text1"/>
          <w:sz w:val="22"/>
          <w:szCs w:val="22"/>
        </w:rPr>
        <w:t xml:space="preserve"> of sanitation and how the customers feel about it, as well as about how the retail sellers feel under pressure from customers. Residents of the communities in different areas tend to not care about the problem of self-medication and think of over-the-counter medicines as an inexpensive and convenient way of treatment. With this attitude, the problem of collective drug resistance seems obvious to them. In addition to this, the pharmacists and other professionals report being helpless in their job. While the physicians believe that they should prescribe medicines correctly, they still obey the economic necessity to satisfy their patients. </w:t>
      </w:r>
    </w:p>
    <w:p w14:paraId="7334A0D3" w14:textId="3BF4FC91" w:rsidR="00D340EB" w:rsidRPr="00CE70B9" w:rsidRDefault="00CE70B9" w:rsidP="00CE70B9">
      <w:pPr>
        <w:pStyle w:val="Heading2"/>
        <w:rPr>
          <w:rFonts w:asciiTheme="minorBidi" w:hAnsiTheme="minorBidi" w:cstheme="minorBidi"/>
          <w:b/>
          <w:bCs/>
          <w:i/>
          <w:iCs/>
          <w:color w:val="000000" w:themeColor="text1"/>
          <w:sz w:val="22"/>
          <w:szCs w:val="22"/>
        </w:rPr>
      </w:pPr>
      <w:bookmarkStart w:id="78" w:name="_Toc238647425"/>
      <w:r>
        <w:rPr>
          <w:rFonts w:asciiTheme="minorBidi" w:hAnsiTheme="minorBidi" w:cstheme="minorBidi"/>
          <w:b/>
          <w:bCs/>
          <w:i/>
          <w:iCs/>
          <w:color w:val="000000" w:themeColor="text1"/>
          <w:sz w:val="22"/>
          <w:szCs w:val="22"/>
        </w:rPr>
        <w:t xml:space="preserve">5.5.3 </w:t>
      </w:r>
      <w:r w:rsidR="00D340EB" w:rsidRPr="00CE70B9">
        <w:rPr>
          <w:rFonts w:asciiTheme="minorBidi" w:hAnsiTheme="minorBidi" w:cstheme="minorBidi"/>
          <w:b/>
          <w:bCs/>
          <w:i/>
          <w:iCs/>
          <w:color w:val="000000" w:themeColor="text1"/>
          <w:sz w:val="22"/>
          <w:szCs w:val="22"/>
        </w:rPr>
        <w:t>Theme 3: Practices Related to Antibiotic Use and Dispensing</w:t>
      </w:r>
      <w:bookmarkEnd w:id="78"/>
    </w:p>
    <w:p w14:paraId="450AC6A6"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 xml:space="preserve">The conversion of knowledge and attitudes into actions shows a significant "theory-practice gap" throughout the complete spectrum of the healthcare system in Pakistan. Research findings imply that the misuse of antibiotics and their unregulated acquisition and poor compliance with treatment are very common. Even though clinical guidelines state that antimicrobials shall be given only after a thorough diagnosis is completed, the ground reality does not hold to these guidelines. </w:t>
      </w:r>
    </w:p>
    <w:p w14:paraId="49739BDB"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 xml:space="preserve">Surveying medical communities indicates that a remarkable part of the population engages in the practice of self-treatment, which means they do not turn to health professionals and just go to purchase antibiotics from shops. Besides, community pharmacists report that antibiotics are often dispensed without a prescription, due to the pressure from customers and profit orientation. The enforcement of regulations happens ineffectively and in addition it must be mentioned that most community pharmacies operate without specialists being present. When it comes to the prescriptions provided by medical practitioners, empirical prescribing is extensively practiced. It is important to note </w:t>
      </w:r>
      <w:r w:rsidRPr="00CE70B9">
        <w:rPr>
          <w:rFonts w:asciiTheme="minorBidi" w:hAnsiTheme="minorBidi" w:cstheme="minorBidi"/>
          <w:color w:val="000000" w:themeColor="text1"/>
          <w:sz w:val="22"/>
          <w:szCs w:val="22"/>
        </w:rPr>
        <w:lastRenderedPageBreak/>
        <w:t>that even well-trained doctors use the way of empirical prescribing due to the limitations of the prescribing approach as opposed to the proven and tested methods.</w:t>
      </w:r>
    </w:p>
    <w:p w14:paraId="732EFA52" w14:textId="50814D21" w:rsidR="00D340EB" w:rsidRPr="00CE70B9" w:rsidRDefault="00CE70B9" w:rsidP="00CE70B9">
      <w:pPr>
        <w:pStyle w:val="Heading2"/>
        <w:rPr>
          <w:rFonts w:asciiTheme="minorBidi" w:hAnsiTheme="minorBidi" w:cstheme="minorBidi"/>
          <w:b/>
          <w:bCs/>
          <w:i/>
          <w:iCs/>
          <w:color w:val="000000" w:themeColor="text1"/>
          <w:sz w:val="22"/>
          <w:szCs w:val="22"/>
        </w:rPr>
      </w:pPr>
      <w:bookmarkStart w:id="79" w:name="_Toc238647426"/>
      <w:r>
        <w:rPr>
          <w:rFonts w:asciiTheme="minorBidi" w:hAnsiTheme="minorBidi" w:cstheme="minorBidi"/>
          <w:b/>
          <w:bCs/>
          <w:i/>
          <w:iCs/>
          <w:color w:val="000000" w:themeColor="text1"/>
          <w:sz w:val="22"/>
          <w:szCs w:val="22"/>
        </w:rPr>
        <w:t xml:space="preserve">5.5.4 </w:t>
      </w:r>
      <w:r w:rsidR="00D340EB" w:rsidRPr="00CE70B9">
        <w:rPr>
          <w:rFonts w:asciiTheme="minorBidi" w:hAnsiTheme="minorBidi" w:cstheme="minorBidi"/>
          <w:b/>
          <w:bCs/>
          <w:i/>
          <w:iCs/>
          <w:color w:val="000000" w:themeColor="text1"/>
          <w:sz w:val="22"/>
          <w:szCs w:val="22"/>
        </w:rPr>
        <w:t xml:space="preserve">Theme 4: Upstream Structural and </w:t>
      </w:r>
      <w:proofErr w:type="spellStart"/>
      <w:r w:rsidR="00D340EB" w:rsidRPr="00CE70B9">
        <w:rPr>
          <w:rFonts w:asciiTheme="minorBidi" w:hAnsiTheme="minorBidi" w:cstheme="minorBidi"/>
          <w:b/>
          <w:bCs/>
          <w:i/>
          <w:iCs/>
          <w:color w:val="000000" w:themeColor="text1"/>
          <w:sz w:val="22"/>
          <w:szCs w:val="22"/>
        </w:rPr>
        <w:t>Sociodemographic</w:t>
      </w:r>
      <w:proofErr w:type="spellEnd"/>
      <w:r w:rsidR="00D340EB" w:rsidRPr="00CE70B9">
        <w:rPr>
          <w:rFonts w:asciiTheme="minorBidi" w:hAnsiTheme="minorBidi" w:cstheme="minorBidi"/>
          <w:b/>
          <w:bCs/>
          <w:i/>
          <w:iCs/>
          <w:color w:val="000000" w:themeColor="text1"/>
          <w:sz w:val="22"/>
          <w:szCs w:val="22"/>
        </w:rPr>
        <w:t xml:space="preserve"> Determinants</w:t>
      </w:r>
      <w:bookmarkEnd w:id="79"/>
    </w:p>
    <w:p w14:paraId="6C460CDA"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 xml:space="preserve">People’s knowledge, attitudes and behaviors are shaped by social, structural and demographic determinants. Education plays an important role in affecting the way people engage in AMR practices. More education leads to better knowledge scores, more responsible attitudes and lower rates of self-medication among individuals. </w:t>
      </w:r>
    </w:p>
    <w:p w14:paraId="56680B25"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Another factor that strengthens individual’s ability to be responsible in AMR practices is their work experience and the training they receive in the field. Highly trained medical professionals have a better capacity for diagnosis than under-trained medical professionals. Even though many individuals have certain advantages their ability to use them is often hindered by their SE background.  For example, in low-resource settings, poverty, lack of universal healthcare coverage and a weak system of diagnostics create hurdles for patients and result in unsafe behaviors. When people cannot afford expensive tests and treatments, buying sub-therapeutic doses of antibiotics becomes the only option. Hence the way people use AMR is a result of the larger socio-economic and socio-institutional inequities.</w:t>
      </w:r>
    </w:p>
    <w:p w14:paraId="70805F55" w14:textId="22588D55" w:rsidR="00D340EB" w:rsidRPr="00CE70B9" w:rsidRDefault="00CE70B9" w:rsidP="00CE70B9">
      <w:pPr>
        <w:pStyle w:val="Heading2"/>
        <w:rPr>
          <w:rFonts w:asciiTheme="minorBidi" w:hAnsiTheme="minorBidi" w:cstheme="minorBidi"/>
          <w:b/>
          <w:bCs/>
          <w:color w:val="000000" w:themeColor="text1"/>
          <w:sz w:val="22"/>
          <w:szCs w:val="22"/>
        </w:rPr>
      </w:pPr>
      <w:bookmarkStart w:id="80" w:name="_Toc238647427"/>
      <w:r>
        <w:rPr>
          <w:rFonts w:asciiTheme="minorBidi" w:hAnsiTheme="minorBidi" w:cstheme="minorBidi"/>
          <w:b/>
          <w:bCs/>
          <w:color w:val="000000" w:themeColor="text1"/>
          <w:sz w:val="22"/>
          <w:szCs w:val="22"/>
        </w:rPr>
        <w:t xml:space="preserve">5.6 </w:t>
      </w:r>
      <w:r w:rsidR="00D340EB" w:rsidRPr="00CE70B9">
        <w:rPr>
          <w:rFonts w:asciiTheme="minorBidi" w:hAnsiTheme="minorBidi" w:cstheme="minorBidi"/>
          <w:b/>
          <w:bCs/>
          <w:color w:val="000000" w:themeColor="text1"/>
          <w:sz w:val="22"/>
          <w:szCs w:val="22"/>
        </w:rPr>
        <w:t>Chapter Summary</w:t>
      </w:r>
      <w:bookmarkEnd w:id="80"/>
    </w:p>
    <w:p w14:paraId="07D6385E" w14:textId="77777777" w:rsidR="00D340EB" w:rsidRPr="00CE70B9" w:rsidRDefault="00D340EB" w:rsidP="00D340EB">
      <w:pPr>
        <w:spacing w:line="360" w:lineRule="auto"/>
        <w:jc w:val="both"/>
        <w:rPr>
          <w:rFonts w:asciiTheme="minorBidi" w:hAnsiTheme="minorBidi" w:cstheme="minorBidi"/>
          <w:color w:val="000000" w:themeColor="text1"/>
          <w:sz w:val="22"/>
          <w:szCs w:val="22"/>
        </w:rPr>
      </w:pPr>
      <w:r w:rsidRPr="00CE70B9">
        <w:rPr>
          <w:rFonts w:asciiTheme="minorBidi" w:hAnsiTheme="minorBidi" w:cstheme="minorBidi"/>
          <w:color w:val="000000" w:themeColor="text1"/>
          <w:sz w:val="22"/>
          <w:szCs w:val="22"/>
        </w:rPr>
        <w:t>This chapter 5 combined the results from the ten studies by applying both quantitative descriptive statistics and a qualitative method of analysis. Four main themes were identified reflecting the existent “attitude-practice gap,” which is suggested by the non-prescription dispensing, empirical prescribing, patients’ demand, and structural socioeconomic issues. Chapter 6 offers critical discussion regarding the implications of the synthesized findings in terms of the larger context of international literature and theories.</w:t>
      </w:r>
    </w:p>
    <w:p w14:paraId="403D249F" w14:textId="77777777" w:rsidR="00D340EB" w:rsidRPr="00015E49" w:rsidRDefault="00D340EB" w:rsidP="00D340EB">
      <w:pPr>
        <w:spacing w:line="360" w:lineRule="auto"/>
        <w:jc w:val="both"/>
        <w:rPr>
          <w:rFonts w:ascii="Arial" w:hAnsi="Arial" w:cs="Arial"/>
          <w:sz w:val="22"/>
          <w:szCs w:val="22"/>
        </w:rPr>
      </w:pPr>
    </w:p>
    <w:p w14:paraId="04B2C3A1" w14:textId="77777777" w:rsidR="00D340EB" w:rsidRPr="00015E49" w:rsidRDefault="00D340EB" w:rsidP="00D340EB">
      <w:pPr>
        <w:spacing w:line="360" w:lineRule="auto"/>
        <w:jc w:val="both"/>
        <w:rPr>
          <w:rFonts w:ascii="Arial" w:hAnsi="Arial" w:cs="Arial"/>
          <w:sz w:val="22"/>
          <w:szCs w:val="22"/>
        </w:rPr>
      </w:pPr>
    </w:p>
    <w:p w14:paraId="59079F20" w14:textId="77777777" w:rsidR="00D340EB" w:rsidRPr="00015E49" w:rsidRDefault="00D340EB" w:rsidP="00D340EB">
      <w:pPr>
        <w:spacing w:line="360" w:lineRule="auto"/>
        <w:jc w:val="both"/>
        <w:rPr>
          <w:rFonts w:ascii="Arial" w:hAnsi="Arial" w:cs="Arial"/>
          <w:sz w:val="22"/>
          <w:szCs w:val="22"/>
        </w:rPr>
      </w:pPr>
    </w:p>
    <w:p w14:paraId="14706BD7" w14:textId="77777777" w:rsidR="00D340EB" w:rsidRPr="00015E49" w:rsidRDefault="00D340EB" w:rsidP="00D340EB">
      <w:pPr>
        <w:spacing w:line="360" w:lineRule="auto"/>
        <w:jc w:val="both"/>
        <w:rPr>
          <w:rFonts w:ascii="Arial" w:hAnsi="Arial" w:cs="Arial"/>
          <w:sz w:val="22"/>
          <w:szCs w:val="22"/>
        </w:rPr>
      </w:pPr>
    </w:p>
    <w:p w14:paraId="37E5C915" w14:textId="77777777" w:rsidR="00D340EB" w:rsidRPr="00015E49" w:rsidRDefault="00D340EB" w:rsidP="00D340EB">
      <w:pPr>
        <w:spacing w:line="360" w:lineRule="auto"/>
        <w:jc w:val="both"/>
        <w:rPr>
          <w:rFonts w:ascii="Arial" w:hAnsi="Arial" w:cs="Arial"/>
          <w:sz w:val="22"/>
          <w:szCs w:val="22"/>
        </w:rPr>
      </w:pPr>
    </w:p>
    <w:p w14:paraId="05600A64" w14:textId="77777777" w:rsidR="00D340EB" w:rsidRPr="00015E49" w:rsidRDefault="00D340EB" w:rsidP="00D340EB">
      <w:pPr>
        <w:spacing w:line="360" w:lineRule="auto"/>
        <w:jc w:val="both"/>
        <w:rPr>
          <w:rFonts w:ascii="Arial" w:hAnsi="Arial" w:cs="Arial"/>
          <w:sz w:val="22"/>
          <w:szCs w:val="22"/>
        </w:rPr>
      </w:pPr>
    </w:p>
    <w:p w14:paraId="507B570C" w14:textId="77777777" w:rsidR="00D340EB" w:rsidRPr="00015E49" w:rsidRDefault="00D340EB" w:rsidP="00D340EB">
      <w:pPr>
        <w:spacing w:line="360" w:lineRule="auto"/>
        <w:jc w:val="both"/>
        <w:rPr>
          <w:rFonts w:ascii="Arial" w:hAnsi="Arial" w:cs="Arial"/>
          <w:sz w:val="22"/>
          <w:szCs w:val="22"/>
        </w:rPr>
      </w:pPr>
    </w:p>
    <w:p w14:paraId="24A3DCD4" w14:textId="77777777" w:rsidR="00D340EB" w:rsidRDefault="00D340EB" w:rsidP="00D340EB">
      <w:pPr>
        <w:spacing w:line="360" w:lineRule="auto"/>
        <w:jc w:val="both"/>
        <w:rPr>
          <w:rFonts w:ascii="Arial" w:hAnsi="Arial" w:cs="Arial"/>
          <w:sz w:val="22"/>
          <w:szCs w:val="22"/>
        </w:rPr>
      </w:pPr>
    </w:p>
    <w:p w14:paraId="3A32CDB2" w14:textId="77777777" w:rsidR="00CE70B9" w:rsidRPr="00015E49" w:rsidRDefault="00CE70B9" w:rsidP="00D340EB">
      <w:pPr>
        <w:spacing w:line="360" w:lineRule="auto"/>
        <w:jc w:val="both"/>
        <w:rPr>
          <w:rFonts w:ascii="Arial" w:hAnsi="Arial" w:cs="Arial"/>
          <w:sz w:val="22"/>
          <w:szCs w:val="22"/>
        </w:rPr>
      </w:pPr>
    </w:p>
    <w:p w14:paraId="3D5B7F9E" w14:textId="77777777" w:rsidR="00D340EB" w:rsidRPr="00CE70B9" w:rsidRDefault="00D340EB" w:rsidP="00CE70B9">
      <w:pPr>
        <w:pStyle w:val="Heading1"/>
        <w:jc w:val="center"/>
        <w:rPr>
          <w:rFonts w:asciiTheme="minorBidi" w:hAnsiTheme="minorBidi" w:cstheme="minorBidi"/>
          <w:b/>
          <w:bCs/>
          <w:color w:val="000000" w:themeColor="text1"/>
          <w:sz w:val="22"/>
          <w:szCs w:val="22"/>
        </w:rPr>
      </w:pPr>
      <w:bookmarkStart w:id="81" w:name="_Toc238647428"/>
      <w:r w:rsidRPr="00CE70B9">
        <w:rPr>
          <w:rFonts w:asciiTheme="minorBidi" w:hAnsiTheme="minorBidi" w:cstheme="minorBidi"/>
          <w:b/>
          <w:bCs/>
          <w:color w:val="000000" w:themeColor="text1"/>
          <w:sz w:val="22"/>
          <w:szCs w:val="22"/>
        </w:rPr>
        <w:t>CHAPTER 6: DISCUSSION</w:t>
      </w:r>
      <w:bookmarkEnd w:id="81"/>
    </w:p>
    <w:p w14:paraId="7A3B98A0"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82" w:name="_Toc238647429"/>
      <w:r w:rsidRPr="00CE70B9">
        <w:rPr>
          <w:rFonts w:asciiTheme="minorBidi" w:hAnsiTheme="minorBidi" w:cstheme="minorBidi"/>
          <w:b/>
          <w:bCs/>
          <w:i/>
          <w:iCs/>
          <w:color w:val="000000" w:themeColor="text1"/>
          <w:sz w:val="22"/>
          <w:szCs w:val="22"/>
        </w:rPr>
        <w:t>6.1 Introduction to Chapter</w:t>
      </w:r>
      <w:bookmarkEnd w:id="82"/>
    </w:p>
    <w:p w14:paraId="5B5B3639" w14:textId="77777777" w:rsidR="00D340EB" w:rsidRDefault="00D340EB" w:rsidP="00D340EB">
      <w:pPr>
        <w:spacing w:line="360" w:lineRule="auto"/>
        <w:jc w:val="both"/>
        <w:rPr>
          <w:rFonts w:ascii="Arial" w:hAnsi="Arial" w:cs="Arial"/>
          <w:sz w:val="22"/>
          <w:szCs w:val="22"/>
        </w:rPr>
      </w:pPr>
      <w:r w:rsidRPr="000A456F">
        <w:rPr>
          <w:rFonts w:ascii="Arial" w:hAnsi="Arial" w:cs="Arial"/>
          <w:sz w:val="22"/>
          <w:szCs w:val="22"/>
        </w:rPr>
        <w:t>The chapter provides an extensive overview and assessment of the outcomes from reviewing the literature conc</w:t>
      </w:r>
      <w:r>
        <w:rPr>
          <w:rFonts w:ascii="Arial" w:hAnsi="Arial" w:cs="Arial"/>
          <w:sz w:val="22"/>
          <w:szCs w:val="22"/>
        </w:rPr>
        <w:t>erning the knowledge, attitudes</w:t>
      </w:r>
      <w:r w:rsidRPr="000A456F">
        <w:rPr>
          <w:rFonts w:ascii="Arial" w:hAnsi="Arial" w:cs="Arial"/>
          <w:sz w:val="22"/>
          <w:szCs w:val="22"/>
        </w:rPr>
        <w:t xml:space="preserve"> and practices regarding the antimicrobial resistance issue in Pakistan. Based on the theory of the Social Determinants of Health it sticks together the micro-level actions with the more fami</w:t>
      </w:r>
      <w:r>
        <w:rPr>
          <w:rFonts w:ascii="Arial" w:hAnsi="Arial" w:cs="Arial"/>
          <w:sz w:val="22"/>
          <w:szCs w:val="22"/>
        </w:rPr>
        <w:t>lial structural, socio-economic</w:t>
      </w:r>
      <w:r w:rsidRPr="000A456F">
        <w:rPr>
          <w:rFonts w:ascii="Arial" w:hAnsi="Arial" w:cs="Arial"/>
          <w:sz w:val="22"/>
          <w:szCs w:val="22"/>
        </w:rPr>
        <w:t xml:space="preserve"> and institutional developments. In the course of juxtaposing the quantitative approach and qualitative one the chapter shows the way how the process of irrational misuse of antibiotics continues taking place thanks to the existence of systematic defects including the uncontrolled access to drugs sold without a prescription, the use of antibioti</w:t>
      </w:r>
      <w:r>
        <w:rPr>
          <w:rFonts w:ascii="Arial" w:hAnsi="Arial" w:cs="Arial"/>
          <w:sz w:val="22"/>
          <w:szCs w:val="22"/>
        </w:rPr>
        <w:t>cs without any required testing</w:t>
      </w:r>
      <w:r w:rsidRPr="000A456F">
        <w:rPr>
          <w:rFonts w:ascii="Arial" w:hAnsi="Arial" w:cs="Arial"/>
          <w:sz w:val="22"/>
          <w:szCs w:val="22"/>
        </w:rPr>
        <w:t xml:space="preserve"> and low health literacy in the region.</w:t>
      </w:r>
    </w:p>
    <w:p w14:paraId="553C0B89"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83" w:name="_Toc238647430"/>
      <w:r w:rsidRPr="00CE70B9">
        <w:rPr>
          <w:rFonts w:asciiTheme="minorBidi" w:hAnsiTheme="minorBidi" w:cstheme="minorBidi"/>
          <w:b/>
          <w:bCs/>
          <w:i/>
          <w:iCs/>
          <w:color w:val="000000" w:themeColor="text1"/>
          <w:sz w:val="22"/>
          <w:szCs w:val="22"/>
        </w:rPr>
        <w:t>6.2 Discussion of Key Findings</w:t>
      </w:r>
      <w:bookmarkEnd w:id="83"/>
    </w:p>
    <w:p w14:paraId="7B937702"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84" w:name="_Toc238647431"/>
      <w:r w:rsidRPr="00CE70B9">
        <w:rPr>
          <w:rFonts w:asciiTheme="minorBidi" w:hAnsiTheme="minorBidi" w:cstheme="minorBidi"/>
          <w:b/>
          <w:bCs/>
          <w:i/>
          <w:iCs/>
          <w:color w:val="000000" w:themeColor="text1"/>
          <w:sz w:val="22"/>
          <w:szCs w:val="22"/>
        </w:rPr>
        <w:t>6.2.1 Interpretation of Results</w:t>
      </w:r>
      <w:bookmarkEnd w:id="84"/>
    </w:p>
    <w:p w14:paraId="63498BAC" w14:textId="77777777" w:rsidR="00D340EB" w:rsidRPr="000A456F" w:rsidRDefault="00D340EB" w:rsidP="00D340EB">
      <w:pPr>
        <w:spacing w:line="360" w:lineRule="auto"/>
        <w:jc w:val="both"/>
        <w:rPr>
          <w:rFonts w:ascii="Arial" w:hAnsi="Arial" w:cs="Arial"/>
          <w:sz w:val="22"/>
          <w:szCs w:val="22"/>
        </w:rPr>
      </w:pPr>
      <w:r w:rsidRPr="000A456F">
        <w:rPr>
          <w:rFonts w:ascii="Arial" w:hAnsi="Arial" w:cs="Arial"/>
          <w:sz w:val="22"/>
          <w:szCs w:val="22"/>
        </w:rPr>
        <w:t>The comprehensive analysis of academic literature from Pakistan reveals an in</w:t>
      </w:r>
      <w:r>
        <w:rPr>
          <w:rFonts w:ascii="Arial" w:hAnsi="Arial" w:cs="Arial"/>
          <w:sz w:val="22"/>
          <w:szCs w:val="22"/>
        </w:rPr>
        <w:t>teresting but recurrent paradox,</w:t>
      </w:r>
      <w:r w:rsidRPr="000A456F">
        <w:rPr>
          <w:rFonts w:ascii="Arial" w:hAnsi="Arial" w:cs="Arial"/>
          <w:sz w:val="22"/>
          <w:szCs w:val="22"/>
        </w:rPr>
        <w:t xml:space="preserve"> reasonably good to high baseline understanding of antimicrobial resistance does not always ensure rational behaviors in doctors and consumers. While the reviewed literature shows a mean adequate knowledge level of 59.88 % and a mean positive attitude level of 68.52 %, these achievements are offset by substantia</w:t>
      </w:r>
      <w:r>
        <w:rPr>
          <w:rFonts w:ascii="Arial" w:hAnsi="Arial" w:cs="Arial"/>
          <w:sz w:val="22"/>
          <w:szCs w:val="22"/>
        </w:rPr>
        <w:t>l behavioral deviations</w:t>
      </w:r>
      <w:r w:rsidRPr="000A456F">
        <w:rPr>
          <w:rFonts w:ascii="Arial" w:hAnsi="Arial" w:cs="Arial"/>
          <w:sz w:val="22"/>
          <w:szCs w:val="22"/>
        </w:rPr>
        <w:t xml:space="preserve"> with inappropriate behavioral rates recorded at 40.38 %.</w:t>
      </w:r>
    </w:p>
    <w:p w14:paraId="178040BF" w14:textId="77777777" w:rsidR="00D340EB" w:rsidRPr="00015E49" w:rsidRDefault="00D340EB" w:rsidP="00D340EB">
      <w:pPr>
        <w:spacing w:line="360" w:lineRule="auto"/>
        <w:jc w:val="both"/>
        <w:rPr>
          <w:rFonts w:ascii="Arial" w:hAnsi="Arial" w:cs="Arial"/>
          <w:sz w:val="22"/>
          <w:szCs w:val="22"/>
        </w:rPr>
      </w:pPr>
      <w:r w:rsidRPr="000A456F">
        <w:rPr>
          <w:rFonts w:ascii="Arial" w:hAnsi="Arial" w:cs="Arial"/>
          <w:sz w:val="22"/>
          <w:szCs w:val="22"/>
        </w:rPr>
        <w:t>Analysis of the data shows that the public has high levels of self-medication (60 % at the peak) and treatment non-compliance (66.7 %). Similar patterns exist among professionals, e.g. MOTs make a wide theoretical claim for stewardship but report high levels of practice, with both non-prescription issuing of medications (75.2 %) and empirical broad-spectrum prescribing being observed. Overall, the obtained findings suggest that personal KAP patterns are mainly limited by external system pressures, which proves that AMR practices in Pakistan could be seen as systemic response to structural inequalities rather than just a result of poor educational practices.</w:t>
      </w:r>
    </w:p>
    <w:p w14:paraId="2E408B25"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85" w:name="_Toc238647432"/>
      <w:r w:rsidRPr="00CE70B9">
        <w:rPr>
          <w:rFonts w:asciiTheme="minorBidi" w:hAnsiTheme="minorBidi" w:cstheme="minorBidi"/>
          <w:b/>
          <w:bCs/>
          <w:i/>
          <w:iCs/>
          <w:color w:val="000000" w:themeColor="text1"/>
          <w:sz w:val="22"/>
          <w:szCs w:val="22"/>
        </w:rPr>
        <w:t>6.2.2 Comparison of Literature</w:t>
      </w:r>
      <w:bookmarkEnd w:id="85"/>
    </w:p>
    <w:p w14:paraId="7D26E746" w14:textId="77777777" w:rsidR="00D340EB" w:rsidRPr="003A48F1" w:rsidRDefault="00D340EB" w:rsidP="00D340EB">
      <w:pPr>
        <w:spacing w:line="360" w:lineRule="auto"/>
        <w:jc w:val="both"/>
        <w:rPr>
          <w:rFonts w:ascii="Arial" w:hAnsi="Arial" w:cs="Arial"/>
          <w:sz w:val="22"/>
          <w:szCs w:val="22"/>
        </w:rPr>
      </w:pPr>
      <w:r w:rsidRPr="003A48F1">
        <w:rPr>
          <w:rFonts w:ascii="Arial" w:hAnsi="Arial" w:cs="Arial"/>
          <w:sz w:val="22"/>
          <w:szCs w:val="22"/>
        </w:rPr>
        <w:t xml:space="preserve">A synthesis of ten international empirical studies obtained from PubMed and Scopus demonstrates that the knowledge-practice gaps, economic incentives, and structural vulnerabilities seen in Pakistan are reflective of the universal trend of antimicrobial resistance (AMR) and irrational antibiotic use. </w:t>
      </w:r>
      <w:r w:rsidRPr="003A48F1">
        <w:rPr>
          <w:rFonts w:ascii="Arial" w:hAnsi="Arial" w:cs="Arial"/>
          <w:sz w:val="22"/>
          <w:szCs w:val="22"/>
        </w:rPr>
        <w:lastRenderedPageBreak/>
        <w:t xml:space="preserve">The practice of providing antibiotics without prescription remains a leading factor in increasing AMR in LMICs. The study performed by Li et al. (2023) in 52 countries shows that the general non-prescription dispensing rate equals 63.4% due to consumer demand and business motives. The tendency is similar to the one revealed in Nepal, as discussed by Acharya et al. (2021), who described client demands and revenue pressure as main factors of non-prescription dispensing. In the same way, </w:t>
      </w:r>
      <w:proofErr w:type="spellStart"/>
      <w:r w:rsidRPr="003A48F1">
        <w:rPr>
          <w:rFonts w:ascii="Arial" w:hAnsi="Arial" w:cs="Arial"/>
          <w:sz w:val="22"/>
          <w:szCs w:val="22"/>
        </w:rPr>
        <w:t>Qudah</w:t>
      </w:r>
      <w:proofErr w:type="spellEnd"/>
      <w:r w:rsidRPr="003A48F1">
        <w:rPr>
          <w:rFonts w:ascii="Arial" w:hAnsi="Arial" w:cs="Arial"/>
          <w:sz w:val="22"/>
          <w:szCs w:val="22"/>
        </w:rPr>
        <w:t xml:space="preserve"> et al. (2024) showed that 88% of community pharmacists in the UAE admitted that non-prescription dispensing is illegal, but continued to do that due to clients’ pressure, which correlates with the figure in Pakistan (75.2%).</w:t>
      </w:r>
    </w:p>
    <w:p w14:paraId="58836AA7" w14:textId="77777777" w:rsidR="00D340EB" w:rsidRDefault="00D340EB" w:rsidP="00D340EB">
      <w:pPr>
        <w:spacing w:line="360" w:lineRule="auto"/>
        <w:jc w:val="both"/>
        <w:rPr>
          <w:rFonts w:ascii="Arial" w:hAnsi="Arial" w:cs="Arial"/>
          <w:sz w:val="22"/>
          <w:szCs w:val="22"/>
        </w:rPr>
      </w:pPr>
      <w:r w:rsidRPr="00A60423">
        <w:rPr>
          <w:rFonts w:ascii="Arial" w:hAnsi="Arial" w:cs="Arial"/>
          <w:sz w:val="22"/>
          <w:szCs w:val="22"/>
        </w:rPr>
        <w:t xml:space="preserve">The self-medication tendencies within the population are determined more by the accessibility and affordability of health care than merely by the lack of education. Wang et al. (2024) summarized the findings of 242 studies and calculated the global prevalence of self-medication with antibiotics to be 27.7%, with availability without prescription and home storage as key factors. Studies across several countries by Do et al. (2021) demonstrated also self-medication at 55.2% in Vietnam, 45.7% in Bangladesh, and 36.1% in Ghana since people are motivated by convenience, saving money, and avoiding consultations. This information coincides with the findings of Doan et al. (2025) who demonstrated self-medication at the level of 35.8% among university students in Vietnam, where participants reported using antibiotics without prescriptions to skip consultations. The same findings were proved among Malaysian students by </w:t>
      </w:r>
      <w:proofErr w:type="spellStart"/>
      <w:r w:rsidRPr="00A60423">
        <w:rPr>
          <w:rFonts w:ascii="Arial" w:hAnsi="Arial" w:cs="Arial"/>
          <w:sz w:val="22"/>
          <w:szCs w:val="22"/>
        </w:rPr>
        <w:t>Haque</w:t>
      </w:r>
      <w:proofErr w:type="spellEnd"/>
      <w:r w:rsidRPr="00A60423">
        <w:rPr>
          <w:rFonts w:ascii="Arial" w:hAnsi="Arial" w:cs="Arial"/>
          <w:sz w:val="22"/>
          <w:szCs w:val="22"/>
        </w:rPr>
        <w:t xml:space="preserve"> et al. (2019), since 89% of students reported self-medication despite their health literacy. Finally, similar studies in South Asia by </w:t>
      </w:r>
      <w:proofErr w:type="spellStart"/>
      <w:r w:rsidRPr="00A60423">
        <w:rPr>
          <w:rFonts w:ascii="Arial" w:hAnsi="Arial" w:cs="Arial"/>
          <w:sz w:val="22"/>
          <w:szCs w:val="22"/>
        </w:rPr>
        <w:t>Wahab</w:t>
      </w:r>
      <w:proofErr w:type="spellEnd"/>
      <w:r w:rsidRPr="00A60423">
        <w:rPr>
          <w:rFonts w:ascii="Arial" w:hAnsi="Arial" w:cs="Arial"/>
          <w:sz w:val="22"/>
          <w:szCs w:val="22"/>
        </w:rPr>
        <w:t xml:space="preserve"> et al. (2023) and Paul et al. (2022) reported about 61% of self-medication practice and the storage of leftover antibiotics at home.</w:t>
      </w:r>
    </w:p>
    <w:p w14:paraId="449F7D2E" w14:textId="77777777" w:rsidR="00D340EB" w:rsidRPr="00A60423" w:rsidRDefault="00D340EB" w:rsidP="00D340EB">
      <w:pPr>
        <w:spacing w:line="360" w:lineRule="auto"/>
        <w:jc w:val="both"/>
        <w:rPr>
          <w:rFonts w:ascii="Arial" w:hAnsi="Arial" w:cs="Arial"/>
          <w:sz w:val="22"/>
          <w:szCs w:val="22"/>
        </w:rPr>
      </w:pPr>
      <w:r w:rsidRPr="00A60423">
        <w:rPr>
          <w:rFonts w:ascii="Arial" w:hAnsi="Arial" w:cs="Arial"/>
          <w:sz w:val="22"/>
          <w:szCs w:val="22"/>
        </w:rPr>
        <w:t xml:space="preserve">Professional stewardship knowledge takes a backseat to both diagnostic uncertainty and institutional barriers within the medical context. Taylor et al. (2023) studied 13,089 physicians in 32 different countries and established that knowledge limitations regarding local resistance profiles persist. In the Chinese primary care context, Wang et al. (2021) found that diagnostic vagueness leads directly to needless empirical broad-spectrum use. Moreover, </w:t>
      </w:r>
      <w:proofErr w:type="spellStart"/>
      <w:r w:rsidRPr="00A60423">
        <w:rPr>
          <w:rFonts w:ascii="Arial" w:hAnsi="Arial" w:cs="Arial"/>
          <w:sz w:val="22"/>
          <w:szCs w:val="22"/>
        </w:rPr>
        <w:t>Muro</w:t>
      </w:r>
      <w:proofErr w:type="spellEnd"/>
      <w:r w:rsidRPr="00A60423">
        <w:rPr>
          <w:rFonts w:ascii="Arial" w:hAnsi="Arial" w:cs="Arial"/>
          <w:sz w:val="22"/>
          <w:szCs w:val="22"/>
        </w:rPr>
        <w:t xml:space="preserve"> et al. (2022) reported the emergence of "diagnostic inertia" in low-income health systems, with healthcare providers refraining from ordering diagnostic tests because of out-of-pocket expenses. The application of interventional approaches through educational campaigns in Nigeria -research by </w:t>
      </w:r>
      <w:proofErr w:type="spellStart"/>
      <w:r w:rsidRPr="00A60423">
        <w:rPr>
          <w:rFonts w:ascii="Arial" w:hAnsi="Arial" w:cs="Arial"/>
          <w:sz w:val="22"/>
          <w:szCs w:val="22"/>
        </w:rPr>
        <w:t>Orok</w:t>
      </w:r>
      <w:proofErr w:type="spellEnd"/>
      <w:r w:rsidRPr="00A60423">
        <w:rPr>
          <w:rFonts w:ascii="Arial" w:hAnsi="Arial" w:cs="Arial"/>
          <w:sz w:val="22"/>
          <w:szCs w:val="22"/>
        </w:rPr>
        <w:t xml:space="preserve"> et al. (2025)- proved favorable in improving factual knowledge (from 28.1% to 44.6%), but did not bring about the desired changes in practice without diagnostic capacities. Similar conclusions were reached by </w:t>
      </w:r>
      <w:proofErr w:type="spellStart"/>
      <w:r w:rsidRPr="00A60423">
        <w:rPr>
          <w:rFonts w:ascii="Arial" w:hAnsi="Arial" w:cs="Arial"/>
          <w:sz w:val="22"/>
          <w:szCs w:val="22"/>
        </w:rPr>
        <w:t>Harun</w:t>
      </w:r>
      <w:proofErr w:type="spellEnd"/>
      <w:r w:rsidRPr="00A60423">
        <w:rPr>
          <w:rFonts w:ascii="Arial" w:hAnsi="Arial" w:cs="Arial"/>
          <w:sz w:val="22"/>
          <w:szCs w:val="22"/>
        </w:rPr>
        <w:t xml:space="preserve"> et al. (2024) and Hawkins et al. (2022), who stated that without structural support from health systems, top-down antimicrobial informational policies are not effective. Lastly, the macro-level analysis by </w:t>
      </w:r>
      <w:proofErr w:type="spellStart"/>
      <w:r w:rsidRPr="00A60423">
        <w:rPr>
          <w:rFonts w:ascii="Arial" w:hAnsi="Arial" w:cs="Arial"/>
          <w:sz w:val="22"/>
          <w:szCs w:val="22"/>
        </w:rPr>
        <w:t>Collignon</w:t>
      </w:r>
      <w:proofErr w:type="spellEnd"/>
      <w:r w:rsidRPr="00A60423">
        <w:rPr>
          <w:rFonts w:ascii="Arial" w:hAnsi="Arial" w:cs="Arial"/>
          <w:sz w:val="22"/>
          <w:szCs w:val="22"/>
        </w:rPr>
        <w:t xml:space="preserve"> et </w:t>
      </w:r>
      <w:r w:rsidRPr="00A60423">
        <w:rPr>
          <w:rFonts w:ascii="Arial" w:hAnsi="Arial" w:cs="Arial"/>
          <w:sz w:val="22"/>
          <w:szCs w:val="22"/>
        </w:rPr>
        <w:lastRenderedPageBreak/>
        <w:t>al. (2018) confirmed that structural governance and healthcare funding have a superior effect on global AMR crisis than particular-level knowledge measurements.</w:t>
      </w:r>
    </w:p>
    <w:p w14:paraId="359238DC" w14:textId="77777777" w:rsidR="00D340EB" w:rsidRPr="001D3482" w:rsidRDefault="00D340EB" w:rsidP="00D340EB">
      <w:pPr>
        <w:spacing w:line="360" w:lineRule="auto"/>
        <w:jc w:val="both"/>
        <w:rPr>
          <w:rFonts w:ascii="Arial" w:hAnsi="Arial" w:cs="Arial"/>
          <w:sz w:val="22"/>
          <w:szCs w:val="22"/>
        </w:rPr>
      </w:pPr>
      <w:r w:rsidRPr="001D3482">
        <w:rPr>
          <w:rFonts w:ascii="Arial" w:hAnsi="Arial" w:cs="Arial"/>
          <w:sz w:val="22"/>
          <w:szCs w:val="22"/>
        </w:rPr>
        <w:t>In conclusion, looking at the international literature showed the results of this systematic review are in line with the findings around the globe where AMR is shown to be a complicated public health problem caused by the interaction between individual knowledge, the ability of healthcare systems, effectiveness of regulations and the SE context. Therefore, it appears that coherence of the results of the research conducted in Pakistan and those obtained abroad can make the results of the review more credible and indicate that effective implementation of every aspect of antimicrobial stewardship needs multispectral approach taking into account such factors as human behavior, institutional capacity and regulation issues.</w:t>
      </w:r>
    </w:p>
    <w:p w14:paraId="459C2005" w14:textId="090FC621" w:rsidR="00D340EB" w:rsidRPr="00CE70B9" w:rsidRDefault="00CE70B9" w:rsidP="00CE70B9">
      <w:pPr>
        <w:pStyle w:val="Heading2"/>
        <w:rPr>
          <w:rFonts w:asciiTheme="minorBidi" w:hAnsiTheme="minorBidi" w:cstheme="minorBidi"/>
          <w:b/>
          <w:bCs/>
          <w:i/>
          <w:iCs/>
          <w:color w:val="000000" w:themeColor="text1"/>
          <w:sz w:val="22"/>
          <w:szCs w:val="22"/>
        </w:rPr>
      </w:pPr>
      <w:bookmarkStart w:id="86" w:name="_Toc238647433"/>
      <w:r w:rsidRPr="00CE70B9">
        <w:rPr>
          <w:rFonts w:asciiTheme="minorBidi" w:hAnsiTheme="minorBidi" w:cstheme="minorBidi"/>
          <w:b/>
          <w:bCs/>
          <w:i/>
          <w:iCs/>
          <w:color w:val="000000" w:themeColor="text1"/>
          <w:sz w:val="22"/>
          <w:szCs w:val="22"/>
        </w:rPr>
        <w:t xml:space="preserve">6.2.2.1 </w:t>
      </w:r>
      <w:r w:rsidR="00D340EB" w:rsidRPr="00CE70B9">
        <w:rPr>
          <w:rFonts w:asciiTheme="minorBidi" w:hAnsiTheme="minorBidi" w:cstheme="minorBidi"/>
          <w:b/>
          <w:bCs/>
          <w:i/>
          <w:iCs/>
          <w:color w:val="000000" w:themeColor="text1"/>
          <w:sz w:val="22"/>
          <w:szCs w:val="22"/>
        </w:rPr>
        <w:t>Theme 1: Knowledge Regarding Antimicrobial Resistance and Utilization</w:t>
      </w:r>
      <w:bookmarkEnd w:id="86"/>
    </w:p>
    <w:p w14:paraId="11854054" w14:textId="77777777" w:rsidR="00D340EB" w:rsidRPr="00A560C2" w:rsidRDefault="00D340EB" w:rsidP="00D340EB">
      <w:pPr>
        <w:spacing w:line="360" w:lineRule="auto"/>
        <w:jc w:val="both"/>
        <w:rPr>
          <w:rFonts w:ascii="Times New Roman" w:eastAsia="Aptos" w:hAnsi="Times New Roman" w:cs="Times New Roman"/>
        </w:rPr>
      </w:pPr>
      <w:r w:rsidRPr="00A560C2">
        <w:rPr>
          <w:rFonts w:ascii="Times New Roman" w:eastAsia="Aptos" w:hAnsi="Times New Roman" w:cs="Times New Roman"/>
        </w:rPr>
        <w:t xml:space="preserve">This review revealed average knowledge about AMR in Pakistan within the ten scrutinized articles (Mean=59.88%, SD=20.49%; range: 34.0%–86.0%). The maximum knowledge was scored by university students (86.0%), medical doctors (85.0%), and pharmacists (83.0%), but community and some clinician groups showed relatively low performance (34.0%–44.4%). Although formal education positively affected AMR awareness overall, it did not guarantee relevant technical knowledge. There were considerable gaps in antibiotic spectrum understanding, diagnostic stewardship, environmental transmission of pathogens, and proper use of antibiotics. Almost half of the people surveyed in a community in Punjab believed that antibiotics were effective against flu or common cold, while 14% of students mistakenly thought the same thing. Only 36.9% of medical practitioners were aware of environmental transmission of AMR. </w:t>
      </w:r>
    </w:p>
    <w:p w14:paraId="40018832" w14:textId="77777777" w:rsidR="00D340EB" w:rsidRPr="00A560C2" w:rsidRDefault="00D340EB" w:rsidP="00D340EB">
      <w:pPr>
        <w:spacing w:line="360" w:lineRule="auto"/>
        <w:jc w:val="both"/>
        <w:rPr>
          <w:rFonts w:ascii="Times New Roman" w:eastAsia="Aptos" w:hAnsi="Times New Roman" w:cs="Times New Roman"/>
        </w:rPr>
      </w:pPr>
      <w:r w:rsidRPr="00A560C2">
        <w:rPr>
          <w:rFonts w:ascii="Times New Roman" w:eastAsia="Aptos" w:hAnsi="Times New Roman" w:cs="Times New Roman"/>
        </w:rPr>
        <w:t xml:space="preserve">These results suggest that awareness alone does not concern a proper understanding of antibiotics. Inaccurate knowledge about viral diseases might also create the excessive demand for antibiotics, as mentioned in McCullough et al. (2016). Furthermore, </w:t>
      </w:r>
      <w:proofErr w:type="spellStart"/>
      <w:r w:rsidRPr="00A560C2">
        <w:rPr>
          <w:rFonts w:ascii="Times New Roman" w:eastAsia="Aptos" w:hAnsi="Times New Roman" w:cs="Times New Roman"/>
        </w:rPr>
        <w:t>Barlam</w:t>
      </w:r>
      <w:proofErr w:type="spellEnd"/>
      <w:r w:rsidRPr="00A560C2">
        <w:rPr>
          <w:rFonts w:ascii="Times New Roman" w:eastAsia="Aptos" w:hAnsi="Times New Roman" w:cs="Times New Roman"/>
        </w:rPr>
        <w:t xml:space="preserve"> et al explained that the lack of diagnostic means and poor qualification in antibiotic management can also play a role in unnecessary antibiotic prescriptions (</w:t>
      </w:r>
      <w:proofErr w:type="spellStart"/>
      <w:r w:rsidRPr="00A560C2">
        <w:rPr>
          <w:rFonts w:ascii="Times New Roman" w:eastAsia="Aptos" w:hAnsi="Times New Roman" w:cs="Times New Roman"/>
        </w:rPr>
        <w:t>Barlam</w:t>
      </w:r>
      <w:proofErr w:type="spellEnd"/>
      <w:r w:rsidRPr="00A560C2">
        <w:rPr>
          <w:rFonts w:ascii="Times New Roman" w:eastAsia="Aptos" w:hAnsi="Times New Roman" w:cs="Times New Roman"/>
        </w:rPr>
        <w:t xml:space="preserve"> et al., 2023).  Thus, in the future, the education of AMR in Pakistan must focus on proper indications for antibiotic usage, distinction between bacterial and viral disease, methods of resistance, self-medication, </w:t>
      </w:r>
      <w:proofErr w:type="gramStart"/>
      <w:r w:rsidRPr="00A560C2">
        <w:rPr>
          <w:rFonts w:ascii="Times New Roman" w:eastAsia="Aptos" w:hAnsi="Times New Roman" w:cs="Times New Roman"/>
        </w:rPr>
        <w:t>antibiotic</w:t>
      </w:r>
      <w:proofErr w:type="gramEnd"/>
    </w:p>
    <w:p w14:paraId="15D2AA0D" w14:textId="773E990D" w:rsidR="00D340EB" w:rsidRPr="00CE70B9" w:rsidRDefault="00CE70B9" w:rsidP="00CE70B9">
      <w:pPr>
        <w:pStyle w:val="Heading2"/>
        <w:rPr>
          <w:rFonts w:asciiTheme="minorBidi" w:hAnsiTheme="minorBidi" w:cstheme="minorBidi"/>
          <w:b/>
          <w:bCs/>
          <w:i/>
          <w:iCs/>
          <w:color w:val="000000" w:themeColor="text1"/>
          <w:sz w:val="22"/>
          <w:szCs w:val="22"/>
        </w:rPr>
      </w:pPr>
      <w:bookmarkStart w:id="87" w:name="_Toc238647434"/>
      <w:r>
        <w:rPr>
          <w:rFonts w:asciiTheme="minorBidi" w:hAnsiTheme="minorBidi" w:cstheme="minorBidi"/>
          <w:b/>
          <w:bCs/>
          <w:i/>
          <w:iCs/>
          <w:color w:val="000000" w:themeColor="text1"/>
          <w:sz w:val="22"/>
          <w:szCs w:val="22"/>
        </w:rPr>
        <w:t xml:space="preserve">6.2.2.2 </w:t>
      </w:r>
      <w:r w:rsidR="00D340EB" w:rsidRPr="00CE70B9">
        <w:rPr>
          <w:rFonts w:asciiTheme="minorBidi" w:hAnsiTheme="minorBidi" w:cstheme="minorBidi"/>
          <w:b/>
          <w:bCs/>
          <w:i/>
          <w:iCs/>
          <w:color w:val="000000" w:themeColor="text1"/>
          <w:sz w:val="22"/>
          <w:szCs w:val="22"/>
        </w:rPr>
        <w:t xml:space="preserve">Theme 2: Attitudes </w:t>
      </w:r>
      <w:proofErr w:type="gramStart"/>
      <w:r w:rsidR="00D340EB" w:rsidRPr="00CE70B9">
        <w:rPr>
          <w:rFonts w:asciiTheme="minorBidi" w:hAnsiTheme="minorBidi" w:cstheme="minorBidi"/>
          <w:b/>
          <w:bCs/>
          <w:i/>
          <w:iCs/>
          <w:color w:val="000000" w:themeColor="text1"/>
          <w:sz w:val="22"/>
          <w:szCs w:val="22"/>
        </w:rPr>
        <w:t>Toward</w:t>
      </w:r>
      <w:proofErr w:type="gramEnd"/>
      <w:r w:rsidR="00D340EB" w:rsidRPr="00CE70B9">
        <w:rPr>
          <w:rFonts w:asciiTheme="minorBidi" w:hAnsiTheme="minorBidi" w:cstheme="minorBidi"/>
          <w:b/>
          <w:bCs/>
          <w:i/>
          <w:iCs/>
          <w:color w:val="000000" w:themeColor="text1"/>
          <w:sz w:val="22"/>
          <w:szCs w:val="22"/>
        </w:rPr>
        <w:t xml:space="preserve"> Antibiotic Use and Stewardship</w:t>
      </w:r>
      <w:bookmarkEnd w:id="87"/>
    </w:p>
    <w:p w14:paraId="4DD27DED" w14:textId="77777777" w:rsidR="00D340EB" w:rsidRPr="00A560C2" w:rsidRDefault="00D340EB" w:rsidP="00D340EB">
      <w:pPr>
        <w:spacing w:line="360" w:lineRule="auto"/>
        <w:jc w:val="both"/>
        <w:rPr>
          <w:rFonts w:ascii="Times New Roman" w:eastAsia="Aptos" w:hAnsi="Times New Roman" w:cs="Times New Roman"/>
        </w:rPr>
      </w:pPr>
      <w:r w:rsidRPr="00A560C2">
        <w:rPr>
          <w:rFonts w:ascii="Times New Roman" w:eastAsia="Aptos" w:hAnsi="Times New Roman" w:cs="Times New Roman"/>
        </w:rPr>
        <w:t xml:space="preserve">Overall, attitudes toward responsible antibiotic use were positive, with a mean score of 68.52% (SD = 22.48%), although scores varied widely (31.6%–91.85%). Physicians, pharmacists, and university </w:t>
      </w:r>
      <w:r w:rsidRPr="00A560C2">
        <w:rPr>
          <w:rFonts w:ascii="Times New Roman" w:eastAsia="Aptos" w:hAnsi="Times New Roman" w:cs="Times New Roman"/>
        </w:rPr>
        <w:lastRenderedPageBreak/>
        <w:t>students generally supported antibiotic stewardship principles. However, a clear attitude–practice gap was observed. Despite 91.85% of physicians reporting positive attitudes toward stewardship, 46.4% used antibiotics without laboratory confirmation. Similarly, although 81.9% of pharmacists expressed positive views, 75.2% prescribed antibiotics in response to client pressure. These findings suggest that workload, diagnostic uncertainty, commercial interests, and patient expectations may influence practice. Therefore, effective stewardship requires not only education but also organizational support, accessible laboratory services, prescription regulations, feedback, and appropriate sanctions. Multidisciplinary stewardship programs may further strengthen responsible antibiotic use (</w:t>
      </w:r>
      <w:proofErr w:type="spellStart"/>
      <w:r w:rsidRPr="00A560C2">
        <w:rPr>
          <w:rFonts w:ascii="Times New Roman" w:eastAsia="Aptos" w:hAnsi="Times New Roman" w:cs="Times New Roman"/>
        </w:rPr>
        <w:t>Dellit</w:t>
      </w:r>
      <w:proofErr w:type="spellEnd"/>
      <w:r w:rsidRPr="00A560C2">
        <w:rPr>
          <w:rFonts w:ascii="Times New Roman" w:eastAsia="Aptos" w:hAnsi="Times New Roman" w:cs="Times New Roman"/>
        </w:rPr>
        <w:t xml:space="preserve"> et al., 2022)</w:t>
      </w:r>
    </w:p>
    <w:p w14:paraId="1F35D8B2" w14:textId="2BA4463B" w:rsidR="00D340EB" w:rsidRPr="00CE70B9" w:rsidRDefault="00CE70B9" w:rsidP="00CE70B9">
      <w:pPr>
        <w:pStyle w:val="Heading2"/>
        <w:rPr>
          <w:rFonts w:asciiTheme="minorBidi" w:hAnsiTheme="minorBidi" w:cstheme="minorBidi"/>
          <w:b/>
          <w:bCs/>
          <w:i/>
          <w:iCs/>
          <w:color w:val="000000" w:themeColor="text1"/>
          <w:sz w:val="22"/>
          <w:szCs w:val="22"/>
        </w:rPr>
      </w:pPr>
      <w:bookmarkStart w:id="88" w:name="_Toc238647435"/>
      <w:r>
        <w:rPr>
          <w:rFonts w:asciiTheme="minorBidi" w:hAnsiTheme="minorBidi" w:cstheme="minorBidi"/>
          <w:b/>
          <w:bCs/>
          <w:i/>
          <w:iCs/>
          <w:color w:val="000000" w:themeColor="text1"/>
          <w:sz w:val="22"/>
          <w:szCs w:val="22"/>
        </w:rPr>
        <w:t xml:space="preserve">6.2.2.3 </w:t>
      </w:r>
      <w:r w:rsidR="00D340EB" w:rsidRPr="00CE70B9">
        <w:rPr>
          <w:rFonts w:asciiTheme="minorBidi" w:hAnsiTheme="minorBidi" w:cstheme="minorBidi"/>
          <w:b/>
          <w:bCs/>
          <w:i/>
          <w:iCs/>
          <w:color w:val="000000" w:themeColor="text1"/>
          <w:sz w:val="22"/>
          <w:szCs w:val="22"/>
        </w:rPr>
        <w:t>Theme 3: Practices Related to Antibiotic Use and Dispensing</w:t>
      </w:r>
      <w:bookmarkEnd w:id="88"/>
    </w:p>
    <w:p w14:paraId="6FC6F835" w14:textId="77777777" w:rsidR="00D340EB" w:rsidRPr="00A560C2" w:rsidRDefault="00D340EB" w:rsidP="00D340EB">
      <w:pPr>
        <w:spacing w:line="360" w:lineRule="auto"/>
        <w:jc w:val="both"/>
        <w:rPr>
          <w:rFonts w:ascii="Times New Roman" w:eastAsia="Aptos" w:hAnsi="Times New Roman" w:cs="Times New Roman"/>
        </w:rPr>
      </w:pPr>
      <w:r w:rsidRPr="00A560C2">
        <w:rPr>
          <w:rFonts w:ascii="Times New Roman" w:eastAsia="Aptos" w:hAnsi="Times New Roman" w:cs="Times New Roman"/>
        </w:rPr>
        <w:t>Antibiotic-use practices in Pakistan demonstrate a substantial knowledge–practice gap, with a mean good-practice score of 59.62% (SD = 17.52%). Inappropriate practices included self-medication, non-prescription dispensing, poor adherence, and empirical prescribing. Approximately 60% of the public in Punjab reported self-medication, while 54% of university students purchased antibiotics without prescriptions. Among community pharmacists, 75.2% reported dispensing antibiotics without prescriptions due to customer pressure, while financial incentives also influenced dispensing. Approximately 90.6% of pharmacies operated without a qualified pharmacist, indicating weak professional oversight. Clinically, 46.4% of doctors prescribed antibiotics empirically without laboratory confirmation. These findings are consistent with global evidence, including Li et al. (2023), who reported 63.4% non-prescription dispensing worldwide. Overall, consumer demand, commercial incentives, weak regulation, and limited diagnostics contribute to inappropriate antibiotic practices.</w:t>
      </w:r>
    </w:p>
    <w:p w14:paraId="6EC9EAD9" w14:textId="5FF97D84" w:rsidR="00CE70B9" w:rsidRPr="00CE70B9" w:rsidRDefault="00CE70B9" w:rsidP="00CE70B9">
      <w:pPr>
        <w:pStyle w:val="Heading2"/>
        <w:rPr>
          <w:rFonts w:asciiTheme="minorBidi" w:hAnsiTheme="minorBidi" w:cstheme="minorBidi"/>
          <w:b/>
          <w:bCs/>
          <w:i/>
          <w:iCs/>
          <w:color w:val="000000" w:themeColor="text1"/>
          <w:sz w:val="22"/>
          <w:szCs w:val="22"/>
        </w:rPr>
      </w:pPr>
      <w:bookmarkStart w:id="89" w:name="_Toc238647436"/>
      <w:r w:rsidRPr="00CE70B9">
        <w:rPr>
          <w:rFonts w:asciiTheme="minorBidi" w:hAnsiTheme="minorBidi" w:cstheme="minorBidi"/>
          <w:b/>
          <w:bCs/>
          <w:i/>
          <w:iCs/>
          <w:color w:val="000000" w:themeColor="text1"/>
          <w:sz w:val="22"/>
          <w:szCs w:val="22"/>
        </w:rPr>
        <w:t xml:space="preserve">6.2.2.4 Theme 4: Upstream Structural and </w:t>
      </w:r>
      <w:proofErr w:type="spellStart"/>
      <w:r w:rsidRPr="00CE70B9">
        <w:rPr>
          <w:rFonts w:asciiTheme="minorBidi" w:hAnsiTheme="minorBidi" w:cstheme="minorBidi"/>
          <w:b/>
          <w:bCs/>
          <w:i/>
          <w:iCs/>
          <w:color w:val="000000" w:themeColor="text1"/>
          <w:sz w:val="22"/>
          <w:szCs w:val="22"/>
        </w:rPr>
        <w:t>Sociodemographic</w:t>
      </w:r>
      <w:proofErr w:type="spellEnd"/>
      <w:r w:rsidRPr="00CE70B9">
        <w:rPr>
          <w:rFonts w:asciiTheme="minorBidi" w:hAnsiTheme="minorBidi" w:cstheme="minorBidi"/>
          <w:b/>
          <w:bCs/>
          <w:i/>
          <w:iCs/>
          <w:color w:val="000000" w:themeColor="text1"/>
          <w:sz w:val="22"/>
          <w:szCs w:val="22"/>
        </w:rPr>
        <w:t xml:space="preserve"> Determinants</w:t>
      </w:r>
      <w:bookmarkEnd w:id="89"/>
    </w:p>
    <w:p w14:paraId="4A9625CD" w14:textId="77777777" w:rsidR="00D340EB" w:rsidRPr="00A560C2" w:rsidRDefault="00D340EB" w:rsidP="00D340EB">
      <w:pPr>
        <w:spacing w:line="360" w:lineRule="auto"/>
        <w:jc w:val="both"/>
        <w:rPr>
          <w:rFonts w:ascii="Times New Roman" w:eastAsia="Aptos" w:hAnsi="Times New Roman" w:cs="Times New Roman"/>
        </w:rPr>
      </w:pPr>
      <w:r w:rsidRPr="00A560C2">
        <w:rPr>
          <w:rFonts w:ascii="Times New Roman" w:eastAsia="Aptos" w:hAnsi="Times New Roman" w:cs="Times New Roman"/>
        </w:rPr>
        <w:t xml:space="preserve">Antibiotic-related KAP in Pakistan is strongly influenced by upstream social, economic, educational, and healthcare-system factors. Across 10 studies involving 5,237 participants, higher educational attainment was generally associated with better knowledge, attitudes, and practices. However, education alone did not prevent inappropriate </w:t>
      </w:r>
      <w:proofErr w:type="spellStart"/>
      <w:r w:rsidRPr="00A560C2">
        <w:rPr>
          <w:rFonts w:ascii="Times New Roman" w:eastAsia="Aptos" w:hAnsi="Times New Roman" w:cs="Times New Roman"/>
        </w:rPr>
        <w:t>behaviour</w:t>
      </w:r>
      <w:proofErr w:type="spellEnd"/>
      <w:r w:rsidRPr="00A560C2">
        <w:rPr>
          <w:rFonts w:ascii="Times New Roman" w:eastAsia="Aptos" w:hAnsi="Times New Roman" w:cs="Times New Roman"/>
        </w:rPr>
        <w:t xml:space="preserve">; 54% of university students purchased antibiotics without prescriptions, while nearly 60% of the Punjab population practiced self-medication. Economic hardships, healthcare costs, limited insurance, and restricted diagnostic access may encourage self-medication and informal antibiotic purchases. Structural weaknesses were also evident in pharmacy settings, where 90.6% of pharmacies reportedly operated without qualified pharmacists, and 75.2% of Lahore pharmacists dispensed antibiotics without prescriptions due to </w:t>
      </w:r>
      <w:r w:rsidRPr="00A560C2">
        <w:rPr>
          <w:rFonts w:ascii="Times New Roman" w:eastAsia="Aptos" w:hAnsi="Times New Roman" w:cs="Times New Roman"/>
        </w:rPr>
        <w:lastRenderedPageBreak/>
        <w:t>customer pressure. These findings support the Social Determinants of Health framework, indicating that effective AMR interventions require education alongside stronger regulation, affordable healthcare, improved diagnostics, and institutional support.</w:t>
      </w:r>
    </w:p>
    <w:p w14:paraId="7D34FAB1"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90" w:name="_Toc238647437"/>
      <w:r w:rsidRPr="00CE70B9">
        <w:rPr>
          <w:rFonts w:asciiTheme="minorBidi" w:hAnsiTheme="minorBidi" w:cstheme="minorBidi"/>
          <w:b/>
          <w:bCs/>
          <w:i/>
          <w:iCs/>
          <w:color w:val="000000" w:themeColor="text1"/>
          <w:sz w:val="22"/>
          <w:szCs w:val="22"/>
        </w:rPr>
        <w:t>6.2.3 Methodological Reflection</w:t>
      </w:r>
      <w:bookmarkEnd w:id="90"/>
    </w:p>
    <w:p w14:paraId="7482549B" w14:textId="77777777" w:rsidR="00D340EB" w:rsidRPr="00F84337" w:rsidRDefault="00D340EB" w:rsidP="00D340EB">
      <w:pPr>
        <w:spacing w:line="360" w:lineRule="auto"/>
        <w:jc w:val="both"/>
        <w:rPr>
          <w:rFonts w:ascii="Arial" w:hAnsi="Arial" w:cs="Arial"/>
          <w:sz w:val="22"/>
          <w:szCs w:val="22"/>
        </w:rPr>
      </w:pPr>
      <w:r w:rsidRPr="00F84337">
        <w:rPr>
          <w:rFonts w:ascii="Arial" w:hAnsi="Arial" w:cs="Arial"/>
          <w:sz w:val="22"/>
          <w:szCs w:val="22"/>
        </w:rPr>
        <w:t>This systematic review involved a highly structured methodological strategy, which included the use of a PEO search protocol in PubMed and S</w:t>
      </w:r>
      <w:r>
        <w:rPr>
          <w:rFonts w:ascii="Arial" w:hAnsi="Arial" w:cs="Arial"/>
          <w:sz w:val="22"/>
          <w:szCs w:val="22"/>
        </w:rPr>
        <w:t>copus, adherence to PRISMA 2020</w:t>
      </w:r>
      <w:r w:rsidRPr="00F84337">
        <w:rPr>
          <w:rFonts w:ascii="Arial" w:hAnsi="Arial" w:cs="Arial"/>
          <w:sz w:val="22"/>
          <w:szCs w:val="22"/>
        </w:rPr>
        <w:t xml:space="preserve"> and quality checks via JBI checklist and MMAT. This approach helped in effective assessment of various studies with different designs, including huge cross-sectional community-based surveys (n= 2106 by </w:t>
      </w:r>
      <w:proofErr w:type="spellStart"/>
      <w:r w:rsidRPr="00F84337">
        <w:rPr>
          <w:rFonts w:ascii="Arial" w:hAnsi="Arial" w:cs="Arial"/>
          <w:sz w:val="22"/>
          <w:szCs w:val="22"/>
        </w:rPr>
        <w:t>Gillani</w:t>
      </w:r>
      <w:proofErr w:type="spellEnd"/>
      <w:r w:rsidRPr="00F84337">
        <w:rPr>
          <w:rFonts w:ascii="Arial" w:hAnsi="Arial" w:cs="Arial"/>
          <w:sz w:val="22"/>
          <w:szCs w:val="22"/>
        </w:rPr>
        <w:t xml:space="preserve"> et al., 2021) and mixed-methods study designs.</w:t>
      </w:r>
    </w:p>
    <w:p w14:paraId="46F4A556" w14:textId="77777777" w:rsidR="00D340EB" w:rsidRPr="00015E49" w:rsidRDefault="00D340EB" w:rsidP="00D340EB">
      <w:pPr>
        <w:spacing w:line="360" w:lineRule="auto"/>
        <w:jc w:val="both"/>
        <w:rPr>
          <w:rFonts w:ascii="Arial" w:hAnsi="Arial" w:cs="Arial"/>
          <w:sz w:val="22"/>
          <w:szCs w:val="22"/>
        </w:rPr>
      </w:pPr>
      <w:r w:rsidRPr="00F84337">
        <w:rPr>
          <w:rFonts w:ascii="Arial" w:hAnsi="Arial" w:cs="Arial"/>
          <w:sz w:val="22"/>
          <w:szCs w:val="22"/>
        </w:rPr>
        <w:t xml:space="preserve">Nevertheless, some methodological limitations in the existing studies should be acknowledged. The over-reliance on survey design in the studies used in this review restricts their possibility for causal inference, as they represent momentary behavioral observations and do not allow establishing longitudinal causality. Besides, various response rates in different professional groups may pose the danger of non-response and selection bias (for example, the low response rates of pharmacists and physicians established by </w:t>
      </w:r>
      <w:proofErr w:type="spellStart"/>
      <w:r w:rsidRPr="00F84337">
        <w:rPr>
          <w:rFonts w:ascii="Arial" w:hAnsi="Arial" w:cs="Arial"/>
          <w:sz w:val="22"/>
          <w:szCs w:val="22"/>
        </w:rPr>
        <w:t>Waseem</w:t>
      </w:r>
      <w:proofErr w:type="spellEnd"/>
      <w:r w:rsidRPr="00F84337">
        <w:rPr>
          <w:rFonts w:ascii="Arial" w:hAnsi="Arial" w:cs="Arial"/>
          <w:sz w:val="22"/>
          <w:szCs w:val="22"/>
        </w:rPr>
        <w:t xml:space="preserve"> et al., 20</w:t>
      </w:r>
      <w:r>
        <w:rPr>
          <w:rFonts w:ascii="Arial" w:hAnsi="Arial" w:cs="Arial"/>
          <w:sz w:val="22"/>
          <w:szCs w:val="22"/>
        </w:rPr>
        <w:t>19</w:t>
      </w:r>
      <w:r w:rsidRPr="00F84337">
        <w:rPr>
          <w:rFonts w:ascii="Arial" w:hAnsi="Arial" w:cs="Arial"/>
          <w:sz w:val="22"/>
          <w:szCs w:val="22"/>
        </w:rPr>
        <w:t>) Therefore, subsequent investigations in Pakistan should focus on longitudinal designs, prospective audits of</w:t>
      </w:r>
      <w:r>
        <w:rPr>
          <w:rFonts w:ascii="Arial" w:hAnsi="Arial" w:cs="Arial"/>
          <w:sz w:val="22"/>
          <w:szCs w:val="22"/>
        </w:rPr>
        <w:t xml:space="preserve"> prescriptions </w:t>
      </w:r>
      <w:r w:rsidRPr="00F84337">
        <w:rPr>
          <w:rFonts w:ascii="Arial" w:hAnsi="Arial" w:cs="Arial"/>
          <w:sz w:val="22"/>
          <w:szCs w:val="22"/>
        </w:rPr>
        <w:t>and multicenter clinical trials.</w:t>
      </w:r>
    </w:p>
    <w:p w14:paraId="3277A4CB"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91" w:name="_Toc238647438"/>
      <w:r w:rsidRPr="00CE70B9">
        <w:rPr>
          <w:rFonts w:asciiTheme="minorBidi" w:hAnsiTheme="minorBidi" w:cstheme="minorBidi"/>
          <w:b/>
          <w:bCs/>
          <w:i/>
          <w:iCs/>
          <w:color w:val="000000" w:themeColor="text1"/>
          <w:sz w:val="22"/>
          <w:szCs w:val="22"/>
        </w:rPr>
        <w:t>6.2.4 Unexpected Findings</w:t>
      </w:r>
      <w:bookmarkEnd w:id="91"/>
    </w:p>
    <w:p w14:paraId="32F9BD57" w14:textId="77777777" w:rsidR="00D340EB" w:rsidRPr="00F84337" w:rsidRDefault="00D340EB" w:rsidP="00D340EB">
      <w:pPr>
        <w:spacing w:line="360" w:lineRule="auto"/>
        <w:jc w:val="both"/>
        <w:rPr>
          <w:rFonts w:ascii="Arial" w:hAnsi="Arial" w:cs="Arial"/>
          <w:sz w:val="22"/>
          <w:szCs w:val="22"/>
        </w:rPr>
      </w:pPr>
      <w:r w:rsidRPr="00F84337">
        <w:rPr>
          <w:rFonts w:ascii="Arial" w:hAnsi="Arial" w:cs="Arial"/>
          <w:sz w:val="22"/>
          <w:szCs w:val="22"/>
        </w:rPr>
        <w:t>One important conclusion reached by the data synthesis is the seeming contradiction between the presence of skills and knowledge in the academic and professional sphere and the irrational behavior demonstrated in practice. This assumption is backed up by research conducted by Shah and others (2022) as well as Khan et al. (2021), which showed that knowledge and education alone are not sufficient to minimize the negative consequences of self-medication and similar practices.</w:t>
      </w:r>
    </w:p>
    <w:p w14:paraId="31E171EC" w14:textId="77777777" w:rsidR="00D340EB" w:rsidRPr="00015E49" w:rsidRDefault="00D340EB" w:rsidP="00D340EB">
      <w:pPr>
        <w:spacing w:line="360" w:lineRule="auto"/>
        <w:jc w:val="both"/>
        <w:rPr>
          <w:rFonts w:ascii="Arial" w:hAnsi="Arial" w:cs="Arial"/>
          <w:sz w:val="22"/>
          <w:szCs w:val="22"/>
        </w:rPr>
      </w:pPr>
      <w:r w:rsidRPr="00F84337">
        <w:rPr>
          <w:rFonts w:ascii="Arial" w:hAnsi="Arial" w:cs="Arial"/>
          <w:sz w:val="22"/>
          <w:szCs w:val="22"/>
        </w:rPr>
        <w:t>Such findings indicate a significant flaw in traditional awareness campaigns: although they offer information about microbial genetics and mechanisms of resistance, they neglect the fact that a person can hardly make a rational decision under stressful conditions such as poverty, inability to get help from primary care doctors</w:t>
      </w:r>
      <w:r>
        <w:rPr>
          <w:rFonts w:ascii="Arial" w:hAnsi="Arial" w:cs="Arial"/>
          <w:sz w:val="22"/>
          <w:szCs w:val="22"/>
        </w:rPr>
        <w:t xml:space="preserve"> and pressure from the sellers</w:t>
      </w:r>
      <w:r w:rsidRPr="00015E49">
        <w:rPr>
          <w:rFonts w:ascii="Arial" w:hAnsi="Arial" w:cs="Arial"/>
          <w:sz w:val="22"/>
          <w:szCs w:val="22"/>
        </w:rPr>
        <w:t>.</w:t>
      </w:r>
    </w:p>
    <w:p w14:paraId="30DC30DE" w14:textId="77777777" w:rsidR="00D340EB" w:rsidRPr="00CE70B9" w:rsidRDefault="00D340EB" w:rsidP="00CE70B9">
      <w:pPr>
        <w:pStyle w:val="Heading2"/>
        <w:rPr>
          <w:rFonts w:asciiTheme="minorBidi" w:hAnsiTheme="minorBidi" w:cstheme="minorBidi"/>
          <w:b/>
          <w:bCs/>
          <w:i/>
          <w:iCs/>
          <w:color w:val="000000" w:themeColor="text1"/>
          <w:sz w:val="22"/>
          <w:szCs w:val="22"/>
        </w:rPr>
      </w:pPr>
      <w:bookmarkStart w:id="92" w:name="_Toc238647439"/>
      <w:r w:rsidRPr="00CE70B9">
        <w:rPr>
          <w:rFonts w:asciiTheme="minorBidi" w:hAnsiTheme="minorBidi" w:cstheme="minorBidi"/>
          <w:b/>
          <w:bCs/>
          <w:i/>
          <w:iCs/>
          <w:color w:val="000000" w:themeColor="text1"/>
          <w:sz w:val="22"/>
          <w:szCs w:val="22"/>
        </w:rPr>
        <w:t>6.3 Strengths and Limitations</w:t>
      </w:r>
      <w:bookmarkEnd w:id="92"/>
    </w:p>
    <w:p w14:paraId="0A4B8F17" w14:textId="77777777" w:rsidR="00D340EB" w:rsidRPr="00F84337" w:rsidRDefault="00D340EB" w:rsidP="00D340EB">
      <w:pPr>
        <w:spacing w:line="360" w:lineRule="auto"/>
        <w:jc w:val="both"/>
        <w:rPr>
          <w:rFonts w:ascii="Arial" w:hAnsi="Arial" w:cs="Arial"/>
          <w:sz w:val="22"/>
          <w:szCs w:val="22"/>
        </w:rPr>
      </w:pPr>
      <w:r w:rsidRPr="00F84337">
        <w:rPr>
          <w:rFonts w:ascii="Arial" w:hAnsi="Arial" w:cs="Arial"/>
          <w:sz w:val="22"/>
          <w:szCs w:val="22"/>
        </w:rPr>
        <w:t>This systematic review presents many significant strengths. First, it follows cl</w:t>
      </w:r>
      <w:r>
        <w:rPr>
          <w:rFonts w:ascii="Arial" w:hAnsi="Arial" w:cs="Arial"/>
          <w:sz w:val="22"/>
          <w:szCs w:val="22"/>
        </w:rPr>
        <w:t>ear, traceable PRISMA standards</w:t>
      </w:r>
      <w:r w:rsidRPr="00F84337">
        <w:rPr>
          <w:rFonts w:ascii="Arial" w:hAnsi="Arial" w:cs="Arial"/>
          <w:sz w:val="22"/>
          <w:szCs w:val="22"/>
        </w:rPr>
        <w:t xml:space="preserve"> which guarantee number of transparency and reproducibility. Second, the use of double-method quality evaluation (JBI and MMAT) helps to ensure that the synthesized results are based on sound empirical evidence. Third, this chapter connects results about Pakistan with 15-20 international PubMed studies thus making it possible to see the local public health problems in greater context.</w:t>
      </w:r>
    </w:p>
    <w:p w14:paraId="0FBD220D" w14:textId="77777777" w:rsidR="00D340EB" w:rsidRPr="00015E49" w:rsidRDefault="00D340EB" w:rsidP="00D340EB">
      <w:pPr>
        <w:spacing w:line="360" w:lineRule="auto"/>
        <w:jc w:val="both"/>
        <w:rPr>
          <w:rFonts w:ascii="Arial" w:hAnsi="Arial" w:cs="Arial"/>
          <w:sz w:val="22"/>
          <w:szCs w:val="22"/>
        </w:rPr>
      </w:pPr>
      <w:r w:rsidRPr="00F84337">
        <w:rPr>
          <w:rFonts w:ascii="Arial" w:hAnsi="Arial" w:cs="Arial"/>
          <w:sz w:val="22"/>
          <w:szCs w:val="22"/>
        </w:rPr>
        <w:lastRenderedPageBreak/>
        <w:t>However, some shortcomings should be mentioned. The overview does not include articles in English published from 2021 onwards which makes it possible for some pieces of important regional grey literature or non-English articles to be missed. Additionally, non-compatibility of reporting demographic covariates (like household income and details about urban-rural stratification) across the primary studies did not allow to carry out detailed meta-regression subgroup analyses.</w:t>
      </w:r>
    </w:p>
    <w:p w14:paraId="65D00524" w14:textId="77777777" w:rsidR="00D340EB" w:rsidRPr="00CE70B9" w:rsidRDefault="00D340EB" w:rsidP="00CE70B9">
      <w:pPr>
        <w:pStyle w:val="Heading2"/>
        <w:rPr>
          <w:rFonts w:asciiTheme="minorBidi" w:hAnsiTheme="minorBidi" w:cstheme="minorBidi"/>
          <w:b/>
          <w:bCs/>
          <w:color w:val="000000" w:themeColor="text1"/>
          <w:sz w:val="22"/>
          <w:szCs w:val="22"/>
        </w:rPr>
      </w:pPr>
      <w:bookmarkStart w:id="93" w:name="_Toc238647440"/>
      <w:r w:rsidRPr="00CE70B9">
        <w:rPr>
          <w:rFonts w:asciiTheme="minorBidi" w:hAnsiTheme="minorBidi" w:cstheme="minorBidi"/>
          <w:b/>
          <w:bCs/>
          <w:color w:val="000000" w:themeColor="text1"/>
          <w:sz w:val="22"/>
          <w:szCs w:val="22"/>
        </w:rPr>
        <w:t>6.4 Chapter Summary</w:t>
      </w:r>
      <w:bookmarkEnd w:id="93"/>
    </w:p>
    <w:p w14:paraId="78622DA9" w14:textId="77777777" w:rsidR="00D340EB" w:rsidRDefault="00D340EB" w:rsidP="00D340EB">
      <w:pPr>
        <w:spacing w:line="360" w:lineRule="auto"/>
        <w:jc w:val="both"/>
        <w:rPr>
          <w:rFonts w:ascii="Arial" w:hAnsi="Arial" w:cs="Arial"/>
          <w:sz w:val="22"/>
          <w:szCs w:val="22"/>
        </w:rPr>
      </w:pPr>
      <w:r w:rsidRPr="003C1461">
        <w:rPr>
          <w:rFonts w:ascii="Arial" w:hAnsi="Arial" w:cs="Arial"/>
          <w:sz w:val="22"/>
          <w:szCs w:val="22"/>
        </w:rPr>
        <w:t>This chapter systematically analyzed the results obtained in the study by comparing the regional data obtained in Pakistan with the wider international literature and the Social Determinants of Health approach. The discussion affirmed that the outcomes of individual KAP can be limited severely by upstream structural factors, such as lack of diagnostics, commercial pressures, ineffective regulation, and healthcare affordability. The methodological limitations and unexpected findings discussed throughout the chapter were examined. Finally, the last chapter (Chapter 7) offers some conclusions, practical recommendations, and guidance for further research in public health.</w:t>
      </w:r>
    </w:p>
    <w:p w14:paraId="697EA8B3" w14:textId="77777777" w:rsidR="00D340EB" w:rsidRDefault="00D340EB" w:rsidP="00D340EB">
      <w:pPr>
        <w:spacing w:line="360" w:lineRule="auto"/>
        <w:jc w:val="both"/>
        <w:rPr>
          <w:rFonts w:ascii="Arial" w:hAnsi="Arial" w:cs="Arial"/>
          <w:sz w:val="22"/>
          <w:szCs w:val="22"/>
        </w:rPr>
      </w:pPr>
    </w:p>
    <w:p w14:paraId="3B1AC20E" w14:textId="77777777" w:rsidR="00D340EB" w:rsidRDefault="00D340EB" w:rsidP="00D340EB">
      <w:pPr>
        <w:spacing w:line="360" w:lineRule="auto"/>
        <w:jc w:val="both"/>
        <w:rPr>
          <w:rFonts w:ascii="Arial" w:hAnsi="Arial" w:cs="Arial"/>
          <w:sz w:val="22"/>
          <w:szCs w:val="22"/>
        </w:rPr>
      </w:pPr>
    </w:p>
    <w:p w14:paraId="0C936390" w14:textId="77777777" w:rsidR="00D340EB" w:rsidRDefault="00D340EB" w:rsidP="00D340EB">
      <w:pPr>
        <w:spacing w:line="360" w:lineRule="auto"/>
        <w:jc w:val="both"/>
        <w:rPr>
          <w:rFonts w:ascii="Arial" w:hAnsi="Arial" w:cs="Arial"/>
          <w:sz w:val="22"/>
          <w:szCs w:val="22"/>
        </w:rPr>
      </w:pPr>
    </w:p>
    <w:p w14:paraId="0D5F41F0" w14:textId="77777777" w:rsidR="00D340EB" w:rsidRDefault="00D340EB" w:rsidP="00D340EB">
      <w:pPr>
        <w:spacing w:line="360" w:lineRule="auto"/>
        <w:jc w:val="both"/>
        <w:rPr>
          <w:rFonts w:ascii="Arial" w:hAnsi="Arial" w:cs="Arial"/>
          <w:sz w:val="22"/>
          <w:szCs w:val="22"/>
        </w:rPr>
      </w:pPr>
    </w:p>
    <w:p w14:paraId="1A7157A0" w14:textId="77777777" w:rsidR="00D340EB" w:rsidRDefault="00D340EB" w:rsidP="00D340EB">
      <w:pPr>
        <w:spacing w:line="360" w:lineRule="auto"/>
        <w:jc w:val="both"/>
        <w:rPr>
          <w:rFonts w:ascii="Arial" w:hAnsi="Arial" w:cs="Arial"/>
          <w:sz w:val="22"/>
          <w:szCs w:val="22"/>
        </w:rPr>
      </w:pPr>
    </w:p>
    <w:p w14:paraId="093B5AE3" w14:textId="77777777" w:rsidR="00D340EB" w:rsidRDefault="00D340EB" w:rsidP="00D340EB">
      <w:pPr>
        <w:spacing w:line="360" w:lineRule="auto"/>
        <w:jc w:val="both"/>
        <w:rPr>
          <w:rFonts w:ascii="Arial" w:hAnsi="Arial" w:cs="Arial"/>
          <w:sz w:val="22"/>
          <w:szCs w:val="22"/>
        </w:rPr>
      </w:pPr>
    </w:p>
    <w:p w14:paraId="451A6E10" w14:textId="77777777" w:rsidR="00D340EB" w:rsidRDefault="00D340EB" w:rsidP="00D340EB">
      <w:pPr>
        <w:spacing w:line="360" w:lineRule="auto"/>
        <w:jc w:val="both"/>
        <w:rPr>
          <w:rFonts w:ascii="Arial" w:hAnsi="Arial" w:cs="Arial"/>
          <w:sz w:val="22"/>
          <w:szCs w:val="22"/>
        </w:rPr>
      </w:pPr>
    </w:p>
    <w:p w14:paraId="21FD2D1D" w14:textId="77777777" w:rsidR="00D340EB" w:rsidRDefault="00D340EB" w:rsidP="00D340EB">
      <w:pPr>
        <w:spacing w:line="360" w:lineRule="auto"/>
        <w:jc w:val="both"/>
        <w:rPr>
          <w:rFonts w:ascii="Arial" w:hAnsi="Arial" w:cs="Arial"/>
          <w:sz w:val="22"/>
          <w:szCs w:val="22"/>
        </w:rPr>
      </w:pPr>
    </w:p>
    <w:p w14:paraId="08B86816" w14:textId="77777777" w:rsidR="00D340EB" w:rsidRDefault="00D340EB" w:rsidP="00D340EB">
      <w:pPr>
        <w:spacing w:line="360" w:lineRule="auto"/>
        <w:jc w:val="both"/>
        <w:rPr>
          <w:rFonts w:ascii="Arial" w:hAnsi="Arial" w:cs="Arial"/>
          <w:sz w:val="22"/>
          <w:szCs w:val="22"/>
        </w:rPr>
      </w:pPr>
    </w:p>
    <w:p w14:paraId="257DD076" w14:textId="77777777" w:rsidR="00D340EB" w:rsidRDefault="00D340EB" w:rsidP="00D340EB">
      <w:pPr>
        <w:spacing w:line="360" w:lineRule="auto"/>
        <w:jc w:val="both"/>
        <w:rPr>
          <w:rFonts w:ascii="Arial" w:hAnsi="Arial" w:cs="Arial"/>
          <w:sz w:val="22"/>
          <w:szCs w:val="22"/>
        </w:rPr>
      </w:pPr>
    </w:p>
    <w:p w14:paraId="66B308BF" w14:textId="77777777" w:rsidR="00D340EB" w:rsidRDefault="00D340EB" w:rsidP="00D340EB">
      <w:pPr>
        <w:spacing w:line="360" w:lineRule="auto"/>
        <w:jc w:val="both"/>
        <w:rPr>
          <w:rFonts w:ascii="Arial" w:hAnsi="Arial" w:cs="Arial"/>
          <w:sz w:val="22"/>
          <w:szCs w:val="22"/>
        </w:rPr>
      </w:pPr>
    </w:p>
    <w:p w14:paraId="7D6364F8" w14:textId="77777777" w:rsidR="00D340EB" w:rsidRDefault="00D340EB" w:rsidP="00D340EB">
      <w:pPr>
        <w:spacing w:line="360" w:lineRule="auto"/>
        <w:jc w:val="both"/>
        <w:rPr>
          <w:rFonts w:ascii="Arial" w:hAnsi="Arial" w:cs="Arial"/>
          <w:sz w:val="22"/>
          <w:szCs w:val="22"/>
        </w:rPr>
      </w:pPr>
    </w:p>
    <w:p w14:paraId="69257946" w14:textId="77777777" w:rsidR="00D340EB" w:rsidRDefault="00D340EB" w:rsidP="00D340EB">
      <w:pPr>
        <w:spacing w:line="360" w:lineRule="auto"/>
        <w:jc w:val="both"/>
        <w:rPr>
          <w:rFonts w:ascii="Arial" w:hAnsi="Arial" w:cs="Arial"/>
          <w:sz w:val="22"/>
          <w:szCs w:val="22"/>
        </w:rPr>
      </w:pPr>
    </w:p>
    <w:p w14:paraId="3684AFCA" w14:textId="77777777" w:rsidR="00FA13DA" w:rsidRDefault="00FA13DA" w:rsidP="00D340EB">
      <w:pPr>
        <w:spacing w:line="360" w:lineRule="auto"/>
        <w:jc w:val="both"/>
        <w:rPr>
          <w:rFonts w:ascii="Arial" w:hAnsi="Arial" w:cs="Arial"/>
          <w:sz w:val="22"/>
          <w:szCs w:val="22"/>
        </w:rPr>
      </w:pPr>
    </w:p>
    <w:p w14:paraId="5DAA63F2" w14:textId="77777777" w:rsidR="00D340EB" w:rsidRPr="003C1461" w:rsidRDefault="00D340EB" w:rsidP="00D340EB">
      <w:pPr>
        <w:spacing w:line="360" w:lineRule="auto"/>
        <w:jc w:val="both"/>
        <w:rPr>
          <w:rFonts w:ascii="Arial" w:hAnsi="Arial" w:cs="Arial"/>
          <w:sz w:val="22"/>
          <w:szCs w:val="22"/>
        </w:rPr>
      </w:pPr>
    </w:p>
    <w:p w14:paraId="6CC91BDE" w14:textId="77777777" w:rsidR="00D340EB" w:rsidRPr="00FA13DA" w:rsidRDefault="00D340EB" w:rsidP="00FA13DA">
      <w:pPr>
        <w:pStyle w:val="Heading1"/>
        <w:jc w:val="center"/>
        <w:rPr>
          <w:rFonts w:asciiTheme="minorBidi" w:hAnsiTheme="minorBidi" w:cstheme="minorBidi"/>
          <w:b/>
          <w:bCs/>
          <w:color w:val="000000" w:themeColor="text1"/>
          <w:sz w:val="22"/>
          <w:szCs w:val="22"/>
        </w:rPr>
      </w:pPr>
      <w:bookmarkStart w:id="94" w:name="_Toc238647441"/>
      <w:r w:rsidRPr="00FA13DA">
        <w:rPr>
          <w:rFonts w:asciiTheme="minorBidi" w:hAnsiTheme="minorBidi" w:cstheme="minorBidi"/>
          <w:b/>
          <w:bCs/>
          <w:color w:val="000000" w:themeColor="text1"/>
          <w:sz w:val="22"/>
          <w:szCs w:val="22"/>
        </w:rPr>
        <w:lastRenderedPageBreak/>
        <w:t>CHAPTER 7: RECOMMENDATIONS AND CONCLUSION</w:t>
      </w:r>
      <w:bookmarkEnd w:id="94"/>
    </w:p>
    <w:p w14:paraId="7A3F157F" w14:textId="77777777" w:rsidR="00D340EB" w:rsidRPr="00FA13DA" w:rsidRDefault="00D340EB" w:rsidP="00FA13DA">
      <w:pPr>
        <w:pStyle w:val="Heading2"/>
        <w:rPr>
          <w:rFonts w:asciiTheme="minorBidi" w:hAnsiTheme="minorBidi" w:cstheme="minorBidi"/>
          <w:b/>
          <w:bCs/>
          <w:i/>
          <w:iCs/>
          <w:color w:val="000000" w:themeColor="text1"/>
          <w:sz w:val="22"/>
          <w:szCs w:val="22"/>
        </w:rPr>
      </w:pPr>
      <w:bookmarkStart w:id="95" w:name="_Toc238647442"/>
      <w:r w:rsidRPr="00FA13DA">
        <w:rPr>
          <w:rFonts w:asciiTheme="minorBidi" w:hAnsiTheme="minorBidi" w:cstheme="minorBidi"/>
          <w:b/>
          <w:bCs/>
          <w:i/>
          <w:iCs/>
          <w:color w:val="000000" w:themeColor="text1"/>
          <w:sz w:val="22"/>
          <w:szCs w:val="22"/>
        </w:rPr>
        <w:t>7.1 Introduction to Chapter</w:t>
      </w:r>
      <w:bookmarkEnd w:id="95"/>
    </w:p>
    <w:p w14:paraId="6128A118" w14:textId="77777777" w:rsidR="00D340EB" w:rsidRDefault="00D340EB" w:rsidP="00D340EB">
      <w:pPr>
        <w:spacing w:line="360" w:lineRule="auto"/>
        <w:jc w:val="both"/>
        <w:rPr>
          <w:rFonts w:ascii="Arial" w:hAnsi="Arial" w:cs="Arial"/>
          <w:sz w:val="22"/>
          <w:szCs w:val="22"/>
        </w:rPr>
      </w:pPr>
      <w:r w:rsidRPr="00416732">
        <w:rPr>
          <w:rFonts w:ascii="Arial" w:hAnsi="Arial" w:cs="Arial"/>
          <w:sz w:val="22"/>
          <w:szCs w:val="22"/>
        </w:rPr>
        <w:t>In this last chapter, the primary empirical findings from the systematic review are brought together to suggest practical recommendations based on evidence that could counter the increasing threat of AMR in Pakistan. Using the SDOH framework and in conjunction with global policy, it converts the findings into practical guidance across medicine, nursing, pharma</w:t>
      </w:r>
      <w:r>
        <w:rPr>
          <w:rFonts w:ascii="Arial" w:hAnsi="Arial" w:cs="Arial"/>
          <w:sz w:val="22"/>
          <w:szCs w:val="22"/>
        </w:rPr>
        <w:t>cy, public health, legislation</w:t>
      </w:r>
      <w:r w:rsidRPr="00416732">
        <w:rPr>
          <w:rFonts w:ascii="Arial" w:hAnsi="Arial" w:cs="Arial"/>
          <w:sz w:val="22"/>
          <w:szCs w:val="22"/>
        </w:rPr>
        <w:t xml:space="preserve"> and teaching. While the general attitude towards AMR knowledge is a positive one, practices like self-medication, conducting non-prescriptio</w:t>
      </w:r>
      <w:r>
        <w:rPr>
          <w:rFonts w:ascii="Arial" w:hAnsi="Arial" w:cs="Arial"/>
          <w:sz w:val="22"/>
          <w:szCs w:val="22"/>
        </w:rPr>
        <w:t>n dispensing, wrong prescribing</w:t>
      </w:r>
      <w:r w:rsidRPr="00416732">
        <w:rPr>
          <w:rFonts w:ascii="Arial" w:hAnsi="Arial" w:cs="Arial"/>
          <w:sz w:val="22"/>
          <w:szCs w:val="22"/>
        </w:rPr>
        <w:t xml:space="preserve"> and non-compliance with treatment are widespread. As a result, the chapter provides some fundamental health system c</w:t>
      </w:r>
      <w:r>
        <w:rPr>
          <w:rFonts w:ascii="Arial" w:hAnsi="Arial" w:cs="Arial"/>
          <w:sz w:val="22"/>
          <w:szCs w:val="22"/>
        </w:rPr>
        <w:t>onsequences, system suggestions</w:t>
      </w:r>
      <w:r w:rsidRPr="00416732">
        <w:rPr>
          <w:rFonts w:ascii="Arial" w:hAnsi="Arial" w:cs="Arial"/>
          <w:sz w:val="22"/>
          <w:szCs w:val="22"/>
        </w:rPr>
        <w:t xml:space="preserve"> and paths for future research along with a conclusion aimed at stimulating systemic action rather than an isolated awareness campaign.</w:t>
      </w:r>
    </w:p>
    <w:p w14:paraId="6EB90E93"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Table 9: Summary of Research Objectives, Identified Barriers and Key Finding.</w:t>
      </w:r>
    </w:p>
    <w:tbl>
      <w:tblPr>
        <w:tblW w:w="5000" w:type="pct"/>
        <w:tblLook w:val="04A0" w:firstRow="1" w:lastRow="0" w:firstColumn="1" w:lastColumn="0" w:noHBand="0" w:noVBand="1"/>
      </w:tblPr>
      <w:tblGrid>
        <w:gridCol w:w="2214"/>
        <w:gridCol w:w="2197"/>
        <w:gridCol w:w="2636"/>
        <w:gridCol w:w="2622"/>
      </w:tblGrid>
      <w:tr w:rsidR="00D340EB" w:rsidRPr="00015E49" w14:paraId="6610F3BB" w14:textId="77777777" w:rsidTr="00775F7D">
        <w:trPr>
          <w:trHeight w:val="600"/>
        </w:trPr>
        <w:tc>
          <w:tcPr>
            <w:tcW w:w="1145" w:type="pct"/>
            <w:tcBorders>
              <w:top w:val="single" w:sz="8" w:space="0" w:color="auto"/>
              <w:left w:val="single" w:sz="8" w:space="0" w:color="auto"/>
              <w:bottom w:val="single" w:sz="4" w:space="0" w:color="auto"/>
              <w:right w:val="single" w:sz="4" w:space="0" w:color="auto"/>
            </w:tcBorders>
            <w:shd w:val="clear" w:color="auto" w:fill="D9D9D9"/>
            <w:vAlign w:val="center"/>
            <w:hideMark/>
          </w:tcPr>
          <w:p w14:paraId="4C711D14"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 xml:space="preserve">Research Objective </w:t>
            </w:r>
          </w:p>
        </w:tc>
        <w:tc>
          <w:tcPr>
            <w:tcW w:w="1136" w:type="pct"/>
            <w:tcBorders>
              <w:top w:val="single" w:sz="8" w:space="0" w:color="auto"/>
              <w:left w:val="nil"/>
              <w:bottom w:val="single" w:sz="4" w:space="0" w:color="auto"/>
              <w:right w:val="single" w:sz="4" w:space="0" w:color="auto"/>
            </w:tcBorders>
            <w:shd w:val="clear" w:color="auto" w:fill="D9D9D9"/>
            <w:vAlign w:val="center"/>
            <w:hideMark/>
          </w:tcPr>
          <w:p w14:paraId="2A7575E3"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Barrier Identified</w:t>
            </w:r>
          </w:p>
        </w:tc>
        <w:tc>
          <w:tcPr>
            <w:tcW w:w="1363" w:type="pct"/>
            <w:tcBorders>
              <w:top w:val="single" w:sz="8" w:space="0" w:color="auto"/>
              <w:left w:val="nil"/>
              <w:bottom w:val="single" w:sz="4" w:space="0" w:color="auto"/>
              <w:right w:val="single" w:sz="4" w:space="0" w:color="auto"/>
            </w:tcBorders>
            <w:shd w:val="clear" w:color="auto" w:fill="D9D9D9"/>
            <w:vAlign w:val="center"/>
            <w:hideMark/>
          </w:tcPr>
          <w:p w14:paraId="77385556"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Key Findings</w:t>
            </w:r>
          </w:p>
        </w:tc>
        <w:tc>
          <w:tcPr>
            <w:tcW w:w="1356" w:type="pct"/>
            <w:tcBorders>
              <w:top w:val="single" w:sz="8" w:space="0" w:color="auto"/>
              <w:left w:val="nil"/>
              <w:bottom w:val="single" w:sz="4" w:space="0" w:color="auto"/>
              <w:right w:val="single" w:sz="8" w:space="0" w:color="auto"/>
            </w:tcBorders>
            <w:shd w:val="clear" w:color="auto" w:fill="D9D9D9"/>
            <w:vAlign w:val="center"/>
            <w:hideMark/>
          </w:tcPr>
          <w:p w14:paraId="472EB635" w14:textId="77777777" w:rsidR="00D340EB" w:rsidRPr="00015E49" w:rsidRDefault="00D340EB" w:rsidP="00775F7D">
            <w:pPr>
              <w:spacing w:after="0" w:line="240" w:lineRule="auto"/>
              <w:jc w:val="center"/>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How This Was Achieved</w:t>
            </w:r>
          </w:p>
        </w:tc>
      </w:tr>
      <w:tr w:rsidR="00D340EB" w:rsidRPr="00015E49" w14:paraId="172AADE4" w14:textId="77777777" w:rsidTr="00775F7D">
        <w:trPr>
          <w:trHeight w:val="1988"/>
        </w:trPr>
        <w:tc>
          <w:tcPr>
            <w:tcW w:w="1145" w:type="pct"/>
            <w:tcBorders>
              <w:top w:val="nil"/>
              <w:left w:val="single" w:sz="8" w:space="0" w:color="auto"/>
              <w:bottom w:val="single" w:sz="4" w:space="0" w:color="auto"/>
              <w:right w:val="single" w:sz="4" w:space="0" w:color="auto"/>
            </w:tcBorders>
            <w:hideMark/>
          </w:tcPr>
          <w:p w14:paraId="33633D07"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 xml:space="preserve">Objective 1: </w:t>
            </w:r>
          </w:p>
          <w:p w14:paraId="0129053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To identify the primary social determinants of health associated with variations in community and clinical KAP regarding AMR in Pakistan.</w:t>
            </w:r>
          </w:p>
        </w:tc>
        <w:tc>
          <w:tcPr>
            <w:tcW w:w="1136" w:type="pct"/>
            <w:tcBorders>
              <w:top w:val="nil"/>
              <w:left w:val="nil"/>
              <w:bottom w:val="single" w:sz="4" w:space="0" w:color="auto"/>
              <w:right w:val="single" w:sz="4" w:space="0" w:color="auto"/>
            </w:tcBorders>
            <w:hideMark/>
          </w:tcPr>
          <w:p w14:paraId="1DB905D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Theme 4: </w:t>
            </w:r>
          </w:p>
          <w:p w14:paraId="5E22B9B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Educational disparities, </w:t>
            </w:r>
            <w:r>
              <w:rPr>
                <w:rFonts w:ascii="Arial" w:eastAsia="Courier New" w:hAnsi="Arial" w:cs="Arial"/>
                <w:color w:val="000000"/>
                <w:kern w:val="0"/>
                <w:sz w:val="22"/>
                <w:szCs w:val="22"/>
              </w:rPr>
              <w:t>SE</w:t>
            </w:r>
            <w:r w:rsidRPr="00015E49">
              <w:rPr>
                <w:rFonts w:ascii="Arial" w:eastAsia="Courier New" w:hAnsi="Arial" w:cs="Arial"/>
                <w:color w:val="000000"/>
                <w:kern w:val="0"/>
                <w:sz w:val="22"/>
                <w:szCs w:val="22"/>
              </w:rPr>
              <w:t xml:space="preserve"> conditions, professional background, healthcare access, institutional weaknesses and regulatory gaps.</w:t>
            </w:r>
          </w:p>
        </w:tc>
        <w:tc>
          <w:tcPr>
            <w:tcW w:w="1363" w:type="pct"/>
            <w:tcBorders>
              <w:top w:val="nil"/>
              <w:left w:val="nil"/>
              <w:bottom w:val="single" w:sz="4" w:space="0" w:color="auto"/>
              <w:right w:val="single" w:sz="4" w:space="0" w:color="auto"/>
            </w:tcBorders>
            <w:hideMark/>
          </w:tcPr>
          <w:p w14:paraId="753A8870"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Education and professional training were associated with better KAP, whereas poverty, limited healthcare access, weak regulation and inadequate diagnostic facilities contributed to inappropriate antibiotic use.</w:t>
            </w:r>
          </w:p>
        </w:tc>
        <w:tc>
          <w:tcPr>
            <w:tcW w:w="1356" w:type="pct"/>
            <w:tcBorders>
              <w:top w:val="nil"/>
              <w:left w:val="nil"/>
              <w:bottom w:val="single" w:sz="4" w:space="0" w:color="auto"/>
              <w:right w:val="single" w:sz="8" w:space="0" w:color="auto"/>
            </w:tcBorders>
            <w:hideMark/>
          </w:tcPr>
          <w:p w14:paraId="61911DA2"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Evidence from the 10 included studies was compared across community members, students, pharmacists, physicians and healthcare professionals to identify recurring social and institutional determinants.</w:t>
            </w:r>
          </w:p>
        </w:tc>
      </w:tr>
      <w:tr w:rsidR="00D340EB" w:rsidRPr="00015E49" w14:paraId="09E372CB" w14:textId="77777777" w:rsidTr="00775F7D">
        <w:trPr>
          <w:trHeight w:val="2150"/>
        </w:trPr>
        <w:tc>
          <w:tcPr>
            <w:tcW w:w="1145" w:type="pct"/>
            <w:tcBorders>
              <w:top w:val="nil"/>
              <w:left w:val="single" w:sz="8" w:space="0" w:color="auto"/>
              <w:bottom w:val="single" w:sz="4" w:space="0" w:color="auto"/>
              <w:right w:val="single" w:sz="4" w:space="0" w:color="auto"/>
            </w:tcBorders>
            <w:hideMark/>
          </w:tcPr>
          <w:p w14:paraId="5B5DB5BB"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t xml:space="preserve">Objective 2: </w:t>
            </w:r>
          </w:p>
          <w:p w14:paraId="35119FBA"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To analyze how </w:t>
            </w:r>
            <w:r>
              <w:rPr>
                <w:rFonts w:ascii="Arial" w:eastAsia="Courier New" w:hAnsi="Arial" w:cs="Arial"/>
                <w:color w:val="000000"/>
                <w:kern w:val="0"/>
                <w:sz w:val="22"/>
                <w:szCs w:val="22"/>
              </w:rPr>
              <w:t>SE</w:t>
            </w:r>
            <w:r w:rsidRPr="00015E49">
              <w:rPr>
                <w:rFonts w:ascii="Arial" w:eastAsia="Courier New" w:hAnsi="Arial" w:cs="Arial"/>
                <w:color w:val="000000"/>
                <w:kern w:val="0"/>
                <w:sz w:val="22"/>
                <w:szCs w:val="22"/>
              </w:rPr>
              <w:t xml:space="preserve"> status and educational disparities influence antibiotic misuse and self-medication practices.</w:t>
            </w:r>
          </w:p>
        </w:tc>
        <w:tc>
          <w:tcPr>
            <w:tcW w:w="1136" w:type="pct"/>
            <w:tcBorders>
              <w:top w:val="nil"/>
              <w:left w:val="nil"/>
              <w:bottom w:val="single" w:sz="4" w:space="0" w:color="auto"/>
              <w:right w:val="single" w:sz="4" w:space="0" w:color="auto"/>
            </w:tcBorders>
            <w:hideMark/>
          </w:tcPr>
          <w:p w14:paraId="00295F6B"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Theme 1 &amp; Theme 3: </w:t>
            </w:r>
          </w:p>
          <w:p w14:paraId="4E3E2BDD"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Limited health literacy, misconceptions about antibiotics, self-medication, non-prescription purchasing, treatment non-adherence and financial constraints.</w:t>
            </w:r>
          </w:p>
        </w:tc>
        <w:tc>
          <w:tcPr>
            <w:tcW w:w="1363" w:type="pct"/>
            <w:tcBorders>
              <w:top w:val="nil"/>
              <w:left w:val="nil"/>
              <w:bottom w:val="single" w:sz="4" w:space="0" w:color="auto"/>
              <w:right w:val="single" w:sz="4" w:space="0" w:color="auto"/>
            </w:tcBorders>
            <w:hideMark/>
          </w:tcPr>
          <w:p w14:paraId="4225ACA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Knowledge was generally moderate-to-high, but inappropriate practices remained common. Self-medication reached approximately 60%, while treatment non-adherence reached 66.7% in individual studies.</w:t>
            </w:r>
          </w:p>
        </w:tc>
        <w:tc>
          <w:tcPr>
            <w:tcW w:w="1356" w:type="pct"/>
            <w:tcBorders>
              <w:top w:val="nil"/>
              <w:left w:val="nil"/>
              <w:bottom w:val="single" w:sz="4" w:space="0" w:color="auto"/>
              <w:right w:val="single" w:sz="8" w:space="0" w:color="auto"/>
            </w:tcBorders>
            <w:hideMark/>
          </w:tcPr>
          <w:p w14:paraId="3A5C8191"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Quantitative KAP results were synthesized and compared with thematic evidence on misconceptions, self-medication and inappropriate antibiotic use.</w:t>
            </w:r>
          </w:p>
        </w:tc>
      </w:tr>
      <w:tr w:rsidR="00D340EB" w:rsidRPr="00015E49" w14:paraId="4BD1C13E" w14:textId="77777777" w:rsidTr="00775F7D">
        <w:trPr>
          <w:trHeight w:val="2114"/>
        </w:trPr>
        <w:tc>
          <w:tcPr>
            <w:tcW w:w="1145" w:type="pct"/>
            <w:tcBorders>
              <w:top w:val="nil"/>
              <w:left w:val="single" w:sz="8" w:space="0" w:color="auto"/>
              <w:bottom w:val="single" w:sz="4" w:space="0" w:color="auto"/>
              <w:right w:val="single" w:sz="4" w:space="0" w:color="auto"/>
            </w:tcBorders>
            <w:hideMark/>
          </w:tcPr>
          <w:p w14:paraId="75B7846C" w14:textId="77777777" w:rsidR="00D340EB" w:rsidRPr="00015E49" w:rsidRDefault="00D340EB" w:rsidP="00775F7D">
            <w:pPr>
              <w:spacing w:after="0" w:line="240" w:lineRule="auto"/>
              <w:rPr>
                <w:rFonts w:ascii="Arial" w:eastAsia="Courier New" w:hAnsi="Arial" w:cs="Arial"/>
                <w:b/>
                <w:bCs/>
                <w:color w:val="000000"/>
                <w:kern w:val="0"/>
                <w:sz w:val="22"/>
                <w:szCs w:val="22"/>
              </w:rPr>
            </w:pPr>
            <w:r w:rsidRPr="00015E49">
              <w:rPr>
                <w:rFonts w:ascii="Arial" w:eastAsia="Courier New" w:hAnsi="Arial" w:cs="Arial"/>
                <w:b/>
                <w:bCs/>
                <w:color w:val="000000"/>
                <w:kern w:val="0"/>
                <w:sz w:val="22"/>
                <w:szCs w:val="22"/>
              </w:rPr>
              <w:lastRenderedPageBreak/>
              <w:t xml:space="preserve">Objective 3: </w:t>
            </w:r>
          </w:p>
          <w:p w14:paraId="1C6029A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 xml:space="preserve">To evaluate how institutional healthcare contexts and cultural beliefs influence professional prescribing </w:t>
            </w:r>
            <w:proofErr w:type="spellStart"/>
            <w:r w:rsidRPr="00015E49">
              <w:rPr>
                <w:rFonts w:ascii="Arial" w:eastAsia="Courier New" w:hAnsi="Arial" w:cs="Arial"/>
                <w:color w:val="000000"/>
                <w:kern w:val="0"/>
                <w:sz w:val="22"/>
                <w:szCs w:val="22"/>
              </w:rPr>
              <w:t>behaviours</w:t>
            </w:r>
            <w:proofErr w:type="spellEnd"/>
            <w:r w:rsidRPr="00015E49">
              <w:rPr>
                <w:rFonts w:ascii="Arial" w:eastAsia="Courier New" w:hAnsi="Arial" w:cs="Arial"/>
                <w:color w:val="000000"/>
                <w:kern w:val="0"/>
                <w:sz w:val="22"/>
                <w:szCs w:val="22"/>
              </w:rPr>
              <w:t xml:space="preserve"> and patient expectations.</w:t>
            </w:r>
          </w:p>
        </w:tc>
        <w:tc>
          <w:tcPr>
            <w:tcW w:w="1136" w:type="pct"/>
            <w:tcBorders>
              <w:top w:val="nil"/>
              <w:left w:val="nil"/>
              <w:bottom w:val="single" w:sz="4" w:space="0" w:color="auto"/>
              <w:right w:val="single" w:sz="4" w:space="0" w:color="auto"/>
            </w:tcBorders>
            <w:hideMark/>
          </w:tcPr>
          <w:p w14:paraId="302AE6C7"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Theme 2 &amp; Theme 3: Patient pressure, commercial incentives, high workload, diagnostic limitations, empirical prescribing and non-prescription dispensing.</w:t>
            </w:r>
          </w:p>
        </w:tc>
        <w:tc>
          <w:tcPr>
            <w:tcW w:w="1363" w:type="pct"/>
            <w:tcBorders>
              <w:top w:val="nil"/>
              <w:left w:val="nil"/>
              <w:bottom w:val="single" w:sz="4" w:space="0" w:color="auto"/>
              <w:right w:val="single" w:sz="4" w:space="0" w:color="auto"/>
            </w:tcBorders>
            <w:hideMark/>
          </w:tcPr>
          <w:p w14:paraId="78E42479"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Professionals generally showed positive attitudes toward stewardship, but these attitudes did not consistently translate into appropriate practice. Non-prescription dispensing reached 75.2% among pharmacists in one included study.</w:t>
            </w:r>
          </w:p>
        </w:tc>
        <w:tc>
          <w:tcPr>
            <w:tcW w:w="1356" w:type="pct"/>
            <w:tcBorders>
              <w:top w:val="nil"/>
              <w:left w:val="nil"/>
              <w:bottom w:val="single" w:sz="4" w:space="0" w:color="auto"/>
              <w:right w:val="single" w:sz="8" w:space="0" w:color="auto"/>
            </w:tcBorders>
            <w:hideMark/>
          </w:tcPr>
          <w:p w14:paraId="63584166" w14:textId="77777777" w:rsidR="00D340EB" w:rsidRPr="00015E49" w:rsidRDefault="00D340EB" w:rsidP="00775F7D">
            <w:pPr>
              <w:spacing w:after="0" w:line="240" w:lineRule="auto"/>
              <w:rPr>
                <w:rFonts w:ascii="Arial" w:eastAsia="Courier New" w:hAnsi="Arial" w:cs="Arial"/>
                <w:color w:val="000000"/>
                <w:kern w:val="0"/>
                <w:sz w:val="22"/>
                <w:szCs w:val="22"/>
              </w:rPr>
            </w:pPr>
            <w:r w:rsidRPr="00015E49">
              <w:rPr>
                <w:rFonts w:ascii="Arial" w:eastAsia="Courier New" w:hAnsi="Arial" w:cs="Arial"/>
                <w:color w:val="000000"/>
                <w:kern w:val="0"/>
                <w:sz w:val="22"/>
                <w:szCs w:val="22"/>
              </w:rPr>
              <w:t>Findings from pharmacists and clinicians were compared to identifying the relationship between professional attitudes, workplace pressures and actual prescribing/dispensing practices.</w:t>
            </w:r>
          </w:p>
        </w:tc>
      </w:tr>
    </w:tbl>
    <w:p w14:paraId="48EF4389" w14:textId="77777777" w:rsidR="00D340EB" w:rsidRPr="00FA13DA" w:rsidRDefault="00D340EB" w:rsidP="00FA13DA">
      <w:pPr>
        <w:pStyle w:val="Heading2"/>
        <w:rPr>
          <w:rFonts w:asciiTheme="minorBidi" w:hAnsiTheme="minorBidi" w:cstheme="minorBidi"/>
          <w:i/>
          <w:iCs/>
          <w:color w:val="000000" w:themeColor="text1"/>
          <w:sz w:val="22"/>
          <w:szCs w:val="22"/>
        </w:rPr>
      </w:pPr>
    </w:p>
    <w:p w14:paraId="1DFEBAB5" w14:textId="77777777" w:rsidR="00D340EB" w:rsidRPr="00FA13DA" w:rsidRDefault="00D340EB" w:rsidP="00FA13DA">
      <w:pPr>
        <w:pStyle w:val="Heading2"/>
        <w:rPr>
          <w:rFonts w:asciiTheme="minorBidi" w:hAnsiTheme="minorBidi" w:cstheme="minorBidi"/>
          <w:b/>
          <w:bCs/>
          <w:i/>
          <w:iCs/>
          <w:color w:val="000000" w:themeColor="text1"/>
          <w:sz w:val="22"/>
          <w:szCs w:val="22"/>
        </w:rPr>
      </w:pPr>
      <w:bookmarkStart w:id="96" w:name="_Toc238647443"/>
      <w:r w:rsidRPr="00FA13DA">
        <w:rPr>
          <w:rFonts w:asciiTheme="minorBidi" w:hAnsiTheme="minorBidi" w:cstheme="minorBidi"/>
          <w:b/>
          <w:bCs/>
          <w:i/>
          <w:iCs/>
          <w:color w:val="000000" w:themeColor="text1"/>
          <w:sz w:val="22"/>
          <w:szCs w:val="22"/>
        </w:rPr>
        <w:t>7.2 Implications of Findings</w:t>
      </w:r>
      <w:bookmarkEnd w:id="96"/>
    </w:p>
    <w:p w14:paraId="504D86B9" w14:textId="77777777" w:rsidR="00D340EB" w:rsidRPr="00416732" w:rsidRDefault="00D340EB" w:rsidP="00D340EB">
      <w:pPr>
        <w:spacing w:line="360" w:lineRule="auto"/>
        <w:jc w:val="both"/>
        <w:rPr>
          <w:rFonts w:ascii="Arial" w:hAnsi="Arial" w:cs="Arial"/>
          <w:sz w:val="22"/>
          <w:szCs w:val="22"/>
        </w:rPr>
      </w:pPr>
      <w:r w:rsidRPr="00416732">
        <w:rPr>
          <w:rFonts w:ascii="Arial" w:hAnsi="Arial" w:cs="Arial"/>
          <w:sz w:val="22"/>
          <w:szCs w:val="22"/>
        </w:rPr>
        <w:t>The data gathered shows that antibiotic resistance in Pakistan is more a behavioral issue than the usage of antibiotics in a specific medical field. High levels of self-medication, distribution o</w:t>
      </w:r>
      <w:r>
        <w:rPr>
          <w:rFonts w:ascii="Arial" w:hAnsi="Arial" w:cs="Arial"/>
          <w:sz w:val="22"/>
          <w:szCs w:val="22"/>
        </w:rPr>
        <w:t>f medicine without prescription</w:t>
      </w:r>
      <w:r w:rsidRPr="00416732">
        <w:rPr>
          <w:rFonts w:ascii="Arial" w:hAnsi="Arial" w:cs="Arial"/>
          <w:sz w:val="22"/>
          <w:szCs w:val="22"/>
        </w:rPr>
        <w:t xml:space="preserve"> and methods of prescribing of broad-spectrum drugs all appea</w:t>
      </w:r>
      <w:r>
        <w:rPr>
          <w:rFonts w:ascii="Arial" w:hAnsi="Arial" w:cs="Arial"/>
          <w:sz w:val="22"/>
          <w:szCs w:val="22"/>
        </w:rPr>
        <w:t>r to stem from economic, social</w:t>
      </w:r>
      <w:r w:rsidRPr="00416732">
        <w:rPr>
          <w:rFonts w:ascii="Arial" w:hAnsi="Arial" w:cs="Arial"/>
          <w:sz w:val="22"/>
          <w:szCs w:val="22"/>
        </w:rPr>
        <w:t xml:space="preserve"> and technica</w:t>
      </w:r>
      <w:r>
        <w:rPr>
          <w:rFonts w:ascii="Arial" w:hAnsi="Arial" w:cs="Arial"/>
          <w:sz w:val="22"/>
          <w:szCs w:val="22"/>
        </w:rPr>
        <w:t>l limitations of the system</w:t>
      </w:r>
      <w:r w:rsidRPr="00416732">
        <w:rPr>
          <w:rFonts w:ascii="Arial" w:hAnsi="Arial" w:cs="Arial"/>
          <w:sz w:val="22"/>
          <w:szCs w:val="22"/>
        </w:rPr>
        <w:t xml:space="preserve"> such as financial difficulties, lack of proper diagnoses, minimal control</w:t>
      </w:r>
      <w:r>
        <w:rPr>
          <w:rFonts w:ascii="Arial" w:hAnsi="Arial" w:cs="Arial"/>
          <w:sz w:val="22"/>
          <w:szCs w:val="22"/>
        </w:rPr>
        <w:t xml:space="preserve"> over the legality of practices</w:t>
      </w:r>
      <w:r w:rsidRPr="00416732">
        <w:rPr>
          <w:rFonts w:ascii="Arial" w:hAnsi="Arial" w:cs="Arial"/>
          <w:sz w:val="22"/>
          <w:szCs w:val="22"/>
        </w:rPr>
        <w:t xml:space="preserve"> and the problem of keeping pharmacies running. Therefore, education campaigns implemented at the individual level will not be efficient in producing sustainable results unless structural reforms are in force to deal with the origin of irrational practices.</w:t>
      </w:r>
    </w:p>
    <w:p w14:paraId="4936404C" w14:textId="77777777" w:rsidR="00D340EB" w:rsidRDefault="00D340EB" w:rsidP="00D340EB">
      <w:pPr>
        <w:spacing w:line="360" w:lineRule="auto"/>
        <w:jc w:val="both"/>
        <w:rPr>
          <w:rFonts w:ascii="Arial" w:hAnsi="Arial" w:cs="Arial"/>
          <w:sz w:val="22"/>
          <w:szCs w:val="22"/>
        </w:rPr>
      </w:pPr>
      <w:r w:rsidRPr="00416732">
        <w:rPr>
          <w:rFonts w:ascii="Arial" w:hAnsi="Arial" w:cs="Arial"/>
          <w:sz w:val="22"/>
          <w:szCs w:val="22"/>
        </w:rPr>
        <w:t>In order to use the findings mentioned above in practice, healthcare education must gather momentum toward practical stewardship competences. It is important for health profess</w:t>
      </w:r>
      <w:r>
        <w:rPr>
          <w:rFonts w:ascii="Arial" w:hAnsi="Arial" w:cs="Arial"/>
          <w:sz w:val="22"/>
          <w:szCs w:val="22"/>
        </w:rPr>
        <w:t>ionals, such as doctors, nurses</w:t>
      </w:r>
      <w:r w:rsidRPr="00416732">
        <w:rPr>
          <w:rFonts w:ascii="Arial" w:hAnsi="Arial" w:cs="Arial"/>
          <w:sz w:val="22"/>
          <w:szCs w:val="22"/>
        </w:rPr>
        <w:t xml:space="preserve"> and pharmacists to be trained in how to use local guidelines, record the reasons for pres</w:t>
      </w:r>
      <w:r>
        <w:rPr>
          <w:rFonts w:ascii="Arial" w:hAnsi="Arial" w:cs="Arial"/>
          <w:sz w:val="22"/>
          <w:szCs w:val="22"/>
        </w:rPr>
        <w:t>criptions, revise the treatment</w:t>
      </w:r>
      <w:r w:rsidRPr="00416732">
        <w:rPr>
          <w:rFonts w:ascii="Arial" w:hAnsi="Arial" w:cs="Arial"/>
          <w:sz w:val="22"/>
          <w:szCs w:val="22"/>
        </w:rPr>
        <w:t xml:space="preserve"> and resort to microbiological diagnostics. At the same time, it is vital for pharmacists to have institutional support in order to provide evidence-based advice and deny the illegal requests of patients for prescriptions.</w:t>
      </w:r>
    </w:p>
    <w:p w14:paraId="414D7C53" w14:textId="77777777" w:rsidR="00D340EB" w:rsidRDefault="00D340EB" w:rsidP="00D340EB">
      <w:pPr>
        <w:spacing w:line="360" w:lineRule="auto"/>
        <w:jc w:val="both"/>
        <w:rPr>
          <w:rFonts w:ascii="Arial" w:hAnsi="Arial" w:cs="Arial"/>
          <w:sz w:val="22"/>
          <w:szCs w:val="22"/>
        </w:rPr>
      </w:pPr>
      <w:r w:rsidRPr="00416732">
        <w:rPr>
          <w:rFonts w:ascii="Arial" w:hAnsi="Arial" w:cs="Arial"/>
          <w:sz w:val="22"/>
          <w:szCs w:val="22"/>
        </w:rPr>
        <w:t>Health systems need to create multidisciplinary Antimicrobial Stewardship teams comprised of physicians, pharm</w:t>
      </w:r>
      <w:r>
        <w:rPr>
          <w:rFonts w:ascii="Arial" w:hAnsi="Arial" w:cs="Arial"/>
          <w:sz w:val="22"/>
          <w:szCs w:val="22"/>
        </w:rPr>
        <w:t>acists, microbiologists, nurses</w:t>
      </w:r>
      <w:r w:rsidRPr="00416732">
        <w:rPr>
          <w:rFonts w:ascii="Arial" w:hAnsi="Arial" w:cs="Arial"/>
          <w:sz w:val="22"/>
          <w:szCs w:val="22"/>
        </w:rPr>
        <w:t xml:space="preserve"> and infection preventers to carry out </w:t>
      </w:r>
      <w:r>
        <w:rPr>
          <w:rFonts w:ascii="Arial" w:hAnsi="Arial" w:cs="Arial"/>
          <w:sz w:val="22"/>
          <w:szCs w:val="22"/>
        </w:rPr>
        <w:t>regular monitoring, formularies</w:t>
      </w:r>
      <w:r w:rsidRPr="00416732">
        <w:rPr>
          <w:rFonts w:ascii="Arial" w:hAnsi="Arial" w:cs="Arial"/>
          <w:sz w:val="22"/>
          <w:szCs w:val="22"/>
        </w:rPr>
        <w:t xml:space="preserve"> and prescription audits. Public health messages also need to indicate that antibiotics do not work on viral infections, while pharmacy oversight must adhere to strict risk management rules. Finally, government policies must be based on national program monitoring of antimicrobial resistance and use through the WHO One Health concept syste</w:t>
      </w:r>
      <w:r>
        <w:rPr>
          <w:rFonts w:ascii="Arial" w:hAnsi="Arial" w:cs="Arial"/>
          <w:sz w:val="22"/>
          <w:szCs w:val="22"/>
        </w:rPr>
        <w:t>ms that connect humans, animals</w:t>
      </w:r>
      <w:r w:rsidRPr="00416732">
        <w:rPr>
          <w:rFonts w:ascii="Arial" w:hAnsi="Arial" w:cs="Arial"/>
          <w:sz w:val="22"/>
          <w:szCs w:val="22"/>
        </w:rPr>
        <w:t xml:space="preserve"> and the environment. Enforcement should go hand in hand with providing patients with affordable healthcare services.</w:t>
      </w:r>
    </w:p>
    <w:p w14:paraId="54A75863" w14:textId="0D2EC9C5" w:rsidR="00D340EB" w:rsidRPr="00FA13DA" w:rsidRDefault="00FA13DA" w:rsidP="00FA13DA">
      <w:pPr>
        <w:pStyle w:val="Heading2"/>
        <w:rPr>
          <w:rFonts w:asciiTheme="minorBidi" w:hAnsiTheme="minorBidi" w:cstheme="minorBidi"/>
          <w:b/>
          <w:bCs/>
          <w:i/>
          <w:iCs/>
          <w:color w:val="000000" w:themeColor="text1"/>
          <w:sz w:val="22"/>
          <w:szCs w:val="22"/>
        </w:rPr>
      </w:pPr>
      <w:bookmarkStart w:id="97" w:name="_Toc238647444"/>
      <w:r>
        <w:rPr>
          <w:rFonts w:asciiTheme="minorBidi" w:hAnsiTheme="minorBidi" w:cstheme="minorBidi"/>
          <w:b/>
          <w:bCs/>
          <w:i/>
          <w:iCs/>
          <w:color w:val="000000" w:themeColor="text1"/>
          <w:sz w:val="22"/>
          <w:szCs w:val="22"/>
        </w:rPr>
        <w:lastRenderedPageBreak/>
        <w:t xml:space="preserve">7.3 </w:t>
      </w:r>
      <w:r w:rsidR="00D340EB" w:rsidRPr="00FA13DA">
        <w:rPr>
          <w:rFonts w:asciiTheme="minorBidi" w:hAnsiTheme="minorBidi" w:cstheme="minorBidi"/>
          <w:b/>
          <w:bCs/>
          <w:i/>
          <w:iCs/>
          <w:color w:val="000000" w:themeColor="text1"/>
          <w:sz w:val="22"/>
          <w:szCs w:val="22"/>
        </w:rPr>
        <w:t>Scope and Limitation</w:t>
      </w:r>
      <w:bookmarkEnd w:id="97"/>
    </w:p>
    <w:p w14:paraId="32F6BECF" w14:textId="183AAFF4" w:rsidR="00D340EB" w:rsidRPr="00FA13DA" w:rsidRDefault="00FA13DA" w:rsidP="00FA13DA">
      <w:pPr>
        <w:pStyle w:val="Heading2"/>
        <w:rPr>
          <w:rFonts w:asciiTheme="minorBidi" w:hAnsiTheme="minorBidi" w:cstheme="minorBidi"/>
          <w:b/>
          <w:bCs/>
          <w:i/>
          <w:iCs/>
          <w:color w:val="000000" w:themeColor="text1"/>
          <w:sz w:val="22"/>
          <w:szCs w:val="22"/>
        </w:rPr>
      </w:pPr>
      <w:bookmarkStart w:id="98" w:name="_Toc238647445"/>
      <w:r>
        <w:rPr>
          <w:rFonts w:asciiTheme="minorBidi" w:hAnsiTheme="minorBidi" w:cstheme="minorBidi"/>
          <w:b/>
          <w:bCs/>
          <w:i/>
          <w:iCs/>
          <w:color w:val="000000" w:themeColor="text1"/>
          <w:sz w:val="22"/>
          <w:szCs w:val="22"/>
        </w:rPr>
        <w:t xml:space="preserve">7.3.1 </w:t>
      </w:r>
      <w:r w:rsidR="00D340EB" w:rsidRPr="00FA13DA">
        <w:rPr>
          <w:rFonts w:asciiTheme="minorBidi" w:hAnsiTheme="minorBidi" w:cstheme="minorBidi"/>
          <w:b/>
          <w:bCs/>
          <w:i/>
          <w:iCs/>
          <w:color w:val="000000" w:themeColor="text1"/>
          <w:sz w:val="22"/>
          <w:szCs w:val="22"/>
        </w:rPr>
        <w:t>Scope</w:t>
      </w:r>
      <w:bookmarkEnd w:id="98"/>
      <w:r w:rsidR="00D340EB" w:rsidRPr="00FA13DA">
        <w:rPr>
          <w:rFonts w:asciiTheme="minorBidi" w:hAnsiTheme="minorBidi" w:cstheme="minorBidi"/>
          <w:b/>
          <w:bCs/>
          <w:i/>
          <w:iCs/>
          <w:color w:val="000000" w:themeColor="text1"/>
          <w:sz w:val="22"/>
          <w:szCs w:val="22"/>
        </w:rPr>
        <w:t xml:space="preserve"> </w:t>
      </w:r>
    </w:p>
    <w:p w14:paraId="3F02D3CE" w14:textId="77777777" w:rsidR="00D340EB" w:rsidRPr="004F5B64" w:rsidRDefault="00D340EB" w:rsidP="00D340EB">
      <w:pPr>
        <w:spacing w:line="360" w:lineRule="auto"/>
        <w:jc w:val="both"/>
        <w:rPr>
          <w:rFonts w:ascii="Arial" w:hAnsi="Arial" w:cs="Arial"/>
          <w:b/>
          <w:bCs/>
          <w:i/>
          <w:iCs/>
          <w:sz w:val="22"/>
          <w:szCs w:val="22"/>
        </w:rPr>
      </w:pPr>
      <w:r w:rsidRPr="004F5B64">
        <w:rPr>
          <w:rFonts w:ascii="Arial" w:hAnsi="Arial" w:cs="Arial"/>
          <w:sz w:val="22"/>
          <w:szCs w:val="22"/>
        </w:rPr>
        <w:t>The systematic literature review focused only on empirical articles published in the period from 2015 to 2025 en</w:t>
      </w:r>
      <w:r>
        <w:rPr>
          <w:rFonts w:ascii="Arial" w:hAnsi="Arial" w:cs="Arial"/>
          <w:sz w:val="22"/>
          <w:szCs w:val="22"/>
        </w:rPr>
        <w:t xml:space="preserve">gaging in </w:t>
      </w:r>
      <w:r w:rsidRPr="004F5B64">
        <w:rPr>
          <w:rFonts w:ascii="Arial" w:hAnsi="Arial" w:cs="Arial"/>
          <w:sz w:val="22"/>
          <w:szCs w:val="22"/>
        </w:rPr>
        <w:t xml:space="preserve">KAP associated with AMR in Pakistan. The study investigated the influence of structural upstream social determinants of health like </w:t>
      </w:r>
      <w:r>
        <w:rPr>
          <w:rFonts w:ascii="Arial" w:hAnsi="Arial" w:cs="Arial"/>
          <w:sz w:val="22"/>
          <w:szCs w:val="22"/>
        </w:rPr>
        <w:t>SE</w:t>
      </w:r>
      <w:r w:rsidRPr="004F5B64">
        <w:rPr>
          <w:rFonts w:ascii="Arial" w:hAnsi="Arial" w:cs="Arial"/>
          <w:sz w:val="22"/>
          <w:szCs w:val="22"/>
        </w:rPr>
        <w:t xml:space="preserve"> status, edu</w:t>
      </w:r>
      <w:r>
        <w:rPr>
          <w:rFonts w:ascii="Arial" w:hAnsi="Arial" w:cs="Arial"/>
          <w:sz w:val="22"/>
          <w:szCs w:val="22"/>
        </w:rPr>
        <w:t>cation, institutional framework</w:t>
      </w:r>
      <w:r w:rsidRPr="004F5B64">
        <w:rPr>
          <w:rFonts w:ascii="Arial" w:hAnsi="Arial" w:cs="Arial"/>
          <w:sz w:val="22"/>
          <w:szCs w:val="22"/>
        </w:rPr>
        <w:t xml:space="preserve"> and cultural context on the practices of antibioti</w:t>
      </w:r>
      <w:r>
        <w:rPr>
          <w:rFonts w:ascii="Arial" w:hAnsi="Arial" w:cs="Arial"/>
          <w:sz w:val="22"/>
          <w:szCs w:val="22"/>
        </w:rPr>
        <w:t>c use, self-medication behavior</w:t>
      </w:r>
      <w:r w:rsidRPr="004F5B64">
        <w:rPr>
          <w:rFonts w:ascii="Arial" w:hAnsi="Arial" w:cs="Arial"/>
          <w:sz w:val="22"/>
          <w:szCs w:val="22"/>
        </w:rPr>
        <w:t xml:space="preserve"> and prescribing behavior in various populations</w:t>
      </w:r>
      <w:r w:rsidRPr="004F5B64">
        <w:rPr>
          <w:rFonts w:ascii="Arial" w:hAnsi="Arial" w:cs="Arial"/>
          <w:b/>
          <w:bCs/>
          <w:i/>
          <w:iCs/>
          <w:sz w:val="22"/>
          <w:szCs w:val="22"/>
        </w:rPr>
        <w:t>.</w:t>
      </w:r>
    </w:p>
    <w:p w14:paraId="6A84600C" w14:textId="05902501" w:rsidR="00D340EB" w:rsidRPr="00FA13DA" w:rsidRDefault="00FA13DA" w:rsidP="00FA13DA">
      <w:pPr>
        <w:pStyle w:val="Heading2"/>
        <w:rPr>
          <w:rFonts w:asciiTheme="minorBidi" w:hAnsiTheme="minorBidi" w:cstheme="minorBidi"/>
          <w:b/>
          <w:bCs/>
          <w:i/>
          <w:iCs/>
          <w:color w:val="000000" w:themeColor="text1"/>
          <w:sz w:val="22"/>
          <w:szCs w:val="22"/>
        </w:rPr>
      </w:pPr>
      <w:bookmarkStart w:id="99" w:name="_Toc238647446"/>
      <w:r>
        <w:rPr>
          <w:rFonts w:asciiTheme="minorBidi" w:hAnsiTheme="minorBidi" w:cstheme="minorBidi"/>
          <w:b/>
          <w:bCs/>
          <w:i/>
          <w:iCs/>
          <w:color w:val="000000" w:themeColor="text1"/>
          <w:sz w:val="22"/>
          <w:szCs w:val="22"/>
        </w:rPr>
        <w:t xml:space="preserve">7.3.2 </w:t>
      </w:r>
      <w:r w:rsidR="00D340EB" w:rsidRPr="00FA13DA">
        <w:rPr>
          <w:rFonts w:asciiTheme="minorBidi" w:hAnsiTheme="minorBidi" w:cstheme="minorBidi"/>
          <w:b/>
          <w:bCs/>
          <w:i/>
          <w:iCs/>
          <w:color w:val="000000" w:themeColor="text1"/>
          <w:sz w:val="22"/>
          <w:szCs w:val="22"/>
        </w:rPr>
        <w:t>Limitations</w:t>
      </w:r>
      <w:bookmarkEnd w:id="99"/>
      <w:r w:rsidR="00D340EB" w:rsidRPr="00FA13DA">
        <w:rPr>
          <w:rFonts w:asciiTheme="minorBidi" w:hAnsiTheme="minorBidi" w:cstheme="minorBidi"/>
          <w:b/>
          <w:bCs/>
          <w:i/>
          <w:iCs/>
          <w:color w:val="000000" w:themeColor="text1"/>
          <w:sz w:val="22"/>
          <w:szCs w:val="22"/>
        </w:rPr>
        <w:t xml:space="preserve"> </w:t>
      </w:r>
    </w:p>
    <w:p w14:paraId="7365A0DF" w14:textId="77777777" w:rsidR="00D340EB" w:rsidRPr="004F5B64" w:rsidRDefault="00D340EB" w:rsidP="00D340EB">
      <w:pPr>
        <w:spacing w:line="360" w:lineRule="auto"/>
        <w:jc w:val="both"/>
        <w:rPr>
          <w:rFonts w:ascii="Arial" w:hAnsi="Arial" w:cs="Arial"/>
          <w:sz w:val="22"/>
          <w:szCs w:val="22"/>
        </w:rPr>
      </w:pPr>
      <w:r w:rsidRPr="004F5B64">
        <w:rPr>
          <w:rFonts w:ascii="Arial" w:hAnsi="Arial" w:cs="Arial"/>
          <w:sz w:val="22"/>
          <w:szCs w:val="22"/>
        </w:rPr>
        <w:t>A major limitation of the literature was the overwhelming use of cross-sectional studies, which limited causal conclusions and evaluation of behaviors for a lengthy time. Apart from that, the significant geographical concentration of studies in particular provinces and irregular reporting of demographic variables in the data made it difficult to conduct comprehensive subgroup meta-analyses. In addition, differences in measuring and reporting social determinants in particular studies contributed to differences in the results summarized.</w:t>
      </w:r>
    </w:p>
    <w:p w14:paraId="1CD97629" w14:textId="40759256" w:rsidR="00D340EB" w:rsidRPr="00FA13DA" w:rsidRDefault="00FA13DA" w:rsidP="00FA13DA">
      <w:pPr>
        <w:pStyle w:val="Heading2"/>
        <w:rPr>
          <w:rFonts w:asciiTheme="minorBidi" w:hAnsiTheme="minorBidi" w:cstheme="minorBidi"/>
          <w:b/>
          <w:bCs/>
          <w:i/>
          <w:iCs/>
          <w:color w:val="000000" w:themeColor="text1"/>
          <w:sz w:val="22"/>
          <w:szCs w:val="22"/>
        </w:rPr>
      </w:pPr>
      <w:bookmarkStart w:id="100" w:name="_Toc238647447"/>
      <w:r>
        <w:rPr>
          <w:rFonts w:asciiTheme="minorBidi" w:hAnsiTheme="minorBidi" w:cstheme="minorBidi"/>
          <w:b/>
          <w:bCs/>
          <w:i/>
          <w:iCs/>
          <w:color w:val="000000" w:themeColor="text1"/>
          <w:sz w:val="22"/>
          <w:szCs w:val="22"/>
        </w:rPr>
        <w:t xml:space="preserve">7.4 </w:t>
      </w:r>
      <w:r w:rsidR="00D340EB" w:rsidRPr="00FA13DA">
        <w:rPr>
          <w:rFonts w:asciiTheme="minorBidi" w:hAnsiTheme="minorBidi" w:cstheme="minorBidi"/>
          <w:b/>
          <w:bCs/>
          <w:i/>
          <w:iCs/>
          <w:color w:val="000000" w:themeColor="text1"/>
          <w:sz w:val="22"/>
          <w:szCs w:val="22"/>
        </w:rPr>
        <w:t>Recommendations for Practice</w:t>
      </w:r>
      <w:bookmarkEnd w:id="100"/>
    </w:p>
    <w:p w14:paraId="5D96D324" w14:textId="77777777" w:rsidR="00D340EB" w:rsidRPr="004F5B64" w:rsidRDefault="00D340EB" w:rsidP="00D340EB">
      <w:pPr>
        <w:spacing w:line="360" w:lineRule="auto"/>
        <w:jc w:val="both"/>
        <w:rPr>
          <w:rFonts w:ascii="Arial" w:hAnsi="Arial" w:cs="Arial"/>
          <w:sz w:val="22"/>
          <w:szCs w:val="22"/>
        </w:rPr>
      </w:pPr>
      <w:r w:rsidRPr="004F5B64">
        <w:rPr>
          <w:rFonts w:ascii="Arial" w:hAnsi="Arial" w:cs="Arial"/>
          <w:sz w:val="22"/>
          <w:szCs w:val="22"/>
        </w:rPr>
        <w:t>To facilitate the application of antibiotic stewardship knowledge to practice in Pakistan, comprehensive re</w:t>
      </w:r>
      <w:r>
        <w:rPr>
          <w:rFonts w:ascii="Arial" w:hAnsi="Arial" w:cs="Arial"/>
          <w:sz w:val="22"/>
          <w:szCs w:val="22"/>
        </w:rPr>
        <w:t>gulatory, clinical, educational</w:t>
      </w:r>
      <w:r w:rsidRPr="004F5B64">
        <w:rPr>
          <w:rFonts w:ascii="Arial" w:hAnsi="Arial" w:cs="Arial"/>
          <w:sz w:val="22"/>
          <w:szCs w:val="22"/>
        </w:rPr>
        <w:t xml:space="preserve"> and community-based interventions must be put in place. The relevant authorities must ensure that sales of antibiotics without prescription are strictly monitored on the market through pharmacy audits and supervision of licensed pharmacists. The health authorities must promote affordable access to point-of-care testing services in order to lower unnecessary broad-spectrum antibiotic usage and provide more accurate treatment. Multiple disciplinary policies and practices must be implemented in local hospitals through Antimicrobial Stewardship Programs based on local protocols and policies, including prescription audits and feedback on prescribing practices.</w:t>
      </w:r>
    </w:p>
    <w:p w14:paraId="7E2EFA85" w14:textId="77777777" w:rsidR="00D340EB" w:rsidRPr="00015E49" w:rsidRDefault="00D340EB" w:rsidP="00D340EB">
      <w:pPr>
        <w:spacing w:line="360" w:lineRule="auto"/>
        <w:jc w:val="both"/>
        <w:rPr>
          <w:rFonts w:ascii="Arial" w:hAnsi="Arial" w:cs="Arial"/>
          <w:sz w:val="22"/>
          <w:szCs w:val="22"/>
        </w:rPr>
      </w:pPr>
      <w:r w:rsidRPr="004F5B64">
        <w:rPr>
          <w:rFonts w:ascii="Arial" w:hAnsi="Arial" w:cs="Arial"/>
          <w:sz w:val="22"/>
          <w:szCs w:val="22"/>
        </w:rPr>
        <w:t>Also, it is significant to incorporate antibiotic stewardship training in pre- and postgraduate medical education programs. Standardized counseling on safe administration of antibiotics should be guaranteed to all patients. Finally, effective public health systems should be established in</w:t>
      </w:r>
      <w:r>
        <w:rPr>
          <w:rFonts w:ascii="Arial" w:hAnsi="Arial" w:cs="Arial"/>
          <w:sz w:val="22"/>
          <w:szCs w:val="22"/>
        </w:rPr>
        <w:t xml:space="preserve"> Pakistan to prevent infections</w:t>
      </w:r>
      <w:r w:rsidRPr="00015E49">
        <w:rPr>
          <w:rFonts w:ascii="Arial" w:hAnsi="Arial" w:cs="Arial"/>
          <w:sz w:val="22"/>
          <w:szCs w:val="22"/>
        </w:rPr>
        <w:t>.</w:t>
      </w:r>
    </w:p>
    <w:p w14:paraId="6B4DB67A" w14:textId="77777777" w:rsidR="00D340EB" w:rsidRPr="00015E49" w:rsidRDefault="00D340EB" w:rsidP="00D340EB">
      <w:pPr>
        <w:spacing w:line="360" w:lineRule="auto"/>
        <w:jc w:val="both"/>
        <w:rPr>
          <w:rFonts w:ascii="Arial" w:hAnsi="Arial" w:cs="Arial"/>
          <w:sz w:val="22"/>
          <w:szCs w:val="22"/>
        </w:rPr>
      </w:pPr>
      <w:r w:rsidRPr="00015E49">
        <w:rPr>
          <w:rFonts w:ascii="Arial" w:hAnsi="Arial" w:cs="Arial"/>
          <w:sz w:val="22"/>
          <w:szCs w:val="22"/>
        </w:rPr>
        <w:t>At the community level, culturally appropriate campaigns in Urdu and regional languages, delivered through mass media, schools, social platforms, and Lady Health Workers, should address misconceptions and discourage self-medication. Finally, integrated One Health surveillance should link antimicrobial use and resistance data across human, veterinary, agricultural, and environmental sectors to guide targeted interventions.</w:t>
      </w:r>
    </w:p>
    <w:p w14:paraId="1F5E5165" w14:textId="19D6C1BB" w:rsidR="00D340EB" w:rsidRPr="00FA13DA" w:rsidRDefault="00FA13DA" w:rsidP="00FA13DA">
      <w:pPr>
        <w:pStyle w:val="Heading2"/>
        <w:rPr>
          <w:rFonts w:asciiTheme="minorBidi" w:hAnsiTheme="minorBidi" w:cstheme="minorBidi"/>
          <w:b/>
          <w:bCs/>
          <w:i/>
          <w:iCs/>
          <w:color w:val="000000" w:themeColor="text1"/>
          <w:sz w:val="22"/>
          <w:szCs w:val="22"/>
        </w:rPr>
      </w:pPr>
      <w:bookmarkStart w:id="101" w:name="_Toc238647448"/>
      <w:r w:rsidRPr="00FA13DA">
        <w:rPr>
          <w:rFonts w:asciiTheme="minorBidi" w:hAnsiTheme="minorBidi" w:cstheme="minorBidi"/>
          <w:b/>
          <w:bCs/>
          <w:i/>
          <w:iCs/>
          <w:color w:val="000000" w:themeColor="text1"/>
          <w:sz w:val="22"/>
          <w:szCs w:val="22"/>
        </w:rPr>
        <w:lastRenderedPageBreak/>
        <w:t xml:space="preserve">7.5 </w:t>
      </w:r>
      <w:r w:rsidR="00D340EB" w:rsidRPr="00FA13DA">
        <w:rPr>
          <w:rFonts w:asciiTheme="minorBidi" w:hAnsiTheme="minorBidi" w:cstheme="minorBidi"/>
          <w:b/>
          <w:bCs/>
          <w:i/>
          <w:iCs/>
          <w:color w:val="000000" w:themeColor="text1"/>
          <w:sz w:val="22"/>
          <w:szCs w:val="22"/>
        </w:rPr>
        <w:t>Recommendations for Future Research</w:t>
      </w:r>
      <w:bookmarkEnd w:id="101"/>
    </w:p>
    <w:p w14:paraId="006558E7" w14:textId="77777777" w:rsidR="00D340EB" w:rsidRPr="004F5B64" w:rsidRDefault="00D340EB" w:rsidP="00D340EB">
      <w:pPr>
        <w:spacing w:line="360" w:lineRule="auto"/>
        <w:jc w:val="both"/>
        <w:rPr>
          <w:rFonts w:ascii="Arial" w:hAnsi="Arial" w:cs="Arial"/>
          <w:sz w:val="22"/>
          <w:szCs w:val="22"/>
        </w:rPr>
      </w:pPr>
      <w:r w:rsidRPr="004F5B64">
        <w:rPr>
          <w:rFonts w:ascii="Arial" w:hAnsi="Arial" w:cs="Arial"/>
          <w:sz w:val="22"/>
          <w:szCs w:val="22"/>
        </w:rPr>
        <w:t xml:space="preserve">Pakistan's future research on antimicrobial resistance should not only stop at descriptive cross-sectional studies but should also consider longitudinal cohort studies, prescription audits, and experimental intervention trials for establishing cause-effect relations and assessing long-term effects of stewardship measures. Improved methodological rigor is needed through the establishment and validation of a KAP standardized tool applicable across the country, and complemented by simulated client observations, pharmacist records, and interviews. It is important for the studies to consistently take into account noted social determinants like household income, place of residence, and access to medical support among populations with various </w:t>
      </w:r>
      <w:r>
        <w:rPr>
          <w:rFonts w:ascii="Arial" w:hAnsi="Arial" w:cs="Arial"/>
          <w:sz w:val="22"/>
          <w:szCs w:val="22"/>
        </w:rPr>
        <w:t>SE</w:t>
      </w:r>
      <w:r w:rsidRPr="004F5B64">
        <w:rPr>
          <w:rFonts w:ascii="Arial" w:hAnsi="Arial" w:cs="Arial"/>
          <w:sz w:val="22"/>
          <w:szCs w:val="22"/>
        </w:rPr>
        <w:t xml:space="preserve"> backgrounds.</w:t>
      </w:r>
    </w:p>
    <w:p w14:paraId="4B1034CA" w14:textId="77777777" w:rsidR="00D340EB" w:rsidRPr="00015E49" w:rsidRDefault="00D340EB" w:rsidP="00D340EB">
      <w:pPr>
        <w:spacing w:line="360" w:lineRule="auto"/>
        <w:jc w:val="both"/>
        <w:rPr>
          <w:rFonts w:ascii="Arial" w:hAnsi="Arial" w:cs="Arial"/>
          <w:sz w:val="22"/>
          <w:szCs w:val="22"/>
        </w:rPr>
      </w:pPr>
      <w:r w:rsidRPr="004F5B64">
        <w:rPr>
          <w:rFonts w:ascii="Arial" w:hAnsi="Arial" w:cs="Arial"/>
          <w:sz w:val="22"/>
          <w:szCs w:val="22"/>
        </w:rPr>
        <w:t>Furthermore, the research should focus on how pharmaceutical marketing, and commercial interests impact antibiotic prescribing in the provinces of Pakistan. Within the hospitals, studies should assess the efficiency of antimicrobial stewardship programs and computerized prescribing systems. The cost of making correct diagnosis should be compared with the cost related to the failure of empirical treatments. Finally, the research focus should adopt a One Health approach to discover the interrelations of human and veterinary medicine with AMR patterns and provide information to reach effective interventions at the national level.</w:t>
      </w:r>
    </w:p>
    <w:p w14:paraId="47C5FCEE" w14:textId="1871A7F1" w:rsidR="00D340EB" w:rsidRPr="00FA13DA" w:rsidRDefault="00FA13DA" w:rsidP="00FA13DA">
      <w:pPr>
        <w:pStyle w:val="Heading2"/>
        <w:rPr>
          <w:rFonts w:asciiTheme="minorBidi" w:hAnsiTheme="minorBidi" w:cstheme="minorBidi"/>
          <w:b/>
          <w:bCs/>
          <w:i/>
          <w:iCs/>
          <w:color w:val="000000" w:themeColor="text1"/>
          <w:sz w:val="22"/>
          <w:szCs w:val="22"/>
        </w:rPr>
      </w:pPr>
      <w:bookmarkStart w:id="102" w:name="_Toc238647449"/>
      <w:r w:rsidRPr="00FA13DA">
        <w:rPr>
          <w:rFonts w:asciiTheme="minorBidi" w:hAnsiTheme="minorBidi" w:cstheme="minorBidi"/>
          <w:b/>
          <w:bCs/>
          <w:i/>
          <w:iCs/>
          <w:color w:val="000000" w:themeColor="text1"/>
          <w:sz w:val="22"/>
          <w:szCs w:val="22"/>
        </w:rPr>
        <w:t xml:space="preserve">7.6 </w:t>
      </w:r>
      <w:r w:rsidR="00D340EB" w:rsidRPr="00FA13DA">
        <w:rPr>
          <w:rFonts w:asciiTheme="minorBidi" w:hAnsiTheme="minorBidi" w:cstheme="minorBidi"/>
          <w:b/>
          <w:bCs/>
          <w:i/>
          <w:iCs/>
          <w:color w:val="000000" w:themeColor="text1"/>
          <w:sz w:val="22"/>
          <w:szCs w:val="22"/>
        </w:rPr>
        <w:t>Conclusion</w:t>
      </w:r>
      <w:bookmarkEnd w:id="102"/>
    </w:p>
    <w:p w14:paraId="11850CA2" w14:textId="77777777" w:rsidR="00D340EB" w:rsidRPr="00015E49" w:rsidRDefault="00D340EB" w:rsidP="00D340EB">
      <w:pPr>
        <w:pStyle w:val="isselectedend"/>
        <w:spacing w:line="360" w:lineRule="auto"/>
        <w:jc w:val="both"/>
        <w:rPr>
          <w:rFonts w:ascii="Arial" w:hAnsi="Arial" w:cs="Arial"/>
          <w:sz w:val="22"/>
          <w:szCs w:val="22"/>
        </w:rPr>
      </w:pPr>
      <w:r w:rsidRPr="004F5B64">
        <w:rPr>
          <w:rFonts w:ascii="Arial" w:hAnsi="Arial" w:cs="Arial"/>
          <w:sz w:val="22"/>
          <w:szCs w:val="22"/>
        </w:rPr>
        <w:t>The issue of antimicrobial resistance poses a considerable risk to public health in Pakistan due to its complex relationship with different lifestyles and customs of its citizens, as well as a low capacity of the health system. This systematic review made it possible to analyze the findings of ten studies with a total of 5,237 participants that were conducted to assess the impact of various external factors on people's knowledge and perspectives about antibiotic use between 2015 and 2025. The findings indicate that people exhibited a high degree of knowledge about the subject, as well as positive attitudes toward the concept of antimicrobial stewardship; however, appropriate levels of practice were considerably lower. Also, it was shown that higher education and formal clinical practices positively affect knowledge about antibiotics, but structural issues still drive people toward their misuse. The problem of health services being expensive, patient expectations, commercial motivations, and ineffective pharmaceutical regulations result in the spread of practices that allow people to self-medicate (i.e., up to one-third of participants admit that they practice self-medication and that many of them buy antibiotics without prescriptions).</w:t>
      </w:r>
    </w:p>
    <w:p w14:paraId="384251FB" w14:textId="77777777" w:rsidR="00D340EB" w:rsidRDefault="00D340EB" w:rsidP="00D340EB">
      <w:pPr>
        <w:pStyle w:val="NormalWeb"/>
        <w:spacing w:line="360" w:lineRule="auto"/>
        <w:jc w:val="both"/>
        <w:rPr>
          <w:rFonts w:ascii="Arial" w:hAnsi="Arial" w:cs="Arial"/>
          <w:sz w:val="22"/>
          <w:szCs w:val="22"/>
        </w:rPr>
      </w:pPr>
      <w:r w:rsidRPr="004F5B64">
        <w:rPr>
          <w:rFonts w:ascii="Arial" w:hAnsi="Arial" w:cs="Arial"/>
          <w:sz w:val="22"/>
          <w:szCs w:val="22"/>
        </w:rPr>
        <w:t xml:space="preserve">The importance of these findings is in pointing out the necessity to move AMR actions from narrowly targeted educational approaches to inclusive, equity-based actions. Knowledge improvement is still </w:t>
      </w:r>
      <w:r w:rsidRPr="004F5B64">
        <w:rPr>
          <w:rFonts w:ascii="Arial" w:hAnsi="Arial" w:cs="Arial"/>
          <w:sz w:val="22"/>
          <w:szCs w:val="22"/>
        </w:rPr>
        <w:lastRenderedPageBreak/>
        <w:t xml:space="preserve">crucial, but education alone cannot bring about changes in behavior if people and medical professionals are in an environment where it is possible to obtain a prescription for the wrong antibiotic. Consequently, to successfully control AMR in Pakistan, it is necessary to tighten pharmaceutical regulation enforcement, increase the availability of reasonably priced and rapid diagnostic means, introduce mandatory antimicrobial stewardship programs in healthcare system, and implement activities combating </w:t>
      </w:r>
      <w:r>
        <w:rPr>
          <w:rFonts w:ascii="Arial" w:hAnsi="Arial" w:cs="Arial"/>
          <w:sz w:val="22"/>
          <w:szCs w:val="22"/>
        </w:rPr>
        <w:t>SE</w:t>
      </w:r>
      <w:r w:rsidRPr="004F5B64">
        <w:rPr>
          <w:rFonts w:ascii="Arial" w:hAnsi="Arial" w:cs="Arial"/>
          <w:sz w:val="22"/>
          <w:szCs w:val="22"/>
        </w:rPr>
        <w:t xml:space="preserve"> obstacles to provision of proper care. Thus, it is important to strengthen these underlying conditions along with proper education to bridge the knowledge-practice gap and make sure responsible </w:t>
      </w:r>
      <w:r>
        <w:rPr>
          <w:rFonts w:ascii="Arial" w:hAnsi="Arial" w:cs="Arial"/>
          <w:sz w:val="22"/>
          <w:szCs w:val="22"/>
        </w:rPr>
        <w:t>antimicrobial usage is promoted</w:t>
      </w:r>
      <w:r w:rsidRPr="00015E49">
        <w:rPr>
          <w:rFonts w:ascii="Arial" w:hAnsi="Arial" w:cs="Arial"/>
          <w:sz w:val="22"/>
          <w:szCs w:val="22"/>
        </w:rPr>
        <w:t>.</w:t>
      </w:r>
    </w:p>
    <w:p w14:paraId="634FEDB0" w14:textId="77777777" w:rsidR="00D340EB" w:rsidRDefault="00D340EB" w:rsidP="00D340EB">
      <w:pPr>
        <w:pStyle w:val="NormalWeb"/>
        <w:spacing w:line="360" w:lineRule="auto"/>
        <w:jc w:val="both"/>
        <w:rPr>
          <w:rFonts w:ascii="Arial" w:hAnsi="Arial" w:cs="Arial"/>
          <w:sz w:val="22"/>
          <w:szCs w:val="22"/>
        </w:rPr>
      </w:pPr>
    </w:p>
    <w:p w14:paraId="0C5E5B2C" w14:textId="77777777" w:rsidR="00D340EB" w:rsidRDefault="00D340EB" w:rsidP="00D340EB">
      <w:pPr>
        <w:pStyle w:val="NormalWeb"/>
        <w:spacing w:line="360" w:lineRule="auto"/>
        <w:jc w:val="both"/>
        <w:rPr>
          <w:rFonts w:ascii="Arial" w:hAnsi="Arial" w:cs="Arial"/>
          <w:sz w:val="22"/>
          <w:szCs w:val="22"/>
        </w:rPr>
      </w:pPr>
    </w:p>
    <w:p w14:paraId="1ADC5F7C" w14:textId="77777777" w:rsidR="00D340EB" w:rsidRDefault="00D340EB" w:rsidP="00D340EB">
      <w:pPr>
        <w:pStyle w:val="NormalWeb"/>
        <w:spacing w:line="360" w:lineRule="auto"/>
        <w:jc w:val="both"/>
        <w:rPr>
          <w:rFonts w:ascii="Arial" w:hAnsi="Arial" w:cs="Arial"/>
          <w:sz w:val="22"/>
          <w:szCs w:val="22"/>
        </w:rPr>
      </w:pPr>
    </w:p>
    <w:p w14:paraId="1347C9E1" w14:textId="77777777" w:rsidR="00D340EB" w:rsidRDefault="00D340EB" w:rsidP="00D340EB">
      <w:pPr>
        <w:pStyle w:val="NormalWeb"/>
        <w:spacing w:line="360" w:lineRule="auto"/>
        <w:jc w:val="both"/>
        <w:rPr>
          <w:rFonts w:ascii="Arial" w:hAnsi="Arial" w:cs="Arial"/>
          <w:sz w:val="22"/>
          <w:szCs w:val="22"/>
        </w:rPr>
      </w:pPr>
    </w:p>
    <w:p w14:paraId="44186832" w14:textId="77777777" w:rsidR="00D340EB" w:rsidRDefault="00D340EB" w:rsidP="00D340EB">
      <w:pPr>
        <w:pStyle w:val="NormalWeb"/>
        <w:spacing w:line="360" w:lineRule="auto"/>
        <w:jc w:val="both"/>
        <w:rPr>
          <w:rFonts w:ascii="Arial" w:hAnsi="Arial" w:cs="Arial"/>
          <w:sz w:val="22"/>
          <w:szCs w:val="22"/>
        </w:rPr>
      </w:pPr>
    </w:p>
    <w:p w14:paraId="77622D7D" w14:textId="77777777" w:rsidR="00D340EB" w:rsidRDefault="00D340EB" w:rsidP="00D340EB">
      <w:pPr>
        <w:pStyle w:val="NormalWeb"/>
        <w:spacing w:line="360" w:lineRule="auto"/>
        <w:jc w:val="both"/>
        <w:rPr>
          <w:rFonts w:ascii="Arial" w:hAnsi="Arial" w:cs="Arial"/>
          <w:sz w:val="22"/>
          <w:szCs w:val="22"/>
        </w:rPr>
      </w:pPr>
    </w:p>
    <w:p w14:paraId="0C7800C3" w14:textId="77777777" w:rsidR="00D340EB" w:rsidRDefault="00D340EB" w:rsidP="00D340EB">
      <w:pPr>
        <w:pStyle w:val="NormalWeb"/>
        <w:spacing w:line="360" w:lineRule="auto"/>
        <w:jc w:val="both"/>
        <w:rPr>
          <w:rFonts w:ascii="Arial" w:hAnsi="Arial" w:cs="Arial"/>
          <w:sz w:val="22"/>
          <w:szCs w:val="22"/>
        </w:rPr>
      </w:pPr>
    </w:p>
    <w:p w14:paraId="72C1DF20" w14:textId="77777777" w:rsidR="00D340EB" w:rsidRDefault="00D340EB" w:rsidP="00D340EB">
      <w:pPr>
        <w:pStyle w:val="NormalWeb"/>
        <w:spacing w:line="360" w:lineRule="auto"/>
        <w:jc w:val="both"/>
        <w:rPr>
          <w:rFonts w:ascii="Arial" w:hAnsi="Arial" w:cs="Arial"/>
          <w:sz w:val="22"/>
          <w:szCs w:val="22"/>
        </w:rPr>
      </w:pPr>
    </w:p>
    <w:p w14:paraId="1299C7DD" w14:textId="77777777" w:rsidR="00D340EB" w:rsidRDefault="00D340EB" w:rsidP="00D340EB">
      <w:pPr>
        <w:pStyle w:val="NormalWeb"/>
        <w:spacing w:line="360" w:lineRule="auto"/>
        <w:jc w:val="both"/>
        <w:rPr>
          <w:rFonts w:ascii="Arial" w:hAnsi="Arial" w:cs="Arial"/>
          <w:sz w:val="22"/>
          <w:szCs w:val="22"/>
        </w:rPr>
      </w:pPr>
    </w:p>
    <w:p w14:paraId="09D80785" w14:textId="77777777" w:rsidR="003C2D2A" w:rsidRDefault="003C2D2A" w:rsidP="00D340EB">
      <w:pPr>
        <w:pStyle w:val="NormalWeb"/>
        <w:spacing w:line="360" w:lineRule="auto"/>
        <w:jc w:val="both"/>
        <w:rPr>
          <w:rFonts w:ascii="Arial" w:hAnsi="Arial" w:cs="Arial"/>
          <w:sz w:val="22"/>
          <w:szCs w:val="22"/>
        </w:rPr>
      </w:pPr>
    </w:p>
    <w:p w14:paraId="3FA54166" w14:textId="77777777" w:rsidR="003C2D2A" w:rsidRDefault="003C2D2A" w:rsidP="00D340EB">
      <w:pPr>
        <w:pStyle w:val="NormalWeb"/>
        <w:spacing w:line="360" w:lineRule="auto"/>
        <w:jc w:val="both"/>
        <w:rPr>
          <w:rFonts w:ascii="Arial" w:hAnsi="Arial" w:cs="Arial"/>
          <w:sz w:val="22"/>
          <w:szCs w:val="22"/>
        </w:rPr>
      </w:pPr>
    </w:p>
    <w:p w14:paraId="41CAB5DB" w14:textId="77777777" w:rsidR="003C2D2A" w:rsidRDefault="003C2D2A" w:rsidP="00D340EB">
      <w:pPr>
        <w:pStyle w:val="NormalWeb"/>
        <w:spacing w:line="360" w:lineRule="auto"/>
        <w:jc w:val="both"/>
        <w:rPr>
          <w:rFonts w:ascii="Arial" w:hAnsi="Arial" w:cs="Arial"/>
          <w:sz w:val="22"/>
          <w:szCs w:val="22"/>
        </w:rPr>
      </w:pPr>
    </w:p>
    <w:p w14:paraId="18AF5732" w14:textId="77777777" w:rsidR="003C2D2A" w:rsidRDefault="003C2D2A" w:rsidP="00D340EB">
      <w:pPr>
        <w:pStyle w:val="NormalWeb"/>
        <w:spacing w:line="360" w:lineRule="auto"/>
        <w:jc w:val="both"/>
        <w:rPr>
          <w:rFonts w:ascii="Arial" w:hAnsi="Arial" w:cs="Arial"/>
          <w:sz w:val="22"/>
          <w:szCs w:val="22"/>
        </w:rPr>
      </w:pPr>
    </w:p>
    <w:p w14:paraId="19B0DB54" w14:textId="77777777" w:rsidR="003C2D2A" w:rsidRDefault="003C2D2A" w:rsidP="00D340EB">
      <w:pPr>
        <w:pStyle w:val="NormalWeb"/>
        <w:spacing w:line="360" w:lineRule="auto"/>
        <w:jc w:val="both"/>
        <w:rPr>
          <w:rFonts w:ascii="Arial" w:hAnsi="Arial" w:cs="Arial"/>
          <w:sz w:val="22"/>
          <w:szCs w:val="22"/>
        </w:rPr>
      </w:pPr>
    </w:p>
    <w:p w14:paraId="309518DE" w14:textId="77777777" w:rsidR="00D340EB" w:rsidRDefault="00D340EB" w:rsidP="00D340EB">
      <w:pPr>
        <w:pStyle w:val="NormalWeb"/>
        <w:spacing w:line="360" w:lineRule="auto"/>
        <w:jc w:val="both"/>
        <w:rPr>
          <w:rFonts w:ascii="Arial" w:hAnsi="Arial" w:cs="Arial"/>
          <w:sz w:val="22"/>
          <w:szCs w:val="22"/>
        </w:rPr>
      </w:pPr>
    </w:p>
    <w:p w14:paraId="62E7BD3C" w14:textId="77777777" w:rsidR="00D340EB" w:rsidRDefault="00D340EB" w:rsidP="00D340EB">
      <w:pPr>
        <w:pStyle w:val="NormalWeb"/>
        <w:spacing w:line="360" w:lineRule="auto"/>
        <w:jc w:val="both"/>
        <w:rPr>
          <w:rFonts w:ascii="Arial" w:hAnsi="Arial" w:cs="Arial"/>
          <w:sz w:val="22"/>
          <w:szCs w:val="22"/>
        </w:rPr>
      </w:pPr>
    </w:p>
    <w:p w14:paraId="6F5396AA" w14:textId="77777777" w:rsidR="00D340EB" w:rsidRPr="00FA13DA" w:rsidRDefault="00D340EB" w:rsidP="00FA13DA">
      <w:pPr>
        <w:pStyle w:val="Heading1"/>
        <w:jc w:val="center"/>
        <w:rPr>
          <w:rFonts w:asciiTheme="minorBidi" w:hAnsiTheme="minorBidi" w:cstheme="minorBidi"/>
          <w:b/>
          <w:bCs/>
          <w:color w:val="000000" w:themeColor="text1"/>
          <w:sz w:val="22"/>
          <w:szCs w:val="22"/>
        </w:rPr>
      </w:pPr>
      <w:bookmarkStart w:id="103" w:name="_Toc238647450"/>
      <w:r w:rsidRPr="00FA13DA">
        <w:rPr>
          <w:rFonts w:asciiTheme="minorBidi" w:hAnsiTheme="minorBidi" w:cstheme="minorBidi"/>
          <w:b/>
          <w:bCs/>
          <w:color w:val="000000" w:themeColor="text1"/>
          <w:sz w:val="22"/>
          <w:szCs w:val="22"/>
        </w:rPr>
        <w:t>References:</w:t>
      </w:r>
      <w:bookmarkEnd w:id="103"/>
    </w:p>
    <w:p w14:paraId="74C7D8DD"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Acharya, Y., Nepal, P., Yang, D., </w:t>
      </w:r>
      <w:proofErr w:type="spellStart"/>
      <w:r>
        <w:rPr>
          <w:rFonts w:ascii="Arial" w:hAnsi="Arial" w:cs="Arial"/>
          <w:sz w:val="22"/>
          <w:szCs w:val="22"/>
        </w:rPr>
        <w:t>Karki</w:t>
      </w:r>
      <w:proofErr w:type="spellEnd"/>
      <w:r>
        <w:rPr>
          <w:rFonts w:ascii="Arial" w:hAnsi="Arial" w:cs="Arial"/>
          <w:sz w:val="22"/>
          <w:szCs w:val="22"/>
        </w:rPr>
        <w:t xml:space="preserve">, K., </w:t>
      </w:r>
      <w:proofErr w:type="spellStart"/>
      <w:r>
        <w:rPr>
          <w:rFonts w:ascii="Arial" w:hAnsi="Arial" w:cs="Arial"/>
          <w:sz w:val="22"/>
          <w:szCs w:val="22"/>
        </w:rPr>
        <w:t>Bajracharya</w:t>
      </w:r>
      <w:proofErr w:type="spellEnd"/>
      <w:r>
        <w:rPr>
          <w:rFonts w:ascii="Arial" w:hAnsi="Arial" w:cs="Arial"/>
          <w:sz w:val="22"/>
          <w:szCs w:val="22"/>
        </w:rPr>
        <w:t xml:space="preserve">, D., </w:t>
      </w:r>
      <w:proofErr w:type="spellStart"/>
      <w:r>
        <w:rPr>
          <w:rFonts w:ascii="Arial" w:hAnsi="Arial" w:cs="Arial"/>
          <w:sz w:val="22"/>
          <w:szCs w:val="22"/>
        </w:rPr>
        <w:t>Prentis</w:t>
      </w:r>
      <w:proofErr w:type="spellEnd"/>
      <w:r>
        <w:rPr>
          <w:rFonts w:ascii="Arial" w:hAnsi="Arial" w:cs="Arial"/>
          <w:sz w:val="22"/>
          <w:szCs w:val="22"/>
        </w:rPr>
        <w:t xml:space="preserve">, T., Davis, S.L. and </w:t>
      </w:r>
      <w:proofErr w:type="spellStart"/>
      <w:r>
        <w:rPr>
          <w:rFonts w:ascii="Arial" w:hAnsi="Arial" w:cs="Arial"/>
          <w:sz w:val="22"/>
          <w:szCs w:val="22"/>
        </w:rPr>
        <w:t>Kaljee</w:t>
      </w:r>
      <w:proofErr w:type="spellEnd"/>
      <w:r>
        <w:rPr>
          <w:rFonts w:ascii="Arial" w:hAnsi="Arial" w:cs="Arial"/>
          <w:sz w:val="22"/>
          <w:szCs w:val="22"/>
        </w:rPr>
        <w:t>, L., 2021. Economic and social drivers of antibiotic dispensing practices among community pharmacies in Nepal. Tropical Medicine &amp; International Health, 26(5), pp.557-571.</w:t>
      </w:r>
    </w:p>
    <w:p w14:paraId="31D77FB6"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Ahmed, I., King, R., </w:t>
      </w:r>
      <w:proofErr w:type="spellStart"/>
      <w:r>
        <w:rPr>
          <w:rFonts w:ascii="Arial" w:hAnsi="Arial" w:cs="Arial"/>
          <w:sz w:val="22"/>
          <w:szCs w:val="22"/>
        </w:rPr>
        <w:t>Akter</w:t>
      </w:r>
      <w:proofErr w:type="spellEnd"/>
      <w:r>
        <w:rPr>
          <w:rFonts w:ascii="Arial" w:hAnsi="Arial" w:cs="Arial"/>
          <w:sz w:val="22"/>
          <w:szCs w:val="22"/>
        </w:rPr>
        <w:t xml:space="preserve">, S., </w:t>
      </w:r>
      <w:proofErr w:type="spellStart"/>
      <w:r>
        <w:rPr>
          <w:rFonts w:ascii="Arial" w:hAnsi="Arial" w:cs="Arial"/>
          <w:sz w:val="22"/>
          <w:szCs w:val="22"/>
        </w:rPr>
        <w:t>Akter</w:t>
      </w:r>
      <w:proofErr w:type="spellEnd"/>
      <w:r>
        <w:rPr>
          <w:rFonts w:ascii="Arial" w:hAnsi="Arial" w:cs="Arial"/>
          <w:sz w:val="22"/>
          <w:szCs w:val="22"/>
        </w:rPr>
        <w:t>, R. and Aggarwal, V.R., 2023. Determinants of antibiotic self-medication: A systematic review and meta-analysis. Research in Social and Administrative Pharmacy, 19(7), pp.1007-1017.</w:t>
      </w:r>
    </w:p>
    <w:p w14:paraId="334B3279"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Ahmed, S., </w:t>
      </w:r>
      <w:proofErr w:type="spellStart"/>
      <w:r>
        <w:rPr>
          <w:rFonts w:ascii="Arial" w:hAnsi="Arial" w:cs="Arial"/>
          <w:sz w:val="22"/>
          <w:szCs w:val="22"/>
        </w:rPr>
        <w:t>Tareq</w:t>
      </w:r>
      <w:proofErr w:type="spellEnd"/>
      <w:r>
        <w:rPr>
          <w:rFonts w:ascii="Arial" w:hAnsi="Arial" w:cs="Arial"/>
          <w:sz w:val="22"/>
          <w:szCs w:val="22"/>
        </w:rPr>
        <w:t xml:space="preserve">, A.H. and </w:t>
      </w:r>
      <w:proofErr w:type="spellStart"/>
      <w:r>
        <w:rPr>
          <w:rFonts w:ascii="Arial" w:hAnsi="Arial" w:cs="Arial"/>
          <w:sz w:val="22"/>
          <w:szCs w:val="22"/>
        </w:rPr>
        <w:t>Ilyas</w:t>
      </w:r>
      <w:proofErr w:type="spellEnd"/>
      <w:r>
        <w:rPr>
          <w:rFonts w:ascii="Arial" w:hAnsi="Arial" w:cs="Arial"/>
          <w:sz w:val="22"/>
          <w:szCs w:val="22"/>
        </w:rPr>
        <w:t xml:space="preserve">, D., 2024. The impact of antimicrobial resistance and stewardship training sessions on knowledge of healthcare students of </w:t>
      </w:r>
      <w:proofErr w:type="spellStart"/>
      <w:r>
        <w:rPr>
          <w:rFonts w:ascii="Arial" w:hAnsi="Arial" w:cs="Arial"/>
          <w:sz w:val="22"/>
          <w:szCs w:val="22"/>
        </w:rPr>
        <w:t>Wah</w:t>
      </w:r>
      <w:proofErr w:type="spellEnd"/>
      <w:r>
        <w:rPr>
          <w:rFonts w:ascii="Arial" w:hAnsi="Arial" w:cs="Arial"/>
          <w:sz w:val="22"/>
          <w:szCs w:val="22"/>
        </w:rPr>
        <w:t xml:space="preserve"> cantonment, Pakistan. INQUIRY: The Journal of Health Care Organization, Provision, and Financing, 61, p.00469580241228443.</w:t>
      </w:r>
    </w:p>
    <w:p w14:paraId="66DC1F20"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Alam</w:t>
      </w:r>
      <w:proofErr w:type="spellEnd"/>
      <w:r>
        <w:rPr>
          <w:rFonts w:ascii="Arial" w:hAnsi="Arial" w:cs="Arial"/>
          <w:sz w:val="22"/>
          <w:szCs w:val="22"/>
        </w:rPr>
        <w:t xml:space="preserve">, M., </w:t>
      </w:r>
      <w:proofErr w:type="spellStart"/>
      <w:r>
        <w:rPr>
          <w:rFonts w:ascii="Arial" w:hAnsi="Arial" w:cs="Arial"/>
          <w:sz w:val="22"/>
          <w:szCs w:val="22"/>
        </w:rPr>
        <w:t>Rasool</w:t>
      </w:r>
      <w:proofErr w:type="spellEnd"/>
      <w:r>
        <w:rPr>
          <w:rFonts w:ascii="Arial" w:hAnsi="Arial" w:cs="Arial"/>
          <w:sz w:val="22"/>
          <w:szCs w:val="22"/>
        </w:rPr>
        <w:t xml:space="preserve">, M.F., </w:t>
      </w:r>
      <w:proofErr w:type="spellStart"/>
      <w:r>
        <w:rPr>
          <w:rFonts w:ascii="Arial" w:hAnsi="Arial" w:cs="Arial"/>
          <w:sz w:val="22"/>
          <w:szCs w:val="22"/>
        </w:rPr>
        <w:t>Haseeb</w:t>
      </w:r>
      <w:proofErr w:type="spellEnd"/>
      <w:r>
        <w:rPr>
          <w:rFonts w:ascii="Arial" w:hAnsi="Arial" w:cs="Arial"/>
          <w:sz w:val="22"/>
          <w:szCs w:val="22"/>
        </w:rPr>
        <w:t xml:space="preserve">, A., </w:t>
      </w:r>
      <w:proofErr w:type="spellStart"/>
      <w:r>
        <w:rPr>
          <w:rFonts w:ascii="Arial" w:hAnsi="Arial" w:cs="Arial"/>
          <w:sz w:val="22"/>
          <w:szCs w:val="22"/>
        </w:rPr>
        <w:t>Altowayan</w:t>
      </w:r>
      <w:proofErr w:type="spellEnd"/>
      <w:r>
        <w:rPr>
          <w:rFonts w:ascii="Arial" w:hAnsi="Arial" w:cs="Arial"/>
          <w:sz w:val="22"/>
          <w:szCs w:val="22"/>
        </w:rPr>
        <w:t xml:space="preserve">, W.M., </w:t>
      </w:r>
      <w:proofErr w:type="spellStart"/>
      <w:r>
        <w:rPr>
          <w:rFonts w:ascii="Arial" w:hAnsi="Arial" w:cs="Arial"/>
          <w:sz w:val="22"/>
          <w:szCs w:val="22"/>
        </w:rPr>
        <w:t>Alqasoumi</w:t>
      </w:r>
      <w:proofErr w:type="spellEnd"/>
      <w:r>
        <w:rPr>
          <w:rFonts w:ascii="Arial" w:hAnsi="Arial" w:cs="Arial"/>
          <w:sz w:val="22"/>
          <w:szCs w:val="22"/>
        </w:rPr>
        <w:t xml:space="preserve">, A., </w:t>
      </w:r>
      <w:proofErr w:type="spellStart"/>
      <w:r>
        <w:rPr>
          <w:rFonts w:ascii="Arial" w:hAnsi="Arial" w:cs="Arial"/>
          <w:sz w:val="22"/>
          <w:szCs w:val="22"/>
        </w:rPr>
        <w:t>Khakwani</w:t>
      </w:r>
      <w:proofErr w:type="spellEnd"/>
      <w:r>
        <w:rPr>
          <w:rFonts w:ascii="Arial" w:hAnsi="Arial" w:cs="Arial"/>
          <w:sz w:val="22"/>
          <w:szCs w:val="22"/>
        </w:rPr>
        <w:t xml:space="preserve">, M. and </w:t>
      </w:r>
      <w:proofErr w:type="spellStart"/>
      <w:r>
        <w:rPr>
          <w:rFonts w:ascii="Arial" w:hAnsi="Arial" w:cs="Arial"/>
          <w:sz w:val="22"/>
          <w:szCs w:val="22"/>
        </w:rPr>
        <w:t>Saleem</w:t>
      </w:r>
      <w:proofErr w:type="spellEnd"/>
      <w:r>
        <w:rPr>
          <w:rFonts w:ascii="Arial" w:hAnsi="Arial" w:cs="Arial"/>
          <w:sz w:val="22"/>
          <w:szCs w:val="22"/>
        </w:rPr>
        <w:t xml:space="preserve">, Z., 2026. Addressing Antimicrobial Resistance: A Point Prevalence Survey Using </w:t>
      </w:r>
      <w:proofErr w:type="spellStart"/>
      <w:r>
        <w:rPr>
          <w:rFonts w:ascii="Arial" w:hAnsi="Arial" w:cs="Arial"/>
          <w:sz w:val="22"/>
          <w:szCs w:val="22"/>
        </w:rPr>
        <w:t>AWaRe</w:t>
      </w:r>
      <w:proofErr w:type="spellEnd"/>
      <w:r>
        <w:rPr>
          <w:rFonts w:ascii="Arial" w:hAnsi="Arial" w:cs="Arial"/>
          <w:sz w:val="22"/>
          <w:szCs w:val="22"/>
        </w:rPr>
        <w:t xml:space="preserve"> Indicators from Outpatient Settings of Multan, Pakistan. Infection and Drug Resistance, p.592798.</w:t>
      </w:r>
    </w:p>
    <w:p w14:paraId="25A3004B"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Alam</w:t>
      </w:r>
      <w:proofErr w:type="spellEnd"/>
      <w:r>
        <w:rPr>
          <w:rFonts w:ascii="Arial" w:hAnsi="Arial" w:cs="Arial"/>
          <w:sz w:val="22"/>
          <w:szCs w:val="22"/>
        </w:rPr>
        <w:t xml:space="preserve">, M., </w:t>
      </w:r>
      <w:proofErr w:type="spellStart"/>
      <w:r>
        <w:rPr>
          <w:rFonts w:ascii="Arial" w:hAnsi="Arial" w:cs="Arial"/>
          <w:sz w:val="22"/>
          <w:szCs w:val="22"/>
        </w:rPr>
        <w:t>Saleem</w:t>
      </w:r>
      <w:proofErr w:type="spellEnd"/>
      <w:r>
        <w:rPr>
          <w:rFonts w:ascii="Arial" w:hAnsi="Arial" w:cs="Arial"/>
          <w:sz w:val="22"/>
          <w:szCs w:val="22"/>
        </w:rPr>
        <w:t xml:space="preserve">, Z., </w:t>
      </w:r>
      <w:proofErr w:type="spellStart"/>
      <w:r>
        <w:rPr>
          <w:rFonts w:ascii="Arial" w:hAnsi="Arial" w:cs="Arial"/>
          <w:sz w:val="22"/>
          <w:szCs w:val="22"/>
        </w:rPr>
        <w:t>Haseeb</w:t>
      </w:r>
      <w:proofErr w:type="spellEnd"/>
      <w:r>
        <w:rPr>
          <w:rFonts w:ascii="Arial" w:hAnsi="Arial" w:cs="Arial"/>
          <w:sz w:val="22"/>
          <w:szCs w:val="22"/>
        </w:rPr>
        <w:t xml:space="preserve">, A., </w:t>
      </w:r>
      <w:proofErr w:type="spellStart"/>
      <w:r>
        <w:rPr>
          <w:rFonts w:ascii="Arial" w:hAnsi="Arial" w:cs="Arial"/>
          <w:sz w:val="22"/>
          <w:szCs w:val="22"/>
        </w:rPr>
        <w:t>Qamar</w:t>
      </w:r>
      <w:proofErr w:type="spellEnd"/>
      <w:r>
        <w:rPr>
          <w:rFonts w:ascii="Arial" w:hAnsi="Arial" w:cs="Arial"/>
          <w:sz w:val="22"/>
          <w:szCs w:val="22"/>
        </w:rPr>
        <w:t xml:space="preserve">, M.U., Sheikh, A., </w:t>
      </w:r>
      <w:proofErr w:type="spellStart"/>
      <w:r>
        <w:rPr>
          <w:rFonts w:ascii="Arial" w:hAnsi="Arial" w:cs="Arial"/>
          <w:sz w:val="22"/>
          <w:szCs w:val="22"/>
        </w:rPr>
        <w:t>Abuhussain</w:t>
      </w:r>
      <w:proofErr w:type="spellEnd"/>
      <w:r>
        <w:rPr>
          <w:rFonts w:ascii="Arial" w:hAnsi="Arial" w:cs="Arial"/>
          <w:sz w:val="22"/>
          <w:szCs w:val="22"/>
        </w:rPr>
        <w:t xml:space="preserve">, S.S.A., Iqbal, M.S., </w:t>
      </w:r>
      <w:proofErr w:type="spellStart"/>
      <w:r>
        <w:rPr>
          <w:rFonts w:ascii="Arial" w:hAnsi="Arial" w:cs="Arial"/>
          <w:sz w:val="22"/>
          <w:szCs w:val="22"/>
        </w:rPr>
        <w:t>Raees</w:t>
      </w:r>
      <w:proofErr w:type="spellEnd"/>
      <w:r>
        <w:rPr>
          <w:rFonts w:ascii="Arial" w:hAnsi="Arial" w:cs="Arial"/>
          <w:sz w:val="22"/>
          <w:szCs w:val="22"/>
        </w:rPr>
        <w:t xml:space="preserve">, F., </w:t>
      </w:r>
      <w:proofErr w:type="spellStart"/>
      <w:r>
        <w:rPr>
          <w:rFonts w:ascii="Arial" w:hAnsi="Arial" w:cs="Arial"/>
          <w:sz w:val="22"/>
          <w:szCs w:val="22"/>
        </w:rPr>
        <w:t>Chigome</w:t>
      </w:r>
      <w:proofErr w:type="spellEnd"/>
      <w:r>
        <w:rPr>
          <w:rFonts w:ascii="Arial" w:hAnsi="Arial" w:cs="Arial"/>
          <w:sz w:val="22"/>
          <w:szCs w:val="22"/>
        </w:rPr>
        <w:t>, A., Cook, A. and Moore, C.E., 2023. Tackling antimicrobial resistance in primary care facilities across Pakistan: current challenges and implications for the future. Journal of Infection and Public Health, 16, pp.97-110.</w:t>
      </w:r>
    </w:p>
    <w:p w14:paraId="794F05C6"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Alhassan</w:t>
      </w:r>
      <w:proofErr w:type="spellEnd"/>
      <w:r>
        <w:rPr>
          <w:rFonts w:ascii="Arial" w:hAnsi="Arial" w:cs="Arial"/>
          <w:sz w:val="22"/>
          <w:szCs w:val="22"/>
        </w:rPr>
        <w:t xml:space="preserve">, M.Y., Muhammad, N.M., Ahmad, A.A. and </w:t>
      </w:r>
      <w:proofErr w:type="spellStart"/>
      <w:r>
        <w:rPr>
          <w:rFonts w:ascii="Arial" w:hAnsi="Arial" w:cs="Arial"/>
          <w:sz w:val="22"/>
          <w:szCs w:val="22"/>
        </w:rPr>
        <w:t>Abdullahi</w:t>
      </w:r>
      <w:proofErr w:type="spellEnd"/>
      <w:r>
        <w:rPr>
          <w:rFonts w:ascii="Arial" w:hAnsi="Arial" w:cs="Arial"/>
          <w:sz w:val="22"/>
          <w:szCs w:val="22"/>
        </w:rPr>
        <w:t>, S.A., 2025. Climate change and antimicrobial resistance in foodborne bacteria: a one health perspective for low-and middle-income countries. Animal Diseases, 5(1), p.51.</w:t>
      </w:r>
    </w:p>
    <w:p w14:paraId="679D7689" w14:textId="77777777" w:rsidR="00D340EB" w:rsidRDefault="00D340EB" w:rsidP="00D340EB">
      <w:pPr>
        <w:numPr>
          <w:ilvl w:val="0"/>
          <w:numId w:val="35"/>
        </w:numPr>
        <w:spacing w:line="360" w:lineRule="auto"/>
        <w:jc w:val="both"/>
        <w:rPr>
          <w:rFonts w:ascii="Arial" w:hAnsi="Arial" w:cs="Arial"/>
          <w:color w:val="EE0000"/>
          <w:sz w:val="22"/>
          <w:szCs w:val="22"/>
        </w:rPr>
      </w:pPr>
      <w:proofErr w:type="spellStart"/>
      <w:r>
        <w:rPr>
          <w:rFonts w:ascii="Arial" w:hAnsi="Arial" w:cs="Arial"/>
          <w:color w:val="EE0000"/>
          <w:sz w:val="22"/>
          <w:szCs w:val="22"/>
        </w:rPr>
        <w:t>Aromataris</w:t>
      </w:r>
      <w:proofErr w:type="spellEnd"/>
      <w:r>
        <w:rPr>
          <w:rFonts w:ascii="Arial" w:hAnsi="Arial" w:cs="Arial"/>
          <w:color w:val="EE0000"/>
          <w:sz w:val="22"/>
          <w:szCs w:val="22"/>
        </w:rPr>
        <w:t xml:space="preserve">, E. and Munn, Z. eds., 2020. JBI manual for evidence synthesis. </w:t>
      </w:r>
      <w:proofErr w:type="spellStart"/>
      <w:r>
        <w:rPr>
          <w:rFonts w:ascii="Arial" w:hAnsi="Arial" w:cs="Arial"/>
          <w:color w:val="EE0000"/>
          <w:sz w:val="22"/>
          <w:szCs w:val="22"/>
        </w:rPr>
        <w:t>Jbi</w:t>
      </w:r>
      <w:proofErr w:type="spellEnd"/>
      <w:r>
        <w:rPr>
          <w:rFonts w:ascii="Arial" w:hAnsi="Arial" w:cs="Arial"/>
          <w:color w:val="EE0000"/>
          <w:sz w:val="22"/>
          <w:szCs w:val="22"/>
        </w:rPr>
        <w:t>.</w:t>
      </w:r>
    </w:p>
    <w:p w14:paraId="1ED95E7B"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Asghar</w:t>
      </w:r>
      <w:proofErr w:type="spellEnd"/>
      <w:r>
        <w:rPr>
          <w:rFonts w:ascii="Arial" w:hAnsi="Arial" w:cs="Arial"/>
          <w:sz w:val="22"/>
          <w:szCs w:val="22"/>
        </w:rPr>
        <w:t xml:space="preserve">, S., </w:t>
      </w:r>
      <w:proofErr w:type="spellStart"/>
      <w:r>
        <w:rPr>
          <w:rFonts w:ascii="Arial" w:hAnsi="Arial" w:cs="Arial"/>
          <w:sz w:val="22"/>
          <w:szCs w:val="22"/>
        </w:rPr>
        <w:t>Atif</w:t>
      </w:r>
      <w:proofErr w:type="spellEnd"/>
      <w:r>
        <w:rPr>
          <w:rFonts w:ascii="Arial" w:hAnsi="Arial" w:cs="Arial"/>
          <w:sz w:val="22"/>
          <w:szCs w:val="22"/>
        </w:rPr>
        <w:t>, M., Arshad, S., Masood, I. and Hashmi, A., 2024. Probing the parental cognizance of antibiotic resistance by using Health Belief Model: An exploratory study. Research in Social and Administrative Pharmacy, 20(1), pp.28-35.</w:t>
      </w:r>
    </w:p>
    <w:p w14:paraId="140A6011"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Asghar</w:t>
      </w:r>
      <w:proofErr w:type="spellEnd"/>
      <w:r>
        <w:rPr>
          <w:rFonts w:ascii="Arial" w:hAnsi="Arial" w:cs="Arial"/>
          <w:sz w:val="22"/>
          <w:szCs w:val="22"/>
        </w:rPr>
        <w:t xml:space="preserve">, S., </w:t>
      </w:r>
      <w:proofErr w:type="spellStart"/>
      <w:r>
        <w:rPr>
          <w:rFonts w:ascii="Arial" w:hAnsi="Arial" w:cs="Arial"/>
          <w:sz w:val="22"/>
          <w:szCs w:val="22"/>
        </w:rPr>
        <w:t>Atif</w:t>
      </w:r>
      <w:proofErr w:type="spellEnd"/>
      <w:r>
        <w:rPr>
          <w:rFonts w:ascii="Arial" w:hAnsi="Arial" w:cs="Arial"/>
          <w:sz w:val="22"/>
          <w:szCs w:val="22"/>
        </w:rPr>
        <w:t xml:space="preserve">, M., </w:t>
      </w:r>
      <w:proofErr w:type="spellStart"/>
      <w:r>
        <w:rPr>
          <w:rFonts w:ascii="Arial" w:hAnsi="Arial" w:cs="Arial"/>
          <w:sz w:val="22"/>
          <w:szCs w:val="22"/>
        </w:rPr>
        <w:t>Mushtaq</w:t>
      </w:r>
      <w:proofErr w:type="spellEnd"/>
      <w:r>
        <w:rPr>
          <w:rFonts w:ascii="Arial" w:hAnsi="Arial" w:cs="Arial"/>
          <w:sz w:val="22"/>
          <w:szCs w:val="22"/>
        </w:rPr>
        <w:t>, I., Malik, I., Hayat, K. and Babar, Z.U.D., 2020. Factors associated with inappropriate dispensing of antibiotics among non-pharmacist pharmacy workers. Research in Social and Administrative Pharmacy, 16(6), pp.805-811.</w:t>
      </w:r>
    </w:p>
    <w:p w14:paraId="6D14154F"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lastRenderedPageBreak/>
        <w:t xml:space="preserve">Ashraf, S., Ashraf, S., Ashraf, M., Imran, M.A., </w:t>
      </w:r>
      <w:proofErr w:type="spellStart"/>
      <w:r>
        <w:rPr>
          <w:rFonts w:ascii="Arial" w:hAnsi="Arial" w:cs="Arial"/>
          <w:sz w:val="22"/>
          <w:szCs w:val="22"/>
        </w:rPr>
        <w:t>Choudhary</w:t>
      </w:r>
      <w:proofErr w:type="spellEnd"/>
      <w:r>
        <w:rPr>
          <w:rFonts w:ascii="Arial" w:hAnsi="Arial" w:cs="Arial"/>
          <w:sz w:val="22"/>
          <w:szCs w:val="22"/>
        </w:rPr>
        <w:t xml:space="preserve">, Z.A., </w:t>
      </w:r>
      <w:proofErr w:type="spellStart"/>
      <w:r>
        <w:rPr>
          <w:rFonts w:ascii="Arial" w:hAnsi="Arial" w:cs="Arial"/>
          <w:sz w:val="22"/>
          <w:szCs w:val="22"/>
        </w:rPr>
        <w:t>Hafsa</w:t>
      </w:r>
      <w:proofErr w:type="spellEnd"/>
      <w:r>
        <w:rPr>
          <w:rFonts w:ascii="Arial" w:hAnsi="Arial" w:cs="Arial"/>
          <w:sz w:val="22"/>
          <w:szCs w:val="22"/>
        </w:rPr>
        <w:t xml:space="preserve">, H.T., </w:t>
      </w:r>
      <w:proofErr w:type="spellStart"/>
      <w:r>
        <w:rPr>
          <w:rFonts w:ascii="Arial" w:hAnsi="Arial" w:cs="Arial"/>
          <w:sz w:val="22"/>
          <w:szCs w:val="22"/>
        </w:rPr>
        <w:t>Awais</w:t>
      </w:r>
      <w:proofErr w:type="spellEnd"/>
      <w:r>
        <w:rPr>
          <w:rFonts w:ascii="Arial" w:hAnsi="Arial" w:cs="Arial"/>
          <w:sz w:val="22"/>
          <w:szCs w:val="22"/>
        </w:rPr>
        <w:t xml:space="preserve">, A.B., </w:t>
      </w:r>
      <w:proofErr w:type="spellStart"/>
      <w:r>
        <w:rPr>
          <w:rFonts w:ascii="Arial" w:hAnsi="Arial" w:cs="Arial"/>
          <w:sz w:val="22"/>
          <w:szCs w:val="22"/>
        </w:rPr>
        <w:t>Kalsoom</w:t>
      </w:r>
      <w:proofErr w:type="spellEnd"/>
      <w:r>
        <w:rPr>
          <w:rFonts w:ascii="Arial" w:hAnsi="Arial" w:cs="Arial"/>
          <w:sz w:val="22"/>
          <w:szCs w:val="22"/>
        </w:rPr>
        <w:t>, L., Farooq, I., Habib, Z. and Ashraf, S., 2022. Knowledge, attitude, and practice of clinicians about antimicrobial stewardship and resistance among hospitals of Pakistan: a multicenter cross-sectional study. Environmental Science and Pollution Research, 29(6), pp.8382-8392.</w:t>
      </w:r>
    </w:p>
    <w:p w14:paraId="36826D30"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Aslam</w:t>
      </w:r>
      <w:proofErr w:type="spellEnd"/>
      <w:r>
        <w:rPr>
          <w:rFonts w:ascii="Arial" w:hAnsi="Arial" w:cs="Arial"/>
          <w:sz w:val="22"/>
          <w:szCs w:val="22"/>
        </w:rPr>
        <w:t xml:space="preserve">, A., </w:t>
      </w:r>
      <w:proofErr w:type="spellStart"/>
      <w:r>
        <w:rPr>
          <w:rFonts w:ascii="Arial" w:hAnsi="Arial" w:cs="Arial"/>
          <w:sz w:val="22"/>
          <w:szCs w:val="22"/>
        </w:rPr>
        <w:t>Zin</w:t>
      </w:r>
      <w:proofErr w:type="spellEnd"/>
      <w:r>
        <w:rPr>
          <w:rFonts w:ascii="Arial" w:hAnsi="Arial" w:cs="Arial"/>
          <w:sz w:val="22"/>
          <w:szCs w:val="22"/>
        </w:rPr>
        <w:t xml:space="preserve">, C.S., </w:t>
      </w:r>
      <w:proofErr w:type="spellStart"/>
      <w:r>
        <w:rPr>
          <w:rFonts w:ascii="Arial" w:hAnsi="Arial" w:cs="Arial"/>
          <w:sz w:val="22"/>
          <w:szCs w:val="22"/>
        </w:rPr>
        <w:t>Jamshed</w:t>
      </w:r>
      <w:proofErr w:type="spellEnd"/>
      <w:r>
        <w:rPr>
          <w:rFonts w:ascii="Arial" w:hAnsi="Arial" w:cs="Arial"/>
          <w:sz w:val="22"/>
          <w:szCs w:val="22"/>
        </w:rPr>
        <w:t xml:space="preserve">, S., Rahman, N.S.A., Ahmed, S.I., </w:t>
      </w:r>
      <w:proofErr w:type="spellStart"/>
      <w:r>
        <w:rPr>
          <w:rFonts w:ascii="Arial" w:hAnsi="Arial" w:cs="Arial"/>
          <w:sz w:val="22"/>
          <w:szCs w:val="22"/>
        </w:rPr>
        <w:t>Pallós</w:t>
      </w:r>
      <w:proofErr w:type="spellEnd"/>
      <w:r>
        <w:rPr>
          <w:rFonts w:ascii="Arial" w:hAnsi="Arial" w:cs="Arial"/>
          <w:sz w:val="22"/>
          <w:szCs w:val="22"/>
        </w:rPr>
        <w:t xml:space="preserve">, P. and </w:t>
      </w:r>
      <w:proofErr w:type="spellStart"/>
      <w:r>
        <w:rPr>
          <w:rFonts w:ascii="Arial" w:hAnsi="Arial" w:cs="Arial"/>
          <w:sz w:val="22"/>
          <w:szCs w:val="22"/>
        </w:rPr>
        <w:t>Gajdács</w:t>
      </w:r>
      <w:proofErr w:type="spellEnd"/>
      <w:r>
        <w:rPr>
          <w:rFonts w:ascii="Arial" w:hAnsi="Arial" w:cs="Arial"/>
          <w:sz w:val="22"/>
          <w:szCs w:val="22"/>
        </w:rPr>
        <w:t>, M., 2022. Self-medication with antibiotics: prevalence, practices and related factors among the Pakistani public. Antibiotics, 11(6), p.795.</w:t>
      </w:r>
    </w:p>
    <w:p w14:paraId="44A39D15"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Atif</w:t>
      </w:r>
      <w:proofErr w:type="spellEnd"/>
      <w:r>
        <w:rPr>
          <w:rFonts w:ascii="Arial" w:hAnsi="Arial" w:cs="Arial"/>
          <w:sz w:val="22"/>
          <w:szCs w:val="22"/>
        </w:rPr>
        <w:t xml:space="preserve">, M., </w:t>
      </w:r>
      <w:proofErr w:type="spellStart"/>
      <w:r>
        <w:rPr>
          <w:rFonts w:ascii="Arial" w:hAnsi="Arial" w:cs="Arial"/>
          <w:sz w:val="22"/>
          <w:szCs w:val="22"/>
        </w:rPr>
        <w:t>Asghar</w:t>
      </w:r>
      <w:proofErr w:type="spellEnd"/>
      <w:r>
        <w:rPr>
          <w:rFonts w:ascii="Arial" w:hAnsi="Arial" w:cs="Arial"/>
          <w:sz w:val="22"/>
          <w:szCs w:val="22"/>
        </w:rPr>
        <w:t xml:space="preserve">, S., </w:t>
      </w:r>
      <w:proofErr w:type="spellStart"/>
      <w:r>
        <w:rPr>
          <w:rFonts w:ascii="Arial" w:hAnsi="Arial" w:cs="Arial"/>
          <w:sz w:val="22"/>
          <w:szCs w:val="22"/>
        </w:rPr>
        <w:t>Mushtaq</w:t>
      </w:r>
      <w:proofErr w:type="spellEnd"/>
      <w:r>
        <w:rPr>
          <w:rFonts w:ascii="Arial" w:hAnsi="Arial" w:cs="Arial"/>
          <w:sz w:val="22"/>
          <w:szCs w:val="22"/>
        </w:rPr>
        <w:t>, I. and Malik, I., 2020. Community pharmacists as antibiotic stewards: A qualitative study exploring the current status of Antibiotic Stewardship Program in Bahawalpur, Pakistan. Journal of Infection and Public Health, 13(1), pp.118-124.</w:t>
      </w:r>
    </w:p>
    <w:p w14:paraId="53CE15E1"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Bajwa</w:t>
      </w:r>
      <w:proofErr w:type="spellEnd"/>
      <w:r>
        <w:rPr>
          <w:rFonts w:ascii="Arial" w:hAnsi="Arial" w:cs="Arial"/>
          <w:sz w:val="22"/>
          <w:szCs w:val="22"/>
        </w:rPr>
        <w:t xml:space="preserve">, M., Afzal, S., Sheikh, S.A. and </w:t>
      </w:r>
      <w:proofErr w:type="spellStart"/>
      <w:r>
        <w:rPr>
          <w:rFonts w:ascii="Arial" w:hAnsi="Arial" w:cs="Arial"/>
          <w:sz w:val="22"/>
          <w:szCs w:val="22"/>
        </w:rPr>
        <w:t>Saleem</w:t>
      </w:r>
      <w:proofErr w:type="spellEnd"/>
      <w:r>
        <w:rPr>
          <w:rFonts w:ascii="Arial" w:hAnsi="Arial" w:cs="Arial"/>
          <w:sz w:val="22"/>
          <w:szCs w:val="22"/>
        </w:rPr>
        <w:t>, Z., 2024. Drug inspector as an antibiotic steward: challenges and recommendations to implement national action plan of Pakistan on antimicrobial resistance. Expert Review of Anti-infective Therapy, 22(10), pp.907-920.</w:t>
      </w:r>
    </w:p>
    <w:p w14:paraId="242A3E1E"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Bilal, H., Khan, M.N., </w:t>
      </w:r>
      <w:proofErr w:type="spellStart"/>
      <w:r>
        <w:rPr>
          <w:rFonts w:ascii="Arial" w:hAnsi="Arial" w:cs="Arial"/>
          <w:sz w:val="22"/>
          <w:szCs w:val="22"/>
        </w:rPr>
        <w:t>Rehman</w:t>
      </w:r>
      <w:proofErr w:type="spellEnd"/>
      <w:r>
        <w:rPr>
          <w:rFonts w:ascii="Arial" w:hAnsi="Arial" w:cs="Arial"/>
          <w:sz w:val="22"/>
          <w:szCs w:val="22"/>
        </w:rPr>
        <w:t>, T., Hameed, M.F. and Yang, X., 2021. Antibiotic resistance in Pakistan: a systematic review of past decade. BMC infectious diseases, 21(1), p.244.</w:t>
      </w:r>
    </w:p>
    <w:p w14:paraId="039DD586"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Cantarero</w:t>
      </w:r>
      <w:r w:rsidRPr="00546283">
        <w:rPr>
          <w:rFonts w:ascii="Cambria Math" w:hAnsi="Cambria Math" w:cs="Cambria Math"/>
          <w:sz w:val="22"/>
          <w:szCs w:val="22"/>
        </w:rPr>
        <w:t>‐</w:t>
      </w:r>
      <w:r>
        <w:rPr>
          <w:rFonts w:ascii="Arial" w:hAnsi="Arial" w:cs="Arial"/>
          <w:sz w:val="22"/>
          <w:szCs w:val="22"/>
        </w:rPr>
        <w:t>Ar</w:t>
      </w:r>
      <w:r w:rsidRPr="00546283">
        <w:rPr>
          <w:rFonts w:ascii="Arial" w:hAnsi="Arial" w:cs="Arial"/>
          <w:sz w:val="22"/>
          <w:szCs w:val="22"/>
        </w:rPr>
        <w:t>é</w:t>
      </w:r>
      <w:r>
        <w:rPr>
          <w:rFonts w:ascii="Arial" w:hAnsi="Arial" w:cs="Arial"/>
          <w:sz w:val="22"/>
          <w:szCs w:val="22"/>
        </w:rPr>
        <w:t>valo</w:t>
      </w:r>
      <w:proofErr w:type="spellEnd"/>
      <w:r>
        <w:rPr>
          <w:rFonts w:ascii="Arial" w:hAnsi="Arial" w:cs="Arial"/>
          <w:sz w:val="22"/>
          <w:szCs w:val="22"/>
        </w:rPr>
        <w:t xml:space="preserve">, L., </w:t>
      </w:r>
      <w:proofErr w:type="spellStart"/>
      <w:r>
        <w:rPr>
          <w:rFonts w:ascii="Arial" w:hAnsi="Arial" w:cs="Arial"/>
          <w:sz w:val="22"/>
          <w:szCs w:val="22"/>
        </w:rPr>
        <w:t>Hallas</w:t>
      </w:r>
      <w:proofErr w:type="spellEnd"/>
      <w:r>
        <w:rPr>
          <w:rFonts w:ascii="Arial" w:hAnsi="Arial" w:cs="Arial"/>
          <w:sz w:val="22"/>
          <w:szCs w:val="22"/>
        </w:rPr>
        <w:t xml:space="preserve">, M.P. and </w:t>
      </w:r>
      <w:proofErr w:type="spellStart"/>
      <w:r>
        <w:rPr>
          <w:rFonts w:ascii="Arial" w:hAnsi="Arial" w:cs="Arial"/>
          <w:sz w:val="22"/>
          <w:szCs w:val="22"/>
        </w:rPr>
        <w:t>Kaae</w:t>
      </w:r>
      <w:proofErr w:type="spellEnd"/>
      <w:r>
        <w:rPr>
          <w:rFonts w:ascii="Arial" w:hAnsi="Arial" w:cs="Arial"/>
          <w:sz w:val="22"/>
          <w:szCs w:val="22"/>
        </w:rPr>
        <w:t>, S., 2017. Parental knowledge of antibiotic use in children with respiratory infections: a systematic review.</w:t>
      </w:r>
      <w:r w:rsidRPr="00546283">
        <w:rPr>
          <w:rFonts w:ascii="Arial" w:hAnsi="Arial" w:cs="Arial"/>
          <w:sz w:val="22"/>
          <w:szCs w:val="22"/>
        </w:rPr>
        <w:t> </w:t>
      </w:r>
      <w:r>
        <w:rPr>
          <w:rFonts w:ascii="Arial" w:hAnsi="Arial" w:cs="Arial"/>
          <w:sz w:val="22"/>
          <w:szCs w:val="22"/>
        </w:rPr>
        <w:t>International journal of pharmacy practice,</w:t>
      </w:r>
      <w:r w:rsidRPr="00546283">
        <w:rPr>
          <w:rFonts w:ascii="Arial" w:hAnsi="Arial" w:cs="Arial"/>
          <w:sz w:val="22"/>
          <w:szCs w:val="22"/>
        </w:rPr>
        <w:t> </w:t>
      </w:r>
      <w:r>
        <w:rPr>
          <w:rFonts w:ascii="Arial" w:hAnsi="Arial" w:cs="Arial"/>
          <w:sz w:val="22"/>
          <w:szCs w:val="22"/>
        </w:rPr>
        <w:t>25(1), pp.31-49.</w:t>
      </w:r>
    </w:p>
    <w:p w14:paraId="59153A3D"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Chan, A.H.Y., </w:t>
      </w:r>
      <w:proofErr w:type="spellStart"/>
      <w:r>
        <w:rPr>
          <w:rFonts w:ascii="Arial" w:hAnsi="Arial" w:cs="Arial"/>
          <w:sz w:val="22"/>
          <w:szCs w:val="22"/>
        </w:rPr>
        <w:t>Beyene</w:t>
      </w:r>
      <w:proofErr w:type="spellEnd"/>
      <w:r>
        <w:rPr>
          <w:rFonts w:ascii="Arial" w:hAnsi="Arial" w:cs="Arial"/>
          <w:sz w:val="22"/>
          <w:szCs w:val="22"/>
        </w:rPr>
        <w:t xml:space="preserve">, K., Tuck, C., Rutter, V. and </w:t>
      </w:r>
      <w:proofErr w:type="spellStart"/>
      <w:r>
        <w:rPr>
          <w:rFonts w:ascii="Arial" w:hAnsi="Arial" w:cs="Arial"/>
          <w:sz w:val="22"/>
          <w:szCs w:val="22"/>
        </w:rPr>
        <w:t>Ashiru-Oredope</w:t>
      </w:r>
      <w:proofErr w:type="spellEnd"/>
      <w:r>
        <w:rPr>
          <w:rFonts w:ascii="Arial" w:hAnsi="Arial" w:cs="Arial"/>
          <w:sz w:val="22"/>
          <w:szCs w:val="22"/>
        </w:rPr>
        <w:t>, D., 2022. Pharmacist beliefs about antimicrobial resistance and impacts on antibiotic supply: a multinational survey. JAC-Antimicrobial Resistance, 4(4), p.dlac062.</w:t>
      </w:r>
    </w:p>
    <w:p w14:paraId="1E6817B8"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Chandipwisa</w:t>
      </w:r>
      <w:proofErr w:type="spellEnd"/>
      <w:r>
        <w:rPr>
          <w:rFonts w:ascii="Arial" w:hAnsi="Arial" w:cs="Arial"/>
          <w:sz w:val="22"/>
          <w:szCs w:val="22"/>
        </w:rPr>
        <w:t xml:space="preserve">, C., Banda, H., Omar, W.H., </w:t>
      </w:r>
      <w:proofErr w:type="spellStart"/>
      <w:r>
        <w:rPr>
          <w:rFonts w:ascii="Arial" w:hAnsi="Arial" w:cs="Arial"/>
          <w:sz w:val="22"/>
          <w:szCs w:val="22"/>
        </w:rPr>
        <w:t>Shimilimo</w:t>
      </w:r>
      <w:proofErr w:type="spellEnd"/>
      <w:r>
        <w:rPr>
          <w:rFonts w:ascii="Arial" w:hAnsi="Arial" w:cs="Arial"/>
          <w:sz w:val="22"/>
          <w:szCs w:val="22"/>
        </w:rPr>
        <w:t xml:space="preserve">, A. and </w:t>
      </w:r>
      <w:proofErr w:type="spellStart"/>
      <w:r>
        <w:rPr>
          <w:rFonts w:ascii="Arial" w:hAnsi="Arial" w:cs="Arial"/>
          <w:sz w:val="22"/>
          <w:szCs w:val="22"/>
        </w:rPr>
        <w:t>Akanbi</w:t>
      </w:r>
      <w:proofErr w:type="spellEnd"/>
      <w:r>
        <w:rPr>
          <w:rFonts w:ascii="Arial" w:hAnsi="Arial" w:cs="Arial"/>
          <w:sz w:val="22"/>
          <w:szCs w:val="22"/>
        </w:rPr>
        <w:t xml:space="preserve">-Hakeem, B.H., 2026. Beyond antibiotics: Vaccines as catalysts for one health solutions to antimicrobial resistance. American Journal of </w:t>
      </w:r>
      <w:proofErr w:type="spellStart"/>
      <w:r>
        <w:rPr>
          <w:rFonts w:ascii="Arial" w:hAnsi="Arial" w:cs="Arial"/>
          <w:sz w:val="22"/>
          <w:szCs w:val="22"/>
        </w:rPr>
        <w:t>Biopharmacy</w:t>
      </w:r>
      <w:proofErr w:type="spellEnd"/>
      <w:r>
        <w:rPr>
          <w:rFonts w:ascii="Arial" w:hAnsi="Arial" w:cs="Arial"/>
          <w:sz w:val="22"/>
          <w:szCs w:val="22"/>
        </w:rPr>
        <w:t xml:space="preserve"> and Pharmaceutical Sciences, 6.</w:t>
      </w:r>
    </w:p>
    <w:p w14:paraId="1A62B45B"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Collignon</w:t>
      </w:r>
      <w:proofErr w:type="spellEnd"/>
      <w:r>
        <w:rPr>
          <w:rFonts w:ascii="Arial" w:hAnsi="Arial" w:cs="Arial"/>
          <w:sz w:val="22"/>
          <w:szCs w:val="22"/>
        </w:rPr>
        <w:t xml:space="preserve">, P., </w:t>
      </w:r>
      <w:proofErr w:type="spellStart"/>
      <w:r>
        <w:rPr>
          <w:rFonts w:ascii="Arial" w:hAnsi="Arial" w:cs="Arial"/>
          <w:sz w:val="22"/>
          <w:szCs w:val="22"/>
        </w:rPr>
        <w:t>Beggs</w:t>
      </w:r>
      <w:proofErr w:type="spellEnd"/>
      <w:r>
        <w:rPr>
          <w:rFonts w:ascii="Arial" w:hAnsi="Arial" w:cs="Arial"/>
          <w:sz w:val="22"/>
          <w:szCs w:val="22"/>
        </w:rPr>
        <w:t xml:space="preserve">, J.J., Walsh, T.R., </w:t>
      </w:r>
      <w:proofErr w:type="spellStart"/>
      <w:r>
        <w:rPr>
          <w:rFonts w:ascii="Arial" w:hAnsi="Arial" w:cs="Arial"/>
          <w:sz w:val="22"/>
          <w:szCs w:val="22"/>
        </w:rPr>
        <w:t>Gandra</w:t>
      </w:r>
      <w:proofErr w:type="spellEnd"/>
      <w:r>
        <w:rPr>
          <w:rFonts w:ascii="Arial" w:hAnsi="Arial" w:cs="Arial"/>
          <w:sz w:val="22"/>
          <w:szCs w:val="22"/>
        </w:rPr>
        <w:t xml:space="preserve">, S. and </w:t>
      </w:r>
      <w:proofErr w:type="spellStart"/>
      <w:r>
        <w:rPr>
          <w:rFonts w:ascii="Arial" w:hAnsi="Arial" w:cs="Arial"/>
          <w:sz w:val="22"/>
          <w:szCs w:val="22"/>
        </w:rPr>
        <w:t>Laxminarayan</w:t>
      </w:r>
      <w:proofErr w:type="spellEnd"/>
      <w:r>
        <w:rPr>
          <w:rFonts w:ascii="Arial" w:hAnsi="Arial" w:cs="Arial"/>
          <w:sz w:val="22"/>
          <w:szCs w:val="22"/>
        </w:rPr>
        <w:t xml:space="preserve">, R., 2018. Anthropological and SE factors contributing to global antimicrobial resistance: a </w:t>
      </w:r>
      <w:proofErr w:type="spellStart"/>
      <w:r>
        <w:rPr>
          <w:rFonts w:ascii="Arial" w:hAnsi="Arial" w:cs="Arial"/>
          <w:sz w:val="22"/>
          <w:szCs w:val="22"/>
        </w:rPr>
        <w:t>univariate</w:t>
      </w:r>
      <w:proofErr w:type="spellEnd"/>
      <w:r>
        <w:rPr>
          <w:rFonts w:ascii="Arial" w:hAnsi="Arial" w:cs="Arial"/>
          <w:sz w:val="22"/>
          <w:szCs w:val="22"/>
        </w:rPr>
        <w:t xml:space="preserve"> and multivariable analysis. The Lancet Planetary Health, 2(9), pp.e398-e405.</w:t>
      </w:r>
    </w:p>
    <w:p w14:paraId="57ADB79C"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Do, N.T., Vu, H.T., Nguyen, C.T., </w:t>
      </w:r>
      <w:proofErr w:type="spellStart"/>
      <w:r>
        <w:rPr>
          <w:rFonts w:ascii="Arial" w:hAnsi="Arial" w:cs="Arial"/>
          <w:sz w:val="22"/>
          <w:szCs w:val="22"/>
        </w:rPr>
        <w:t>Punpuing</w:t>
      </w:r>
      <w:proofErr w:type="spellEnd"/>
      <w:r>
        <w:rPr>
          <w:rFonts w:ascii="Arial" w:hAnsi="Arial" w:cs="Arial"/>
          <w:sz w:val="22"/>
          <w:szCs w:val="22"/>
        </w:rPr>
        <w:t xml:space="preserve">, S., Khan, W.A., </w:t>
      </w:r>
      <w:proofErr w:type="spellStart"/>
      <w:r>
        <w:rPr>
          <w:rFonts w:ascii="Arial" w:hAnsi="Arial" w:cs="Arial"/>
          <w:sz w:val="22"/>
          <w:szCs w:val="22"/>
        </w:rPr>
        <w:t>Gyapong</w:t>
      </w:r>
      <w:proofErr w:type="spellEnd"/>
      <w:r>
        <w:rPr>
          <w:rFonts w:ascii="Arial" w:hAnsi="Arial" w:cs="Arial"/>
          <w:sz w:val="22"/>
          <w:szCs w:val="22"/>
        </w:rPr>
        <w:t xml:space="preserve">, M., Asante, K.P., </w:t>
      </w:r>
      <w:proofErr w:type="spellStart"/>
      <w:r>
        <w:rPr>
          <w:rFonts w:ascii="Arial" w:hAnsi="Arial" w:cs="Arial"/>
          <w:sz w:val="22"/>
          <w:szCs w:val="22"/>
        </w:rPr>
        <w:t>Munguambe</w:t>
      </w:r>
      <w:proofErr w:type="spellEnd"/>
      <w:r>
        <w:rPr>
          <w:rFonts w:ascii="Arial" w:hAnsi="Arial" w:cs="Arial"/>
          <w:sz w:val="22"/>
          <w:szCs w:val="22"/>
        </w:rPr>
        <w:t>, K., Gómez-</w:t>
      </w:r>
      <w:proofErr w:type="spellStart"/>
      <w:r>
        <w:rPr>
          <w:rFonts w:ascii="Arial" w:hAnsi="Arial" w:cs="Arial"/>
          <w:sz w:val="22"/>
          <w:szCs w:val="22"/>
        </w:rPr>
        <w:t>Olivé</w:t>
      </w:r>
      <w:proofErr w:type="spellEnd"/>
      <w:r>
        <w:rPr>
          <w:rFonts w:ascii="Arial" w:hAnsi="Arial" w:cs="Arial"/>
          <w:sz w:val="22"/>
          <w:szCs w:val="22"/>
        </w:rPr>
        <w:t>, F.X., John-</w:t>
      </w:r>
      <w:proofErr w:type="spellStart"/>
      <w:r>
        <w:rPr>
          <w:rFonts w:ascii="Arial" w:hAnsi="Arial" w:cs="Arial"/>
          <w:sz w:val="22"/>
          <w:szCs w:val="22"/>
        </w:rPr>
        <w:t>Langba</w:t>
      </w:r>
      <w:proofErr w:type="spellEnd"/>
      <w:r>
        <w:rPr>
          <w:rFonts w:ascii="Arial" w:hAnsi="Arial" w:cs="Arial"/>
          <w:sz w:val="22"/>
          <w:szCs w:val="22"/>
        </w:rPr>
        <w:t xml:space="preserve">, J. and Tran, T.K., 2021. Community-based </w:t>
      </w:r>
      <w:r>
        <w:rPr>
          <w:rFonts w:ascii="Arial" w:hAnsi="Arial" w:cs="Arial"/>
          <w:sz w:val="22"/>
          <w:szCs w:val="22"/>
        </w:rPr>
        <w:lastRenderedPageBreak/>
        <w:t>antibiotic access and use in six low-income and middle-income countries: a mixed-method approach. The Lancet Global Health, 9(5), pp.e610-e619.</w:t>
      </w:r>
    </w:p>
    <w:p w14:paraId="3E69D07C"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Doan, D.A., Nguyen, A.D., Le, G.B., Nguyen, T.T.X., Nguyen, P.L. and </w:t>
      </w:r>
      <w:proofErr w:type="spellStart"/>
      <w:r>
        <w:rPr>
          <w:rFonts w:ascii="Arial" w:hAnsi="Arial" w:cs="Arial"/>
          <w:sz w:val="22"/>
          <w:szCs w:val="22"/>
        </w:rPr>
        <w:t>Dinh</w:t>
      </w:r>
      <w:proofErr w:type="spellEnd"/>
      <w:r>
        <w:rPr>
          <w:rFonts w:ascii="Arial" w:hAnsi="Arial" w:cs="Arial"/>
          <w:sz w:val="22"/>
          <w:szCs w:val="22"/>
        </w:rPr>
        <w:t>, D.X., 2025. Prevalence and associated factors of antibiotic self-medication and home storage among antibiotic users: a cross-sectional study in Vietnam. BMC Public Health, 25(1), p.1940.</w:t>
      </w:r>
    </w:p>
    <w:p w14:paraId="7C7005B3"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Doan, D.A., Nguyen, V.X., Le, G.B., Nguyen, T.T.X. and </w:t>
      </w:r>
      <w:proofErr w:type="spellStart"/>
      <w:r>
        <w:rPr>
          <w:rFonts w:ascii="Arial" w:hAnsi="Arial" w:cs="Arial"/>
          <w:sz w:val="22"/>
          <w:szCs w:val="22"/>
        </w:rPr>
        <w:t>Dinh</w:t>
      </w:r>
      <w:proofErr w:type="spellEnd"/>
      <w:r>
        <w:rPr>
          <w:rFonts w:ascii="Arial" w:hAnsi="Arial" w:cs="Arial"/>
          <w:sz w:val="22"/>
          <w:szCs w:val="22"/>
        </w:rPr>
        <w:t>, D.X., 2025. Antibiotic self-medication and home storage among university students in Vietnam: a cross-sectional study. BMJ open, 15(10), p.e107987.</w:t>
      </w:r>
    </w:p>
    <w:p w14:paraId="7097B05E"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Faizullah</w:t>
      </w:r>
      <w:proofErr w:type="spellEnd"/>
      <w:r>
        <w:rPr>
          <w:rFonts w:ascii="Arial" w:hAnsi="Arial" w:cs="Arial"/>
          <w:sz w:val="22"/>
          <w:szCs w:val="22"/>
        </w:rPr>
        <w:t xml:space="preserve">, M., Umar, M. I., Anwar, M., &amp; </w:t>
      </w:r>
      <w:proofErr w:type="spellStart"/>
      <w:r>
        <w:rPr>
          <w:rFonts w:ascii="Arial" w:hAnsi="Arial" w:cs="Arial"/>
          <w:sz w:val="22"/>
          <w:szCs w:val="22"/>
        </w:rPr>
        <w:t>Sarfraz</w:t>
      </w:r>
      <w:proofErr w:type="spellEnd"/>
      <w:r>
        <w:rPr>
          <w:rFonts w:ascii="Arial" w:hAnsi="Arial" w:cs="Arial"/>
          <w:sz w:val="22"/>
          <w:szCs w:val="22"/>
        </w:rPr>
        <w:t xml:space="preserve">, M. (2017). A cross-sectional study on knowledge, attitude and practices of medical doctors towards antibiotic prescribing patterns and resistance in Khyber </w:t>
      </w:r>
      <w:proofErr w:type="spellStart"/>
      <w:r>
        <w:rPr>
          <w:rFonts w:ascii="Arial" w:hAnsi="Arial" w:cs="Arial"/>
          <w:sz w:val="22"/>
          <w:szCs w:val="22"/>
        </w:rPr>
        <w:t>Pakhtun</w:t>
      </w:r>
      <w:proofErr w:type="spellEnd"/>
      <w:r>
        <w:rPr>
          <w:rFonts w:ascii="Arial" w:hAnsi="Arial" w:cs="Arial"/>
          <w:sz w:val="22"/>
          <w:szCs w:val="22"/>
        </w:rPr>
        <w:t xml:space="preserve"> </w:t>
      </w:r>
      <w:proofErr w:type="spellStart"/>
      <w:r>
        <w:rPr>
          <w:rFonts w:ascii="Arial" w:hAnsi="Arial" w:cs="Arial"/>
          <w:sz w:val="22"/>
          <w:szCs w:val="22"/>
        </w:rPr>
        <w:t>Khawah</w:t>
      </w:r>
      <w:proofErr w:type="spellEnd"/>
      <w:r>
        <w:rPr>
          <w:rFonts w:ascii="Arial" w:hAnsi="Arial" w:cs="Arial"/>
          <w:sz w:val="22"/>
          <w:szCs w:val="22"/>
        </w:rPr>
        <w:t>, Pakistan. Journal of Applied Pharmaceutical Science, 7(12), 038-046.</w:t>
      </w:r>
    </w:p>
    <w:p w14:paraId="0655E83C"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Fatima, N., Amin, A., </w:t>
      </w:r>
      <w:proofErr w:type="spellStart"/>
      <w:r>
        <w:rPr>
          <w:rFonts w:ascii="Arial" w:hAnsi="Arial" w:cs="Arial"/>
          <w:sz w:val="22"/>
          <w:szCs w:val="22"/>
        </w:rPr>
        <w:t>Hussain</w:t>
      </w:r>
      <w:proofErr w:type="spellEnd"/>
      <w:r>
        <w:rPr>
          <w:rFonts w:ascii="Arial" w:hAnsi="Arial" w:cs="Arial"/>
          <w:sz w:val="22"/>
          <w:szCs w:val="22"/>
        </w:rPr>
        <w:t>, M.B., Al-</w:t>
      </w:r>
      <w:proofErr w:type="spellStart"/>
      <w:r>
        <w:rPr>
          <w:rFonts w:ascii="Arial" w:hAnsi="Arial" w:cs="Arial"/>
          <w:sz w:val="22"/>
          <w:szCs w:val="22"/>
        </w:rPr>
        <w:t>Sameeai</w:t>
      </w:r>
      <w:proofErr w:type="spellEnd"/>
      <w:r>
        <w:rPr>
          <w:rFonts w:ascii="Arial" w:hAnsi="Arial" w:cs="Arial"/>
          <w:sz w:val="22"/>
          <w:szCs w:val="22"/>
        </w:rPr>
        <w:t xml:space="preserve">, N.A.-D., </w:t>
      </w:r>
      <w:proofErr w:type="spellStart"/>
      <w:r>
        <w:rPr>
          <w:rFonts w:ascii="Arial" w:hAnsi="Arial" w:cs="Arial"/>
          <w:sz w:val="22"/>
          <w:szCs w:val="22"/>
        </w:rPr>
        <w:t>Raza</w:t>
      </w:r>
      <w:proofErr w:type="spellEnd"/>
      <w:r>
        <w:rPr>
          <w:rFonts w:ascii="Arial" w:hAnsi="Arial" w:cs="Arial"/>
          <w:sz w:val="22"/>
          <w:szCs w:val="22"/>
        </w:rPr>
        <w:t xml:space="preserve">, M., </w:t>
      </w:r>
      <w:proofErr w:type="spellStart"/>
      <w:r>
        <w:rPr>
          <w:rFonts w:ascii="Arial" w:hAnsi="Arial" w:cs="Arial"/>
          <w:sz w:val="22"/>
          <w:szCs w:val="22"/>
        </w:rPr>
        <w:t>Ghaleb</w:t>
      </w:r>
      <w:proofErr w:type="spellEnd"/>
      <w:r>
        <w:rPr>
          <w:rFonts w:ascii="Arial" w:hAnsi="Arial" w:cs="Arial"/>
          <w:sz w:val="22"/>
          <w:szCs w:val="22"/>
        </w:rPr>
        <w:t xml:space="preserve">, S.H.E. and Hamza, M. (2025) ‘Molecular profiling of multidrug-resistant Pseudomonas </w:t>
      </w:r>
      <w:proofErr w:type="spellStart"/>
      <w:r>
        <w:rPr>
          <w:rFonts w:ascii="Arial" w:hAnsi="Arial" w:cs="Arial"/>
          <w:sz w:val="22"/>
          <w:szCs w:val="22"/>
        </w:rPr>
        <w:t>aeruginosa</w:t>
      </w:r>
      <w:proofErr w:type="spellEnd"/>
      <w:r>
        <w:rPr>
          <w:rFonts w:ascii="Arial" w:hAnsi="Arial" w:cs="Arial"/>
          <w:sz w:val="22"/>
          <w:szCs w:val="22"/>
        </w:rPr>
        <w:t xml:space="preserve"> isolated from health care settings for targeted antibiotic development’, Asian Food Science Journal, 7(10), pp. 112–131</w:t>
      </w:r>
    </w:p>
    <w:p w14:paraId="28BAF06F"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Gillani</w:t>
      </w:r>
      <w:proofErr w:type="spellEnd"/>
      <w:r>
        <w:rPr>
          <w:rFonts w:ascii="Arial" w:hAnsi="Arial" w:cs="Arial"/>
          <w:sz w:val="22"/>
          <w:szCs w:val="22"/>
        </w:rPr>
        <w:t xml:space="preserve">, A.H., Chang, J., </w:t>
      </w:r>
      <w:proofErr w:type="spellStart"/>
      <w:r>
        <w:rPr>
          <w:rFonts w:ascii="Arial" w:hAnsi="Arial" w:cs="Arial"/>
          <w:sz w:val="22"/>
          <w:szCs w:val="22"/>
        </w:rPr>
        <w:t>Aslam</w:t>
      </w:r>
      <w:proofErr w:type="spellEnd"/>
      <w:r>
        <w:rPr>
          <w:rFonts w:ascii="Arial" w:hAnsi="Arial" w:cs="Arial"/>
          <w:sz w:val="22"/>
          <w:szCs w:val="22"/>
        </w:rPr>
        <w:t xml:space="preserve">, F., Saeed, A., </w:t>
      </w:r>
      <w:proofErr w:type="spellStart"/>
      <w:r>
        <w:rPr>
          <w:rFonts w:ascii="Arial" w:hAnsi="Arial" w:cs="Arial"/>
          <w:sz w:val="22"/>
          <w:szCs w:val="22"/>
        </w:rPr>
        <w:t>Shukar</w:t>
      </w:r>
      <w:proofErr w:type="spellEnd"/>
      <w:r>
        <w:rPr>
          <w:rFonts w:ascii="Arial" w:hAnsi="Arial" w:cs="Arial"/>
          <w:sz w:val="22"/>
          <w:szCs w:val="22"/>
        </w:rPr>
        <w:t xml:space="preserve">, S., </w:t>
      </w:r>
      <w:proofErr w:type="spellStart"/>
      <w:r>
        <w:rPr>
          <w:rFonts w:ascii="Arial" w:hAnsi="Arial" w:cs="Arial"/>
          <w:sz w:val="22"/>
          <w:szCs w:val="22"/>
        </w:rPr>
        <w:t>Khanum</w:t>
      </w:r>
      <w:proofErr w:type="spellEnd"/>
      <w:r>
        <w:rPr>
          <w:rFonts w:ascii="Arial" w:hAnsi="Arial" w:cs="Arial"/>
          <w:sz w:val="22"/>
          <w:szCs w:val="22"/>
        </w:rPr>
        <w:t xml:space="preserve">, F., </w:t>
      </w:r>
      <w:proofErr w:type="spellStart"/>
      <w:r>
        <w:rPr>
          <w:rFonts w:ascii="Arial" w:hAnsi="Arial" w:cs="Arial"/>
          <w:sz w:val="22"/>
          <w:szCs w:val="22"/>
        </w:rPr>
        <w:t>Jairoun</w:t>
      </w:r>
      <w:proofErr w:type="spellEnd"/>
      <w:r>
        <w:rPr>
          <w:rFonts w:ascii="Arial" w:hAnsi="Arial" w:cs="Arial"/>
          <w:sz w:val="22"/>
          <w:szCs w:val="22"/>
        </w:rPr>
        <w:t>, A., Nicholson, A., Mohamed Ibrahim, M.I. and Fang, Y., 2021. Public knowledge, attitude, and practice regarding antibiotics use in Punjab, Pakistan: a cross-sectional study. Expert review of anti-infective therapy, 19(3), pp.399-411.</w:t>
      </w:r>
    </w:p>
    <w:p w14:paraId="26A6935D"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Gillani</w:t>
      </w:r>
      <w:proofErr w:type="spellEnd"/>
      <w:r>
        <w:rPr>
          <w:rFonts w:ascii="Arial" w:hAnsi="Arial" w:cs="Arial"/>
          <w:sz w:val="22"/>
          <w:szCs w:val="22"/>
        </w:rPr>
        <w:t xml:space="preserve">, A.H., Chang, J., </w:t>
      </w:r>
      <w:proofErr w:type="spellStart"/>
      <w:r>
        <w:rPr>
          <w:rFonts w:ascii="Arial" w:hAnsi="Arial" w:cs="Arial"/>
          <w:sz w:val="22"/>
          <w:szCs w:val="22"/>
        </w:rPr>
        <w:t>Aslam</w:t>
      </w:r>
      <w:proofErr w:type="spellEnd"/>
      <w:r>
        <w:rPr>
          <w:rFonts w:ascii="Arial" w:hAnsi="Arial" w:cs="Arial"/>
          <w:sz w:val="22"/>
          <w:szCs w:val="22"/>
        </w:rPr>
        <w:t xml:space="preserve">, F., Saeed, A., </w:t>
      </w:r>
      <w:proofErr w:type="spellStart"/>
      <w:r>
        <w:rPr>
          <w:rFonts w:ascii="Arial" w:hAnsi="Arial" w:cs="Arial"/>
          <w:sz w:val="22"/>
          <w:szCs w:val="22"/>
        </w:rPr>
        <w:t>Shukar</w:t>
      </w:r>
      <w:proofErr w:type="spellEnd"/>
      <w:r>
        <w:rPr>
          <w:rFonts w:ascii="Arial" w:hAnsi="Arial" w:cs="Arial"/>
          <w:sz w:val="22"/>
          <w:szCs w:val="22"/>
        </w:rPr>
        <w:t xml:space="preserve">, S., </w:t>
      </w:r>
      <w:proofErr w:type="spellStart"/>
      <w:r>
        <w:rPr>
          <w:rFonts w:ascii="Arial" w:hAnsi="Arial" w:cs="Arial"/>
          <w:sz w:val="22"/>
          <w:szCs w:val="22"/>
        </w:rPr>
        <w:t>Khanum</w:t>
      </w:r>
      <w:proofErr w:type="spellEnd"/>
      <w:r>
        <w:rPr>
          <w:rFonts w:ascii="Arial" w:hAnsi="Arial" w:cs="Arial"/>
          <w:sz w:val="22"/>
          <w:szCs w:val="22"/>
        </w:rPr>
        <w:t xml:space="preserve">, F., </w:t>
      </w:r>
      <w:proofErr w:type="spellStart"/>
      <w:r>
        <w:rPr>
          <w:rFonts w:ascii="Arial" w:hAnsi="Arial" w:cs="Arial"/>
          <w:sz w:val="22"/>
          <w:szCs w:val="22"/>
        </w:rPr>
        <w:t>Jairoun</w:t>
      </w:r>
      <w:proofErr w:type="spellEnd"/>
      <w:r>
        <w:rPr>
          <w:rFonts w:ascii="Arial" w:hAnsi="Arial" w:cs="Arial"/>
          <w:sz w:val="22"/>
          <w:szCs w:val="22"/>
        </w:rPr>
        <w:t>, A., Nicholson, A., Mohamed Ibrahim, M.I. and Fang, Y., 2021. Public knowledge, attitude, and practice regarding antibiotics use in Punjab, Pakistan: a cross-sectional study. Expert review of anti-infective therapy, 19(3), pp.399-411.</w:t>
      </w:r>
    </w:p>
    <w:p w14:paraId="5F7023BC"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Haque</w:t>
      </w:r>
      <w:proofErr w:type="spellEnd"/>
      <w:r>
        <w:rPr>
          <w:rFonts w:ascii="Arial" w:hAnsi="Arial" w:cs="Arial"/>
          <w:sz w:val="22"/>
          <w:szCs w:val="22"/>
        </w:rPr>
        <w:t xml:space="preserve">, M., Rahman, N.A.A., </w:t>
      </w:r>
      <w:proofErr w:type="spellStart"/>
      <w:r>
        <w:rPr>
          <w:rFonts w:ascii="Arial" w:hAnsi="Arial" w:cs="Arial"/>
          <w:sz w:val="22"/>
          <w:szCs w:val="22"/>
        </w:rPr>
        <w:t>McKimm</w:t>
      </w:r>
      <w:proofErr w:type="spellEnd"/>
      <w:r>
        <w:rPr>
          <w:rFonts w:ascii="Arial" w:hAnsi="Arial" w:cs="Arial"/>
          <w:sz w:val="22"/>
          <w:szCs w:val="22"/>
        </w:rPr>
        <w:t xml:space="preserve">, J., </w:t>
      </w:r>
      <w:proofErr w:type="spellStart"/>
      <w:r>
        <w:rPr>
          <w:rFonts w:ascii="Arial" w:hAnsi="Arial" w:cs="Arial"/>
          <w:sz w:val="22"/>
          <w:szCs w:val="22"/>
        </w:rPr>
        <w:t>Kibria</w:t>
      </w:r>
      <w:proofErr w:type="spellEnd"/>
      <w:r>
        <w:rPr>
          <w:rFonts w:ascii="Arial" w:hAnsi="Arial" w:cs="Arial"/>
          <w:sz w:val="22"/>
          <w:szCs w:val="22"/>
        </w:rPr>
        <w:t xml:space="preserve">, G.M., </w:t>
      </w:r>
      <w:proofErr w:type="spellStart"/>
      <w:r>
        <w:rPr>
          <w:rFonts w:ascii="Arial" w:hAnsi="Arial" w:cs="Arial"/>
          <w:sz w:val="22"/>
          <w:szCs w:val="22"/>
        </w:rPr>
        <w:t>Azim</w:t>
      </w:r>
      <w:proofErr w:type="spellEnd"/>
      <w:r>
        <w:rPr>
          <w:rFonts w:ascii="Arial" w:hAnsi="Arial" w:cs="Arial"/>
          <w:sz w:val="22"/>
          <w:szCs w:val="22"/>
        </w:rPr>
        <w:t xml:space="preserve"> </w:t>
      </w:r>
      <w:proofErr w:type="spellStart"/>
      <w:r>
        <w:rPr>
          <w:rFonts w:ascii="Arial" w:hAnsi="Arial" w:cs="Arial"/>
          <w:sz w:val="22"/>
          <w:szCs w:val="22"/>
        </w:rPr>
        <w:t>Majumder</w:t>
      </w:r>
      <w:proofErr w:type="spellEnd"/>
      <w:r>
        <w:rPr>
          <w:rFonts w:ascii="Arial" w:hAnsi="Arial" w:cs="Arial"/>
          <w:sz w:val="22"/>
          <w:szCs w:val="22"/>
        </w:rPr>
        <w:t xml:space="preserve">, M.A., </w:t>
      </w:r>
      <w:proofErr w:type="spellStart"/>
      <w:r>
        <w:rPr>
          <w:rFonts w:ascii="Arial" w:hAnsi="Arial" w:cs="Arial"/>
          <w:sz w:val="22"/>
          <w:szCs w:val="22"/>
        </w:rPr>
        <w:t>Haque</w:t>
      </w:r>
      <w:proofErr w:type="spellEnd"/>
      <w:r>
        <w:rPr>
          <w:rFonts w:ascii="Arial" w:hAnsi="Arial" w:cs="Arial"/>
          <w:sz w:val="22"/>
          <w:szCs w:val="22"/>
        </w:rPr>
        <w:t xml:space="preserve">, S.Z., Islam, M.Z., </w:t>
      </w:r>
      <w:proofErr w:type="spellStart"/>
      <w:r>
        <w:rPr>
          <w:rFonts w:ascii="Arial" w:hAnsi="Arial" w:cs="Arial"/>
          <w:sz w:val="22"/>
          <w:szCs w:val="22"/>
        </w:rPr>
        <w:t>Binti</w:t>
      </w:r>
      <w:proofErr w:type="spellEnd"/>
      <w:r>
        <w:rPr>
          <w:rFonts w:ascii="Arial" w:hAnsi="Arial" w:cs="Arial"/>
          <w:sz w:val="22"/>
          <w:szCs w:val="22"/>
        </w:rPr>
        <w:t xml:space="preserve"> Abdullah, S.L., </w:t>
      </w:r>
      <w:proofErr w:type="spellStart"/>
      <w:r>
        <w:rPr>
          <w:rFonts w:ascii="Arial" w:hAnsi="Arial" w:cs="Arial"/>
          <w:sz w:val="22"/>
          <w:szCs w:val="22"/>
        </w:rPr>
        <w:t>Daher</w:t>
      </w:r>
      <w:proofErr w:type="spellEnd"/>
      <w:r>
        <w:rPr>
          <w:rFonts w:ascii="Arial" w:hAnsi="Arial" w:cs="Arial"/>
          <w:sz w:val="22"/>
          <w:szCs w:val="22"/>
        </w:rPr>
        <w:t xml:space="preserve">, A.M., </w:t>
      </w:r>
      <w:proofErr w:type="spellStart"/>
      <w:r>
        <w:rPr>
          <w:rFonts w:ascii="Arial" w:hAnsi="Arial" w:cs="Arial"/>
          <w:sz w:val="22"/>
          <w:szCs w:val="22"/>
        </w:rPr>
        <w:t>Zulkifli</w:t>
      </w:r>
      <w:proofErr w:type="spellEnd"/>
      <w:r>
        <w:rPr>
          <w:rFonts w:ascii="Arial" w:hAnsi="Arial" w:cs="Arial"/>
          <w:sz w:val="22"/>
          <w:szCs w:val="22"/>
        </w:rPr>
        <w:t xml:space="preserve">, Z. and Rahman, S., 2019. Self-medication of antibiotics: investigating practice among university students at the Malaysian National </w:t>
      </w:r>
      <w:proofErr w:type="spellStart"/>
      <w:r>
        <w:rPr>
          <w:rFonts w:ascii="Arial" w:hAnsi="Arial" w:cs="Arial"/>
          <w:sz w:val="22"/>
          <w:szCs w:val="22"/>
        </w:rPr>
        <w:t>Defence</w:t>
      </w:r>
      <w:proofErr w:type="spellEnd"/>
      <w:r>
        <w:rPr>
          <w:rFonts w:ascii="Arial" w:hAnsi="Arial" w:cs="Arial"/>
          <w:sz w:val="22"/>
          <w:szCs w:val="22"/>
        </w:rPr>
        <w:t xml:space="preserve"> University. Infection and drug resistance, pp.1333-1351.</w:t>
      </w:r>
    </w:p>
    <w:p w14:paraId="6C17D20A"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Harun</w:t>
      </w:r>
      <w:proofErr w:type="spellEnd"/>
      <w:r>
        <w:rPr>
          <w:rFonts w:ascii="Arial" w:hAnsi="Arial" w:cs="Arial"/>
          <w:sz w:val="22"/>
          <w:szCs w:val="22"/>
        </w:rPr>
        <w:t xml:space="preserve">, M.G.D., </w:t>
      </w:r>
      <w:proofErr w:type="spellStart"/>
      <w:r>
        <w:rPr>
          <w:rFonts w:ascii="Arial" w:hAnsi="Arial" w:cs="Arial"/>
          <w:sz w:val="22"/>
          <w:szCs w:val="22"/>
        </w:rPr>
        <w:t>Sumon</w:t>
      </w:r>
      <w:proofErr w:type="spellEnd"/>
      <w:r>
        <w:rPr>
          <w:rFonts w:ascii="Arial" w:hAnsi="Arial" w:cs="Arial"/>
          <w:sz w:val="22"/>
          <w:szCs w:val="22"/>
        </w:rPr>
        <w:t xml:space="preserve">, S.A., </w:t>
      </w:r>
      <w:proofErr w:type="spellStart"/>
      <w:r>
        <w:rPr>
          <w:rFonts w:ascii="Arial" w:hAnsi="Arial" w:cs="Arial"/>
          <w:sz w:val="22"/>
          <w:szCs w:val="22"/>
        </w:rPr>
        <w:t>Hasan</w:t>
      </w:r>
      <w:proofErr w:type="spellEnd"/>
      <w:r>
        <w:rPr>
          <w:rFonts w:ascii="Arial" w:hAnsi="Arial" w:cs="Arial"/>
          <w:sz w:val="22"/>
          <w:szCs w:val="22"/>
        </w:rPr>
        <w:t xml:space="preserve">, I., </w:t>
      </w:r>
      <w:proofErr w:type="spellStart"/>
      <w:r>
        <w:rPr>
          <w:rFonts w:ascii="Arial" w:hAnsi="Arial" w:cs="Arial"/>
          <w:sz w:val="22"/>
          <w:szCs w:val="22"/>
        </w:rPr>
        <w:t>Akther</w:t>
      </w:r>
      <w:proofErr w:type="spellEnd"/>
      <w:r>
        <w:rPr>
          <w:rFonts w:ascii="Arial" w:hAnsi="Arial" w:cs="Arial"/>
          <w:sz w:val="22"/>
          <w:szCs w:val="22"/>
        </w:rPr>
        <w:t xml:space="preserve">, F.M., Islam, M.S. and Anwar, M.M.U., 2024. Barriers, facilitators, perceptions and impact of interventions in implementing antimicrobial </w:t>
      </w:r>
      <w:r>
        <w:rPr>
          <w:rFonts w:ascii="Arial" w:hAnsi="Arial" w:cs="Arial"/>
          <w:sz w:val="22"/>
          <w:szCs w:val="22"/>
        </w:rPr>
        <w:lastRenderedPageBreak/>
        <w:t>stewardship programs in hospitals of low-middle and middle countries: a scoping review. Antimicrobial Resistance &amp; Infection Control, 13(1), p.8.</w:t>
      </w:r>
    </w:p>
    <w:p w14:paraId="68E1B54D"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Hashmi, F.K., </w:t>
      </w:r>
      <w:proofErr w:type="spellStart"/>
      <w:r>
        <w:rPr>
          <w:rFonts w:ascii="Arial" w:hAnsi="Arial" w:cs="Arial"/>
          <w:sz w:val="22"/>
          <w:szCs w:val="22"/>
        </w:rPr>
        <w:t>Khadka</w:t>
      </w:r>
      <w:proofErr w:type="spellEnd"/>
      <w:r>
        <w:rPr>
          <w:rFonts w:ascii="Arial" w:hAnsi="Arial" w:cs="Arial"/>
          <w:sz w:val="22"/>
          <w:szCs w:val="22"/>
        </w:rPr>
        <w:t xml:space="preserve">, S., </w:t>
      </w:r>
      <w:proofErr w:type="spellStart"/>
      <w:r>
        <w:rPr>
          <w:rFonts w:ascii="Arial" w:hAnsi="Arial" w:cs="Arial"/>
          <w:sz w:val="22"/>
          <w:szCs w:val="22"/>
        </w:rPr>
        <w:t>Yadav</w:t>
      </w:r>
      <w:proofErr w:type="spellEnd"/>
      <w:r>
        <w:rPr>
          <w:rFonts w:ascii="Arial" w:hAnsi="Arial" w:cs="Arial"/>
          <w:sz w:val="22"/>
          <w:szCs w:val="22"/>
        </w:rPr>
        <w:t xml:space="preserve">, G.K., Khan, M.H.M., Khan, S.U., Saeed, H., </w:t>
      </w:r>
      <w:proofErr w:type="spellStart"/>
      <w:r>
        <w:rPr>
          <w:rFonts w:ascii="Arial" w:hAnsi="Arial" w:cs="Arial"/>
          <w:sz w:val="22"/>
          <w:szCs w:val="22"/>
        </w:rPr>
        <w:t>Saleem</w:t>
      </w:r>
      <w:proofErr w:type="spellEnd"/>
      <w:r>
        <w:rPr>
          <w:rFonts w:ascii="Arial" w:hAnsi="Arial" w:cs="Arial"/>
          <w:sz w:val="22"/>
          <w:szCs w:val="22"/>
        </w:rPr>
        <w:t xml:space="preserve">, M., </w:t>
      </w:r>
      <w:proofErr w:type="spellStart"/>
      <w:r>
        <w:rPr>
          <w:rFonts w:ascii="Arial" w:hAnsi="Arial" w:cs="Arial"/>
          <w:sz w:val="22"/>
          <w:szCs w:val="22"/>
        </w:rPr>
        <w:t>Giri</w:t>
      </w:r>
      <w:proofErr w:type="spellEnd"/>
      <w:r>
        <w:rPr>
          <w:rFonts w:ascii="Arial" w:hAnsi="Arial" w:cs="Arial"/>
          <w:sz w:val="22"/>
          <w:szCs w:val="22"/>
        </w:rPr>
        <w:t xml:space="preserve">, S., </w:t>
      </w:r>
      <w:proofErr w:type="spellStart"/>
      <w:r>
        <w:rPr>
          <w:rFonts w:ascii="Arial" w:hAnsi="Arial" w:cs="Arial"/>
          <w:sz w:val="22"/>
          <w:szCs w:val="22"/>
        </w:rPr>
        <w:t>Rasool</w:t>
      </w:r>
      <w:proofErr w:type="spellEnd"/>
      <w:r>
        <w:rPr>
          <w:rFonts w:ascii="Arial" w:hAnsi="Arial" w:cs="Arial"/>
          <w:sz w:val="22"/>
          <w:szCs w:val="22"/>
        </w:rPr>
        <w:t xml:space="preserve">, M.F., </w:t>
      </w:r>
      <w:proofErr w:type="spellStart"/>
      <w:r>
        <w:rPr>
          <w:rFonts w:ascii="Arial" w:hAnsi="Arial" w:cs="Arial"/>
          <w:sz w:val="22"/>
          <w:szCs w:val="22"/>
        </w:rPr>
        <w:t>Mansoor</w:t>
      </w:r>
      <w:proofErr w:type="spellEnd"/>
      <w:r>
        <w:rPr>
          <w:rFonts w:ascii="Arial" w:hAnsi="Arial" w:cs="Arial"/>
          <w:sz w:val="22"/>
          <w:szCs w:val="22"/>
        </w:rPr>
        <w:t xml:space="preserve">, H.U.H. and </w:t>
      </w:r>
      <w:proofErr w:type="spellStart"/>
      <w:r>
        <w:rPr>
          <w:rFonts w:ascii="Arial" w:hAnsi="Arial" w:cs="Arial"/>
          <w:sz w:val="22"/>
          <w:szCs w:val="22"/>
        </w:rPr>
        <w:t>Riboua</w:t>
      </w:r>
      <w:proofErr w:type="spellEnd"/>
      <w:r>
        <w:rPr>
          <w:rFonts w:ascii="Arial" w:hAnsi="Arial" w:cs="Arial"/>
          <w:sz w:val="22"/>
          <w:szCs w:val="22"/>
        </w:rPr>
        <w:t>, Z., 2023. Non-prescription antibiotics dispensing by community pharmacies: implications for antimicrobial resistance. Annals of Medicine and Surgery, 85(12), p.5899.</w:t>
      </w:r>
    </w:p>
    <w:p w14:paraId="35F54BED" w14:textId="77777777" w:rsidR="00D340EB" w:rsidRPr="00411988" w:rsidRDefault="00D340EB" w:rsidP="00D340EB">
      <w:pPr>
        <w:numPr>
          <w:ilvl w:val="0"/>
          <w:numId w:val="35"/>
        </w:numPr>
        <w:spacing w:line="360" w:lineRule="auto"/>
        <w:jc w:val="both"/>
        <w:rPr>
          <w:rFonts w:ascii="Arial" w:hAnsi="Arial" w:cs="Arial"/>
          <w:sz w:val="22"/>
          <w:szCs w:val="22"/>
        </w:rPr>
      </w:pPr>
      <w:r w:rsidRPr="00411988">
        <w:rPr>
          <w:rFonts w:ascii="Arial" w:hAnsi="Arial" w:cs="Arial"/>
          <w:color w:val="222222"/>
          <w:sz w:val="22"/>
          <w:szCs w:val="22"/>
          <w:shd w:val="clear" w:color="auto" w:fill="FFFFFF"/>
        </w:rPr>
        <w:t xml:space="preserve">Hawkins, O., Scott, A.M., Montgomery, A., Nicholas, B., </w:t>
      </w:r>
      <w:proofErr w:type="spellStart"/>
      <w:r w:rsidRPr="00411988">
        <w:rPr>
          <w:rFonts w:ascii="Arial" w:hAnsi="Arial" w:cs="Arial"/>
          <w:color w:val="222222"/>
          <w:sz w:val="22"/>
          <w:szCs w:val="22"/>
          <w:shd w:val="clear" w:color="auto" w:fill="FFFFFF"/>
        </w:rPr>
        <w:t>Mullan</w:t>
      </w:r>
      <w:proofErr w:type="spellEnd"/>
      <w:r w:rsidRPr="00411988">
        <w:rPr>
          <w:rFonts w:ascii="Arial" w:hAnsi="Arial" w:cs="Arial"/>
          <w:color w:val="222222"/>
          <w:sz w:val="22"/>
          <w:szCs w:val="22"/>
          <w:shd w:val="clear" w:color="auto" w:fill="FFFFFF"/>
        </w:rPr>
        <w:t xml:space="preserve">, J., van </w:t>
      </w:r>
      <w:proofErr w:type="spellStart"/>
      <w:r w:rsidRPr="00411988">
        <w:rPr>
          <w:rFonts w:ascii="Arial" w:hAnsi="Arial" w:cs="Arial"/>
          <w:color w:val="222222"/>
          <w:sz w:val="22"/>
          <w:szCs w:val="22"/>
          <w:shd w:val="clear" w:color="auto" w:fill="FFFFFF"/>
        </w:rPr>
        <w:t>Oijen</w:t>
      </w:r>
      <w:proofErr w:type="spellEnd"/>
      <w:r w:rsidRPr="00411988">
        <w:rPr>
          <w:rFonts w:ascii="Arial" w:hAnsi="Arial" w:cs="Arial"/>
          <w:color w:val="222222"/>
          <w:sz w:val="22"/>
          <w:szCs w:val="22"/>
          <w:shd w:val="clear" w:color="auto" w:fill="FFFFFF"/>
        </w:rPr>
        <w:t xml:space="preserve">, A. and </w:t>
      </w:r>
      <w:proofErr w:type="spellStart"/>
      <w:r w:rsidRPr="00411988">
        <w:rPr>
          <w:rFonts w:ascii="Arial" w:hAnsi="Arial" w:cs="Arial"/>
          <w:color w:val="222222"/>
          <w:sz w:val="22"/>
          <w:szCs w:val="22"/>
          <w:shd w:val="clear" w:color="auto" w:fill="FFFFFF"/>
        </w:rPr>
        <w:t>Degeling</w:t>
      </w:r>
      <w:proofErr w:type="spellEnd"/>
      <w:r w:rsidRPr="00411988">
        <w:rPr>
          <w:rFonts w:ascii="Arial" w:hAnsi="Arial" w:cs="Arial"/>
          <w:color w:val="222222"/>
          <w:sz w:val="22"/>
          <w:szCs w:val="22"/>
          <w:shd w:val="clear" w:color="auto" w:fill="FFFFFF"/>
        </w:rPr>
        <w:t xml:space="preserve">, C., 2022. Comparing public attitudes, knowledge, beliefs and </w:t>
      </w:r>
      <w:proofErr w:type="spellStart"/>
      <w:r w:rsidRPr="00411988">
        <w:rPr>
          <w:rFonts w:ascii="Arial" w:hAnsi="Arial" w:cs="Arial"/>
          <w:color w:val="222222"/>
          <w:sz w:val="22"/>
          <w:szCs w:val="22"/>
          <w:shd w:val="clear" w:color="auto" w:fill="FFFFFF"/>
        </w:rPr>
        <w:t>behaviours</w:t>
      </w:r>
      <w:proofErr w:type="spellEnd"/>
      <w:r w:rsidRPr="00411988">
        <w:rPr>
          <w:rFonts w:ascii="Arial" w:hAnsi="Arial" w:cs="Arial"/>
          <w:color w:val="222222"/>
          <w:sz w:val="22"/>
          <w:szCs w:val="22"/>
          <w:shd w:val="clear" w:color="auto" w:fill="FFFFFF"/>
        </w:rPr>
        <w:t xml:space="preserve"> towards antibiotics and antimicrobial resistance in Australia, United Kingdom, and Sweden (2010-2021): A systematic review, meta-analysis, and comparative policy analysis. </w:t>
      </w:r>
      <w:proofErr w:type="spellStart"/>
      <w:r w:rsidRPr="00411988">
        <w:rPr>
          <w:rFonts w:ascii="Arial" w:hAnsi="Arial" w:cs="Arial"/>
          <w:i/>
          <w:iCs/>
          <w:color w:val="222222"/>
          <w:sz w:val="22"/>
          <w:szCs w:val="22"/>
          <w:shd w:val="clear" w:color="auto" w:fill="FFFFFF"/>
        </w:rPr>
        <w:t>PLoS</w:t>
      </w:r>
      <w:proofErr w:type="spellEnd"/>
      <w:r w:rsidRPr="00411988">
        <w:rPr>
          <w:rFonts w:ascii="Arial" w:hAnsi="Arial" w:cs="Arial"/>
          <w:i/>
          <w:iCs/>
          <w:color w:val="222222"/>
          <w:sz w:val="22"/>
          <w:szCs w:val="22"/>
          <w:shd w:val="clear" w:color="auto" w:fill="FFFFFF"/>
        </w:rPr>
        <w:t xml:space="preserve"> One</w:t>
      </w:r>
      <w:r w:rsidRPr="00411988">
        <w:rPr>
          <w:rFonts w:ascii="Arial" w:hAnsi="Arial" w:cs="Arial"/>
          <w:color w:val="222222"/>
          <w:sz w:val="22"/>
          <w:szCs w:val="22"/>
          <w:shd w:val="clear" w:color="auto" w:fill="FFFFFF"/>
        </w:rPr>
        <w:t>, </w:t>
      </w:r>
      <w:r w:rsidRPr="00411988">
        <w:rPr>
          <w:rFonts w:ascii="Arial" w:hAnsi="Arial" w:cs="Arial"/>
          <w:i/>
          <w:iCs/>
          <w:color w:val="222222"/>
          <w:sz w:val="22"/>
          <w:szCs w:val="22"/>
          <w:shd w:val="clear" w:color="auto" w:fill="FFFFFF"/>
        </w:rPr>
        <w:t>17</w:t>
      </w:r>
      <w:r w:rsidRPr="00411988">
        <w:rPr>
          <w:rFonts w:ascii="Arial" w:hAnsi="Arial" w:cs="Arial"/>
          <w:color w:val="222222"/>
          <w:sz w:val="22"/>
          <w:szCs w:val="22"/>
          <w:shd w:val="clear" w:color="auto" w:fill="FFFFFF"/>
        </w:rPr>
        <w:t>(1), p.e0261917.</w:t>
      </w:r>
    </w:p>
    <w:p w14:paraId="1E6E8DBB"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Hayat, K., Fatima, N., </w:t>
      </w:r>
      <w:proofErr w:type="spellStart"/>
      <w:r>
        <w:rPr>
          <w:rFonts w:ascii="Arial" w:hAnsi="Arial" w:cs="Arial"/>
          <w:sz w:val="22"/>
          <w:szCs w:val="22"/>
        </w:rPr>
        <w:t>Umer</w:t>
      </w:r>
      <w:proofErr w:type="spellEnd"/>
      <w:r>
        <w:rPr>
          <w:rFonts w:ascii="Arial" w:hAnsi="Arial" w:cs="Arial"/>
          <w:sz w:val="22"/>
          <w:szCs w:val="22"/>
        </w:rPr>
        <w:t xml:space="preserve">, M.F., Khan, F.U., Khan, F.U., </w:t>
      </w:r>
      <w:proofErr w:type="spellStart"/>
      <w:r>
        <w:rPr>
          <w:rFonts w:ascii="Arial" w:hAnsi="Arial" w:cs="Arial"/>
          <w:sz w:val="22"/>
          <w:szCs w:val="22"/>
        </w:rPr>
        <w:t>Najeeb</w:t>
      </w:r>
      <w:proofErr w:type="spellEnd"/>
      <w:r>
        <w:rPr>
          <w:rFonts w:ascii="Arial" w:hAnsi="Arial" w:cs="Arial"/>
          <w:sz w:val="22"/>
          <w:szCs w:val="22"/>
        </w:rPr>
        <w:t xml:space="preserve">, Z.U.R., </w:t>
      </w:r>
      <w:proofErr w:type="spellStart"/>
      <w:r>
        <w:rPr>
          <w:rFonts w:ascii="Arial" w:hAnsi="Arial" w:cs="Arial"/>
          <w:sz w:val="22"/>
          <w:szCs w:val="22"/>
        </w:rPr>
        <w:t>Ghaffari</w:t>
      </w:r>
      <w:proofErr w:type="spellEnd"/>
      <w:r>
        <w:rPr>
          <w:rFonts w:ascii="Arial" w:hAnsi="Arial" w:cs="Arial"/>
          <w:sz w:val="22"/>
          <w:szCs w:val="22"/>
        </w:rPr>
        <w:t xml:space="preserve">, M.A., </w:t>
      </w:r>
      <w:proofErr w:type="spellStart"/>
      <w:r>
        <w:rPr>
          <w:rFonts w:ascii="Arial" w:hAnsi="Arial" w:cs="Arial"/>
          <w:sz w:val="22"/>
          <w:szCs w:val="22"/>
        </w:rPr>
        <w:t>Raza</w:t>
      </w:r>
      <w:proofErr w:type="spellEnd"/>
      <w:r>
        <w:rPr>
          <w:rFonts w:ascii="Arial" w:hAnsi="Arial" w:cs="Arial"/>
          <w:sz w:val="22"/>
          <w:szCs w:val="22"/>
        </w:rPr>
        <w:t>, S.Q., Liu, W., Chen, C. and Fang, Y., 2022. Understanding of future prescribers about antimicrobial resistance and their preparedness towards antimicrobial stewardship activities in Pakistan: Findings and implications. Frontiers in Pharmacology, 13, p.771083.</w:t>
      </w:r>
    </w:p>
    <w:p w14:paraId="123FEF1E"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Hayat, K., </w:t>
      </w:r>
      <w:proofErr w:type="spellStart"/>
      <w:r>
        <w:rPr>
          <w:rFonts w:ascii="Arial" w:hAnsi="Arial" w:cs="Arial"/>
          <w:sz w:val="22"/>
          <w:szCs w:val="22"/>
        </w:rPr>
        <w:t>Jamshed</w:t>
      </w:r>
      <w:proofErr w:type="spellEnd"/>
      <w:r>
        <w:rPr>
          <w:rFonts w:ascii="Arial" w:hAnsi="Arial" w:cs="Arial"/>
          <w:sz w:val="22"/>
          <w:szCs w:val="22"/>
        </w:rPr>
        <w:t xml:space="preserve">, S., Rosenthal, M., </w:t>
      </w:r>
      <w:proofErr w:type="spellStart"/>
      <w:r>
        <w:rPr>
          <w:rFonts w:ascii="Arial" w:hAnsi="Arial" w:cs="Arial"/>
          <w:sz w:val="22"/>
          <w:szCs w:val="22"/>
        </w:rPr>
        <w:t>Haq</w:t>
      </w:r>
      <w:proofErr w:type="spellEnd"/>
      <w:r>
        <w:rPr>
          <w:rFonts w:ascii="Arial" w:hAnsi="Arial" w:cs="Arial"/>
          <w:sz w:val="22"/>
          <w:szCs w:val="22"/>
        </w:rPr>
        <w:t xml:space="preserve">, N.U., Chang, J., </w:t>
      </w:r>
      <w:proofErr w:type="spellStart"/>
      <w:r>
        <w:rPr>
          <w:rFonts w:ascii="Arial" w:hAnsi="Arial" w:cs="Arial"/>
          <w:sz w:val="22"/>
          <w:szCs w:val="22"/>
        </w:rPr>
        <w:t>Rasool</w:t>
      </w:r>
      <w:proofErr w:type="spellEnd"/>
      <w:r>
        <w:rPr>
          <w:rFonts w:ascii="Arial" w:hAnsi="Arial" w:cs="Arial"/>
          <w:sz w:val="22"/>
          <w:szCs w:val="22"/>
        </w:rPr>
        <w:t xml:space="preserve">, M.F., Malik, U.R., </w:t>
      </w:r>
      <w:proofErr w:type="spellStart"/>
      <w:r>
        <w:rPr>
          <w:rFonts w:ascii="Arial" w:hAnsi="Arial" w:cs="Arial"/>
          <w:sz w:val="22"/>
          <w:szCs w:val="22"/>
        </w:rPr>
        <w:t>Rehman</w:t>
      </w:r>
      <w:proofErr w:type="spellEnd"/>
      <w:r>
        <w:rPr>
          <w:rFonts w:ascii="Arial" w:hAnsi="Arial" w:cs="Arial"/>
          <w:sz w:val="22"/>
          <w:szCs w:val="22"/>
        </w:rPr>
        <w:t>, A.U., Khan, K.M. and Fang, Y., 2021. Understanding of pharmacy students towards antibiotic use, antibiotic resistance and antibiotic stewardship programs: a cross-sectional study from Punjab, Pakistan. Antibiotics, 10(1), p.66.</w:t>
      </w:r>
    </w:p>
    <w:p w14:paraId="39C4FD82"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Heaslip</w:t>
      </w:r>
      <w:proofErr w:type="spellEnd"/>
      <w:r>
        <w:rPr>
          <w:rFonts w:ascii="Arial" w:hAnsi="Arial" w:cs="Arial"/>
          <w:sz w:val="22"/>
          <w:szCs w:val="22"/>
        </w:rPr>
        <w:t xml:space="preserve">, V. (2017) 'Developing a search strategy', in E.A. Curtis and J. </w:t>
      </w:r>
      <w:proofErr w:type="spellStart"/>
      <w:r>
        <w:rPr>
          <w:rFonts w:ascii="Arial" w:hAnsi="Arial" w:cs="Arial"/>
          <w:sz w:val="22"/>
          <w:szCs w:val="22"/>
        </w:rPr>
        <w:t>Drennan</w:t>
      </w:r>
      <w:proofErr w:type="spellEnd"/>
      <w:r>
        <w:rPr>
          <w:rFonts w:ascii="Arial" w:hAnsi="Arial" w:cs="Arial"/>
          <w:sz w:val="22"/>
          <w:szCs w:val="22"/>
        </w:rPr>
        <w:t xml:space="preserve"> (</w:t>
      </w:r>
      <w:proofErr w:type="spellStart"/>
      <w:proofErr w:type="gramStart"/>
      <w:r>
        <w:rPr>
          <w:rFonts w:ascii="Arial" w:hAnsi="Arial" w:cs="Arial"/>
          <w:sz w:val="22"/>
          <w:szCs w:val="22"/>
        </w:rPr>
        <w:t>eds</w:t>
      </w:r>
      <w:proofErr w:type="spellEnd"/>
      <w:proofErr w:type="gramEnd"/>
      <w:r>
        <w:rPr>
          <w:rFonts w:ascii="Arial" w:hAnsi="Arial" w:cs="Arial"/>
          <w:sz w:val="22"/>
          <w:szCs w:val="22"/>
        </w:rPr>
        <w:t>) Quantitative Health Research: Issues and Methods. Maidenhead: Open University Press, pp. 65–84.</w:t>
      </w:r>
    </w:p>
    <w:p w14:paraId="553E3320"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Heaslip</w:t>
      </w:r>
      <w:proofErr w:type="spellEnd"/>
      <w:r>
        <w:rPr>
          <w:rFonts w:ascii="Arial" w:hAnsi="Arial" w:cs="Arial"/>
          <w:sz w:val="22"/>
          <w:szCs w:val="22"/>
        </w:rPr>
        <w:t>, V. and Lindsay, B., 2019. Research and evidence-based practice: for nursing, health and social care students. Scion Publishing Ltd.</w:t>
      </w:r>
    </w:p>
    <w:p w14:paraId="4E3C36BB"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Heaslip</w:t>
      </w:r>
      <w:proofErr w:type="spellEnd"/>
      <w:r>
        <w:rPr>
          <w:rFonts w:ascii="Arial" w:hAnsi="Arial" w:cs="Arial"/>
          <w:sz w:val="22"/>
          <w:szCs w:val="22"/>
        </w:rPr>
        <w:t xml:space="preserve">, V., Hutchings, M., Crowley, E.J., Tooth, R., </w:t>
      </w:r>
      <w:proofErr w:type="spellStart"/>
      <w:r>
        <w:rPr>
          <w:rFonts w:ascii="Arial" w:hAnsi="Arial" w:cs="Arial"/>
          <w:sz w:val="22"/>
          <w:szCs w:val="22"/>
        </w:rPr>
        <w:t>Wardrop</w:t>
      </w:r>
      <w:proofErr w:type="spellEnd"/>
      <w:r>
        <w:rPr>
          <w:rFonts w:ascii="Arial" w:hAnsi="Arial" w:cs="Arial"/>
          <w:sz w:val="22"/>
          <w:szCs w:val="22"/>
        </w:rPr>
        <w:t xml:space="preserve">, A., </w:t>
      </w:r>
      <w:proofErr w:type="spellStart"/>
      <w:r>
        <w:rPr>
          <w:rFonts w:ascii="Arial" w:hAnsi="Arial" w:cs="Arial"/>
          <w:sz w:val="22"/>
          <w:szCs w:val="22"/>
        </w:rPr>
        <w:t>Eccles</w:t>
      </w:r>
      <w:proofErr w:type="spellEnd"/>
      <w:r>
        <w:rPr>
          <w:rFonts w:ascii="Arial" w:hAnsi="Arial" w:cs="Arial"/>
          <w:sz w:val="22"/>
          <w:szCs w:val="22"/>
        </w:rPr>
        <w:t>, S., Hunt, C. and Collins, B., 2017. Systematic Reviews: making sense of research.</w:t>
      </w:r>
    </w:p>
    <w:p w14:paraId="770C712E"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Higgins, J.P.T., Thomas, J., Chandler, J., </w:t>
      </w:r>
      <w:proofErr w:type="spellStart"/>
      <w:r>
        <w:rPr>
          <w:rFonts w:ascii="Arial" w:hAnsi="Arial" w:cs="Arial"/>
          <w:sz w:val="22"/>
          <w:szCs w:val="22"/>
        </w:rPr>
        <w:t>Cumpston</w:t>
      </w:r>
      <w:proofErr w:type="spellEnd"/>
      <w:r>
        <w:rPr>
          <w:rFonts w:ascii="Arial" w:hAnsi="Arial" w:cs="Arial"/>
          <w:sz w:val="22"/>
          <w:szCs w:val="22"/>
        </w:rPr>
        <w:t>, M., Li, T., Page, M.J. and Welch, V.A. (</w:t>
      </w:r>
      <w:proofErr w:type="spellStart"/>
      <w:proofErr w:type="gramStart"/>
      <w:r>
        <w:rPr>
          <w:rFonts w:ascii="Arial" w:hAnsi="Arial" w:cs="Arial"/>
          <w:sz w:val="22"/>
          <w:szCs w:val="22"/>
        </w:rPr>
        <w:t>eds</w:t>
      </w:r>
      <w:proofErr w:type="spellEnd"/>
      <w:proofErr w:type="gramEnd"/>
      <w:r>
        <w:rPr>
          <w:rFonts w:ascii="Arial" w:hAnsi="Arial" w:cs="Arial"/>
          <w:sz w:val="22"/>
          <w:szCs w:val="22"/>
        </w:rPr>
        <w:t xml:space="preserve">) (2023) Cochrane Handbook for Systematic Reviews of Interventions. Version 6.4. London: The Cochrane Collaboration. Available at: </w:t>
      </w:r>
      <w:hyperlink r:id="rId14" w:tgtFrame="_blank" w:history="1">
        <w:r>
          <w:rPr>
            <w:rStyle w:val="Hyperlink"/>
            <w:rFonts w:ascii="Arial" w:hAnsi="Arial" w:cs="Arial"/>
            <w:sz w:val="22"/>
            <w:szCs w:val="22"/>
          </w:rPr>
          <w:t>https://www.training.cochrane.org/handbook</w:t>
        </w:r>
      </w:hyperlink>
      <w:r>
        <w:rPr>
          <w:rFonts w:ascii="Arial" w:hAnsi="Arial" w:cs="Arial"/>
          <w:sz w:val="22"/>
          <w:szCs w:val="22"/>
        </w:rPr>
        <w:t>.</w:t>
      </w:r>
    </w:p>
    <w:p w14:paraId="335EFC54"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lastRenderedPageBreak/>
        <w:t xml:space="preserve">Hossain, M.S., Islam, M.F., </w:t>
      </w:r>
      <w:proofErr w:type="spellStart"/>
      <w:r>
        <w:rPr>
          <w:rFonts w:ascii="Arial" w:hAnsi="Arial" w:cs="Arial"/>
          <w:sz w:val="22"/>
          <w:szCs w:val="22"/>
        </w:rPr>
        <w:t>Arka</w:t>
      </w:r>
      <w:proofErr w:type="spellEnd"/>
      <w:r>
        <w:rPr>
          <w:rFonts w:ascii="Arial" w:hAnsi="Arial" w:cs="Arial"/>
          <w:sz w:val="22"/>
          <w:szCs w:val="22"/>
        </w:rPr>
        <w:t xml:space="preserve">, P.B., </w:t>
      </w:r>
      <w:proofErr w:type="spellStart"/>
      <w:r>
        <w:rPr>
          <w:rFonts w:ascii="Arial" w:hAnsi="Arial" w:cs="Arial"/>
          <w:sz w:val="22"/>
          <w:szCs w:val="22"/>
        </w:rPr>
        <w:t>Rohman</w:t>
      </w:r>
      <w:proofErr w:type="spellEnd"/>
      <w:r>
        <w:rPr>
          <w:rFonts w:ascii="Arial" w:hAnsi="Arial" w:cs="Arial"/>
          <w:sz w:val="22"/>
          <w:szCs w:val="22"/>
        </w:rPr>
        <w:t xml:space="preserve">, M., Ahmed, T.S., </w:t>
      </w:r>
      <w:proofErr w:type="spellStart"/>
      <w:r>
        <w:rPr>
          <w:rFonts w:ascii="Arial" w:hAnsi="Arial" w:cs="Arial"/>
          <w:sz w:val="22"/>
          <w:szCs w:val="22"/>
        </w:rPr>
        <w:t>Ahammed</w:t>
      </w:r>
      <w:proofErr w:type="spellEnd"/>
      <w:r>
        <w:rPr>
          <w:rFonts w:ascii="Arial" w:hAnsi="Arial" w:cs="Arial"/>
          <w:sz w:val="22"/>
          <w:szCs w:val="22"/>
        </w:rPr>
        <w:t>, T., Chowdhury, M.A.B. and Uddin, M.J., 2023. Antibiotic prescription from qualified sources for children with fever/cough: cross-sectional study from 59 low-and middle-income countries. </w:t>
      </w:r>
      <w:proofErr w:type="spellStart"/>
      <w:r>
        <w:rPr>
          <w:rFonts w:ascii="Arial" w:hAnsi="Arial" w:cs="Arial"/>
          <w:sz w:val="22"/>
          <w:szCs w:val="22"/>
        </w:rPr>
        <w:t>EClinicalMedicine</w:t>
      </w:r>
      <w:proofErr w:type="spellEnd"/>
      <w:r>
        <w:rPr>
          <w:rFonts w:ascii="Arial" w:hAnsi="Arial" w:cs="Arial"/>
          <w:sz w:val="22"/>
          <w:szCs w:val="22"/>
        </w:rPr>
        <w:t>, 61.</w:t>
      </w:r>
    </w:p>
    <w:p w14:paraId="5E02FDDA"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Hussain</w:t>
      </w:r>
      <w:proofErr w:type="spellEnd"/>
      <w:r>
        <w:rPr>
          <w:rFonts w:ascii="Arial" w:hAnsi="Arial" w:cs="Arial"/>
          <w:sz w:val="22"/>
          <w:szCs w:val="22"/>
        </w:rPr>
        <w:t xml:space="preserve">, I., </w:t>
      </w:r>
      <w:proofErr w:type="spellStart"/>
      <w:r>
        <w:rPr>
          <w:rFonts w:ascii="Arial" w:hAnsi="Arial" w:cs="Arial"/>
          <w:sz w:val="22"/>
          <w:szCs w:val="22"/>
        </w:rPr>
        <w:t>Rasool</w:t>
      </w:r>
      <w:proofErr w:type="spellEnd"/>
      <w:r>
        <w:rPr>
          <w:rFonts w:ascii="Arial" w:hAnsi="Arial" w:cs="Arial"/>
          <w:sz w:val="22"/>
          <w:szCs w:val="22"/>
        </w:rPr>
        <w:t xml:space="preserve">, M.F., </w:t>
      </w:r>
      <w:proofErr w:type="spellStart"/>
      <w:r>
        <w:rPr>
          <w:rFonts w:ascii="Arial" w:hAnsi="Arial" w:cs="Arial"/>
          <w:sz w:val="22"/>
          <w:szCs w:val="22"/>
        </w:rPr>
        <w:t>Ullah</w:t>
      </w:r>
      <w:proofErr w:type="spellEnd"/>
      <w:r>
        <w:rPr>
          <w:rFonts w:ascii="Arial" w:hAnsi="Arial" w:cs="Arial"/>
          <w:sz w:val="22"/>
          <w:szCs w:val="22"/>
        </w:rPr>
        <w:t xml:space="preserve">, J., </w:t>
      </w:r>
      <w:proofErr w:type="spellStart"/>
      <w:r>
        <w:rPr>
          <w:rFonts w:ascii="Arial" w:hAnsi="Arial" w:cs="Arial"/>
          <w:sz w:val="22"/>
          <w:szCs w:val="22"/>
        </w:rPr>
        <w:t>Nafees</w:t>
      </w:r>
      <w:proofErr w:type="spellEnd"/>
      <w:r>
        <w:rPr>
          <w:rFonts w:ascii="Arial" w:hAnsi="Arial" w:cs="Arial"/>
          <w:sz w:val="22"/>
          <w:szCs w:val="22"/>
        </w:rPr>
        <w:t xml:space="preserve">, M., Khan, I., </w:t>
      </w:r>
      <w:proofErr w:type="spellStart"/>
      <w:r>
        <w:rPr>
          <w:rFonts w:ascii="Arial" w:hAnsi="Arial" w:cs="Arial"/>
          <w:sz w:val="22"/>
          <w:szCs w:val="22"/>
        </w:rPr>
        <w:t>Kadirhaz</w:t>
      </w:r>
      <w:proofErr w:type="spellEnd"/>
      <w:r>
        <w:rPr>
          <w:rFonts w:ascii="Arial" w:hAnsi="Arial" w:cs="Arial"/>
          <w:sz w:val="22"/>
          <w:szCs w:val="22"/>
        </w:rPr>
        <w:t xml:space="preserve">, M., </w:t>
      </w:r>
      <w:proofErr w:type="spellStart"/>
      <w:r>
        <w:rPr>
          <w:rFonts w:ascii="Arial" w:hAnsi="Arial" w:cs="Arial"/>
          <w:sz w:val="22"/>
          <w:szCs w:val="22"/>
        </w:rPr>
        <w:t>Xu</w:t>
      </w:r>
      <w:proofErr w:type="spellEnd"/>
      <w:r>
        <w:rPr>
          <w:rFonts w:ascii="Arial" w:hAnsi="Arial" w:cs="Arial"/>
          <w:sz w:val="22"/>
          <w:szCs w:val="22"/>
        </w:rPr>
        <w:t>, M., Tang, C., Dong, Y., Zhao, W. and Chang, J., 2025. Exploring the association between multi-dimensional poverty and antibiotic resistance: findings from a mixed-methods study in Pakistan. The Lancet Regional Health-Southeast Asia, 41.</w:t>
      </w:r>
    </w:p>
    <w:p w14:paraId="33D17E25"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Hussain</w:t>
      </w:r>
      <w:proofErr w:type="spellEnd"/>
      <w:r>
        <w:rPr>
          <w:rFonts w:ascii="Arial" w:hAnsi="Arial" w:cs="Arial"/>
          <w:sz w:val="22"/>
          <w:szCs w:val="22"/>
        </w:rPr>
        <w:t xml:space="preserve">, M.B., Abbas, S., </w:t>
      </w:r>
      <w:proofErr w:type="spellStart"/>
      <w:r>
        <w:rPr>
          <w:rFonts w:ascii="Arial" w:hAnsi="Arial" w:cs="Arial"/>
          <w:sz w:val="22"/>
          <w:szCs w:val="22"/>
        </w:rPr>
        <w:t>Raza</w:t>
      </w:r>
      <w:proofErr w:type="spellEnd"/>
      <w:r>
        <w:rPr>
          <w:rFonts w:ascii="Arial" w:hAnsi="Arial" w:cs="Arial"/>
          <w:sz w:val="22"/>
          <w:szCs w:val="22"/>
        </w:rPr>
        <w:t xml:space="preserve">, M., </w:t>
      </w:r>
      <w:proofErr w:type="spellStart"/>
      <w:r>
        <w:rPr>
          <w:rFonts w:ascii="Arial" w:hAnsi="Arial" w:cs="Arial"/>
          <w:sz w:val="22"/>
          <w:szCs w:val="22"/>
        </w:rPr>
        <w:t>Mehmood</w:t>
      </w:r>
      <w:proofErr w:type="spellEnd"/>
      <w:r>
        <w:rPr>
          <w:rFonts w:ascii="Arial" w:hAnsi="Arial" w:cs="Arial"/>
          <w:sz w:val="22"/>
          <w:szCs w:val="22"/>
        </w:rPr>
        <w:t>, N., Amin, Z.S., Fatima, N. and Hamza, M., 2023. Isolation, characterization, and identification of multiple heavy metal and antibiotic-resistant bacteria from wastewater.</w:t>
      </w:r>
    </w:p>
    <w:p w14:paraId="06E12524"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Khan, F.U., Khan, F.U., Hayat, K., Ahmad, T., Khan, A., Chang, J., Malik, U.R., Khan, Z., </w:t>
      </w:r>
      <w:proofErr w:type="spellStart"/>
      <w:r>
        <w:rPr>
          <w:rFonts w:ascii="Arial" w:hAnsi="Arial" w:cs="Arial"/>
          <w:sz w:val="22"/>
          <w:szCs w:val="22"/>
        </w:rPr>
        <w:t>Lambojon</w:t>
      </w:r>
      <w:proofErr w:type="spellEnd"/>
      <w:r>
        <w:rPr>
          <w:rFonts w:ascii="Arial" w:hAnsi="Arial" w:cs="Arial"/>
          <w:sz w:val="22"/>
          <w:szCs w:val="22"/>
        </w:rPr>
        <w:t>, K. and Fang, Y., 2021. Knowledge, attitude, and practice on antibiotics and its resistance: a two-phase mixed-methods online study among Pakistani community pharmacists to promote rational antibiotic use. International journal of environmental research and public health, 18(3), p.1320.</w:t>
      </w:r>
    </w:p>
    <w:p w14:paraId="065A8570"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Khan, F.U., Khan, F.U., Hayat, K., Chang, J., Saeed, A., Khan, Z., Ashraf, M., Rasheed, U.M., </w:t>
      </w:r>
      <w:proofErr w:type="spellStart"/>
      <w:r>
        <w:rPr>
          <w:rFonts w:ascii="Arial" w:hAnsi="Arial" w:cs="Arial"/>
          <w:sz w:val="22"/>
          <w:szCs w:val="22"/>
        </w:rPr>
        <w:t>Atif</w:t>
      </w:r>
      <w:proofErr w:type="spellEnd"/>
      <w:r>
        <w:rPr>
          <w:rFonts w:ascii="Arial" w:hAnsi="Arial" w:cs="Arial"/>
          <w:sz w:val="22"/>
          <w:szCs w:val="22"/>
        </w:rPr>
        <w:t xml:space="preserve">, N., </w:t>
      </w:r>
      <w:proofErr w:type="spellStart"/>
      <w:r>
        <w:rPr>
          <w:rFonts w:ascii="Arial" w:hAnsi="Arial" w:cs="Arial"/>
          <w:sz w:val="22"/>
          <w:szCs w:val="22"/>
        </w:rPr>
        <w:t>Ji</w:t>
      </w:r>
      <w:proofErr w:type="spellEnd"/>
      <w:r>
        <w:rPr>
          <w:rFonts w:ascii="Arial" w:hAnsi="Arial" w:cs="Arial"/>
          <w:sz w:val="22"/>
          <w:szCs w:val="22"/>
        </w:rPr>
        <w:t>, W. and Aziz, M.M., 2020. Knowledge, attitude and practices among consumers toward antibiotics use and antibiotic resistance in Swat, Khyber-</w:t>
      </w:r>
      <w:proofErr w:type="spellStart"/>
      <w:r>
        <w:rPr>
          <w:rFonts w:ascii="Arial" w:hAnsi="Arial" w:cs="Arial"/>
          <w:sz w:val="22"/>
          <w:szCs w:val="22"/>
        </w:rPr>
        <w:t>Pakhtunkhwa</w:t>
      </w:r>
      <w:proofErr w:type="spellEnd"/>
      <w:r>
        <w:rPr>
          <w:rFonts w:ascii="Arial" w:hAnsi="Arial" w:cs="Arial"/>
          <w:sz w:val="22"/>
          <w:szCs w:val="22"/>
        </w:rPr>
        <w:t>, Pakistan. Expert review of anti-infective therapy, 18(9), pp.937-946.</w:t>
      </w:r>
    </w:p>
    <w:p w14:paraId="59BDC55F"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Kosiyaporn</w:t>
      </w:r>
      <w:proofErr w:type="spellEnd"/>
      <w:r>
        <w:rPr>
          <w:rFonts w:ascii="Arial" w:hAnsi="Arial" w:cs="Arial"/>
          <w:sz w:val="22"/>
          <w:szCs w:val="22"/>
        </w:rPr>
        <w:t xml:space="preserve">, H., </w:t>
      </w:r>
      <w:proofErr w:type="spellStart"/>
      <w:r>
        <w:rPr>
          <w:rFonts w:ascii="Arial" w:hAnsi="Arial" w:cs="Arial"/>
          <w:sz w:val="22"/>
          <w:szCs w:val="22"/>
        </w:rPr>
        <w:t>Chanvatik</w:t>
      </w:r>
      <w:proofErr w:type="spellEnd"/>
      <w:r>
        <w:rPr>
          <w:rFonts w:ascii="Arial" w:hAnsi="Arial" w:cs="Arial"/>
          <w:sz w:val="22"/>
          <w:szCs w:val="22"/>
        </w:rPr>
        <w:t xml:space="preserve">, S., </w:t>
      </w:r>
      <w:proofErr w:type="spellStart"/>
      <w:r>
        <w:rPr>
          <w:rFonts w:ascii="Arial" w:hAnsi="Arial" w:cs="Arial"/>
          <w:sz w:val="22"/>
          <w:szCs w:val="22"/>
        </w:rPr>
        <w:t>Issaramalai</w:t>
      </w:r>
      <w:proofErr w:type="spellEnd"/>
      <w:r>
        <w:rPr>
          <w:rFonts w:ascii="Arial" w:hAnsi="Arial" w:cs="Arial"/>
          <w:sz w:val="22"/>
          <w:szCs w:val="22"/>
        </w:rPr>
        <w:t xml:space="preserve">, T., </w:t>
      </w:r>
      <w:proofErr w:type="spellStart"/>
      <w:r>
        <w:rPr>
          <w:rFonts w:ascii="Arial" w:hAnsi="Arial" w:cs="Arial"/>
          <w:sz w:val="22"/>
          <w:szCs w:val="22"/>
        </w:rPr>
        <w:t>Kaewkhankhaeng</w:t>
      </w:r>
      <w:proofErr w:type="spellEnd"/>
      <w:r>
        <w:rPr>
          <w:rFonts w:ascii="Arial" w:hAnsi="Arial" w:cs="Arial"/>
          <w:sz w:val="22"/>
          <w:szCs w:val="22"/>
        </w:rPr>
        <w:t xml:space="preserve">, W., </w:t>
      </w:r>
      <w:proofErr w:type="spellStart"/>
      <w:r>
        <w:rPr>
          <w:rFonts w:ascii="Arial" w:hAnsi="Arial" w:cs="Arial"/>
          <w:sz w:val="22"/>
          <w:szCs w:val="22"/>
        </w:rPr>
        <w:t>Kulthanmanusorn</w:t>
      </w:r>
      <w:proofErr w:type="spellEnd"/>
      <w:r>
        <w:rPr>
          <w:rFonts w:ascii="Arial" w:hAnsi="Arial" w:cs="Arial"/>
          <w:sz w:val="22"/>
          <w:szCs w:val="22"/>
        </w:rPr>
        <w:t xml:space="preserve">, A., </w:t>
      </w:r>
      <w:proofErr w:type="spellStart"/>
      <w:r>
        <w:rPr>
          <w:rFonts w:ascii="Arial" w:hAnsi="Arial" w:cs="Arial"/>
          <w:sz w:val="22"/>
          <w:szCs w:val="22"/>
        </w:rPr>
        <w:t>Saengruang</w:t>
      </w:r>
      <w:proofErr w:type="spellEnd"/>
      <w:r>
        <w:rPr>
          <w:rFonts w:ascii="Arial" w:hAnsi="Arial" w:cs="Arial"/>
          <w:sz w:val="22"/>
          <w:szCs w:val="22"/>
        </w:rPr>
        <w:t xml:space="preserve">, N., </w:t>
      </w:r>
      <w:proofErr w:type="spellStart"/>
      <w:r>
        <w:rPr>
          <w:rFonts w:ascii="Arial" w:hAnsi="Arial" w:cs="Arial"/>
          <w:sz w:val="22"/>
          <w:szCs w:val="22"/>
        </w:rPr>
        <w:t>Witthayapipopsakul</w:t>
      </w:r>
      <w:proofErr w:type="spellEnd"/>
      <w:r>
        <w:rPr>
          <w:rFonts w:ascii="Arial" w:hAnsi="Arial" w:cs="Arial"/>
          <w:sz w:val="22"/>
          <w:szCs w:val="22"/>
        </w:rPr>
        <w:t xml:space="preserve">, W., </w:t>
      </w:r>
      <w:proofErr w:type="spellStart"/>
      <w:r>
        <w:rPr>
          <w:rFonts w:ascii="Arial" w:hAnsi="Arial" w:cs="Arial"/>
          <w:sz w:val="22"/>
          <w:szCs w:val="22"/>
        </w:rPr>
        <w:t>Viriyathorn</w:t>
      </w:r>
      <w:proofErr w:type="spellEnd"/>
      <w:r>
        <w:rPr>
          <w:rFonts w:ascii="Arial" w:hAnsi="Arial" w:cs="Arial"/>
          <w:sz w:val="22"/>
          <w:szCs w:val="22"/>
        </w:rPr>
        <w:t xml:space="preserve">, S., </w:t>
      </w:r>
      <w:proofErr w:type="spellStart"/>
      <w:r>
        <w:rPr>
          <w:rFonts w:ascii="Arial" w:hAnsi="Arial" w:cs="Arial"/>
          <w:sz w:val="22"/>
          <w:szCs w:val="22"/>
        </w:rPr>
        <w:t>Kirivan</w:t>
      </w:r>
      <w:proofErr w:type="spellEnd"/>
      <w:r>
        <w:rPr>
          <w:rFonts w:ascii="Arial" w:hAnsi="Arial" w:cs="Arial"/>
          <w:sz w:val="22"/>
          <w:szCs w:val="22"/>
        </w:rPr>
        <w:t xml:space="preserve">, S., </w:t>
      </w:r>
      <w:proofErr w:type="spellStart"/>
      <w:r>
        <w:rPr>
          <w:rFonts w:ascii="Arial" w:hAnsi="Arial" w:cs="Arial"/>
          <w:sz w:val="22"/>
          <w:szCs w:val="22"/>
        </w:rPr>
        <w:t>Kunpeuk</w:t>
      </w:r>
      <w:proofErr w:type="spellEnd"/>
      <w:r>
        <w:rPr>
          <w:rFonts w:ascii="Arial" w:hAnsi="Arial" w:cs="Arial"/>
          <w:sz w:val="22"/>
          <w:szCs w:val="22"/>
        </w:rPr>
        <w:t xml:space="preserve">, W. and </w:t>
      </w:r>
      <w:proofErr w:type="spellStart"/>
      <w:r>
        <w:rPr>
          <w:rFonts w:ascii="Arial" w:hAnsi="Arial" w:cs="Arial"/>
          <w:sz w:val="22"/>
          <w:szCs w:val="22"/>
        </w:rPr>
        <w:t>Suphanchaimat</w:t>
      </w:r>
      <w:proofErr w:type="spellEnd"/>
      <w:r>
        <w:rPr>
          <w:rFonts w:ascii="Arial" w:hAnsi="Arial" w:cs="Arial"/>
          <w:sz w:val="22"/>
          <w:szCs w:val="22"/>
        </w:rPr>
        <w:t>, R., 2020. Surveys of knowledge and awareness of antibiotic use and antimicrobial resistance in general population: A systematic review. </w:t>
      </w:r>
      <w:proofErr w:type="spellStart"/>
      <w:r>
        <w:rPr>
          <w:rFonts w:ascii="Arial" w:hAnsi="Arial" w:cs="Arial"/>
          <w:sz w:val="22"/>
          <w:szCs w:val="22"/>
        </w:rPr>
        <w:t>PLoS</w:t>
      </w:r>
      <w:proofErr w:type="spellEnd"/>
      <w:r>
        <w:rPr>
          <w:rFonts w:ascii="Arial" w:hAnsi="Arial" w:cs="Arial"/>
          <w:sz w:val="22"/>
          <w:szCs w:val="22"/>
        </w:rPr>
        <w:t xml:space="preserve"> One, 15(1), p.e0227973.</w:t>
      </w:r>
    </w:p>
    <w:p w14:paraId="6049A361"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Li, J., Zhou, P., Wang, J., Li, H., </w:t>
      </w:r>
      <w:proofErr w:type="spellStart"/>
      <w:r>
        <w:rPr>
          <w:rFonts w:ascii="Arial" w:hAnsi="Arial" w:cs="Arial"/>
          <w:sz w:val="22"/>
          <w:szCs w:val="22"/>
        </w:rPr>
        <w:t>Xu</w:t>
      </w:r>
      <w:proofErr w:type="spellEnd"/>
      <w:r>
        <w:rPr>
          <w:rFonts w:ascii="Arial" w:hAnsi="Arial" w:cs="Arial"/>
          <w:sz w:val="22"/>
          <w:szCs w:val="22"/>
        </w:rPr>
        <w:t xml:space="preserve">, H., </w:t>
      </w:r>
      <w:proofErr w:type="spellStart"/>
      <w:r>
        <w:rPr>
          <w:rFonts w:ascii="Arial" w:hAnsi="Arial" w:cs="Arial"/>
          <w:sz w:val="22"/>
          <w:szCs w:val="22"/>
        </w:rPr>
        <w:t>Meng</w:t>
      </w:r>
      <w:proofErr w:type="spellEnd"/>
      <w:r>
        <w:rPr>
          <w:rFonts w:ascii="Arial" w:hAnsi="Arial" w:cs="Arial"/>
          <w:sz w:val="22"/>
          <w:szCs w:val="22"/>
        </w:rPr>
        <w:t>, Y., Ye, F., Tan, Y., Gong, Y. and Yin, X., 2023. Worldwide dispensing of non-prescription antibiotics in community pharmacies and associated factors: a mixed-methods systematic review. The Lancet Infectious Diseases, 23(9), pp.e361-e370.</w:t>
      </w:r>
    </w:p>
    <w:p w14:paraId="040DA03A"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Mrklas</w:t>
      </w:r>
      <w:proofErr w:type="spellEnd"/>
      <w:r>
        <w:rPr>
          <w:rFonts w:ascii="Arial" w:hAnsi="Arial" w:cs="Arial"/>
          <w:sz w:val="22"/>
          <w:szCs w:val="22"/>
        </w:rPr>
        <w:t xml:space="preserve">, K.J., Boyd, J.M., </w:t>
      </w:r>
      <w:proofErr w:type="spellStart"/>
      <w:r>
        <w:rPr>
          <w:rFonts w:ascii="Arial" w:hAnsi="Arial" w:cs="Arial"/>
          <w:sz w:val="22"/>
          <w:szCs w:val="22"/>
        </w:rPr>
        <w:t>Shergill</w:t>
      </w:r>
      <w:proofErr w:type="spellEnd"/>
      <w:r>
        <w:rPr>
          <w:rFonts w:ascii="Arial" w:hAnsi="Arial" w:cs="Arial"/>
          <w:sz w:val="22"/>
          <w:szCs w:val="22"/>
        </w:rPr>
        <w:t xml:space="preserve">, S., </w:t>
      </w:r>
      <w:proofErr w:type="spellStart"/>
      <w:r>
        <w:rPr>
          <w:rFonts w:ascii="Arial" w:hAnsi="Arial" w:cs="Arial"/>
          <w:sz w:val="22"/>
          <w:szCs w:val="22"/>
        </w:rPr>
        <w:t>Merali</w:t>
      </w:r>
      <w:proofErr w:type="spellEnd"/>
      <w:r>
        <w:rPr>
          <w:rFonts w:ascii="Arial" w:hAnsi="Arial" w:cs="Arial"/>
          <w:sz w:val="22"/>
          <w:szCs w:val="22"/>
        </w:rPr>
        <w:t xml:space="preserve">, S., Khan, M., </w:t>
      </w:r>
      <w:proofErr w:type="spellStart"/>
      <w:r>
        <w:rPr>
          <w:rFonts w:ascii="Arial" w:hAnsi="Arial" w:cs="Arial"/>
          <w:sz w:val="22"/>
          <w:szCs w:val="22"/>
        </w:rPr>
        <w:t>Nowell</w:t>
      </w:r>
      <w:proofErr w:type="spellEnd"/>
      <w:r>
        <w:rPr>
          <w:rFonts w:ascii="Arial" w:hAnsi="Arial" w:cs="Arial"/>
          <w:sz w:val="22"/>
          <w:szCs w:val="22"/>
        </w:rPr>
        <w:t xml:space="preserve">, L., </w:t>
      </w:r>
      <w:proofErr w:type="spellStart"/>
      <w:r>
        <w:rPr>
          <w:rFonts w:ascii="Arial" w:hAnsi="Arial" w:cs="Arial"/>
          <w:sz w:val="22"/>
          <w:szCs w:val="22"/>
        </w:rPr>
        <w:t>Goertzen</w:t>
      </w:r>
      <w:proofErr w:type="spellEnd"/>
      <w:r>
        <w:rPr>
          <w:rFonts w:ascii="Arial" w:hAnsi="Arial" w:cs="Arial"/>
          <w:sz w:val="22"/>
          <w:szCs w:val="22"/>
        </w:rPr>
        <w:t xml:space="preserve">, A., </w:t>
      </w:r>
      <w:proofErr w:type="spellStart"/>
      <w:r>
        <w:rPr>
          <w:rFonts w:ascii="Arial" w:hAnsi="Arial" w:cs="Arial"/>
          <w:sz w:val="22"/>
          <w:szCs w:val="22"/>
        </w:rPr>
        <w:t>Pfadenhauer</w:t>
      </w:r>
      <w:proofErr w:type="spellEnd"/>
      <w:r>
        <w:rPr>
          <w:rFonts w:ascii="Arial" w:hAnsi="Arial" w:cs="Arial"/>
          <w:sz w:val="22"/>
          <w:szCs w:val="22"/>
        </w:rPr>
        <w:t xml:space="preserve">, L.M., Paul, K., Sibley, K.M. and Swain, L., 2023. Tools for assessing health </w:t>
      </w:r>
      <w:r>
        <w:rPr>
          <w:rFonts w:ascii="Arial" w:hAnsi="Arial" w:cs="Arial"/>
          <w:sz w:val="22"/>
          <w:szCs w:val="22"/>
        </w:rPr>
        <w:lastRenderedPageBreak/>
        <w:t>research partnership outcomes and impacts: a systematic review. Health Research Policy and Systems, 21(1), p.3.</w:t>
      </w:r>
    </w:p>
    <w:p w14:paraId="19C87856"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Munn, Z., Peters, M.D., Stern, C., </w:t>
      </w:r>
      <w:proofErr w:type="spellStart"/>
      <w:r>
        <w:rPr>
          <w:rFonts w:ascii="Arial" w:hAnsi="Arial" w:cs="Arial"/>
          <w:sz w:val="22"/>
          <w:szCs w:val="22"/>
        </w:rPr>
        <w:t>Tufanaru</w:t>
      </w:r>
      <w:proofErr w:type="spellEnd"/>
      <w:r>
        <w:rPr>
          <w:rFonts w:ascii="Arial" w:hAnsi="Arial" w:cs="Arial"/>
          <w:sz w:val="22"/>
          <w:szCs w:val="22"/>
        </w:rPr>
        <w:t xml:space="preserve">, C., McArthur, A. and </w:t>
      </w:r>
      <w:proofErr w:type="spellStart"/>
      <w:r>
        <w:rPr>
          <w:rFonts w:ascii="Arial" w:hAnsi="Arial" w:cs="Arial"/>
          <w:sz w:val="22"/>
          <w:szCs w:val="22"/>
        </w:rPr>
        <w:t>Aromataris</w:t>
      </w:r>
      <w:proofErr w:type="spellEnd"/>
      <w:r>
        <w:rPr>
          <w:rFonts w:ascii="Arial" w:hAnsi="Arial" w:cs="Arial"/>
          <w:sz w:val="22"/>
          <w:szCs w:val="22"/>
        </w:rPr>
        <w:t xml:space="preserve">, E., 2018. Systematic review or scoping review? Guidance for authors when choosing between a systematic or scoping review </w:t>
      </w:r>
      <w:proofErr w:type="gramStart"/>
      <w:r>
        <w:rPr>
          <w:rFonts w:ascii="Arial" w:hAnsi="Arial" w:cs="Arial"/>
          <w:sz w:val="22"/>
          <w:szCs w:val="22"/>
        </w:rPr>
        <w:t>approach</w:t>
      </w:r>
      <w:proofErr w:type="gramEnd"/>
      <w:r>
        <w:rPr>
          <w:rFonts w:ascii="Arial" w:hAnsi="Arial" w:cs="Arial"/>
          <w:sz w:val="22"/>
          <w:szCs w:val="22"/>
        </w:rPr>
        <w:t>. BMC medical research methodology, 18(1), p.143.</w:t>
      </w:r>
    </w:p>
    <w:p w14:paraId="3ABD359D"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Muro</w:t>
      </w:r>
      <w:proofErr w:type="spellEnd"/>
      <w:r>
        <w:rPr>
          <w:rFonts w:ascii="Arial" w:hAnsi="Arial" w:cs="Arial"/>
          <w:sz w:val="22"/>
          <w:szCs w:val="22"/>
        </w:rPr>
        <w:t xml:space="preserve">, F.J., </w:t>
      </w:r>
      <w:proofErr w:type="spellStart"/>
      <w:r>
        <w:rPr>
          <w:rFonts w:ascii="Arial" w:hAnsi="Arial" w:cs="Arial"/>
          <w:sz w:val="22"/>
          <w:szCs w:val="22"/>
        </w:rPr>
        <w:t>Lyamuya</w:t>
      </w:r>
      <w:proofErr w:type="spellEnd"/>
      <w:r>
        <w:rPr>
          <w:rFonts w:ascii="Arial" w:hAnsi="Arial" w:cs="Arial"/>
          <w:sz w:val="22"/>
          <w:szCs w:val="22"/>
        </w:rPr>
        <w:t xml:space="preserve">, F.S., </w:t>
      </w:r>
      <w:proofErr w:type="spellStart"/>
      <w:r>
        <w:rPr>
          <w:rFonts w:ascii="Arial" w:hAnsi="Arial" w:cs="Arial"/>
          <w:sz w:val="22"/>
          <w:szCs w:val="22"/>
        </w:rPr>
        <w:t>Kwobah</w:t>
      </w:r>
      <w:proofErr w:type="spellEnd"/>
      <w:r>
        <w:rPr>
          <w:rFonts w:ascii="Arial" w:hAnsi="Arial" w:cs="Arial"/>
          <w:sz w:val="22"/>
          <w:szCs w:val="22"/>
        </w:rPr>
        <w:t xml:space="preserve">, C., Bollinger, J., </w:t>
      </w:r>
      <w:proofErr w:type="spellStart"/>
      <w:r>
        <w:rPr>
          <w:rFonts w:ascii="Arial" w:hAnsi="Arial" w:cs="Arial"/>
          <w:sz w:val="22"/>
          <w:szCs w:val="22"/>
        </w:rPr>
        <w:t>Bodinayake</w:t>
      </w:r>
      <w:proofErr w:type="spellEnd"/>
      <w:r>
        <w:rPr>
          <w:rFonts w:ascii="Arial" w:hAnsi="Arial" w:cs="Arial"/>
          <w:sz w:val="22"/>
          <w:szCs w:val="22"/>
        </w:rPr>
        <w:t xml:space="preserve">, C.K., </w:t>
      </w:r>
      <w:proofErr w:type="spellStart"/>
      <w:r>
        <w:rPr>
          <w:rFonts w:ascii="Arial" w:hAnsi="Arial" w:cs="Arial"/>
          <w:sz w:val="22"/>
          <w:szCs w:val="22"/>
        </w:rPr>
        <w:t>Nagahawatte</w:t>
      </w:r>
      <w:proofErr w:type="spellEnd"/>
      <w:r>
        <w:rPr>
          <w:rFonts w:ascii="Arial" w:hAnsi="Arial" w:cs="Arial"/>
          <w:sz w:val="22"/>
          <w:szCs w:val="22"/>
        </w:rPr>
        <w:t xml:space="preserve">, A., </w:t>
      </w:r>
      <w:proofErr w:type="spellStart"/>
      <w:r>
        <w:rPr>
          <w:rFonts w:ascii="Arial" w:hAnsi="Arial" w:cs="Arial"/>
          <w:sz w:val="22"/>
          <w:szCs w:val="22"/>
        </w:rPr>
        <w:t>Piyasiri</w:t>
      </w:r>
      <w:proofErr w:type="spellEnd"/>
      <w:r>
        <w:rPr>
          <w:rFonts w:ascii="Arial" w:hAnsi="Arial" w:cs="Arial"/>
          <w:sz w:val="22"/>
          <w:szCs w:val="22"/>
        </w:rPr>
        <w:t xml:space="preserve">, B., </w:t>
      </w:r>
      <w:proofErr w:type="spellStart"/>
      <w:r>
        <w:rPr>
          <w:rFonts w:ascii="Arial" w:hAnsi="Arial" w:cs="Arial"/>
          <w:sz w:val="22"/>
          <w:szCs w:val="22"/>
        </w:rPr>
        <w:t>Kurukulasooriya</w:t>
      </w:r>
      <w:proofErr w:type="spellEnd"/>
      <w:r>
        <w:rPr>
          <w:rFonts w:ascii="Arial" w:hAnsi="Arial" w:cs="Arial"/>
          <w:sz w:val="22"/>
          <w:szCs w:val="22"/>
        </w:rPr>
        <w:t xml:space="preserve">, R., Ali, S., </w:t>
      </w:r>
      <w:proofErr w:type="spellStart"/>
      <w:r>
        <w:rPr>
          <w:rFonts w:ascii="Arial" w:hAnsi="Arial" w:cs="Arial"/>
          <w:sz w:val="22"/>
          <w:szCs w:val="22"/>
        </w:rPr>
        <w:t>Mallya</w:t>
      </w:r>
      <w:proofErr w:type="spellEnd"/>
      <w:r>
        <w:rPr>
          <w:rFonts w:ascii="Arial" w:hAnsi="Arial" w:cs="Arial"/>
          <w:sz w:val="22"/>
          <w:szCs w:val="22"/>
        </w:rPr>
        <w:t xml:space="preserve">, R. and Rolfe </w:t>
      </w:r>
      <w:proofErr w:type="spellStart"/>
      <w:r>
        <w:rPr>
          <w:rFonts w:ascii="Arial" w:hAnsi="Arial" w:cs="Arial"/>
          <w:sz w:val="22"/>
          <w:szCs w:val="22"/>
        </w:rPr>
        <w:t>Jr</w:t>
      </w:r>
      <w:proofErr w:type="spellEnd"/>
      <w:r>
        <w:rPr>
          <w:rFonts w:ascii="Arial" w:hAnsi="Arial" w:cs="Arial"/>
          <w:sz w:val="22"/>
          <w:szCs w:val="22"/>
        </w:rPr>
        <w:t>, R., 2022. Opportunities for improving antimicrobial stewardship: findings from a prospective, multi-center study in three low-or middle-income countries. Frontiers in Public Health, 10, p.848802.</w:t>
      </w:r>
    </w:p>
    <w:p w14:paraId="07BE8E9F"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Mustafa, T., </w:t>
      </w:r>
      <w:proofErr w:type="spellStart"/>
      <w:r>
        <w:rPr>
          <w:rFonts w:ascii="Arial" w:hAnsi="Arial" w:cs="Arial"/>
          <w:sz w:val="22"/>
          <w:szCs w:val="22"/>
        </w:rPr>
        <w:t>Niazi</w:t>
      </w:r>
      <w:proofErr w:type="spellEnd"/>
      <w:r>
        <w:rPr>
          <w:rFonts w:ascii="Arial" w:hAnsi="Arial" w:cs="Arial"/>
          <w:sz w:val="22"/>
          <w:szCs w:val="22"/>
        </w:rPr>
        <w:t xml:space="preserve">, M.R.K., </w:t>
      </w:r>
      <w:proofErr w:type="spellStart"/>
      <w:r>
        <w:rPr>
          <w:rFonts w:ascii="Arial" w:hAnsi="Arial" w:cs="Arial"/>
          <w:sz w:val="22"/>
          <w:szCs w:val="22"/>
        </w:rPr>
        <w:t>Lakdawala</w:t>
      </w:r>
      <w:proofErr w:type="spellEnd"/>
      <w:r>
        <w:rPr>
          <w:rFonts w:ascii="Arial" w:hAnsi="Arial" w:cs="Arial"/>
          <w:sz w:val="22"/>
          <w:szCs w:val="22"/>
        </w:rPr>
        <w:t xml:space="preserve">, Z. and </w:t>
      </w:r>
      <w:proofErr w:type="spellStart"/>
      <w:r>
        <w:rPr>
          <w:rFonts w:ascii="Arial" w:hAnsi="Arial" w:cs="Arial"/>
          <w:sz w:val="22"/>
          <w:szCs w:val="22"/>
        </w:rPr>
        <w:t>Mirza</w:t>
      </w:r>
      <w:proofErr w:type="spellEnd"/>
      <w:r>
        <w:rPr>
          <w:rFonts w:ascii="Arial" w:hAnsi="Arial" w:cs="Arial"/>
          <w:sz w:val="22"/>
          <w:szCs w:val="22"/>
        </w:rPr>
        <w:t>, S., 2023. Regional and national trends in consumption of antimicrobials in Pakistan; pre and post-COVID (2019–2021). Clinical Infectious Diseases, 77(Supplement_7), pp.S569-S577.</w:t>
      </w:r>
    </w:p>
    <w:p w14:paraId="34722149"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Nabeel</w:t>
      </w:r>
      <w:proofErr w:type="spellEnd"/>
      <w:r>
        <w:rPr>
          <w:rFonts w:ascii="Arial" w:hAnsi="Arial" w:cs="Arial"/>
          <w:sz w:val="22"/>
          <w:szCs w:val="22"/>
        </w:rPr>
        <w:t xml:space="preserve">, M., Ali, K., </w:t>
      </w:r>
      <w:proofErr w:type="spellStart"/>
      <w:r>
        <w:rPr>
          <w:rFonts w:ascii="Arial" w:hAnsi="Arial" w:cs="Arial"/>
          <w:sz w:val="22"/>
          <w:szCs w:val="22"/>
        </w:rPr>
        <w:t>Sarwar</w:t>
      </w:r>
      <w:proofErr w:type="spellEnd"/>
      <w:r>
        <w:rPr>
          <w:rFonts w:ascii="Arial" w:hAnsi="Arial" w:cs="Arial"/>
          <w:sz w:val="22"/>
          <w:szCs w:val="22"/>
        </w:rPr>
        <w:t xml:space="preserve">, M.R. and </w:t>
      </w:r>
      <w:proofErr w:type="spellStart"/>
      <w:r>
        <w:rPr>
          <w:rFonts w:ascii="Arial" w:hAnsi="Arial" w:cs="Arial"/>
          <w:sz w:val="22"/>
          <w:szCs w:val="22"/>
        </w:rPr>
        <w:t>Waheed</w:t>
      </w:r>
      <w:proofErr w:type="spellEnd"/>
      <w:r>
        <w:rPr>
          <w:rFonts w:ascii="Arial" w:hAnsi="Arial" w:cs="Arial"/>
          <w:sz w:val="22"/>
          <w:szCs w:val="22"/>
        </w:rPr>
        <w:t>, I., 2024. Assessment of knowledge, attitudes, and practices among community pharmacists in Lahore regarding antibiotic dispensing without prescription: A cross-sectional study. </w:t>
      </w:r>
      <w:proofErr w:type="spellStart"/>
      <w:r>
        <w:rPr>
          <w:rFonts w:ascii="Arial" w:hAnsi="Arial" w:cs="Arial"/>
          <w:sz w:val="22"/>
          <w:szCs w:val="22"/>
        </w:rPr>
        <w:t>PLoS</w:t>
      </w:r>
      <w:proofErr w:type="spellEnd"/>
      <w:r>
        <w:rPr>
          <w:rFonts w:ascii="Arial" w:hAnsi="Arial" w:cs="Arial"/>
          <w:sz w:val="22"/>
          <w:szCs w:val="22"/>
        </w:rPr>
        <w:t xml:space="preserve"> One, 19(6), p.e0304361.</w:t>
      </w:r>
    </w:p>
    <w:p w14:paraId="1973B7DA"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Nohri</w:t>
      </w:r>
      <w:proofErr w:type="spellEnd"/>
      <w:r>
        <w:rPr>
          <w:rFonts w:ascii="Arial" w:hAnsi="Arial" w:cs="Arial"/>
          <w:sz w:val="22"/>
          <w:szCs w:val="22"/>
        </w:rPr>
        <w:t xml:space="preserve">, A.R., Siddiqui, M.I., Usman, G., </w:t>
      </w:r>
      <w:proofErr w:type="spellStart"/>
      <w:r>
        <w:rPr>
          <w:rFonts w:ascii="Arial" w:hAnsi="Arial" w:cs="Arial"/>
          <w:sz w:val="22"/>
          <w:szCs w:val="22"/>
        </w:rPr>
        <w:t>Sarang</w:t>
      </w:r>
      <w:proofErr w:type="spellEnd"/>
      <w:r>
        <w:rPr>
          <w:rFonts w:ascii="Arial" w:hAnsi="Arial" w:cs="Arial"/>
          <w:sz w:val="22"/>
          <w:szCs w:val="22"/>
        </w:rPr>
        <w:t xml:space="preserve">, S., </w:t>
      </w:r>
      <w:proofErr w:type="spellStart"/>
      <w:r>
        <w:rPr>
          <w:rFonts w:ascii="Arial" w:hAnsi="Arial" w:cs="Arial"/>
          <w:sz w:val="22"/>
          <w:szCs w:val="22"/>
        </w:rPr>
        <w:t>Memon</w:t>
      </w:r>
      <w:proofErr w:type="spellEnd"/>
      <w:r>
        <w:rPr>
          <w:rFonts w:ascii="Arial" w:hAnsi="Arial" w:cs="Arial"/>
          <w:sz w:val="22"/>
          <w:szCs w:val="22"/>
        </w:rPr>
        <w:t>, H.Q., Singh, D. and Kumar, S., 2024. Antibiotic dispensation without prescription by community pharmacies in Pakistan. Journal of Medicine, Surgery, and Public Health, 2, p.100065.</w:t>
      </w:r>
    </w:p>
    <w:p w14:paraId="0760E0DE"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Orok</w:t>
      </w:r>
      <w:proofErr w:type="spellEnd"/>
      <w:r>
        <w:rPr>
          <w:rFonts w:ascii="Arial" w:hAnsi="Arial" w:cs="Arial"/>
          <w:sz w:val="22"/>
          <w:szCs w:val="22"/>
        </w:rPr>
        <w:t xml:space="preserve">, E., </w:t>
      </w:r>
      <w:proofErr w:type="spellStart"/>
      <w:r>
        <w:rPr>
          <w:rFonts w:ascii="Arial" w:hAnsi="Arial" w:cs="Arial"/>
          <w:sz w:val="22"/>
          <w:szCs w:val="22"/>
        </w:rPr>
        <w:t>Ikpe</w:t>
      </w:r>
      <w:proofErr w:type="spellEnd"/>
      <w:r>
        <w:rPr>
          <w:rFonts w:ascii="Arial" w:hAnsi="Arial" w:cs="Arial"/>
          <w:sz w:val="22"/>
          <w:szCs w:val="22"/>
        </w:rPr>
        <w:t xml:space="preserve">, F., Williams, T. and </w:t>
      </w:r>
      <w:proofErr w:type="spellStart"/>
      <w:r>
        <w:rPr>
          <w:rFonts w:ascii="Arial" w:hAnsi="Arial" w:cs="Arial"/>
          <w:sz w:val="22"/>
          <w:szCs w:val="22"/>
        </w:rPr>
        <w:t>Ekada</w:t>
      </w:r>
      <w:proofErr w:type="spellEnd"/>
      <w:r>
        <w:rPr>
          <w:rFonts w:ascii="Arial" w:hAnsi="Arial" w:cs="Arial"/>
          <w:sz w:val="22"/>
          <w:szCs w:val="22"/>
        </w:rPr>
        <w:t>, I., 2025. Impact of educational intervention on knowledge of antimicrobial resistance and antibiotic use patterns among healthcare students: a pre-and post-intervention study. BMC medical education, 25(1), p.283.</w:t>
      </w:r>
    </w:p>
    <w:p w14:paraId="2A9F60BE"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Paul, G.K., </w:t>
      </w:r>
      <w:proofErr w:type="spellStart"/>
      <w:r>
        <w:rPr>
          <w:rFonts w:ascii="Arial" w:hAnsi="Arial" w:cs="Arial"/>
          <w:sz w:val="22"/>
          <w:szCs w:val="22"/>
        </w:rPr>
        <w:t>Swapon</w:t>
      </w:r>
      <w:proofErr w:type="spellEnd"/>
      <w:r>
        <w:rPr>
          <w:rFonts w:ascii="Arial" w:hAnsi="Arial" w:cs="Arial"/>
          <w:sz w:val="22"/>
          <w:szCs w:val="22"/>
        </w:rPr>
        <w:t xml:space="preserve">, M.S. and </w:t>
      </w:r>
      <w:proofErr w:type="spellStart"/>
      <w:r>
        <w:rPr>
          <w:rFonts w:ascii="Arial" w:hAnsi="Arial" w:cs="Arial"/>
          <w:sz w:val="22"/>
          <w:szCs w:val="22"/>
        </w:rPr>
        <w:t>Kibria</w:t>
      </w:r>
      <w:proofErr w:type="spellEnd"/>
      <w:r>
        <w:rPr>
          <w:rFonts w:ascii="Arial" w:hAnsi="Arial" w:cs="Arial"/>
          <w:sz w:val="22"/>
          <w:szCs w:val="22"/>
        </w:rPr>
        <w:t>, K.K., 2022. Knowledge, awareness, and attitudes toward antibiotic resistance and practice of self-medication among university students in Bangladesh: A cross-sectional study. Journal of education and health promotion, 11, p.115. Sun, R., Yao, T., Zhou,</w:t>
      </w:r>
    </w:p>
    <w:p w14:paraId="3F4F266D"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Qudah</w:t>
      </w:r>
      <w:proofErr w:type="spellEnd"/>
      <w:r>
        <w:rPr>
          <w:rFonts w:ascii="Arial" w:hAnsi="Arial" w:cs="Arial"/>
          <w:sz w:val="22"/>
          <w:szCs w:val="22"/>
        </w:rPr>
        <w:t xml:space="preserve">, T., </w:t>
      </w:r>
      <w:proofErr w:type="spellStart"/>
      <w:r>
        <w:rPr>
          <w:rFonts w:ascii="Arial" w:hAnsi="Arial" w:cs="Arial"/>
          <w:sz w:val="22"/>
          <w:szCs w:val="22"/>
        </w:rPr>
        <w:t>Alameri</w:t>
      </w:r>
      <w:proofErr w:type="spellEnd"/>
      <w:r>
        <w:rPr>
          <w:rFonts w:ascii="Arial" w:hAnsi="Arial" w:cs="Arial"/>
          <w:sz w:val="22"/>
          <w:szCs w:val="22"/>
        </w:rPr>
        <w:t xml:space="preserve">, M.A., </w:t>
      </w:r>
      <w:proofErr w:type="spellStart"/>
      <w:r>
        <w:rPr>
          <w:rFonts w:ascii="Arial" w:hAnsi="Arial" w:cs="Arial"/>
          <w:sz w:val="22"/>
          <w:szCs w:val="22"/>
        </w:rPr>
        <w:t>Alqudah</w:t>
      </w:r>
      <w:proofErr w:type="spellEnd"/>
      <w:r>
        <w:rPr>
          <w:rFonts w:ascii="Arial" w:hAnsi="Arial" w:cs="Arial"/>
          <w:sz w:val="22"/>
          <w:szCs w:val="22"/>
        </w:rPr>
        <w:t xml:space="preserve">, A., Al </w:t>
      </w:r>
      <w:proofErr w:type="spellStart"/>
      <w:r>
        <w:rPr>
          <w:rFonts w:ascii="Arial" w:hAnsi="Arial" w:cs="Arial"/>
          <w:sz w:val="22"/>
          <w:szCs w:val="22"/>
        </w:rPr>
        <w:t>Meslamani</w:t>
      </w:r>
      <w:proofErr w:type="spellEnd"/>
      <w:r>
        <w:rPr>
          <w:rFonts w:ascii="Arial" w:hAnsi="Arial" w:cs="Arial"/>
          <w:sz w:val="22"/>
          <w:szCs w:val="22"/>
        </w:rPr>
        <w:t>, A. and Iqbal, S., 2024. Knowledge, Attitudes, and Practices (KAP) of community pharmacists regarding antibiotic use and resistance: a cross-sectional study from the United Arab Emirates. International Journal of Environmental Health Research, 34(12), pp.4177-4189.</w:t>
      </w:r>
    </w:p>
    <w:p w14:paraId="5A81EF6C"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lastRenderedPageBreak/>
        <w:t>Rethlefsen</w:t>
      </w:r>
      <w:proofErr w:type="spellEnd"/>
      <w:r>
        <w:rPr>
          <w:rFonts w:ascii="Arial" w:hAnsi="Arial" w:cs="Arial"/>
          <w:sz w:val="22"/>
          <w:szCs w:val="22"/>
        </w:rPr>
        <w:t xml:space="preserve">, M.L., </w:t>
      </w:r>
      <w:proofErr w:type="spellStart"/>
      <w:r>
        <w:rPr>
          <w:rFonts w:ascii="Arial" w:hAnsi="Arial" w:cs="Arial"/>
          <w:sz w:val="22"/>
          <w:szCs w:val="22"/>
        </w:rPr>
        <w:t>Kirtley</w:t>
      </w:r>
      <w:proofErr w:type="spellEnd"/>
      <w:r>
        <w:rPr>
          <w:rFonts w:ascii="Arial" w:hAnsi="Arial" w:cs="Arial"/>
          <w:sz w:val="22"/>
          <w:szCs w:val="22"/>
        </w:rPr>
        <w:t xml:space="preserve">, S., </w:t>
      </w:r>
      <w:proofErr w:type="spellStart"/>
      <w:r>
        <w:rPr>
          <w:rFonts w:ascii="Arial" w:hAnsi="Arial" w:cs="Arial"/>
          <w:sz w:val="22"/>
          <w:szCs w:val="22"/>
        </w:rPr>
        <w:t>Waffenschmidt</w:t>
      </w:r>
      <w:proofErr w:type="spellEnd"/>
      <w:r>
        <w:rPr>
          <w:rFonts w:ascii="Arial" w:hAnsi="Arial" w:cs="Arial"/>
          <w:sz w:val="22"/>
          <w:szCs w:val="22"/>
        </w:rPr>
        <w:t xml:space="preserve">, S., Ayala, A.P., </w:t>
      </w:r>
      <w:proofErr w:type="spellStart"/>
      <w:r>
        <w:rPr>
          <w:rFonts w:ascii="Arial" w:hAnsi="Arial" w:cs="Arial"/>
          <w:sz w:val="22"/>
          <w:szCs w:val="22"/>
        </w:rPr>
        <w:t>Moher</w:t>
      </w:r>
      <w:proofErr w:type="spellEnd"/>
      <w:r>
        <w:rPr>
          <w:rFonts w:ascii="Arial" w:hAnsi="Arial" w:cs="Arial"/>
          <w:sz w:val="22"/>
          <w:szCs w:val="22"/>
        </w:rPr>
        <w:t xml:space="preserve">, D., Page, M.J. and </w:t>
      </w:r>
      <w:proofErr w:type="spellStart"/>
      <w:r>
        <w:rPr>
          <w:rFonts w:ascii="Arial" w:hAnsi="Arial" w:cs="Arial"/>
          <w:sz w:val="22"/>
          <w:szCs w:val="22"/>
        </w:rPr>
        <w:t>Koffel</w:t>
      </w:r>
      <w:proofErr w:type="spellEnd"/>
      <w:r>
        <w:rPr>
          <w:rFonts w:ascii="Arial" w:hAnsi="Arial" w:cs="Arial"/>
          <w:sz w:val="22"/>
          <w:szCs w:val="22"/>
        </w:rPr>
        <w:t>, J.B., 2021. PRISMA-S: an extension to the PRISMA statement for reporting literature searches in systematic reviews. Systematic reviews, 10(1), p.39.</w:t>
      </w:r>
    </w:p>
    <w:p w14:paraId="45CAFB8B"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Saif</w:t>
      </w:r>
      <w:proofErr w:type="spellEnd"/>
      <w:r>
        <w:rPr>
          <w:rFonts w:ascii="Arial" w:hAnsi="Arial" w:cs="Arial"/>
          <w:sz w:val="22"/>
          <w:szCs w:val="22"/>
        </w:rPr>
        <w:t xml:space="preserve">, A., Khan, T.M., </w:t>
      </w:r>
      <w:proofErr w:type="spellStart"/>
      <w:r>
        <w:rPr>
          <w:rFonts w:ascii="Arial" w:hAnsi="Arial" w:cs="Arial"/>
          <w:sz w:val="22"/>
          <w:szCs w:val="22"/>
        </w:rPr>
        <w:t>Bukhsh</w:t>
      </w:r>
      <w:proofErr w:type="spellEnd"/>
      <w:r>
        <w:rPr>
          <w:rFonts w:ascii="Arial" w:hAnsi="Arial" w:cs="Arial"/>
          <w:sz w:val="22"/>
          <w:szCs w:val="22"/>
        </w:rPr>
        <w:t xml:space="preserve">, A., </w:t>
      </w:r>
      <w:proofErr w:type="spellStart"/>
      <w:r>
        <w:rPr>
          <w:rFonts w:ascii="Arial" w:hAnsi="Arial" w:cs="Arial"/>
          <w:sz w:val="22"/>
          <w:szCs w:val="22"/>
        </w:rPr>
        <w:t>Yaseen</w:t>
      </w:r>
      <w:proofErr w:type="spellEnd"/>
      <w:r>
        <w:rPr>
          <w:rFonts w:ascii="Arial" w:hAnsi="Arial" w:cs="Arial"/>
          <w:sz w:val="22"/>
          <w:szCs w:val="22"/>
        </w:rPr>
        <w:t xml:space="preserve">, M.O. and </w:t>
      </w:r>
      <w:proofErr w:type="spellStart"/>
      <w:r>
        <w:rPr>
          <w:rFonts w:ascii="Arial" w:hAnsi="Arial" w:cs="Arial"/>
          <w:sz w:val="22"/>
          <w:szCs w:val="22"/>
        </w:rPr>
        <w:t>Saif</w:t>
      </w:r>
      <w:proofErr w:type="spellEnd"/>
      <w:r>
        <w:rPr>
          <w:rFonts w:ascii="Arial" w:hAnsi="Arial" w:cs="Arial"/>
          <w:sz w:val="22"/>
          <w:szCs w:val="22"/>
        </w:rPr>
        <w:t xml:space="preserve">, A., 2024. Cross-sectional survey to explore knowledge, attitude, practices and impact of an intervention </w:t>
      </w:r>
      <w:proofErr w:type="spellStart"/>
      <w:r>
        <w:rPr>
          <w:rFonts w:ascii="Arial" w:hAnsi="Arial" w:cs="Arial"/>
          <w:sz w:val="22"/>
          <w:szCs w:val="22"/>
        </w:rPr>
        <w:t>programme</w:t>
      </w:r>
      <w:proofErr w:type="spellEnd"/>
      <w:r>
        <w:rPr>
          <w:rFonts w:ascii="Arial" w:hAnsi="Arial" w:cs="Arial"/>
          <w:sz w:val="22"/>
          <w:szCs w:val="22"/>
        </w:rPr>
        <w:t xml:space="preserve"> related to antibiotic misuse and self-medication among general population of Pakistan. BMJ public health, 2(1).</w:t>
      </w:r>
    </w:p>
    <w:p w14:paraId="1720E043"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Saleem</w:t>
      </w:r>
      <w:proofErr w:type="spellEnd"/>
      <w:r>
        <w:rPr>
          <w:rFonts w:ascii="Arial" w:hAnsi="Arial" w:cs="Arial"/>
          <w:sz w:val="22"/>
          <w:szCs w:val="22"/>
        </w:rPr>
        <w:t>, Z., 2026. From water to wards: status of integrated preventive strategies to break the chain of infection and antimicrobial resistance in Pakistan. Frontiers in Pharmacology, 17, p.1783788.</w:t>
      </w:r>
    </w:p>
    <w:p w14:paraId="634818DE"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Saleem</w:t>
      </w:r>
      <w:proofErr w:type="spellEnd"/>
      <w:r>
        <w:rPr>
          <w:rFonts w:ascii="Arial" w:hAnsi="Arial" w:cs="Arial"/>
          <w:sz w:val="22"/>
          <w:szCs w:val="22"/>
        </w:rPr>
        <w:t xml:space="preserve">, Z., </w:t>
      </w:r>
      <w:proofErr w:type="spellStart"/>
      <w:r>
        <w:rPr>
          <w:rFonts w:ascii="Arial" w:hAnsi="Arial" w:cs="Arial"/>
          <w:sz w:val="22"/>
          <w:szCs w:val="22"/>
        </w:rPr>
        <w:t>Godman</w:t>
      </w:r>
      <w:proofErr w:type="spellEnd"/>
      <w:r>
        <w:rPr>
          <w:rFonts w:ascii="Arial" w:hAnsi="Arial" w:cs="Arial"/>
          <w:sz w:val="22"/>
          <w:szCs w:val="22"/>
        </w:rPr>
        <w:t xml:space="preserve">, B., </w:t>
      </w:r>
      <w:proofErr w:type="spellStart"/>
      <w:r>
        <w:rPr>
          <w:rFonts w:ascii="Arial" w:hAnsi="Arial" w:cs="Arial"/>
          <w:sz w:val="22"/>
          <w:szCs w:val="22"/>
        </w:rPr>
        <w:t>Hassali</w:t>
      </w:r>
      <w:proofErr w:type="spellEnd"/>
      <w:r>
        <w:rPr>
          <w:rFonts w:ascii="Arial" w:hAnsi="Arial" w:cs="Arial"/>
          <w:sz w:val="22"/>
          <w:szCs w:val="22"/>
        </w:rPr>
        <w:t xml:space="preserve">, M.A., Hashmi, F.K., </w:t>
      </w:r>
      <w:proofErr w:type="spellStart"/>
      <w:r>
        <w:rPr>
          <w:rFonts w:ascii="Arial" w:hAnsi="Arial" w:cs="Arial"/>
          <w:sz w:val="22"/>
          <w:szCs w:val="22"/>
        </w:rPr>
        <w:t>Murtaza</w:t>
      </w:r>
      <w:proofErr w:type="spellEnd"/>
      <w:r>
        <w:rPr>
          <w:rFonts w:ascii="Arial" w:hAnsi="Arial" w:cs="Arial"/>
          <w:sz w:val="22"/>
          <w:szCs w:val="22"/>
        </w:rPr>
        <w:t>, G. and Akhtar, M.S. (2026) 'Evaluation of antibiotic usage, dispensing practices, and economic barriers in community settings of Pakistan', Journal of Pharmaceutical Policy and Practice, 19(1), pp. 112–124.</w:t>
      </w:r>
    </w:p>
    <w:p w14:paraId="5FEEF522"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Shah, S., Abbas, G., </w:t>
      </w:r>
      <w:proofErr w:type="spellStart"/>
      <w:r>
        <w:rPr>
          <w:rFonts w:ascii="Arial" w:hAnsi="Arial" w:cs="Arial"/>
          <w:sz w:val="22"/>
          <w:szCs w:val="22"/>
        </w:rPr>
        <w:t>Chauhdary</w:t>
      </w:r>
      <w:proofErr w:type="spellEnd"/>
      <w:r>
        <w:rPr>
          <w:rFonts w:ascii="Arial" w:hAnsi="Arial" w:cs="Arial"/>
          <w:sz w:val="22"/>
          <w:szCs w:val="22"/>
        </w:rPr>
        <w:t xml:space="preserve">, Z., </w:t>
      </w:r>
      <w:proofErr w:type="spellStart"/>
      <w:r>
        <w:rPr>
          <w:rFonts w:ascii="Arial" w:hAnsi="Arial" w:cs="Arial"/>
          <w:sz w:val="22"/>
          <w:szCs w:val="22"/>
        </w:rPr>
        <w:t>Aslam</w:t>
      </w:r>
      <w:proofErr w:type="spellEnd"/>
      <w:r>
        <w:rPr>
          <w:rFonts w:ascii="Arial" w:hAnsi="Arial" w:cs="Arial"/>
          <w:sz w:val="22"/>
          <w:szCs w:val="22"/>
        </w:rPr>
        <w:t xml:space="preserve">, A., </w:t>
      </w:r>
      <w:proofErr w:type="spellStart"/>
      <w:r>
        <w:rPr>
          <w:rFonts w:ascii="Arial" w:hAnsi="Arial" w:cs="Arial"/>
          <w:sz w:val="22"/>
          <w:szCs w:val="22"/>
        </w:rPr>
        <w:t>Rehman</w:t>
      </w:r>
      <w:proofErr w:type="spellEnd"/>
      <w:r>
        <w:rPr>
          <w:rFonts w:ascii="Arial" w:hAnsi="Arial" w:cs="Arial"/>
          <w:sz w:val="22"/>
          <w:szCs w:val="22"/>
        </w:rPr>
        <w:t xml:space="preserve">, A.U., </w:t>
      </w:r>
      <w:proofErr w:type="spellStart"/>
      <w:r>
        <w:rPr>
          <w:rFonts w:ascii="Arial" w:hAnsi="Arial" w:cs="Arial"/>
          <w:sz w:val="22"/>
          <w:szCs w:val="22"/>
        </w:rPr>
        <w:t>Khurram</w:t>
      </w:r>
      <w:proofErr w:type="spellEnd"/>
      <w:r>
        <w:rPr>
          <w:rFonts w:ascii="Arial" w:hAnsi="Arial" w:cs="Arial"/>
          <w:sz w:val="22"/>
          <w:szCs w:val="22"/>
        </w:rPr>
        <w:t xml:space="preserve">, H., Noreen, S., Chand, U.R., </w:t>
      </w:r>
      <w:proofErr w:type="spellStart"/>
      <w:r>
        <w:rPr>
          <w:rFonts w:ascii="Arial" w:hAnsi="Arial" w:cs="Arial"/>
          <w:sz w:val="22"/>
          <w:szCs w:val="22"/>
        </w:rPr>
        <w:t>Younis</w:t>
      </w:r>
      <w:proofErr w:type="spellEnd"/>
      <w:r>
        <w:rPr>
          <w:rFonts w:ascii="Arial" w:hAnsi="Arial" w:cs="Arial"/>
          <w:sz w:val="22"/>
          <w:szCs w:val="22"/>
        </w:rPr>
        <w:t xml:space="preserve">, M.H. and </w:t>
      </w:r>
      <w:proofErr w:type="spellStart"/>
      <w:r>
        <w:rPr>
          <w:rFonts w:ascii="Arial" w:hAnsi="Arial" w:cs="Arial"/>
          <w:sz w:val="22"/>
          <w:szCs w:val="22"/>
        </w:rPr>
        <w:t>Zulfiqar</w:t>
      </w:r>
      <w:proofErr w:type="spellEnd"/>
      <w:r>
        <w:rPr>
          <w:rFonts w:ascii="Arial" w:hAnsi="Arial" w:cs="Arial"/>
          <w:sz w:val="22"/>
          <w:szCs w:val="22"/>
        </w:rPr>
        <w:t>, U., 2022. Antibiotic use: a cross-sectional survey assessing the knowledge, attitudes, and practices amongst students of Punjab, Pakistan. Journal of American College Health, 70(8), pp.2499-2504.</w:t>
      </w:r>
    </w:p>
    <w:p w14:paraId="6D3EF62F"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Shahid</w:t>
      </w:r>
      <w:proofErr w:type="spellEnd"/>
      <w:r>
        <w:rPr>
          <w:rFonts w:ascii="Arial" w:hAnsi="Arial" w:cs="Arial"/>
          <w:sz w:val="22"/>
          <w:szCs w:val="22"/>
        </w:rPr>
        <w:t xml:space="preserve">, S., </w:t>
      </w:r>
      <w:proofErr w:type="spellStart"/>
      <w:r>
        <w:rPr>
          <w:rFonts w:ascii="Arial" w:hAnsi="Arial" w:cs="Arial"/>
          <w:sz w:val="22"/>
          <w:szCs w:val="22"/>
        </w:rPr>
        <w:t>Athar</w:t>
      </w:r>
      <w:proofErr w:type="spellEnd"/>
      <w:r>
        <w:rPr>
          <w:rFonts w:ascii="Arial" w:hAnsi="Arial" w:cs="Arial"/>
          <w:sz w:val="22"/>
          <w:szCs w:val="22"/>
        </w:rPr>
        <w:t xml:space="preserve">, A., Farooq, S., </w:t>
      </w:r>
      <w:proofErr w:type="spellStart"/>
      <w:r>
        <w:rPr>
          <w:rFonts w:ascii="Arial" w:hAnsi="Arial" w:cs="Arial"/>
          <w:sz w:val="22"/>
          <w:szCs w:val="22"/>
        </w:rPr>
        <w:t>Yahya</w:t>
      </w:r>
      <w:proofErr w:type="spellEnd"/>
      <w:r>
        <w:rPr>
          <w:rFonts w:ascii="Arial" w:hAnsi="Arial" w:cs="Arial"/>
          <w:sz w:val="22"/>
          <w:szCs w:val="22"/>
        </w:rPr>
        <w:t xml:space="preserve">, M., Ashraf, M.S., </w:t>
      </w:r>
      <w:proofErr w:type="spellStart"/>
      <w:r>
        <w:rPr>
          <w:rFonts w:ascii="Arial" w:hAnsi="Arial" w:cs="Arial"/>
          <w:sz w:val="22"/>
          <w:szCs w:val="22"/>
        </w:rPr>
        <w:t>Mahmood</w:t>
      </w:r>
      <w:proofErr w:type="spellEnd"/>
      <w:r>
        <w:rPr>
          <w:rFonts w:ascii="Arial" w:hAnsi="Arial" w:cs="Arial"/>
          <w:sz w:val="22"/>
          <w:szCs w:val="22"/>
        </w:rPr>
        <w:t>, S. and Ahmad, A.M.R., 2025. Navigating Antimicrobial Resistance Insights: An In-Depth Analysis of Healthcare Providers’ Knowledge, Attitudes, and Practices, with an Emphasis on Precision Medicine in Pakistan. Antibiotics, 14(12), p.1281.</w:t>
      </w:r>
    </w:p>
    <w:p w14:paraId="23776B4D"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Shutt</w:t>
      </w:r>
      <w:proofErr w:type="spellEnd"/>
      <w:r>
        <w:rPr>
          <w:rFonts w:ascii="Arial" w:hAnsi="Arial" w:cs="Arial"/>
          <w:sz w:val="22"/>
          <w:szCs w:val="22"/>
        </w:rPr>
        <w:t xml:space="preserve">, A., Mukherjee, A.S., </w:t>
      </w:r>
      <w:proofErr w:type="spellStart"/>
      <w:r>
        <w:rPr>
          <w:rFonts w:ascii="Arial" w:hAnsi="Arial" w:cs="Arial"/>
          <w:sz w:val="22"/>
          <w:szCs w:val="22"/>
        </w:rPr>
        <w:t>Nampoothiri</w:t>
      </w:r>
      <w:proofErr w:type="spellEnd"/>
      <w:r>
        <w:rPr>
          <w:rFonts w:ascii="Arial" w:hAnsi="Arial" w:cs="Arial"/>
          <w:sz w:val="22"/>
          <w:szCs w:val="22"/>
        </w:rPr>
        <w:t xml:space="preserve">, V., Holmes, A. and </w:t>
      </w:r>
      <w:proofErr w:type="spellStart"/>
      <w:r>
        <w:rPr>
          <w:rFonts w:ascii="Arial" w:hAnsi="Arial" w:cs="Arial"/>
          <w:sz w:val="22"/>
          <w:szCs w:val="22"/>
        </w:rPr>
        <w:t>Charani</w:t>
      </w:r>
      <w:proofErr w:type="spellEnd"/>
      <w:r>
        <w:rPr>
          <w:rFonts w:ascii="Arial" w:hAnsi="Arial" w:cs="Arial"/>
          <w:sz w:val="22"/>
          <w:szCs w:val="22"/>
        </w:rPr>
        <w:t>, E., 2025. Social determinants of health and knowledge, attitude and practice studies on antimicrobial resistance—an evidence review and future direction. JAC-Antimicrobial Resistance, 7(5), p.dlaf141.</w:t>
      </w:r>
    </w:p>
    <w:p w14:paraId="375C3720"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Shutt</w:t>
      </w:r>
      <w:proofErr w:type="spellEnd"/>
      <w:r>
        <w:rPr>
          <w:rFonts w:ascii="Arial" w:hAnsi="Arial" w:cs="Arial"/>
          <w:sz w:val="22"/>
          <w:szCs w:val="22"/>
        </w:rPr>
        <w:t xml:space="preserve">, A.E., </w:t>
      </w:r>
      <w:proofErr w:type="spellStart"/>
      <w:r>
        <w:rPr>
          <w:rFonts w:ascii="Arial" w:hAnsi="Arial" w:cs="Arial"/>
          <w:sz w:val="22"/>
          <w:szCs w:val="22"/>
        </w:rPr>
        <w:t>Ashiru-Oredope</w:t>
      </w:r>
      <w:proofErr w:type="spellEnd"/>
      <w:r>
        <w:rPr>
          <w:rFonts w:ascii="Arial" w:hAnsi="Arial" w:cs="Arial"/>
          <w:sz w:val="22"/>
          <w:szCs w:val="22"/>
        </w:rPr>
        <w:t xml:space="preserve">, D., Price, J., </w:t>
      </w:r>
      <w:proofErr w:type="spellStart"/>
      <w:r>
        <w:rPr>
          <w:rFonts w:ascii="Arial" w:hAnsi="Arial" w:cs="Arial"/>
          <w:sz w:val="22"/>
          <w:szCs w:val="22"/>
        </w:rPr>
        <w:t>Padoveze</w:t>
      </w:r>
      <w:proofErr w:type="spellEnd"/>
      <w:r>
        <w:rPr>
          <w:rFonts w:ascii="Arial" w:hAnsi="Arial" w:cs="Arial"/>
          <w:sz w:val="22"/>
          <w:szCs w:val="22"/>
        </w:rPr>
        <w:t xml:space="preserve">, M.C., </w:t>
      </w:r>
      <w:proofErr w:type="spellStart"/>
      <w:r>
        <w:rPr>
          <w:rFonts w:ascii="Arial" w:hAnsi="Arial" w:cs="Arial"/>
          <w:sz w:val="22"/>
          <w:szCs w:val="22"/>
        </w:rPr>
        <w:t>Shafiq</w:t>
      </w:r>
      <w:proofErr w:type="spellEnd"/>
      <w:r>
        <w:rPr>
          <w:rFonts w:ascii="Arial" w:hAnsi="Arial" w:cs="Arial"/>
          <w:sz w:val="22"/>
          <w:szCs w:val="22"/>
        </w:rPr>
        <w:t xml:space="preserve">, N., Carter, E., </w:t>
      </w:r>
      <w:proofErr w:type="spellStart"/>
      <w:r>
        <w:rPr>
          <w:rFonts w:ascii="Arial" w:hAnsi="Arial" w:cs="Arial"/>
          <w:sz w:val="22"/>
          <w:szCs w:val="22"/>
        </w:rPr>
        <w:t>Ghataure</w:t>
      </w:r>
      <w:proofErr w:type="spellEnd"/>
      <w:r>
        <w:rPr>
          <w:rFonts w:ascii="Arial" w:hAnsi="Arial" w:cs="Arial"/>
          <w:sz w:val="22"/>
          <w:szCs w:val="22"/>
        </w:rPr>
        <w:t xml:space="preserve">, A., </w:t>
      </w:r>
      <w:proofErr w:type="spellStart"/>
      <w:r>
        <w:rPr>
          <w:rFonts w:ascii="Arial" w:hAnsi="Arial" w:cs="Arial"/>
          <w:sz w:val="22"/>
          <w:szCs w:val="22"/>
        </w:rPr>
        <w:t>Shariq</w:t>
      </w:r>
      <w:proofErr w:type="spellEnd"/>
      <w:r>
        <w:rPr>
          <w:rFonts w:ascii="Arial" w:hAnsi="Arial" w:cs="Arial"/>
          <w:sz w:val="22"/>
          <w:szCs w:val="22"/>
        </w:rPr>
        <w:t xml:space="preserve">, S., Holmes, A.H. and </w:t>
      </w:r>
      <w:proofErr w:type="spellStart"/>
      <w:r>
        <w:rPr>
          <w:rFonts w:ascii="Arial" w:hAnsi="Arial" w:cs="Arial"/>
          <w:sz w:val="22"/>
          <w:szCs w:val="22"/>
        </w:rPr>
        <w:t>Charani</w:t>
      </w:r>
      <w:proofErr w:type="spellEnd"/>
      <w:r>
        <w:rPr>
          <w:rFonts w:ascii="Arial" w:hAnsi="Arial" w:cs="Arial"/>
          <w:sz w:val="22"/>
          <w:szCs w:val="22"/>
        </w:rPr>
        <w:t>, E., 2025. The intersection of the social determinants of health and antimicrobial resistance in human populations: a systematic review. BMJ Global Health, 10(5), p.e017389.</w:t>
      </w:r>
    </w:p>
    <w:p w14:paraId="67BB8B68"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lastRenderedPageBreak/>
        <w:t xml:space="preserve">Siddiqui, S., Cheema, M.S., </w:t>
      </w:r>
      <w:proofErr w:type="spellStart"/>
      <w:r>
        <w:rPr>
          <w:rFonts w:ascii="Arial" w:hAnsi="Arial" w:cs="Arial"/>
          <w:sz w:val="22"/>
          <w:szCs w:val="22"/>
        </w:rPr>
        <w:t>Ayub</w:t>
      </w:r>
      <w:proofErr w:type="spellEnd"/>
      <w:r>
        <w:rPr>
          <w:rFonts w:ascii="Arial" w:hAnsi="Arial" w:cs="Arial"/>
          <w:sz w:val="22"/>
          <w:szCs w:val="22"/>
        </w:rPr>
        <w:t xml:space="preserve">, R., Shah, N., Hamza, A., </w:t>
      </w:r>
      <w:proofErr w:type="spellStart"/>
      <w:r>
        <w:rPr>
          <w:rFonts w:ascii="Arial" w:hAnsi="Arial" w:cs="Arial"/>
          <w:sz w:val="22"/>
          <w:szCs w:val="22"/>
        </w:rPr>
        <w:t>Hussain</w:t>
      </w:r>
      <w:proofErr w:type="spellEnd"/>
      <w:r>
        <w:rPr>
          <w:rFonts w:ascii="Arial" w:hAnsi="Arial" w:cs="Arial"/>
          <w:sz w:val="22"/>
          <w:szCs w:val="22"/>
        </w:rPr>
        <w:t xml:space="preserve">, S., Khan, M.H. and </w:t>
      </w:r>
      <w:proofErr w:type="spellStart"/>
      <w:r>
        <w:rPr>
          <w:rFonts w:ascii="Arial" w:hAnsi="Arial" w:cs="Arial"/>
          <w:sz w:val="22"/>
          <w:szCs w:val="22"/>
        </w:rPr>
        <w:t>Raza</w:t>
      </w:r>
      <w:proofErr w:type="spellEnd"/>
      <w:r>
        <w:rPr>
          <w:rFonts w:ascii="Arial" w:hAnsi="Arial" w:cs="Arial"/>
          <w:sz w:val="22"/>
          <w:szCs w:val="22"/>
        </w:rPr>
        <w:t xml:space="preserve">, S.M., 2014. Knowledge, attitudes and practices of parents regarding antibiotic use in children. Journal of </w:t>
      </w:r>
      <w:proofErr w:type="spellStart"/>
      <w:r>
        <w:rPr>
          <w:rFonts w:ascii="Arial" w:hAnsi="Arial" w:cs="Arial"/>
          <w:sz w:val="22"/>
          <w:szCs w:val="22"/>
        </w:rPr>
        <w:t>Ayub</w:t>
      </w:r>
      <w:proofErr w:type="spellEnd"/>
      <w:r>
        <w:rPr>
          <w:rFonts w:ascii="Arial" w:hAnsi="Arial" w:cs="Arial"/>
          <w:sz w:val="22"/>
          <w:szCs w:val="22"/>
        </w:rPr>
        <w:t xml:space="preserve"> Medical College, 26(2), p.170.</w:t>
      </w:r>
    </w:p>
    <w:p w14:paraId="20E00B3F"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Sun, R., Yao, T., Zhou, X., </w:t>
      </w:r>
      <w:proofErr w:type="spellStart"/>
      <w:r>
        <w:rPr>
          <w:rFonts w:ascii="Arial" w:hAnsi="Arial" w:cs="Arial"/>
          <w:sz w:val="22"/>
          <w:szCs w:val="22"/>
        </w:rPr>
        <w:t>Harbarth</w:t>
      </w:r>
      <w:proofErr w:type="spellEnd"/>
      <w:r>
        <w:rPr>
          <w:rFonts w:ascii="Arial" w:hAnsi="Arial" w:cs="Arial"/>
          <w:sz w:val="22"/>
          <w:szCs w:val="22"/>
        </w:rPr>
        <w:t>, S. and Lin, L., 2022. Non-biomedical factors affecting antibiotic use in the community: a mixed-methods systematic review and meta-analysis. Clinical Microbiology and Infection, 28(3), pp.345-354.</w:t>
      </w:r>
    </w:p>
    <w:p w14:paraId="4E1C2A08"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Taylor, W. et al. (2023). Awareness of inappropriate use related to antimicrobial resistance among medical doctors by country economic status: A systematic review. International Journal of Risk &amp; Safety in Medicine, 34(3), 227–242. </w:t>
      </w:r>
    </w:p>
    <w:p w14:paraId="29854CF3"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Tod</w:t>
      </w:r>
      <w:proofErr w:type="spellEnd"/>
      <w:r>
        <w:rPr>
          <w:rFonts w:ascii="Arial" w:hAnsi="Arial" w:cs="Arial"/>
          <w:sz w:val="22"/>
          <w:szCs w:val="22"/>
        </w:rPr>
        <w:t>, D., Booth, A. and Smith, B., 2022. Critical appraisal. International Review of Sport and Exercise Psychology, 15(1), pp.52-72.</w:t>
      </w:r>
    </w:p>
    <w:p w14:paraId="79E5CA29"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Wahab</w:t>
      </w:r>
      <w:proofErr w:type="spellEnd"/>
      <w:r>
        <w:rPr>
          <w:rFonts w:ascii="Arial" w:hAnsi="Arial" w:cs="Arial"/>
          <w:sz w:val="22"/>
          <w:szCs w:val="22"/>
        </w:rPr>
        <w:t xml:space="preserve">, A., </w:t>
      </w:r>
      <w:proofErr w:type="spellStart"/>
      <w:r>
        <w:rPr>
          <w:rFonts w:ascii="Arial" w:hAnsi="Arial" w:cs="Arial"/>
          <w:sz w:val="22"/>
          <w:szCs w:val="22"/>
        </w:rPr>
        <w:t>Alam</w:t>
      </w:r>
      <w:proofErr w:type="spellEnd"/>
      <w:r>
        <w:rPr>
          <w:rFonts w:ascii="Arial" w:hAnsi="Arial" w:cs="Arial"/>
          <w:sz w:val="22"/>
          <w:szCs w:val="22"/>
        </w:rPr>
        <w:t xml:space="preserve">, M.M., </w:t>
      </w:r>
      <w:proofErr w:type="spellStart"/>
      <w:r>
        <w:rPr>
          <w:rFonts w:ascii="Arial" w:hAnsi="Arial" w:cs="Arial"/>
          <w:sz w:val="22"/>
          <w:szCs w:val="22"/>
        </w:rPr>
        <w:t>Hasan</w:t>
      </w:r>
      <w:proofErr w:type="spellEnd"/>
      <w:r>
        <w:rPr>
          <w:rFonts w:ascii="Arial" w:hAnsi="Arial" w:cs="Arial"/>
          <w:sz w:val="22"/>
          <w:szCs w:val="22"/>
        </w:rPr>
        <w:t xml:space="preserve">, S., </w:t>
      </w:r>
      <w:proofErr w:type="spellStart"/>
      <w:r>
        <w:rPr>
          <w:rFonts w:ascii="Arial" w:hAnsi="Arial" w:cs="Arial"/>
          <w:sz w:val="22"/>
          <w:szCs w:val="22"/>
        </w:rPr>
        <w:t>Halder</w:t>
      </w:r>
      <w:proofErr w:type="spellEnd"/>
      <w:r>
        <w:rPr>
          <w:rFonts w:ascii="Arial" w:hAnsi="Arial" w:cs="Arial"/>
          <w:sz w:val="22"/>
          <w:szCs w:val="22"/>
        </w:rPr>
        <w:t xml:space="preserve">, S., </w:t>
      </w:r>
      <w:proofErr w:type="spellStart"/>
      <w:r>
        <w:rPr>
          <w:rFonts w:ascii="Arial" w:hAnsi="Arial" w:cs="Arial"/>
          <w:sz w:val="22"/>
          <w:szCs w:val="22"/>
        </w:rPr>
        <w:t>Ullah</w:t>
      </w:r>
      <w:proofErr w:type="spellEnd"/>
      <w:r>
        <w:rPr>
          <w:rFonts w:ascii="Arial" w:hAnsi="Arial" w:cs="Arial"/>
          <w:sz w:val="22"/>
          <w:szCs w:val="22"/>
        </w:rPr>
        <w:t xml:space="preserve">, M.O. and Hossain, A., 2023. Exploring the knowledge, practices &amp; determinants of antibiotic self-medication among </w:t>
      </w:r>
      <w:proofErr w:type="spellStart"/>
      <w:proofErr w:type="gramStart"/>
      <w:r>
        <w:rPr>
          <w:rFonts w:ascii="Arial" w:hAnsi="Arial" w:cs="Arial"/>
          <w:sz w:val="22"/>
          <w:szCs w:val="22"/>
        </w:rPr>
        <w:t>bangladeshi</w:t>
      </w:r>
      <w:proofErr w:type="spellEnd"/>
      <w:proofErr w:type="gramEnd"/>
      <w:r>
        <w:rPr>
          <w:rFonts w:ascii="Arial" w:hAnsi="Arial" w:cs="Arial"/>
          <w:sz w:val="22"/>
          <w:szCs w:val="22"/>
        </w:rPr>
        <w:t xml:space="preserve"> university students in the era of COVID-19: A cross-sectional study. </w:t>
      </w:r>
      <w:proofErr w:type="spellStart"/>
      <w:r>
        <w:rPr>
          <w:rFonts w:ascii="Arial" w:hAnsi="Arial" w:cs="Arial"/>
          <w:sz w:val="22"/>
          <w:szCs w:val="22"/>
        </w:rPr>
        <w:t>Heliyon</w:t>
      </w:r>
      <w:proofErr w:type="spellEnd"/>
      <w:r>
        <w:rPr>
          <w:rFonts w:ascii="Arial" w:hAnsi="Arial" w:cs="Arial"/>
          <w:sz w:val="22"/>
          <w:szCs w:val="22"/>
        </w:rPr>
        <w:t>, 9(9).</w:t>
      </w:r>
    </w:p>
    <w:p w14:paraId="7F897676"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Wang T, Wu J, Li J, Zhou P, Li Q, </w:t>
      </w:r>
      <w:proofErr w:type="spellStart"/>
      <w:r>
        <w:rPr>
          <w:rFonts w:ascii="Arial" w:hAnsi="Arial" w:cs="Arial"/>
          <w:sz w:val="22"/>
          <w:szCs w:val="22"/>
        </w:rPr>
        <w:t>Xu</w:t>
      </w:r>
      <w:proofErr w:type="spellEnd"/>
      <w:r>
        <w:rPr>
          <w:rFonts w:ascii="Arial" w:hAnsi="Arial" w:cs="Arial"/>
          <w:sz w:val="22"/>
          <w:szCs w:val="22"/>
        </w:rPr>
        <w:t xml:space="preserve"> X, Gong Y, Yin X. Is self-medication with antibiotics among the public a global concern: a mixed-methods systematic review. Expert Rev Anti Infect </w:t>
      </w:r>
      <w:proofErr w:type="spellStart"/>
      <w:r>
        <w:rPr>
          <w:rFonts w:ascii="Arial" w:hAnsi="Arial" w:cs="Arial"/>
          <w:sz w:val="22"/>
          <w:szCs w:val="22"/>
        </w:rPr>
        <w:t>Ther</w:t>
      </w:r>
      <w:proofErr w:type="spellEnd"/>
      <w:r>
        <w:rPr>
          <w:rFonts w:ascii="Arial" w:hAnsi="Arial" w:cs="Arial"/>
          <w:sz w:val="22"/>
          <w:szCs w:val="22"/>
        </w:rPr>
        <w:t>. 2024 Dec</w:t>
      </w:r>
      <w:proofErr w:type="gramStart"/>
      <w:r>
        <w:rPr>
          <w:rFonts w:ascii="Arial" w:hAnsi="Arial" w:cs="Arial"/>
          <w:sz w:val="22"/>
          <w:szCs w:val="22"/>
        </w:rPr>
        <w:t>;22</w:t>
      </w:r>
      <w:proofErr w:type="gramEnd"/>
      <w:r>
        <w:rPr>
          <w:rFonts w:ascii="Arial" w:hAnsi="Arial" w:cs="Arial"/>
          <w:sz w:val="22"/>
          <w:szCs w:val="22"/>
        </w:rPr>
        <w:t xml:space="preserve">(12):1199-1208. </w:t>
      </w:r>
      <w:proofErr w:type="spellStart"/>
      <w:proofErr w:type="gramStart"/>
      <w:r>
        <w:rPr>
          <w:rFonts w:ascii="Arial" w:hAnsi="Arial" w:cs="Arial"/>
          <w:sz w:val="22"/>
          <w:szCs w:val="22"/>
        </w:rPr>
        <w:t>doi</w:t>
      </w:r>
      <w:proofErr w:type="spellEnd"/>
      <w:proofErr w:type="gramEnd"/>
      <w:r>
        <w:rPr>
          <w:rFonts w:ascii="Arial" w:hAnsi="Arial" w:cs="Arial"/>
          <w:sz w:val="22"/>
          <w:szCs w:val="22"/>
        </w:rPr>
        <w:t xml:space="preserve">: 10.1080/14787210.2024.2419607. </w:t>
      </w:r>
      <w:proofErr w:type="spellStart"/>
      <w:r>
        <w:rPr>
          <w:rFonts w:ascii="Arial" w:hAnsi="Arial" w:cs="Arial"/>
          <w:sz w:val="22"/>
          <w:szCs w:val="22"/>
        </w:rPr>
        <w:t>Epub</w:t>
      </w:r>
      <w:proofErr w:type="spellEnd"/>
      <w:r>
        <w:rPr>
          <w:rFonts w:ascii="Arial" w:hAnsi="Arial" w:cs="Arial"/>
          <w:sz w:val="22"/>
          <w:szCs w:val="22"/>
        </w:rPr>
        <w:t xml:space="preserve"> 2024 Oct 20. PMID: 39422303.</w:t>
      </w:r>
    </w:p>
    <w:p w14:paraId="5792788A"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Wang, D., Liu, C., Zhang, X. and Liu, C., 2021. Does diagnostic uncertainty increase antibiotic prescribing in primary care</w:t>
      </w:r>
      <w:proofErr w:type="gramStart"/>
      <w:r>
        <w:rPr>
          <w:rFonts w:ascii="Arial" w:hAnsi="Arial" w:cs="Arial"/>
          <w:sz w:val="22"/>
          <w:szCs w:val="22"/>
        </w:rPr>
        <w:t>?.</w:t>
      </w:r>
      <w:proofErr w:type="gramEnd"/>
      <w:r>
        <w:rPr>
          <w:rFonts w:ascii="Arial" w:hAnsi="Arial" w:cs="Arial"/>
          <w:sz w:val="22"/>
          <w:szCs w:val="22"/>
        </w:rPr>
        <w:t> NPJ primary care respiratory medicine, 31(1), p.17.</w:t>
      </w:r>
    </w:p>
    <w:p w14:paraId="292720B9"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t>Waseem</w:t>
      </w:r>
      <w:proofErr w:type="spellEnd"/>
      <w:r>
        <w:rPr>
          <w:rFonts w:ascii="Arial" w:hAnsi="Arial" w:cs="Arial"/>
          <w:sz w:val="22"/>
          <w:szCs w:val="22"/>
        </w:rPr>
        <w:t xml:space="preserve">, H., Ali, J., </w:t>
      </w:r>
      <w:proofErr w:type="spellStart"/>
      <w:r>
        <w:rPr>
          <w:rFonts w:ascii="Arial" w:hAnsi="Arial" w:cs="Arial"/>
          <w:sz w:val="22"/>
          <w:szCs w:val="22"/>
        </w:rPr>
        <w:t>Sarwar</w:t>
      </w:r>
      <w:proofErr w:type="spellEnd"/>
      <w:r>
        <w:rPr>
          <w:rFonts w:ascii="Arial" w:hAnsi="Arial" w:cs="Arial"/>
          <w:sz w:val="22"/>
          <w:szCs w:val="22"/>
        </w:rPr>
        <w:t xml:space="preserve">, F., Khan, A., </w:t>
      </w:r>
      <w:proofErr w:type="spellStart"/>
      <w:r>
        <w:rPr>
          <w:rFonts w:ascii="Arial" w:hAnsi="Arial" w:cs="Arial"/>
          <w:sz w:val="22"/>
          <w:szCs w:val="22"/>
        </w:rPr>
        <w:t>Rehman</w:t>
      </w:r>
      <w:proofErr w:type="spellEnd"/>
      <w:r>
        <w:rPr>
          <w:rFonts w:ascii="Arial" w:hAnsi="Arial" w:cs="Arial"/>
          <w:sz w:val="22"/>
          <w:szCs w:val="22"/>
        </w:rPr>
        <w:t xml:space="preserve">, H.S.U., </w:t>
      </w:r>
      <w:proofErr w:type="spellStart"/>
      <w:r>
        <w:rPr>
          <w:rFonts w:ascii="Arial" w:hAnsi="Arial" w:cs="Arial"/>
          <w:sz w:val="22"/>
          <w:szCs w:val="22"/>
        </w:rPr>
        <w:t>Choudri</w:t>
      </w:r>
      <w:proofErr w:type="spellEnd"/>
      <w:r>
        <w:rPr>
          <w:rFonts w:ascii="Arial" w:hAnsi="Arial" w:cs="Arial"/>
          <w:sz w:val="22"/>
          <w:szCs w:val="22"/>
        </w:rPr>
        <w:t xml:space="preserve">, M., </w:t>
      </w:r>
      <w:proofErr w:type="spellStart"/>
      <w:r>
        <w:rPr>
          <w:rFonts w:ascii="Arial" w:hAnsi="Arial" w:cs="Arial"/>
          <w:sz w:val="22"/>
          <w:szCs w:val="22"/>
        </w:rPr>
        <w:t>Arif</w:t>
      </w:r>
      <w:proofErr w:type="spellEnd"/>
      <w:r>
        <w:rPr>
          <w:rFonts w:ascii="Arial" w:hAnsi="Arial" w:cs="Arial"/>
          <w:sz w:val="22"/>
          <w:szCs w:val="22"/>
        </w:rPr>
        <w:t xml:space="preserve">, N., </w:t>
      </w:r>
      <w:proofErr w:type="spellStart"/>
      <w:r>
        <w:rPr>
          <w:rFonts w:ascii="Arial" w:hAnsi="Arial" w:cs="Arial"/>
          <w:sz w:val="22"/>
          <w:szCs w:val="22"/>
        </w:rPr>
        <w:t>Subhan</w:t>
      </w:r>
      <w:proofErr w:type="spellEnd"/>
      <w:r>
        <w:rPr>
          <w:rFonts w:ascii="Arial" w:hAnsi="Arial" w:cs="Arial"/>
          <w:sz w:val="22"/>
          <w:szCs w:val="22"/>
        </w:rPr>
        <w:t xml:space="preserve">, M., </w:t>
      </w:r>
      <w:proofErr w:type="spellStart"/>
      <w:r>
        <w:rPr>
          <w:rFonts w:ascii="Arial" w:hAnsi="Arial" w:cs="Arial"/>
          <w:sz w:val="22"/>
          <w:szCs w:val="22"/>
        </w:rPr>
        <w:t>Saleem</w:t>
      </w:r>
      <w:proofErr w:type="spellEnd"/>
      <w:r>
        <w:rPr>
          <w:rFonts w:ascii="Arial" w:hAnsi="Arial" w:cs="Arial"/>
          <w:sz w:val="22"/>
          <w:szCs w:val="22"/>
        </w:rPr>
        <w:t>, A.R., Jamal, A. and Ali, M.I., 2019. Assessment of knowledge and attitude trends towards antimicrobial resistance (AMR) among the community members, pharmacists’/pharmacy owners and physicians in district Sialkot, Pakistan. Antimicrobial Resistance &amp; Infection Control, 8(1), p.67.</w:t>
      </w:r>
    </w:p>
    <w:p w14:paraId="5D1F23D6"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World Health Organization (2021) Antimicrobial resistance: Fact sheet. Geneva: World Health Organization. Available at: </w:t>
      </w:r>
      <w:hyperlink r:id="rId15" w:tgtFrame="_blank" w:history="1">
        <w:r>
          <w:rPr>
            <w:rStyle w:val="Hyperlink"/>
            <w:rFonts w:ascii="Arial" w:hAnsi="Arial" w:cs="Arial"/>
            <w:sz w:val="22"/>
            <w:szCs w:val="22"/>
          </w:rPr>
          <w:t>https://www.who.int/news-room/fact-sheets/detail/antimicrobial-resistance</w:t>
        </w:r>
      </w:hyperlink>
      <w:r>
        <w:rPr>
          <w:rFonts w:ascii="Arial" w:hAnsi="Arial" w:cs="Arial"/>
          <w:sz w:val="22"/>
          <w:szCs w:val="22"/>
        </w:rPr>
        <w:t>.</w:t>
      </w:r>
    </w:p>
    <w:p w14:paraId="0EAE9F4A" w14:textId="77777777" w:rsidR="00D340EB" w:rsidRDefault="00D340EB" w:rsidP="00D340EB">
      <w:pPr>
        <w:numPr>
          <w:ilvl w:val="0"/>
          <w:numId w:val="35"/>
        </w:numPr>
        <w:spacing w:line="360" w:lineRule="auto"/>
        <w:jc w:val="both"/>
        <w:rPr>
          <w:rFonts w:ascii="Arial" w:hAnsi="Arial" w:cs="Arial"/>
          <w:sz w:val="22"/>
          <w:szCs w:val="22"/>
        </w:rPr>
      </w:pPr>
      <w:r>
        <w:rPr>
          <w:rFonts w:ascii="Arial" w:hAnsi="Arial" w:cs="Arial"/>
          <w:sz w:val="22"/>
          <w:szCs w:val="22"/>
        </w:rPr>
        <w:t xml:space="preserve">World Health Organization (2022) Global burden of bacterial antimicrobial resistance in 2019: Summary and implications for action. Geneva: World Health Organization. Available at: </w:t>
      </w:r>
      <w:hyperlink r:id="rId16" w:tgtFrame="_blank" w:history="1">
        <w:r>
          <w:rPr>
            <w:rStyle w:val="Hyperlink"/>
            <w:rFonts w:ascii="Arial" w:hAnsi="Arial" w:cs="Arial"/>
            <w:sz w:val="22"/>
            <w:szCs w:val="22"/>
          </w:rPr>
          <w:t>https://www.who.int/campaigns/world-amr-awareness-week/2022</w:t>
        </w:r>
      </w:hyperlink>
      <w:r>
        <w:rPr>
          <w:rFonts w:ascii="Arial" w:hAnsi="Arial" w:cs="Arial"/>
          <w:sz w:val="22"/>
          <w:szCs w:val="22"/>
        </w:rPr>
        <w:t>.</w:t>
      </w:r>
    </w:p>
    <w:p w14:paraId="5C21857D" w14:textId="77777777" w:rsidR="00D340EB" w:rsidRDefault="00D340EB" w:rsidP="00D340EB">
      <w:pPr>
        <w:numPr>
          <w:ilvl w:val="0"/>
          <w:numId w:val="35"/>
        </w:numPr>
        <w:spacing w:line="360" w:lineRule="auto"/>
        <w:jc w:val="both"/>
        <w:rPr>
          <w:rFonts w:ascii="Arial" w:hAnsi="Arial" w:cs="Arial"/>
          <w:sz w:val="22"/>
          <w:szCs w:val="22"/>
        </w:rPr>
      </w:pPr>
      <w:proofErr w:type="spellStart"/>
      <w:r>
        <w:rPr>
          <w:rFonts w:ascii="Arial" w:hAnsi="Arial" w:cs="Arial"/>
          <w:sz w:val="22"/>
          <w:szCs w:val="22"/>
        </w:rPr>
        <w:lastRenderedPageBreak/>
        <w:t>Zaheer</w:t>
      </w:r>
      <w:proofErr w:type="spellEnd"/>
      <w:r>
        <w:rPr>
          <w:rFonts w:ascii="Arial" w:hAnsi="Arial" w:cs="Arial"/>
          <w:sz w:val="22"/>
          <w:szCs w:val="22"/>
        </w:rPr>
        <w:t>, Z., 2026. Socio-economic impact of antimicrobial resistance in Pakistan: a comprehensive review. Frontiers in Public Health, 14, p.1809327.</w:t>
      </w:r>
    </w:p>
    <w:p w14:paraId="0D0B01AD" w14:textId="77777777" w:rsidR="00D340EB" w:rsidRDefault="00D340EB" w:rsidP="000F4E26">
      <w:pPr>
        <w:numPr>
          <w:ilvl w:val="0"/>
          <w:numId w:val="35"/>
        </w:numPr>
        <w:spacing w:line="360" w:lineRule="auto"/>
        <w:jc w:val="both"/>
        <w:rPr>
          <w:rFonts w:ascii="Arial" w:hAnsi="Arial" w:cs="Arial"/>
          <w:sz w:val="22"/>
          <w:szCs w:val="22"/>
        </w:rPr>
      </w:pPr>
      <w:proofErr w:type="spellStart"/>
      <w:r>
        <w:rPr>
          <w:rFonts w:ascii="Arial" w:hAnsi="Arial" w:cs="Arial"/>
          <w:sz w:val="22"/>
          <w:szCs w:val="22"/>
        </w:rPr>
        <w:t>Zeb</w:t>
      </w:r>
      <w:proofErr w:type="spellEnd"/>
      <w:r>
        <w:rPr>
          <w:rFonts w:ascii="Arial" w:hAnsi="Arial" w:cs="Arial"/>
          <w:sz w:val="22"/>
          <w:szCs w:val="22"/>
        </w:rPr>
        <w:t xml:space="preserve">, S., </w:t>
      </w:r>
      <w:proofErr w:type="spellStart"/>
      <w:r>
        <w:rPr>
          <w:rFonts w:ascii="Arial" w:hAnsi="Arial" w:cs="Arial"/>
          <w:sz w:val="22"/>
          <w:szCs w:val="22"/>
        </w:rPr>
        <w:t>Mushtaq</w:t>
      </w:r>
      <w:proofErr w:type="spellEnd"/>
      <w:r>
        <w:rPr>
          <w:rFonts w:ascii="Arial" w:hAnsi="Arial" w:cs="Arial"/>
          <w:sz w:val="22"/>
          <w:szCs w:val="22"/>
        </w:rPr>
        <w:t xml:space="preserve">, M., Ahmad, M., </w:t>
      </w:r>
      <w:proofErr w:type="spellStart"/>
      <w:r>
        <w:rPr>
          <w:rFonts w:ascii="Arial" w:hAnsi="Arial" w:cs="Arial"/>
          <w:sz w:val="22"/>
          <w:szCs w:val="22"/>
        </w:rPr>
        <w:t>Saleem</w:t>
      </w:r>
      <w:proofErr w:type="spellEnd"/>
      <w:r>
        <w:rPr>
          <w:rFonts w:ascii="Arial" w:hAnsi="Arial" w:cs="Arial"/>
          <w:sz w:val="22"/>
          <w:szCs w:val="22"/>
        </w:rPr>
        <w:t xml:space="preserve">, W., </w:t>
      </w:r>
      <w:proofErr w:type="spellStart"/>
      <w:r>
        <w:rPr>
          <w:rFonts w:ascii="Arial" w:hAnsi="Arial" w:cs="Arial"/>
          <w:sz w:val="22"/>
          <w:szCs w:val="22"/>
        </w:rPr>
        <w:t>Rabaan</w:t>
      </w:r>
      <w:proofErr w:type="spellEnd"/>
      <w:r>
        <w:rPr>
          <w:rFonts w:ascii="Arial" w:hAnsi="Arial" w:cs="Arial"/>
          <w:sz w:val="22"/>
          <w:szCs w:val="22"/>
        </w:rPr>
        <w:t xml:space="preserve">, A.A., Naqvi, B.S.Z., </w:t>
      </w:r>
      <w:proofErr w:type="spellStart"/>
      <w:r>
        <w:rPr>
          <w:rFonts w:ascii="Arial" w:hAnsi="Arial" w:cs="Arial"/>
          <w:sz w:val="22"/>
          <w:szCs w:val="22"/>
        </w:rPr>
        <w:t>Garout</w:t>
      </w:r>
      <w:proofErr w:type="spellEnd"/>
      <w:r>
        <w:rPr>
          <w:rFonts w:ascii="Arial" w:hAnsi="Arial" w:cs="Arial"/>
          <w:sz w:val="22"/>
          <w:szCs w:val="22"/>
        </w:rPr>
        <w:t xml:space="preserve">, M., </w:t>
      </w:r>
      <w:proofErr w:type="spellStart"/>
      <w:r>
        <w:rPr>
          <w:rFonts w:ascii="Arial" w:hAnsi="Arial" w:cs="Arial"/>
          <w:sz w:val="22"/>
          <w:szCs w:val="22"/>
        </w:rPr>
        <w:t>Aljeldah</w:t>
      </w:r>
      <w:proofErr w:type="spellEnd"/>
      <w:r>
        <w:rPr>
          <w:rFonts w:ascii="Arial" w:hAnsi="Arial" w:cs="Arial"/>
          <w:sz w:val="22"/>
          <w:szCs w:val="22"/>
        </w:rPr>
        <w:t xml:space="preserve">, M., Al </w:t>
      </w:r>
      <w:proofErr w:type="spellStart"/>
      <w:r>
        <w:rPr>
          <w:rFonts w:ascii="Arial" w:hAnsi="Arial" w:cs="Arial"/>
          <w:sz w:val="22"/>
          <w:szCs w:val="22"/>
        </w:rPr>
        <w:t>Shammari</w:t>
      </w:r>
      <w:proofErr w:type="spellEnd"/>
      <w:r>
        <w:rPr>
          <w:rFonts w:ascii="Arial" w:hAnsi="Arial" w:cs="Arial"/>
          <w:sz w:val="22"/>
          <w:szCs w:val="22"/>
        </w:rPr>
        <w:t xml:space="preserve">, B.R., Al </w:t>
      </w:r>
      <w:proofErr w:type="spellStart"/>
      <w:r>
        <w:rPr>
          <w:rFonts w:ascii="Arial" w:hAnsi="Arial" w:cs="Arial"/>
          <w:sz w:val="22"/>
          <w:szCs w:val="22"/>
        </w:rPr>
        <w:t>Faraj</w:t>
      </w:r>
      <w:proofErr w:type="spellEnd"/>
      <w:r>
        <w:rPr>
          <w:rFonts w:ascii="Arial" w:hAnsi="Arial" w:cs="Arial"/>
          <w:sz w:val="22"/>
          <w:szCs w:val="22"/>
        </w:rPr>
        <w:t>, N.J. and Al-</w:t>
      </w:r>
      <w:proofErr w:type="spellStart"/>
      <w:r>
        <w:rPr>
          <w:rFonts w:ascii="Arial" w:hAnsi="Arial" w:cs="Arial"/>
          <w:sz w:val="22"/>
          <w:szCs w:val="22"/>
        </w:rPr>
        <w:t>Zaki</w:t>
      </w:r>
      <w:proofErr w:type="spellEnd"/>
      <w:r>
        <w:rPr>
          <w:rFonts w:ascii="Arial" w:hAnsi="Arial" w:cs="Arial"/>
          <w:sz w:val="22"/>
          <w:szCs w:val="22"/>
        </w:rPr>
        <w:t>, N.A., 2022. Self-medication as an important risk factor for antibiotic resistance: a multi-institutional survey among students. Antibiotics, 11(7), p.842.</w:t>
      </w:r>
    </w:p>
    <w:p w14:paraId="521D4CD9" w14:textId="77777777" w:rsidR="000F4E26" w:rsidRDefault="000F4E26" w:rsidP="000F4E26">
      <w:pPr>
        <w:numPr>
          <w:ilvl w:val="0"/>
          <w:numId w:val="35"/>
        </w:numPr>
        <w:spacing w:before="100" w:beforeAutospacing="1" w:after="100" w:afterAutospacing="1" w:line="360" w:lineRule="auto"/>
        <w:jc w:val="both"/>
        <w:rPr>
          <w:rFonts w:ascii="Arial" w:eastAsia="Times New Roman" w:hAnsi="Arial" w:cs="Arial"/>
          <w:kern w:val="0"/>
          <w:sz w:val="22"/>
          <w:szCs w:val="22"/>
          <w:lang w:val="en-GB" w:eastAsia="en-GB"/>
        </w:rPr>
      </w:pPr>
      <w:r>
        <w:rPr>
          <w:rFonts w:ascii="Arial" w:eastAsia="Times New Roman" w:hAnsi="Arial" w:cs="Arial"/>
          <w:kern w:val="0"/>
          <w:sz w:val="22"/>
          <w:szCs w:val="22"/>
          <w:lang w:val="en-GB" w:eastAsia="en-GB"/>
        </w:rPr>
        <w:t xml:space="preserve">Barry, E.S., </w:t>
      </w:r>
      <w:proofErr w:type="spellStart"/>
      <w:r>
        <w:rPr>
          <w:rFonts w:ascii="Arial" w:eastAsia="Times New Roman" w:hAnsi="Arial" w:cs="Arial"/>
          <w:kern w:val="0"/>
          <w:sz w:val="22"/>
          <w:szCs w:val="22"/>
          <w:lang w:val="en-GB" w:eastAsia="en-GB"/>
        </w:rPr>
        <w:t>Merkebu</w:t>
      </w:r>
      <w:proofErr w:type="spellEnd"/>
      <w:r>
        <w:rPr>
          <w:rFonts w:ascii="Arial" w:eastAsia="Times New Roman" w:hAnsi="Arial" w:cs="Arial"/>
          <w:kern w:val="0"/>
          <w:sz w:val="22"/>
          <w:szCs w:val="22"/>
          <w:lang w:val="en-GB" w:eastAsia="en-GB"/>
        </w:rPr>
        <w:t xml:space="preserve">, J. and </w:t>
      </w:r>
      <w:proofErr w:type="spellStart"/>
      <w:r>
        <w:rPr>
          <w:rFonts w:ascii="Arial" w:eastAsia="Times New Roman" w:hAnsi="Arial" w:cs="Arial"/>
          <w:kern w:val="0"/>
          <w:sz w:val="22"/>
          <w:szCs w:val="22"/>
          <w:lang w:val="en-GB" w:eastAsia="en-GB"/>
        </w:rPr>
        <w:t>Varpio</w:t>
      </w:r>
      <w:proofErr w:type="spellEnd"/>
      <w:r>
        <w:rPr>
          <w:rFonts w:ascii="Arial" w:eastAsia="Times New Roman" w:hAnsi="Arial" w:cs="Arial"/>
          <w:kern w:val="0"/>
          <w:sz w:val="22"/>
          <w:szCs w:val="22"/>
          <w:lang w:val="en-GB" w:eastAsia="en-GB"/>
        </w:rPr>
        <w:t xml:space="preserve">, L. (2022) ‘State-of-the-art literature review methodology: A six-step approach for knowledge synthesis’, </w:t>
      </w:r>
      <w:r>
        <w:rPr>
          <w:rFonts w:ascii="Arial" w:eastAsia="Times New Roman" w:hAnsi="Arial" w:cs="Arial"/>
          <w:i/>
          <w:iCs/>
          <w:kern w:val="0"/>
          <w:sz w:val="22"/>
          <w:szCs w:val="22"/>
          <w:lang w:val="en-GB" w:eastAsia="en-GB"/>
        </w:rPr>
        <w:t>Perspectives on Medical Education</w:t>
      </w:r>
      <w:r>
        <w:rPr>
          <w:rFonts w:ascii="Arial" w:eastAsia="Times New Roman" w:hAnsi="Arial" w:cs="Arial"/>
          <w:kern w:val="0"/>
          <w:sz w:val="22"/>
          <w:szCs w:val="22"/>
          <w:lang w:val="en-GB" w:eastAsia="en-GB"/>
        </w:rPr>
        <w:t xml:space="preserve">, 11(5), pp. 281–288. </w:t>
      </w:r>
      <w:proofErr w:type="spellStart"/>
      <w:proofErr w:type="gramStart"/>
      <w:r>
        <w:rPr>
          <w:rFonts w:ascii="Arial" w:eastAsia="Times New Roman" w:hAnsi="Arial" w:cs="Arial"/>
          <w:kern w:val="0"/>
          <w:sz w:val="22"/>
          <w:szCs w:val="22"/>
          <w:lang w:val="en-GB" w:eastAsia="en-GB"/>
        </w:rPr>
        <w:t>doi</w:t>
      </w:r>
      <w:proofErr w:type="spellEnd"/>
      <w:proofErr w:type="gramEnd"/>
      <w:r>
        <w:rPr>
          <w:rFonts w:ascii="Arial" w:eastAsia="Times New Roman" w:hAnsi="Arial" w:cs="Arial"/>
          <w:kern w:val="0"/>
          <w:sz w:val="22"/>
          <w:szCs w:val="22"/>
          <w:lang w:val="en-GB" w:eastAsia="en-GB"/>
        </w:rPr>
        <w:t>: 10.1007/s40037-022-00725-9.</w:t>
      </w:r>
    </w:p>
    <w:p w14:paraId="491A0D41" w14:textId="77777777" w:rsidR="000F4E26" w:rsidRDefault="000F4E26" w:rsidP="000F4E26">
      <w:pPr>
        <w:numPr>
          <w:ilvl w:val="0"/>
          <w:numId w:val="35"/>
        </w:numPr>
        <w:spacing w:before="100" w:beforeAutospacing="1" w:after="100" w:afterAutospacing="1" w:line="360" w:lineRule="auto"/>
        <w:jc w:val="both"/>
        <w:rPr>
          <w:rFonts w:ascii="Arial" w:eastAsia="Times New Roman" w:hAnsi="Arial" w:cs="Arial"/>
          <w:kern w:val="0"/>
          <w:sz w:val="22"/>
          <w:szCs w:val="22"/>
          <w:lang w:val="en-GB" w:eastAsia="en-GB"/>
        </w:rPr>
      </w:pPr>
      <w:r>
        <w:rPr>
          <w:rFonts w:ascii="Arial" w:eastAsia="Times New Roman" w:hAnsi="Arial" w:cs="Arial"/>
          <w:kern w:val="0"/>
          <w:sz w:val="22"/>
          <w:szCs w:val="22"/>
          <w:lang w:val="en-GB" w:eastAsia="en-GB"/>
        </w:rPr>
        <w:t xml:space="preserve">Smith, S.A. and Duncan, A.A. (2022) ‘Systematic and scoping reviews: A comparison and overview’, </w:t>
      </w:r>
      <w:r>
        <w:rPr>
          <w:rFonts w:ascii="Arial" w:eastAsia="Times New Roman" w:hAnsi="Arial" w:cs="Arial"/>
          <w:i/>
          <w:iCs/>
          <w:kern w:val="0"/>
          <w:sz w:val="22"/>
          <w:szCs w:val="22"/>
          <w:lang w:val="en-GB" w:eastAsia="en-GB"/>
        </w:rPr>
        <w:t>Seminars in Vascular Surgery</w:t>
      </w:r>
      <w:r>
        <w:rPr>
          <w:rFonts w:ascii="Arial" w:eastAsia="Times New Roman" w:hAnsi="Arial" w:cs="Arial"/>
          <w:kern w:val="0"/>
          <w:sz w:val="22"/>
          <w:szCs w:val="22"/>
          <w:lang w:val="en-GB" w:eastAsia="en-GB"/>
        </w:rPr>
        <w:t xml:space="preserve">, 35(4), pp. 464–469. </w:t>
      </w:r>
      <w:proofErr w:type="spellStart"/>
      <w:proofErr w:type="gramStart"/>
      <w:r>
        <w:rPr>
          <w:rFonts w:ascii="Arial" w:eastAsia="Times New Roman" w:hAnsi="Arial" w:cs="Arial"/>
          <w:kern w:val="0"/>
          <w:sz w:val="22"/>
          <w:szCs w:val="22"/>
          <w:lang w:val="en-GB" w:eastAsia="en-GB"/>
        </w:rPr>
        <w:t>doi</w:t>
      </w:r>
      <w:proofErr w:type="spellEnd"/>
      <w:proofErr w:type="gramEnd"/>
      <w:r>
        <w:rPr>
          <w:rFonts w:ascii="Arial" w:eastAsia="Times New Roman" w:hAnsi="Arial" w:cs="Arial"/>
          <w:kern w:val="0"/>
          <w:sz w:val="22"/>
          <w:szCs w:val="22"/>
          <w:lang w:val="en-GB" w:eastAsia="en-GB"/>
        </w:rPr>
        <w:t>: 10.1053/j.semvascsurg.2022.09.001.</w:t>
      </w:r>
    </w:p>
    <w:p w14:paraId="17DBC973" w14:textId="6AD8E6DF" w:rsidR="000F4E26" w:rsidRDefault="000F4E26" w:rsidP="000F4E26">
      <w:pPr>
        <w:numPr>
          <w:ilvl w:val="0"/>
          <w:numId w:val="35"/>
        </w:numPr>
        <w:spacing w:before="100" w:beforeAutospacing="1" w:after="100" w:afterAutospacing="1" w:line="360" w:lineRule="auto"/>
        <w:jc w:val="both"/>
        <w:rPr>
          <w:rFonts w:ascii="Arial" w:eastAsia="Times New Roman" w:hAnsi="Arial" w:cs="Arial"/>
          <w:kern w:val="0"/>
          <w:sz w:val="22"/>
          <w:szCs w:val="22"/>
          <w:lang w:val="en-GB" w:eastAsia="en-GB"/>
        </w:rPr>
      </w:pPr>
      <w:r>
        <w:rPr>
          <w:rFonts w:ascii="Arial" w:eastAsia="Times New Roman" w:hAnsi="Arial" w:cs="Arial"/>
          <w:kern w:val="0"/>
          <w:sz w:val="22"/>
          <w:szCs w:val="22"/>
          <w:lang w:val="en-GB" w:eastAsia="en-GB"/>
        </w:rPr>
        <w:t xml:space="preserve">Page, M.J., McKenzie, J.E., </w:t>
      </w:r>
      <w:proofErr w:type="spellStart"/>
      <w:r>
        <w:rPr>
          <w:rFonts w:ascii="Arial" w:eastAsia="Times New Roman" w:hAnsi="Arial" w:cs="Arial"/>
          <w:kern w:val="0"/>
          <w:sz w:val="22"/>
          <w:szCs w:val="22"/>
          <w:lang w:val="en-GB" w:eastAsia="en-GB"/>
        </w:rPr>
        <w:t>Bossuyt</w:t>
      </w:r>
      <w:proofErr w:type="spellEnd"/>
      <w:r>
        <w:rPr>
          <w:rFonts w:ascii="Arial" w:eastAsia="Times New Roman" w:hAnsi="Arial" w:cs="Arial"/>
          <w:kern w:val="0"/>
          <w:sz w:val="22"/>
          <w:szCs w:val="22"/>
          <w:lang w:val="en-GB" w:eastAsia="en-GB"/>
        </w:rPr>
        <w:t xml:space="preserve">, P.M., </w:t>
      </w:r>
      <w:proofErr w:type="spellStart"/>
      <w:r>
        <w:rPr>
          <w:rFonts w:ascii="Arial" w:eastAsia="Times New Roman" w:hAnsi="Arial" w:cs="Arial"/>
          <w:kern w:val="0"/>
          <w:sz w:val="22"/>
          <w:szCs w:val="22"/>
          <w:lang w:val="en-GB" w:eastAsia="en-GB"/>
        </w:rPr>
        <w:t>Boutron</w:t>
      </w:r>
      <w:proofErr w:type="spellEnd"/>
      <w:r>
        <w:rPr>
          <w:rFonts w:ascii="Arial" w:eastAsia="Times New Roman" w:hAnsi="Arial" w:cs="Arial"/>
          <w:kern w:val="0"/>
          <w:sz w:val="22"/>
          <w:szCs w:val="22"/>
          <w:lang w:val="en-GB" w:eastAsia="en-GB"/>
        </w:rPr>
        <w:t xml:space="preserve">, I., Hoffmann, T.C., </w:t>
      </w:r>
      <w:proofErr w:type="spellStart"/>
      <w:r>
        <w:rPr>
          <w:rFonts w:ascii="Arial" w:eastAsia="Times New Roman" w:hAnsi="Arial" w:cs="Arial"/>
          <w:kern w:val="0"/>
          <w:sz w:val="22"/>
          <w:szCs w:val="22"/>
          <w:lang w:val="en-GB" w:eastAsia="en-GB"/>
        </w:rPr>
        <w:t>Mulrow</w:t>
      </w:r>
      <w:proofErr w:type="spellEnd"/>
      <w:r>
        <w:rPr>
          <w:rFonts w:ascii="Arial" w:eastAsia="Times New Roman" w:hAnsi="Arial" w:cs="Arial"/>
          <w:kern w:val="0"/>
          <w:sz w:val="22"/>
          <w:szCs w:val="22"/>
          <w:lang w:val="en-GB" w:eastAsia="en-GB"/>
        </w:rPr>
        <w:t xml:space="preserve">, C.D., </w:t>
      </w:r>
      <w:proofErr w:type="spellStart"/>
      <w:r>
        <w:rPr>
          <w:rFonts w:ascii="Arial" w:eastAsia="Times New Roman" w:hAnsi="Arial" w:cs="Arial"/>
          <w:kern w:val="0"/>
          <w:sz w:val="22"/>
          <w:szCs w:val="22"/>
          <w:lang w:val="en-GB" w:eastAsia="en-GB"/>
        </w:rPr>
        <w:t>Shamseer</w:t>
      </w:r>
      <w:proofErr w:type="spellEnd"/>
      <w:r>
        <w:rPr>
          <w:rFonts w:ascii="Arial" w:eastAsia="Times New Roman" w:hAnsi="Arial" w:cs="Arial"/>
          <w:kern w:val="0"/>
          <w:sz w:val="22"/>
          <w:szCs w:val="22"/>
          <w:lang w:val="en-GB" w:eastAsia="en-GB"/>
        </w:rPr>
        <w:t xml:space="preserve">, L., </w:t>
      </w:r>
      <w:proofErr w:type="spellStart"/>
      <w:r>
        <w:rPr>
          <w:rFonts w:ascii="Arial" w:eastAsia="Times New Roman" w:hAnsi="Arial" w:cs="Arial"/>
          <w:kern w:val="0"/>
          <w:sz w:val="22"/>
          <w:szCs w:val="22"/>
          <w:lang w:val="en-GB" w:eastAsia="en-GB"/>
        </w:rPr>
        <w:t>Tetzlaff</w:t>
      </w:r>
      <w:proofErr w:type="spellEnd"/>
      <w:r>
        <w:rPr>
          <w:rFonts w:ascii="Arial" w:eastAsia="Times New Roman" w:hAnsi="Arial" w:cs="Arial"/>
          <w:kern w:val="0"/>
          <w:sz w:val="22"/>
          <w:szCs w:val="22"/>
          <w:lang w:val="en-GB" w:eastAsia="en-GB"/>
        </w:rPr>
        <w:t xml:space="preserve">, J.M., </w:t>
      </w:r>
      <w:proofErr w:type="spellStart"/>
      <w:r>
        <w:rPr>
          <w:rFonts w:ascii="Arial" w:eastAsia="Times New Roman" w:hAnsi="Arial" w:cs="Arial"/>
          <w:kern w:val="0"/>
          <w:sz w:val="22"/>
          <w:szCs w:val="22"/>
          <w:lang w:val="en-GB" w:eastAsia="en-GB"/>
        </w:rPr>
        <w:t>Akl</w:t>
      </w:r>
      <w:proofErr w:type="spellEnd"/>
      <w:r>
        <w:rPr>
          <w:rFonts w:ascii="Arial" w:eastAsia="Times New Roman" w:hAnsi="Arial" w:cs="Arial"/>
          <w:kern w:val="0"/>
          <w:sz w:val="22"/>
          <w:szCs w:val="22"/>
          <w:lang w:val="en-GB" w:eastAsia="en-GB"/>
        </w:rPr>
        <w:t xml:space="preserve">, E.A., Brennan, S.E., Chou, R., Glanville, J., </w:t>
      </w:r>
      <w:proofErr w:type="spellStart"/>
      <w:r>
        <w:rPr>
          <w:rFonts w:ascii="Arial" w:eastAsia="Times New Roman" w:hAnsi="Arial" w:cs="Arial"/>
          <w:kern w:val="0"/>
          <w:sz w:val="22"/>
          <w:szCs w:val="22"/>
          <w:lang w:val="en-GB" w:eastAsia="en-GB"/>
        </w:rPr>
        <w:t>Grimshaw</w:t>
      </w:r>
      <w:proofErr w:type="spellEnd"/>
      <w:r>
        <w:rPr>
          <w:rFonts w:ascii="Arial" w:eastAsia="Times New Roman" w:hAnsi="Arial" w:cs="Arial"/>
          <w:kern w:val="0"/>
          <w:sz w:val="22"/>
          <w:szCs w:val="22"/>
          <w:lang w:val="en-GB" w:eastAsia="en-GB"/>
        </w:rPr>
        <w:t xml:space="preserve">, J.M., </w:t>
      </w:r>
      <w:proofErr w:type="spellStart"/>
      <w:r>
        <w:rPr>
          <w:rFonts w:ascii="Arial" w:eastAsia="Times New Roman" w:hAnsi="Arial" w:cs="Arial"/>
          <w:kern w:val="0"/>
          <w:sz w:val="22"/>
          <w:szCs w:val="22"/>
          <w:lang w:val="en-GB" w:eastAsia="en-GB"/>
        </w:rPr>
        <w:t>Hróbjartsson</w:t>
      </w:r>
      <w:proofErr w:type="spellEnd"/>
      <w:r>
        <w:rPr>
          <w:rFonts w:ascii="Arial" w:eastAsia="Times New Roman" w:hAnsi="Arial" w:cs="Arial"/>
          <w:kern w:val="0"/>
          <w:sz w:val="22"/>
          <w:szCs w:val="22"/>
          <w:lang w:val="en-GB" w:eastAsia="en-GB"/>
        </w:rPr>
        <w:t xml:space="preserve">, A., </w:t>
      </w:r>
      <w:proofErr w:type="spellStart"/>
      <w:r>
        <w:rPr>
          <w:rFonts w:ascii="Arial" w:eastAsia="Times New Roman" w:hAnsi="Arial" w:cs="Arial"/>
          <w:kern w:val="0"/>
          <w:sz w:val="22"/>
          <w:szCs w:val="22"/>
          <w:lang w:val="en-GB" w:eastAsia="en-GB"/>
        </w:rPr>
        <w:t>Lalu</w:t>
      </w:r>
      <w:proofErr w:type="spellEnd"/>
      <w:r>
        <w:rPr>
          <w:rFonts w:ascii="Arial" w:eastAsia="Times New Roman" w:hAnsi="Arial" w:cs="Arial"/>
          <w:kern w:val="0"/>
          <w:sz w:val="22"/>
          <w:szCs w:val="22"/>
          <w:lang w:val="en-GB" w:eastAsia="en-GB"/>
        </w:rPr>
        <w:t xml:space="preserve">, M.M., Li, T., </w:t>
      </w:r>
      <w:proofErr w:type="spellStart"/>
      <w:r>
        <w:rPr>
          <w:rFonts w:ascii="Arial" w:eastAsia="Times New Roman" w:hAnsi="Arial" w:cs="Arial"/>
          <w:kern w:val="0"/>
          <w:sz w:val="22"/>
          <w:szCs w:val="22"/>
          <w:lang w:val="en-GB" w:eastAsia="en-GB"/>
        </w:rPr>
        <w:t>Loder</w:t>
      </w:r>
      <w:proofErr w:type="spellEnd"/>
      <w:r>
        <w:rPr>
          <w:rFonts w:ascii="Arial" w:eastAsia="Times New Roman" w:hAnsi="Arial" w:cs="Arial"/>
          <w:kern w:val="0"/>
          <w:sz w:val="22"/>
          <w:szCs w:val="22"/>
          <w:lang w:val="en-GB" w:eastAsia="en-GB"/>
        </w:rPr>
        <w:t xml:space="preserve">, E.W., Mayo-Wilson, E., McDonald, S., </w:t>
      </w:r>
      <w:proofErr w:type="spellStart"/>
      <w:r>
        <w:rPr>
          <w:rFonts w:ascii="Arial" w:eastAsia="Times New Roman" w:hAnsi="Arial" w:cs="Arial"/>
          <w:kern w:val="0"/>
          <w:sz w:val="22"/>
          <w:szCs w:val="22"/>
          <w:lang w:val="en-GB" w:eastAsia="en-GB"/>
        </w:rPr>
        <w:t>McGuinness</w:t>
      </w:r>
      <w:proofErr w:type="spellEnd"/>
      <w:r>
        <w:rPr>
          <w:rFonts w:ascii="Arial" w:eastAsia="Times New Roman" w:hAnsi="Arial" w:cs="Arial"/>
          <w:kern w:val="0"/>
          <w:sz w:val="22"/>
          <w:szCs w:val="22"/>
          <w:lang w:val="en-GB" w:eastAsia="en-GB"/>
        </w:rPr>
        <w:t xml:space="preserve">, L.A., Stewart, L.A., Thomas, J., </w:t>
      </w:r>
      <w:proofErr w:type="spellStart"/>
      <w:r>
        <w:rPr>
          <w:rFonts w:ascii="Arial" w:eastAsia="Times New Roman" w:hAnsi="Arial" w:cs="Arial"/>
          <w:kern w:val="0"/>
          <w:sz w:val="22"/>
          <w:szCs w:val="22"/>
          <w:lang w:val="en-GB" w:eastAsia="en-GB"/>
        </w:rPr>
        <w:t>Tricco</w:t>
      </w:r>
      <w:proofErr w:type="spellEnd"/>
      <w:r>
        <w:rPr>
          <w:rFonts w:ascii="Arial" w:eastAsia="Times New Roman" w:hAnsi="Arial" w:cs="Arial"/>
          <w:kern w:val="0"/>
          <w:sz w:val="22"/>
          <w:szCs w:val="22"/>
          <w:lang w:val="en-GB" w:eastAsia="en-GB"/>
        </w:rPr>
        <w:t xml:space="preserve">, A.C., Welch, V.A., Whiting, P. and </w:t>
      </w:r>
      <w:proofErr w:type="spellStart"/>
      <w:r>
        <w:rPr>
          <w:rFonts w:ascii="Arial" w:eastAsia="Times New Roman" w:hAnsi="Arial" w:cs="Arial"/>
          <w:kern w:val="0"/>
          <w:sz w:val="22"/>
          <w:szCs w:val="22"/>
          <w:lang w:val="en-GB" w:eastAsia="en-GB"/>
        </w:rPr>
        <w:t>Moher</w:t>
      </w:r>
      <w:proofErr w:type="spellEnd"/>
      <w:r>
        <w:rPr>
          <w:rFonts w:ascii="Arial" w:eastAsia="Times New Roman" w:hAnsi="Arial" w:cs="Arial"/>
          <w:kern w:val="0"/>
          <w:sz w:val="22"/>
          <w:szCs w:val="22"/>
          <w:lang w:val="en-GB" w:eastAsia="en-GB"/>
        </w:rPr>
        <w:t xml:space="preserve">, D. (2021) ‘The PRISMA 2020 statement: An updated guideline for reporting systematic reviews’, </w:t>
      </w:r>
      <w:r>
        <w:rPr>
          <w:rFonts w:ascii="Arial" w:eastAsia="Times New Roman" w:hAnsi="Arial" w:cs="Arial"/>
          <w:i/>
          <w:iCs/>
          <w:kern w:val="0"/>
          <w:sz w:val="22"/>
          <w:szCs w:val="22"/>
          <w:lang w:val="en-GB" w:eastAsia="en-GB"/>
        </w:rPr>
        <w:t>BMJ</w:t>
      </w:r>
      <w:r>
        <w:rPr>
          <w:rFonts w:ascii="Arial" w:eastAsia="Times New Roman" w:hAnsi="Arial" w:cs="Arial"/>
          <w:kern w:val="0"/>
          <w:sz w:val="22"/>
          <w:szCs w:val="22"/>
          <w:lang w:val="en-GB" w:eastAsia="en-GB"/>
        </w:rPr>
        <w:t xml:space="preserve">, 372, p. n71. </w:t>
      </w:r>
      <w:proofErr w:type="spellStart"/>
      <w:proofErr w:type="gramStart"/>
      <w:r>
        <w:rPr>
          <w:rFonts w:ascii="Arial" w:eastAsia="Times New Roman" w:hAnsi="Arial" w:cs="Arial"/>
          <w:kern w:val="0"/>
          <w:sz w:val="22"/>
          <w:szCs w:val="22"/>
          <w:lang w:val="en-GB" w:eastAsia="en-GB"/>
        </w:rPr>
        <w:t>doi</w:t>
      </w:r>
      <w:proofErr w:type="spellEnd"/>
      <w:proofErr w:type="gramEnd"/>
      <w:r>
        <w:rPr>
          <w:rFonts w:ascii="Arial" w:eastAsia="Times New Roman" w:hAnsi="Arial" w:cs="Arial"/>
          <w:kern w:val="0"/>
          <w:sz w:val="22"/>
          <w:szCs w:val="22"/>
          <w:lang w:val="en-GB" w:eastAsia="en-GB"/>
        </w:rPr>
        <w:t>: 10.1136/bmj.n71.</w:t>
      </w:r>
    </w:p>
    <w:p w14:paraId="7A4C0796" w14:textId="77777777" w:rsidR="00D340EB" w:rsidRDefault="00D340EB" w:rsidP="00D340EB">
      <w:pPr>
        <w:spacing w:line="360" w:lineRule="auto"/>
        <w:jc w:val="both"/>
        <w:rPr>
          <w:rFonts w:ascii="Arial" w:hAnsi="Arial" w:cs="Arial"/>
          <w:sz w:val="22"/>
          <w:szCs w:val="22"/>
        </w:rPr>
      </w:pPr>
    </w:p>
    <w:p w14:paraId="51CBF91B" w14:textId="77777777" w:rsidR="00D340EB" w:rsidRDefault="00D340EB" w:rsidP="00D340EB">
      <w:pPr>
        <w:spacing w:line="360" w:lineRule="auto"/>
        <w:jc w:val="both"/>
        <w:rPr>
          <w:rFonts w:ascii="Arial" w:hAnsi="Arial" w:cs="Arial"/>
          <w:sz w:val="22"/>
          <w:szCs w:val="22"/>
        </w:rPr>
      </w:pPr>
    </w:p>
    <w:p w14:paraId="19206524" w14:textId="77777777" w:rsidR="00D340EB" w:rsidRPr="00015E49" w:rsidRDefault="00D340EB" w:rsidP="00D340EB">
      <w:pPr>
        <w:spacing w:line="360" w:lineRule="auto"/>
        <w:jc w:val="both"/>
        <w:rPr>
          <w:rFonts w:ascii="Arial" w:hAnsi="Arial" w:cs="Arial"/>
          <w:sz w:val="22"/>
          <w:szCs w:val="22"/>
        </w:rPr>
      </w:pPr>
    </w:p>
    <w:p w14:paraId="0AD4D1E0" w14:textId="77777777" w:rsidR="00D340EB" w:rsidRDefault="00D340EB" w:rsidP="006515B4">
      <w:pPr>
        <w:pStyle w:val="Heading1"/>
        <w:jc w:val="center"/>
        <w:rPr>
          <w:rFonts w:ascii="Arial" w:hAnsi="Arial" w:cs="Arial"/>
          <w:b/>
          <w:bCs/>
          <w:color w:val="000000"/>
          <w:sz w:val="22"/>
          <w:szCs w:val="22"/>
        </w:rPr>
      </w:pPr>
    </w:p>
    <w:p w14:paraId="21842FE8" w14:textId="77777777" w:rsidR="00D340EB" w:rsidRDefault="00D340EB" w:rsidP="006515B4">
      <w:pPr>
        <w:pStyle w:val="Heading1"/>
        <w:jc w:val="center"/>
        <w:rPr>
          <w:rFonts w:ascii="Arial" w:hAnsi="Arial" w:cs="Arial"/>
          <w:b/>
          <w:bCs/>
          <w:color w:val="000000"/>
          <w:sz w:val="22"/>
          <w:szCs w:val="22"/>
        </w:rPr>
      </w:pPr>
    </w:p>
    <w:p w14:paraId="672E8D3A" w14:textId="77777777" w:rsidR="00D340EB" w:rsidRDefault="00D340EB" w:rsidP="006515B4">
      <w:pPr>
        <w:pStyle w:val="Heading1"/>
        <w:jc w:val="center"/>
        <w:rPr>
          <w:rFonts w:ascii="Arial" w:hAnsi="Arial" w:cs="Arial"/>
          <w:b/>
          <w:bCs/>
          <w:color w:val="000000"/>
          <w:sz w:val="22"/>
          <w:szCs w:val="22"/>
        </w:rPr>
      </w:pPr>
    </w:p>
    <w:bookmarkEnd w:id="15"/>
    <w:bookmarkEnd w:id="16"/>
    <w:bookmarkEnd w:id="17"/>
    <w:bookmarkEnd w:id="18"/>
    <w:p w14:paraId="7FECE1E1" w14:textId="77777777" w:rsidR="00D340EB" w:rsidRDefault="00D340EB" w:rsidP="006515B4">
      <w:pPr>
        <w:pStyle w:val="Heading1"/>
        <w:jc w:val="center"/>
        <w:rPr>
          <w:rFonts w:ascii="Arial" w:hAnsi="Arial" w:cs="Arial"/>
          <w:b/>
          <w:bCs/>
          <w:color w:val="000000"/>
          <w:sz w:val="22"/>
          <w:szCs w:val="22"/>
        </w:rPr>
      </w:pPr>
    </w:p>
    <w:sectPr w:rsidR="00D340EB" w:rsidSect="00680C3A">
      <w:pgSz w:w="12240" w:h="15840"/>
      <w:pgMar w:top="1134" w:right="850" w:bottom="1134" w:left="1701" w:header="10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3EC0769" w14:textId="77777777" w:rsidR="00945A1E" w:rsidRDefault="00945A1E" w:rsidP="004604A1">
      <w:pPr>
        <w:spacing w:after="0" w:line="240" w:lineRule="auto"/>
      </w:pPr>
      <w:r>
        <w:separator/>
      </w:r>
    </w:p>
  </w:endnote>
  <w:endnote w:type="continuationSeparator" w:id="0">
    <w:p w14:paraId="3C38AE62" w14:textId="77777777" w:rsidR="00945A1E" w:rsidRDefault="00945A1E" w:rsidP="004604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MT">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137FEA8" w14:textId="77777777" w:rsidR="00FA13DA" w:rsidRPr="003C2D2A" w:rsidRDefault="00FA13DA">
    <w:pPr>
      <w:pStyle w:val="Footer"/>
      <w:jc w:val="center"/>
      <w:rPr>
        <w:rFonts w:ascii="Arial" w:hAnsi="Arial" w:cs="Arial"/>
        <w:sz w:val="20"/>
        <w:szCs w:val="20"/>
      </w:rPr>
    </w:pPr>
    <w:r w:rsidRPr="003C2D2A">
      <w:rPr>
        <w:rFonts w:ascii="Arial" w:hAnsi="Arial" w:cs="Arial"/>
        <w:sz w:val="20"/>
        <w:szCs w:val="20"/>
      </w:rPr>
      <w:fldChar w:fldCharType="begin"/>
    </w:r>
    <w:r w:rsidRPr="003C2D2A">
      <w:rPr>
        <w:rFonts w:ascii="Arial" w:hAnsi="Arial" w:cs="Arial"/>
        <w:sz w:val="20"/>
        <w:szCs w:val="20"/>
      </w:rPr>
      <w:instrText xml:space="preserve"> PAGE   \* MERGEFORMAT </w:instrText>
    </w:r>
    <w:r w:rsidRPr="003C2D2A">
      <w:rPr>
        <w:rFonts w:ascii="Arial" w:hAnsi="Arial" w:cs="Arial"/>
        <w:sz w:val="20"/>
        <w:szCs w:val="20"/>
      </w:rPr>
      <w:fldChar w:fldCharType="separate"/>
    </w:r>
    <w:r w:rsidR="009F039E">
      <w:rPr>
        <w:rFonts w:ascii="Arial" w:hAnsi="Arial" w:cs="Arial"/>
        <w:noProof/>
        <w:sz w:val="20"/>
        <w:szCs w:val="20"/>
      </w:rPr>
      <w:t>10</w:t>
    </w:r>
    <w:r w:rsidRPr="003C2D2A">
      <w:rPr>
        <w:rFonts w:ascii="Arial" w:hAnsi="Arial" w:cs="Arial"/>
        <w:noProof/>
        <w:sz w:val="20"/>
        <w:szCs w:val="20"/>
      </w:rPr>
      <w:fldChar w:fldCharType="end"/>
    </w:r>
  </w:p>
  <w:p w14:paraId="125BB3E3" w14:textId="77777777" w:rsidR="00FA13DA" w:rsidRDefault="00FA13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F15E56" w14:textId="2494E815" w:rsidR="00FA13DA" w:rsidRPr="00E07B3F" w:rsidRDefault="00FA13DA">
    <w:pPr>
      <w:pStyle w:val="Footer"/>
      <w:jc w:val="center"/>
      <w:rPr>
        <w:rFonts w:ascii="Arial" w:hAnsi="Arial" w:cs="Arial"/>
        <w:sz w:val="22"/>
        <w:szCs w:val="22"/>
      </w:rPr>
    </w:pPr>
    <w:r w:rsidRPr="00E07B3F">
      <w:rPr>
        <w:rFonts w:ascii="Arial" w:hAnsi="Arial" w:cs="Arial"/>
        <w:sz w:val="22"/>
        <w:szCs w:val="22"/>
      </w:rPr>
      <w:t>3</w:t>
    </w:r>
    <w:r>
      <w:rPr>
        <w:rFonts w:ascii="Arial" w:hAnsi="Arial" w:cs="Arial"/>
        <w:sz w:val="22"/>
        <w:szCs w:val="22"/>
      </w:rPr>
      <w:t>3</w:t>
    </w:r>
  </w:p>
  <w:p w14:paraId="6A345D6F" w14:textId="77777777" w:rsidR="00FA13DA" w:rsidRDefault="00FA13D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49BC696" w14:textId="77777777" w:rsidR="00945A1E" w:rsidRDefault="00945A1E" w:rsidP="004604A1">
      <w:pPr>
        <w:spacing w:after="0" w:line="240" w:lineRule="auto"/>
      </w:pPr>
      <w:r>
        <w:separator/>
      </w:r>
    </w:p>
  </w:footnote>
  <w:footnote w:type="continuationSeparator" w:id="0">
    <w:p w14:paraId="075D9F34" w14:textId="77777777" w:rsidR="00945A1E" w:rsidRDefault="00945A1E" w:rsidP="004604A1">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224C76"/>
    <w:multiLevelType w:val="multilevel"/>
    <w:tmpl w:val="0D56DDD0"/>
    <w:lvl w:ilvl="0">
      <w:start w:val="1"/>
      <w:numFmt w:val="bullet"/>
      <w:lvlText w:val=""/>
      <w:lvlJc w:val="left"/>
      <w:pPr>
        <w:tabs>
          <w:tab w:val="num" w:pos="720"/>
        </w:tabs>
        <w:ind w:left="720" w:hanging="360"/>
      </w:pPr>
      <w:rPr>
        <w:rFonts w:ascii="Arial MT" w:hAnsi="Arial MT" w:hint="default"/>
        <w:sz w:val="20"/>
      </w:rPr>
    </w:lvl>
    <w:lvl w:ilvl="1" w:tentative="1">
      <w:start w:val="1"/>
      <w:numFmt w:val="bullet"/>
      <w:lvlText w:val="o"/>
      <w:lvlJc w:val="left"/>
      <w:pPr>
        <w:tabs>
          <w:tab w:val="num" w:pos="1440"/>
        </w:tabs>
        <w:ind w:left="1440" w:hanging="360"/>
      </w:pPr>
      <w:rPr>
        <w:rFonts w:ascii="Aptos" w:hAnsi="Aptos" w:hint="default"/>
        <w:sz w:val="20"/>
      </w:rPr>
    </w:lvl>
    <w:lvl w:ilvl="2" w:tentative="1">
      <w:start w:val="1"/>
      <w:numFmt w:val="bullet"/>
      <w:lvlText w:val=""/>
      <w:lvlJc w:val="left"/>
      <w:pPr>
        <w:tabs>
          <w:tab w:val="num" w:pos="2160"/>
        </w:tabs>
        <w:ind w:left="2160" w:hanging="360"/>
      </w:pPr>
      <w:rPr>
        <w:rFonts w:ascii="Aptos Display" w:hAnsi="Aptos Display" w:hint="default"/>
        <w:sz w:val="20"/>
      </w:rPr>
    </w:lvl>
    <w:lvl w:ilvl="3" w:tentative="1">
      <w:start w:val="1"/>
      <w:numFmt w:val="bullet"/>
      <w:lvlText w:val=""/>
      <w:lvlJc w:val="left"/>
      <w:pPr>
        <w:tabs>
          <w:tab w:val="num" w:pos="2880"/>
        </w:tabs>
        <w:ind w:left="2880" w:hanging="360"/>
      </w:pPr>
      <w:rPr>
        <w:rFonts w:ascii="Aptos Display" w:hAnsi="Aptos Display" w:hint="default"/>
        <w:sz w:val="20"/>
      </w:rPr>
    </w:lvl>
    <w:lvl w:ilvl="4" w:tentative="1">
      <w:start w:val="1"/>
      <w:numFmt w:val="bullet"/>
      <w:lvlText w:val=""/>
      <w:lvlJc w:val="left"/>
      <w:pPr>
        <w:tabs>
          <w:tab w:val="num" w:pos="3600"/>
        </w:tabs>
        <w:ind w:left="3600" w:hanging="360"/>
      </w:pPr>
      <w:rPr>
        <w:rFonts w:ascii="Aptos Display" w:hAnsi="Aptos Display" w:hint="default"/>
        <w:sz w:val="20"/>
      </w:rPr>
    </w:lvl>
    <w:lvl w:ilvl="5" w:tentative="1">
      <w:start w:val="1"/>
      <w:numFmt w:val="bullet"/>
      <w:lvlText w:val=""/>
      <w:lvlJc w:val="left"/>
      <w:pPr>
        <w:tabs>
          <w:tab w:val="num" w:pos="4320"/>
        </w:tabs>
        <w:ind w:left="4320" w:hanging="360"/>
      </w:pPr>
      <w:rPr>
        <w:rFonts w:ascii="Aptos Display" w:hAnsi="Aptos Display" w:hint="default"/>
        <w:sz w:val="20"/>
      </w:rPr>
    </w:lvl>
    <w:lvl w:ilvl="6" w:tentative="1">
      <w:start w:val="1"/>
      <w:numFmt w:val="bullet"/>
      <w:lvlText w:val=""/>
      <w:lvlJc w:val="left"/>
      <w:pPr>
        <w:tabs>
          <w:tab w:val="num" w:pos="5040"/>
        </w:tabs>
        <w:ind w:left="5040" w:hanging="360"/>
      </w:pPr>
      <w:rPr>
        <w:rFonts w:ascii="Aptos Display" w:hAnsi="Aptos Display" w:hint="default"/>
        <w:sz w:val="20"/>
      </w:rPr>
    </w:lvl>
    <w:lvl w:ilvl="7" w:tentative="1">
      <w:start w:val="1"/>
      <w:numFmt w:val="bullet"/>
      <w:lvlText w:val=""/>
      <w:lvlJc w:val="left"/>
      <w:pPr>
        <w:tabs>
          <w:tab w:val="num" w:pos="5760"/>
        </w:tabs>
        <w:ind w:left="5760" w:hanging="360"/>
      </w:pPr>
      <w:rPr>
        <w:rFonts w:ascii="Aptos Display" w:hAnsi="Aptos Display" w:hint="default"/>
        <w:sz w:val="20"/>
      </w:rPr>
    </w:lvl>
    <w:lvl w:ilvl="8" w:tentative="1">
      <w:start w:val="1"/>
      <w:numFmt w:val="bullet"/>
      <w:lvlText w:val=""/>
      <w:lvlJc w:val="left"/>
      <w:pPr>
        <w:tabs>
          <w:tab w:val="num" w:pos="6480"/>
        </w:tabs>
        <w:ind w:left="6480" w:hanging="360"/>
      </w:pPr>
      <w:rPr>
        <w:rFonts w:ascii="Aptos Display" w:hAnsi="Aptos Display" w:hint="default"/>
        <w:sz w:val="20"/>
      </w:rPr>
    </w:lvl>
  </w:abstractNum>
  <w:abstractNum w:abstractNumId="1">
    <w:nsid w:val="0D390563"/>
    <w:multiLevelType w:val="hybridMultilevel"/>
    <w:tmpl w:val="3F9CA4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DA067E3"/>
    <w:multiLevelType w:val="hybridMultilevel"/>
    <w:tmpl w:val="7A8E2260"/>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3">
    <w:nsid w:val="0E0453B3"/>
    <w:multiLevelType w:val="hybridMultilevel"/>
    <w:tmpl w:val="91B0761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1851187D"/>
    <w:multiLevelType w:val="hybridMultilevel"/>
    <w:tmpl w:val="4F5261E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9033111"/>
    <w:multiLevelType w:val="hybridMultilevel"/>
    <w:tmpl w:val="4574CD7A"/>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6">
    <w:nsid w:val="1F6172DE"/>
    <w:multiLevelType w:val="hybridMultilevel"/>
    <w:tmpl w:val="0C625FBE"/>
    <w:lvl w:ilvl="0" w:tplc="9D6CE43A">
      <w:start w:val="1"/>
      <w:numFmt w:val="lowerLetter"/>
      <w:lvlText w:val="%1."/>
      <w:lvlJc w:val="left"/>
      <w:pPr>
        <w:ind w:left="420" w:hanging="360"/>
      </w:pPr>
      <w:rPr>
        <w:rFonts w:hint="default"/>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7">
    <w:nsid w:val="20A04864"/>
    <w:multiLevelType w:val="hybridMultilevel"/>
    <w:tmpl w:val="EE642CC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62E78A5"/>
    <w:multiLevelType w:val="hybridMultilevel"/>
    <w:tmpl w:val="366AE15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91712F6"/>
    <w:multiLevelType w:val="hybridMultilevel"/>
    <w:tmpl w:val="394C90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98467F7"/>
    <w:multiLevelType w:val="hybridMultilevel"/>
    <w:tmpl w:val="55981A72"/>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11">
    <w:nsid w:val="2CDC2522"/>
    <w:multiLevelType w:val="multilevel"/>
    <w:tmpl w:val="923A5232"/>
    <w:lvl w:ilvl="0">
      <w:start w:val="4"/>
      <w:numFmt w:val="decimal"/>
      <w:lvlText w:val="%1"/>
      <w:lvlJc w:val="left"/>
      <w:pPr>
        <w:ind w:left="480" w:hanging="480"/>
      </w:pPr>
      <w:rPr>
        <w:rFonts w:hint="default"/>
      </w:rPr>
    </w:lvl>
    <w:lvl w:ilvl="1">
      <w:start w:val="5"/>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2F230AA1"/>
    <w:multiLevelType w:val="hybridMultilevel"/>
    <w:tmpl w:val="E84087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25514EC"/>
    <w:multiLevelType w:val="multilevel"/>
    <w:tmpl w:val="CE764434"/>
    <w:lvl w:ilvl="0">
      <w:start w:val="1"/>
      <w:numFmt w:val="bullet"/>
      <w:lvlText w:val=""/>
      <w:lvlJc w:val="left"/>
      <w:pPr>
        <w:tabs>
          <w:tab w:val="num" w:pos="720"/>
        </w:tabs>
        <w:ind w:left="720" w:hanging="360"/>
      </w:pPr>
      <w:rPr>
        <w:rFonts w:ascii="Arial MT" w:hAnsi="Arial MT" w:hint="default"/>
        <w:sz w:val="20"/>
      </w:rPr>
    </w:lvl>
    <w:lvl w:ilvl="1" w:tentative="1">
      <w:start w:val="1"/>
      <w:numFmt w:val="bullet"/>
      <w:lvlText w:val="o"/>
      <w:lvlJc w:val="left"/>
      <w:pPr>
        <w:tabs>
          <w:tab w:val="num" w:pos="1440"/>
        </w:tabs>
        <w:ind w:left="1440" w:hanging="360"/>
      </w:pPr>
      <w:rPr>
        <w:rFonts w:ascii="Aptos" w:hAnsi="Aptos" w:hint="default"/>
        <w:sz w:val="20"/>
      </w:rPr>
    </w:lvl>
    <w:lvl w:ilvl="2" w:tentative="1">
      <w:start w:val="1"/>
      <w:numFmt w:val="bullet"/>
      <w:lvlText w:val=""/>
      <w:lvlJc w:val="left"/>
      <w:pPr>
        <w:tabs>
          <w:tab w:val="num" w:pos="2160"/>
        </w:tabs>
        <w:ind w:left="2160" w:hanging="360"/>
      </w:pPr>
      <w:rPr>
        <w:rFonts w:ascii="Aptos Display" w:hAnsi="Aptos Display" w:hint="default"/>
        <w:sz w:val="20"/>
      </w:rPr>
    </w:lvl>
    <w:lvl w:ilvl="3" w:tentative="1">
      <w:start w:val="1"/>
      <w:numFmt w:val="bullet"/>
      <w:lvlText w:val=""/>
      <w:lvlJc w:val="left"/>
      <w:pPr>
        <w:tabs>
          <w:tab w:val="num" w:pos="2880"/>
        </w:tabs>
        <w:ind w:left="2880" w:hanging="360"/>
      </w:pPr>
      <w:rPr>
        <w:rFonts w:ascii="Aptos Display" w:hAnsi="Aptos Display" w:hint="default"/>
        <w:sz w:val="20"/>
      </w:rPr>
    </w:lvl>
    <w:lvl w:ilvl="4" w:tentative="1">
      <w:start w:val="1"/>
      <w:numFmt w:val="bullet"/>
      <w:lvlText w:val=""/>
      <w:lvlJc w:val="left"/>
      <w:pPr>
        <w:tabs>
          <w:tab w:val="num" w:pos="3600"/>
        </w:tabs>
        <w:ind w:left="3600" w:hanging="360"/>
      </w:pPr>
      <w:rPr>
        <w:rFonts w:ascii="Aptos Display" w:hAnsi="Aptos Display" w:hint="default"/>
        <w:sz w:val="20"/>
      </w:rPr>
    </w:lvl>
    <w:lvl w:ilvl="5" w:tentative="1">
      <w:start w:val="1"/>
      <w:numFmt w:val="bullet"/>
      <w:lvlText w:val=""/>
      <w:lvlJc w:val="left"/>
      <w:pPr>
        <w:tabs>
          <w:tab w:val="num" w:pos="4320"/>
        </w:tabs>
        <w:ind w:left="4320" w:hanging="360"/>
      </w:pPr>
      <w:rPr>
        <w:rFonts w:ascii="Aptos Display" w:hAnsi="Aptos Display" w:hint="default"/>
        <w:sz w:val="20"/>
      </w:rPr>
    </w:lvl>
    <w:lvl w:ilvl="6" w:tentative="1">
      <w:start w:val="1"/>
      <w:numFmt w:val="bullet"/>
      <w:lvlText w:val=""/>
      <w:lvlJc w:val="left"/>
      <w:pPr>
        <w:tabs>
          <w:tab w:val="num" w:pos="5040"/>
        </w:tabs>
        <w:ind w:left="5040" w:hanging="360"/>
      </w:pPr>
      <w:rPr>
        <w:rFonts w:ascii="Aptos Display" w:hAnsi="Aptos Display" w:hint="default"/>
        <w:sz w:val="20"/>
      </w:rPr>
    </w:lvl>
    <w:lvl w:ilvl="7" w:tentative="1">
      <w:start w:val="1"/>
      <w:numFmt w:val="bullet"/>
      <w:lvlText w:val=""/>
      <w:lvlJc w:val="left"/>
      <w:pPr>
        <w:tabs>
          <w:tab w:val="num" w:pos="5760"/>
        </w:tabs>
        <w:ind w:left="5760" w:hanging="360"/>
      </w:pPr>
      <w:rPr>
        <w:rFonts w:ascii="Aptos Display" w:hAnsi="Aptos Display" w:hint="default"/>
        <w:sz w:val="20"/>
      </w:rPr>
    </w:lvl>
    <w:lvl w:ilvl="8" w:tentative="1">
      <w:start w:val="1"/>
      <w:numFmt w:val="bullet"/>
      <w:lvlText w:val=""/>
      <w:lvlJc w:val="left"/>
      <w:pPr>
        <w:tabs>
          <w:tab w:val="num" w:pos="6480"/>
        </w:tabs>
        <w:ind w:left="6480" w:hanging="360"/>
      </w:pPr>
      <w:rPr>
        <w:rFonts w:ascii="Aptos Display" w:hAnsi="Aptos Display" w:hint="default"/>
        <w:sz w:val="20"/>
      </w:rPr>
    </w:lvl>
  </w:abstractNum>
  <w:abstractNum w:abstractNumId="14">
    <w:nsid w:val="3A395E8B"/>
    <w:multiLevelType w:val="hybridMultilevel"/>
    <w:tmpl w:val="8772B69E"/>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15">
    <w:nsid w:val="3E0055CD"/>
    <w:multiLevelType w:val="hybridMultilevel"/>
    <w:tmpl w:val="B2F00FAA"/>
    <w:lvl w:ilvl="0" w:tplc="04090001">
      <w:start w:val="1"/>
      <w:numFmt w:val="bullet"/>
      <w:lvlText w:val=""/>
      <w:lvlJc w:val="left"/>
      <w:pPr>
        <w:ind w:left="720" w:hanging="360"/>
      </w:pPr>
      <w:rPr>
        <w:rFonts w:ascii="Arial MT" w:hAnsi="Arial MT"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16">
    <w:nsid w:val="40391563"/>
    <w:multiLevelType w:val="hybridMultilevel"/>
    <w:tmpl w:val="66227E34"/>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17">
    <w:nsid w:val="43EF6388"/>
    <w:multiLevelType w:val="hybridMultilevel"/>
    <w:tmpl w:val="558C592C"/>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18">
    <w:nsid w:val="45E40687"/>
    <w:multiLevelType w:val="hybridMultilevel"/>
    <w:tmpl w:val="40E055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6AC6A1E"/>
    <w:multiLevelType w:val="multilevel"/>
    <w:tmpl w:val="9CFAA11A"/>
    <w:lvl w:ilvl="0">
      <w:start w:val="1"/>
      <w:numFmt w:val="bullet"/>
      <w:lvlText w:val=""/>
      <w:lvlJc w:val="left"/>
      <w:pPr>
        <w:tabs>
          <w:tab w:val="num" w:pos="720"/>
        </w:tabs>
        <w:ind w:left="720" w:hanging="360"/>
      </w:pPr>
      <w:rPr>
        <w:rFonts w:ascii="Arial MT" w:hAnsi="Arial MT" w:hint="default"/>
        <w:sz w:val="20"/>
      </w:rPr>
    </w:lvl>
    <w:lvl w:ilvl="1" w:tentative="1">
      <w:start w:val="1"/>
      <w:numFmt w:val="bullet"/>
      <w:lvlText w:val="o"/>
      <w:lvlJc w:val="left"/>
      <w:pPr>
        <w:tabs>
          <w:tab w:val="num" w:pos="1440"/>
        </w:tabs>
        <w:ind w:left="1440" w:hanging="360"/>
      </w:pPr>
      <w:rPr>
        <w:rFonts w:ascii="Aptos" w:hAnsi="Aptos" w:hint="default"/>
        <w:sz w:val="20"/>
      </w:rPr>
    </w:lvl>
    <w:lvl w:ilvl="2" w:tentative="1">
      <w:start w:val="1"/>
      <w:numFmt w:val="bullet"/>
      <w:lvlText w:val=""/>
      <w:lvlJc w:val="left"/>
      <w:pPr>
        <w:tabs>
          <w:tab w:val="num" w:pos="2160"/>
        </w:tabs>
        <w:ind w:left="2160" w:hanging="360"/>
      </w:pPr>
      <w:rPr>
        <w:rFonts w:ascii="Aptos Display" w:hAnsi="Aptos Display" w:hint="default"/>
        <w:sz w:val="20"/>
      </w:rPr>
    </w:lvl>
    <w:lvl w:ilvl="3" w:tentative="1">
      <w:start w:val="1"/>
      <w:numFmt w:val="bullet"/>
      <w:lvlText w:val=""/>
      <w:lvlJc w:val="left"/>
      <w:pPr>
        <w:tabs>
          <w:tab w:val="num" w:pos="2880"/>
        </w:tabs>
        <w:ind w:left="2880" w:hanging="360"/>
      </w:pPr>
      <w:rPr>
        <w:rFonts w:ascii="Aptos Display" w:hAnsi="Aptos Display" w:hint="default"/>
        <w:sz w:val="20"/>
      </w:rPr>
    </w:lvl>
    <w:lvl w:ilvl="4" w:tentative="1">
      <w:start w:val="1"/>
      <w:numFmt w:val="bullet"/>
      <w:lvlText w:val=""/>
      <w:lvlJc w:val="left"/>
      <w:pPr>
        <w:tabs>
          <w:tab w:val="num" w:pos="3600"/>
        </w:tabs>
        <w:ind w:left="3600" w:hanging="360"/>
      </w:pPr>
      <w:rPr>
        <w:rFonts w:ascii="Aptos Display" w:hAnsi="Aptos Display" w:hint="default"/>
        <w:sz w:val="20"/>
      </w:rPr>
    </w:lvl>
    <w:lvl w:ilvl="5" w:tentative="1">
      <w:start w:val="1"/>
      <w:numFmt w:val="bullet"/>
      <w:lvlText w:val=""/>
      <w:lvlJc w:val="left"/>
      <w:pPr>
        <w:tabs>
          <w:tab w:val="num" w:pos="4320"/>
        </w:tabs>
        <w:ind w:left="4320" w:hanging="360"/>
      </w:pPr>
      <w:rPr>
        <w:rFonts w:ascii="Aptos Display" w:hAnsi="Aptos Display" w:hint="default"/>
        <w:sz w:val="20"/>
      </w:rPr>
    </w:lvl>
    <w:lvl w:ilvl="6" w:tentative="1">
      <w:start w:val="1"/>
      <w:numFmt w:val="bullet"/>
      <w:lvlText w:val=""/>
      <w:lvlJc w:val="left"/>
      <w:pPr>
        <w:tabs>
          <w:tab w:val="num" w:pos="5040"/>
        </w:tabs>
        <w:ind w:left="5040" w:hanging="360"/>
      </w:pPr>
      <w:rPr>
        <w:rFonts w:ascii="Aptos Display" w:hAnsi="Aptos Display" w:hint="default"/>
        <w:sz w:val="20"/>
      </w:rPr>
    </w:lvl>
    <w:lvl w:ilvl="7" w:tentative="1">
      <w:start w:val="1"/>
      <w:numFmt w:val="bullet"/>
      <w:lvlText w:val=""/>
      <w:lvlJc w:val="left"/>
      <w:pPr>
        <w:tabs>
          <w:tab w:val="num" w:pos="5760"/>
        </w:tabs>
        <w:ind w:left="5760" w:hanging="360"/>
      </w:pPr>
      <w:rPr>
        <w:rFonts w:ascii="Aptos Display" w:hAnsi="Aptos Display" w:hint="default"/>
        <w:sz w:val="20"/>
      </w:rPr>
    </w:lvl>
    <w:lvl w:ilvl="8" w:tentative="1">
      <w:start w:val="1"/>
      <w:numFmt w:val="bullet"/>
      <w:lvlText w:val=""/>
      <w:lvlJc w:val="left"/>
      <w:pPr>
        <w:tabs>
          <w:tab w:val="num" w:pos="6480"/>
        </w:tabs>
        <w:ind w:left="6480" w:hanging="360"/>
      </w:pPr>
      <w:rPr>
        <w:rFonts w:ascii="Aptos Display" w:hAnsi="Aptos Display" w:hint="default"/>
        <w:sz w:val="20"/>
      </w:rPr>
    </w:lvl>
  </w:abstractNum>
  <w:abstractNum w:abstractNumId="20">
    <w:nsid w:val="4D5501BE"/>
    <w:multiLevelType w:val="multilevel"/>
    <w:tmpl w:val="87B240D2"/>
    <w:lvl w:ilvl="0">
      <w:start w:val="1"/>
      <w:numFmt w:val="bullet"/>
      <w:lvlText w:val=""/>
      <w:lvlJc w:val="left"/>
      <w:pPr>
        <w:tabs>
          <w:tab w:val="num" w:pos="720"/>
        </w:tabs>
        <w:ind w:left="720" w:hanging="360"/>
      </w:pPr>
      <w:rPr>
        <w:rFonts w:ascii="Arial MT" w:hAnsi="Arial MT" w:hint="default"/>
        <w:sz w:val="20"/>
      </w:rPr>
    </w:lvl>
    <w:lvl w:ilvl="1" w:tentative="1">
      <w:start w:val="1"/>
      <w:numFmt w:val="bullet"/>
      <w:lvlText w:val="o"/>
      <w:lvlJc w:val="left"/>
      <w:pPr>
        <w:tabs>
          <w:tab w:val="num" w:pos="1440"/>
        </w:tabs>
        <w:ind w:left="1440" w:hanging="360"/>
      </w:pPr>
      <w:rPr>
        <w:rFonts w:ascii="Aptos" w:hAnsi="Aptos" w:hint="default"/>
        <w:sz w:val="20"/>
      </w:rPr>
    </w:lvl>
    <w:lvl w:ilvl="2" w:tentative="1">
      <w:start w:val="1"/>
      <w:numFmt w:val="bullet"/>
      <w:lvlText w:val=""/>
      <w:lvlJc w:val="left"/>
      <w:pPr>
        <w:tabs>
          <w:tab w:val="num" w:pos="2160"/>
        </w:tabs>
        <w:ind w:left="2160" w:hanging="360"/>
      </w:pPr>
      <w:rPr>
        <w:rFonts w:ascii="Aptos Display" w:hAnsi="Aptos Display" w:hint="default"/>
        <w:sz w:val="20"/>
      </w:rPr>
    </w:lvl>
    <w:lvl w:ilvl="3" w:tentative="1">
      <w:start w:val="1"/>
      <w:numFmt w:val="bullet"/>
      <w:lvlText w:val=""/>
      <w:lvlJc w:val="left"/>
      <w:pPr>
        <w:tabs>
          <w:tab w:val="num" w:pos="2880"/>
        </w:tabs>
        <w:ind w:left="2880" w:hanging="360"/>
      </w:pPr>
      <w:rPr>
        <w:rFonts w:ascii="Aptos Display" w:hAnsi="Aptos Display" w:hint="default"/>
        <w:sz w:val="20"/>
      </w:rPr>
    </w:lvl>
    <w:lvl w:ilvl="4" w:tentative="1">
      <w:start w:val="1"/>
      <w:numFmt w:val="bullet"/>
      <w:lvlText w:val=""/>
      <w:lvlJc w:val="left"/>
      <w:pPr>
        <w:tabs>
          <w:tab w:val="num" w:pos="3600"/>
        </w:tabs>
        <w:ind w:left="3600" w:hanging="360"/>
      </w:pPr>
      <w:rPr>
        <w:rFonts w:ascii="Aptos Display" w:hAnsi="Aptos Display" w:hint="default"/>
        <w:sz w:val="20"/>
      </w:rPr>
    </w:lvl>
    <w:lvl w:ilvl="5" w:tentative="1">
      <w:start w:val="1"/>
      <w:numFmt w:val="bullet"/>
      <w:lvlText w:val=""/>
      <w:lvlJc w:val="left"/>
      <w:pPr>
        <w:tabs>
          <w:tab w:val="num" w:pos="4320"/>
        </w:tabs>
        <w:ind w:left="4320" w:hanging="360"/>
      </w:pPr>
      <w:rPr>
        <w:rFonts w:ascii="Aptos Display" w:hAnsi="Aptos Display" w:hint="default"/>
        <w:sz w:val="20"/>
      </w:rPr>
    </w:lvl>
    <w:lvl w:ilvl="6" w:tentative="1">
      <w:start w:val="1"/>
      <w:numFmt w:val="bullet"/>
      <w:lvlText w:val=""/>
      <w:lvlJc w:val="left"/>
      <w:pPr>
        <w:tabs>
          <w:tab w:val="num" w:pos="5040"/>
        </w:tabs>
        <w:ind w:left="5040" w:hanging="360"/>
      </w:pPr>
      <w:rPr>
        <w:rFonts w:ascii="Aptos Display" w:hAnsi="Aptos Display" w:hint="default"/>
        <w:sz w:val="20"/>
      </w:rPr>
    </w:lvl>
    <w:lvl w:ilvl="7" w:tentative="1">
      <w:start w:val="1"/>
      <w:numFmt w:val="bullet"/>
      <w:lvlText w:val=""/>
      <w:lvlJc w:val="left"/>
      <w:pPr>
        <w:tabs>
          <w:tab w:val="num" w:pos="5760"/>
        </w:tabs>
        <w:ind w:left="5760" w:hanging="360"/>
      </w:pPr>
      <w:rPr>
        <w:rFonts w:ascii="Aptos Display" w:hAnsi="Aptos Display" w:hint="default"/>
        <w:sz w:val="20"/>
      </w:rPr>
    </w:lvl>
    <w:lvl w:ilvl="8" w:tentative="1">
      <w:start w:val="1"/>
      <w:numFmt w:val="bullet"/>
      <w:lvlText w:val=""/>
      <w:lvlJc w:val="left"/>
      <w:pPr>
        <w:tabs>
          <w:tab w:val="num" w:pos="6480"/>
        </w:tabs>
        <w:ind w:left="6480" w:hanging="360"/>
      </w:pPr>
      <w:rPr>
        <w:rFonts w:ascii="Aptos Display" w:hAnsi="Aptos Display" w:hint="default"/>
        <w:sz w:val="20"/>
      </w:rPr>
    </w:lvl>
  </w:abstractNum>
  <w:abstractNum w:abstractNumId="21">
    <w:nsid w:val="5E52381B"/>
    <w:multiLevelType w:val="hybridMultilevel"/>
    <w:tmpl w:val="23C6D640"/>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22">
    <w:nsid w:val="63963480"/>
    <w:multiLevelType w:val="hybridMultilevel"/>
    <w:tmpl w:val="A8D0A5C6"/>
    <w:lvl w:ilvl="0" w:tplc="04090001">
      <w:start w:val="1"/>
      <w:numFmt w:val="bullet"/>
      <w:lvlText w:val=""/>
      <w:lvlJc w:val="left"/>
      <w:pPr>
        <w:ind w:left="720" w:hanging="360"/>
      </w:pPr>
      <w:rPr>
        <w:rFonts w:ascii="Arial MT" w:hAnsi="Arial MT"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23">
    <w:nsid w:val="63BD0594"/>
    <w:multiLevelType w:val="hybridMultilevel"/>
    <w:tmpl w:val="544AF5B2"/>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6982FA5"/>
    <w:multiLevelType w:val="hybridMultilevel"/>
    <w:tmpl w:val="2AAC8D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9163345"/>
    <w:multiLevelType w:val="multilevel"/>
    <w:tmpl w:val="1EDAF0A8"/>
    <w:lvl w:ilvl="0">
      <w:start w:val="1"/>
      <w:numFmt w:val="bullet"/>
      <w:lvlText w:val=""/>
      <w:lvlJc w:val="left"/>
      <w:pPr>
        <w:tabs>
          <w:tab w:val="num" w:pos="720"/>
        </w:tabs>
        <w:ind w:left="720" w:hanging="360"/>
      </w:pPr>
      <w:rPr>
        <w:rFonts w:ascii="Arial MT" w:hAnsi="Arial MT" w:hint="default"/>
        <w:sz w:val="20"/>
      </w:rPr>
    </w:lvl>
    <w:lvl w:ilvl="1" w:tentative="1">
      <w:start w:val="1"/>
      <w:numFmt w:val="bullet"/>
      <w:lvlText w:val="o"/>
      <w:lvlJc w:val="left"/>
      <w:pPr>
        <w:tabs>
          <w:tab w:val="num" w:pos="1440"/>
        </w:tabs>
        <w:ind w:left="1440" w:hanging="360"/>
      </w:pPr>
      <w:rPr>
        <w:rFonts w:ascii="Aptos" w:hAnsi="Aptos" w:hint="default"/>
        <w:sz w:val="20"/>
      </w:rPr>
    </w:lvl>
    <w:lvl w:ilvl="2" w:tentative="1">
      <w:start w:val="1"/>
      <w:numFmt w:val="bullet"/>
      <w:lvlText w:val=""/>
      <w:lvlJc w:val="left"/>
      <w:pPr>
        <w:tabs>
          <w:tab w:val="num" w:pos="2160"/>
        </w:tabs>
        <w:ind w:left="2160" w:hanging="360"/>
      </w:pPr>
      <w:rPr>
        <w:rFonts w:ascii="Aptos Display" w:hAnsi="Aptos Display" w:hint="default"/>
        <w:sz w:val="20"/>
      </w:rPr>
    </w:lvl>
    <w:lvl w:ilvl="3" w:tentative="1">
      <w:start w:val="1"/>
      <w:numFmt w:val="bullet"/>
      <w:lvlText w:val=""/>
      <w:lvlJc w:val="left"/>
      <w:pPr>
        <w:tabs>
          <w:tab w:val="num" w:pos="2880"/>
        </w:tabs>
        <w:ind w:left="2880" w:hanging="360"/>
      </w:pPr>
      <w:rPr>
        <w:rFonts w:ascii="Aptos Display" w:hAnsi="Aptos Display" w:hint="default"/>
        <w:sz w:val="20"/>
      </w:rPr>
    </w:lvl>
    <w:lvl w:ilvl="4" w:tentative="1">
      <w:start w:val="1"/>
      <w:numFmt w:val="bullet"/>
      <w:lvlText w:val=""/>
      <w:lvlJc w:val="left"/>
      <w:pPr>
        <w:tabs>
          <w:tab w:val="num" w:pos="3600"/>
        </w:tabs>
        <w:ind w:left="3600" w:hanging="360"/>
      </w:pPr>
      <w:rPr>
        <w:rFonts w:ascii="Aptos Display" w:hAnsi="Aptos Display" w:hint="default"/>
        <w:sz w:val="20"/>
      </w:rPr>
    </w:lvl>
    <w:lvl w:ilvl="5" w:tentative="1">
      <w:start w:val="1"/>
      <w:numFmt w:val="bullet"/>
      <w:lvlText w:val=""/>
      <w:lvlJc w:val="left"/>
      <w:pPr>
        <w:tabs>
          <w:tab w:val="num" w:pos="4320"/>
        </w:tabs>
        <w:ind w:left="4320" w:hanging="360"/>
      </w:pPr>
      <w:rPr>
        <w:rFonts w:ascii="Aptos Display" w:hAnsi="Aptos Display" w:hint="default"/>
        <w:sz w:val="20"/>
      </w:rPr>
    </w:lvl>
    <w:lvl w:ilvl="6" w:tentative="1">
      <w:start w:val="1"/>
      <w:numFmt w:val="bullet"/>
      <w:lvlText w:val=""/>
      <w:lvlJc w:val="left"/>
      <w:pPr>
        <w:tabs>
          <w:tab w:val="num" w:pos="5040"/>
        </w:tabs>
        <w:ind w:left="5040" w:hanging="360"/>
      </w:pPr>
      <w:rPr>
        <w:rFonts w:ascii="Aptos Display" w:hAnsi="Aptos Display" w:hint="default"/>
        <w:sz w:val="20"/>
      </w:rPr>
    </w:lvl>
    <w:lvl w:ilvl="7" w:tentative="1">
      <w:start w:val="1"/>
      <w:numFmt w:val="bullet"/>
      <w:lvlText w:val=""/>
      <w:lvlJc w:val="left"/>
      <w:pPr>
        <w:tabs>
          <w:tab w:val="num" w:pos="5760"/>
        </w:tabs>
        <w:ind w:left="5760" w:hanging="360"/>
      </w:pPr>
      <w:rPr>
        <w:rFonts w:ascii="Aptos Display" w:hAnsi="Aptos Display" w:hint="default"/>
        <w:sz w:val="20"/>
      </w:rPr>
    </w:lvl>
    <w:lvl w:ilvl="8" w:tentative="1">
      <w:start w:val="1"/>
      <w:numFmt w:val="bullet"/>
      <w:lvlText w:val=""/>
      <w:lvlJc w:val="left"/>
      <w:pPr>
        <w:tabs>
          <w:tab w:val="num" w:pos="6480"/>
        </w:tabs>
        <w:ind w:left="6480" w:hanging="360"/>
      </w:pPr>
      <w:rPr>
        <w:rFonts w:ascii="Aptos Display" w:hAnsi="Aptos Display" w:hint="default"/>
        <w:sz w:val="20"/>
      </w:rPr>
    </w:lvl>
  </w:abstractNum>
  <w:abstractNum w:abstractNumId="26">
    <w:nsid w:val="6A034652"/>
    <w:multiLevelType w:val="hybridMultilevel"/>
    <w:tmpl w:val="F6B0792C"/>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abstractNum w:abstractNumId="27">
    <w:nsid w:val="6A9227B1"/>
    <w:multiLevelType w:val="multilevel"/>
    <w:tmpl w:val="DA50BE48"/>
    <w:lvl w:ilvl="0">
      <w:start w:val="1"/>
      <w:numFmt w:val="bullet"/>
      <w:lvlText w:val=""/>
      <w:lvlJc w:val="left"/>
      <w:pPr>
        <w:tabs>
          <w:tab w:val="num" w:pos="720"/>
        </w:tabs>
        <w:ind w:left="720" w:hanging="360"/>
      </w:pPr>
      <w:rPr>
        <w:rFonts w:ascii="Arial MT" w:hAnsi="Arial MT" w:hint="default"/>
        <w:sz w:val="20"/>
      </w:rPr>
    </w:lvl>
    <w:lvl w:ilvl="1" w:tentative="1">
      <w:start w:val="1"/>
      <w:numFmt w:val="bullet"/>
      <w:lvlText w:val="o"/>
      <w:lvlJc w:val="left"/>
      <w:pPr>
        <w:tabs>
          <w:tab w:val="num" w:pos="1440"/>
        </w:tabs>
        <w:ind w:left="1440" w:hanging="360"/>
      </w:pPr>
      <w:rPr>
        <w:rFonts w:ascii="Aptos" w:hAnsi="Aptos" w:hint="default"/>
        <w:sz w:val="20"/>
      </w:rPr>
    </w:lvl>
    <w:lvl w:ilvl="2" w:tentative="1">
      <w:start w:val="1"/>
      <w:numFmt w:val="bullet"/>
      <w:lvlText w:val=""/>
      <w:lvlJc w:val="left"/>
      <w:pPr>
        <w:tabs>
          <w:tab w:val="num" w:pos="2160"/>
        </w:tabs>
        <w:ind w:left="2160" w:hanging="360"/>
      </w:pPr>
      <w:rPr>
        <w:rFonts w:ascii="Aptos Display" w:hAnsi="Aptos Display" w:hint="default"/>
        <w:sz w:val="20"/>
      </w:rPr>
    </w:lvl>
    <w:lvl w:ilvl="3" w:tentative="1">
      <w:start w:val="1"/>
      <w:numFmt w:val="bullet"/>
      <w:lvlText w:val=""/>
      <w:lvlJc w:val="left"/>
      <w:pPr>
        <w:tabs>
          <w:tab w:val="num" w:pos="2880"/>
        </w:tabs>
        <w:ind w:left="2880" w:hanging="360"/>
      </w:pPr>
      <w:rPr>
        <w:rFonts w:ascii="Aptos Display" w:hAnsi="Aptos Display" w:hint="default"/>
        <w:sz w:val="20"/>
      </w:rPr>
    </w:lvl>
    <w:lvl w:ilvl="4" w:tentative="1">
      <w:start w:val="1"/>
      <w:numFmt w:val="bullet"/>
      <w:lvlText w:val=""/>
      <w:lvlJc w:val="left"/>
      <w:pPr>
        <w:tabs>
          <w:tab w:val="num" w:pos="3600"/>
        </w:tabs>
        <w:ind w:left="3600" w:hanging="360"/>
      </w:pPr>
      <w:rPr>
        <w:rFonts w:ascii="Aptos Display" w:hAnsi="Aptos Display" w:hint="default"/>
        <w:sz w:val="20"/>
      </w:rPr>
    </w:lvl>
    <w:lvl w:ilvl="5" w:tentative="1">
      <w:start w:val="1"/>
      <w:numFmt w:val="bullet"/>
      <w:lvlText w:val=""/>
      <w:lvlJc w:val="left"/>
      <w:pPr>
        <w:tabs>
          <w:tab w:val="num" w:pos="4320"/>
        </w:tabs>
        <w:ind w:left="4320" w:hanging="360"/>
      </w:pPr>
      <w:rPr>
        <w:rFonts w:ascii="Aptos Display" w:hAnsi="Aptos Display" w:hint="default"/>
        <w:sz w:val="20"/>
      </w:rPr>
    </w:lvl>
    <w:lvl w:ilvl="6" w:tentative="1">
      <w:start w:val="1"/>
      <w:numFmt w:val="bullet"/>
      <w:lvlText w:val=""/>
      <w:lvlJc w:val="left"/>
      <w:pPr>
        <w:tabs>
          <w:tab w:val="num" w:pos="5040"/>
        </w:tabs>
        <w:ind w:left="5040" w:hanging="360"/>
      </w:pPr>
      <w:rPr>
        <w:rFonts w:ascii="Aptos Display" w:hAnsi="Aptos Display" w:hint="default"/>
        <w:sz w:val="20"/>
      </w:rPr>
    </w:lvl>
    <w:lvl w:ilvl="7" w:tentative="1">
      <w:start w:val="1"/>
      <w:numFmt w:val="bullet"/>
      <w:lvlText w:val=""/>
      <w:lvlJc w:val="left"/>
      <w:pPr>
        <w:tabs>
          <w:tab w:val="num" w:pos="5760"/>
        </w:tabs>
        <w:ind w:left="5760" w:hanging="360"/>
      </w:pPr>
      <w:rPr>
        <w:rFonts w:ascii="Aptos Display" w:hAnsi="Aptos Display" w:hint="default"/>
        <w:sz w:val="20"/>
      </w:rPr>
    </w:lvl>
    <w:lvl w:ilvl="8" w:tentative="1">
      <w:start w:val="1"/>
      <w:numFmt w:val="bullet"/>
      <w:lvlText w:val=""/>
      <w:lvlJc w:val="left"/>
      <w:pPr>
        <w:tabs>
          <w:tab w:val="num" w:pos="6480"/>
        </w:tabs>
        <w:ind w:left="6480" w:hanging="360"/>
      </w:pPr>
      <w:rPr>
        <w:rFonts w:ascii="Aptos Display" w:hAnsi="Aptos Display" w:hint="default"/>
        <w:sz w:val="20"/>
      </w:rPr>
    </w:lvl>
  </w:abstractNum>
  <w:abstractNum w:abstractNumId="28">
    <w:nsid w:val="6CA258C7"/>
    <w:multiLevelType w:val="hybridMultilevel"/>
    <w:tmpl w:val="3A868E5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71342CBA"/>
    <w:multiLevelType w:val="hybridMultilevel"/>
    <w:tmpl w:val="4AAC2A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5771BCF"/>
    <w:multiLevelType w:val="hybridMultilevel"/>
    <w:tmpl w:val="08EE126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5BA3020"/>
    <w:multiLevelType w:val="hybridMultilevel"/>
    <w:tmpl w:val="F50EE04C"/>
    <w:lvl w:ilvl="0" w:tplc="C922DA4A">
      <w:start w:val="1"/>
      <w:numFmt w:val="decimal"/>
      <w:lvlText w:val="%1-"/>
      <w:lvlJc w:val="left"/>
      <w:pPr>
        <w:ind w:left="720" w:hanging="360"/>
      </w:pPr>
      <w:rPr>
        <w:rFonts w:ascii="Wingdings" w:hAnsi="Wingdings" w:cs="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8692C09"/>
    <w:multiLevelType w:val="hybridMultilevel"/>
    <w:tmpl w:val="27680B8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B56578A"/>
    <w:multiLevelType w:val="hybridMultilevel"/>
    <w:tmpl w:val="0DB069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D4D54B6"/>
    <w:multiLevelType w:val="hybridMultilevel"/>
    <w:tmpl w:val="25BAB27E"/>
    <w:lvl w:ilvl="0" w:tplc="04090005">
      <w:start w:val="1"/>
      <w:numFmt w:val="bullet"/>
      <w:lvlText w:val=""/>
      <w:lvlJc w:val="left"/>
      <w:pPr>
        <w:ind w:left="720" w:hanging="360"/>
      </w:pPr>
      <w:rPr>
        <w:rFonts w:ascii="Aptos Display" w:hAnsi="Aptos Display" w:hint="default"/>
      </w:rPr>
    </w:lvl>
    <w:lvl w:ilvl="1" w:tplc="04090003" w:tentative="1">
      <w:start w:val="1"/>
      <w:numFmt w:val="bullet"/>
      <w:lvlText w:val="o"/>
      <w:lvlJc w:val="left"/>
      <w:pPr>
        <w:ind w:left="1440" w:hanging="360"/>
      </w:pPr>
      <w:rPr>
        <w:rFonts w:ascii="Aptos" w:hAnsi="Aptos" w:cs="Aptos" w:hint="default"/>
      </w:rPr>
    </w:lvl>
    <w:lvl w:ilvl="2" w:tplc="04090005" w:tentative="1">
      <w:start w:val="1"/>
      <w:numFmt w:val="bullet"/>
      <w:lvlText w:val=""/>
      <w:lvlJc w:val="left"/>
      <w:pPr>
        <w:ind w:left="2160" w:hanging="360"/>
      </w:pPr>
      <w:rPr>
        <w:rFonts w:ascii="Aptos Display" w:hAnsi="Aptos Display" w:hint="default"/>
      </w:rPr>
    </w:lvl>
    <w:lvl w:ilvl="3" w:tplc="04090001" w:tentative="1">
      <w:start w:val="1"/>
      <w:numFmt w:val="bullet"/>
      <w:lvlText w:val=""/>
      <w:lvlJc w:val="left"/>
      <w:pPr>
        <w:ind w:left="2880" w:hanging="360"/>
      </w:pPr>
      <w:rPr>
        <w:rFonts w:ascii="Arial MT" w:hAnsi="Arial MT" w:hint="default"/>
      </w:rPr>
    </w:lvl>
    <w:lvl w:ilvl="4" w:tplc="04090003" w:tentative="1">
      <w:start w:val="1"/>
      <w:numFmt w:val="bullet"/>
      <w:lvlText w:val="o"/>
      <w:lvlJc w:val="left"/>
      <w:pPr>
        <w:ind w:left="3600" w:hanging="360"/>
      </w:pPr>
      <w:rPr>
        <w:rFonts w:ascii="Aptos" w:hAnsi="Aptos" w:cs="Aptos" w:hint="default"/>
      </w:rPr>
    </w:lvl>
    <w:lvl w:ilvl="5" w:tplc="04090005" w:tentative="1">
      <w:start w:val="1"/>
      <w:numFmt w:val="bullet"/>
      <w:lvlText w:val=""/>
      <w:lvlJc w:val="left"/>
      <w:pPr>
        <w:ind w:left="4320" w:hanging="360"/>
      </w:pPr>
      <w:rPr>
        <w:rFonts w:ascii="Aptos Display" w:hAnsi="Aptos Display" w:hint="default"/>
      </w:rPr>
    </w:lvl>
    <w:lvl w:ilvl="6" w:tplc="04090001" w:tentative="1">
      <w:start w:val="1"/>
      <w:numFmt w:val="bullet"/>
      <w:lvlText w:val=""/>
      <w:lvlJc w:val="left"/>
      <w:pPr>
        <w:ind w:left="5040" w:hanging="360"/>
      </w:pPr>
      <w:rPr>
        <w:rFonts w:ascii="Arial MT" w:hAnsi="Arial MT" w:hint="default"/>
      </w:rPr>
    </w:lvl>
    <w:lvl w:ilvl="7" w:tplc="04090003" w:tentative="1">
      <w:start w:val="1"/>
      <w:numFmt w:val="bullet"/>
      <w:lvlText w:val="o"/>
      <w:lvlJc w:val="left"/>
      <w:pPr>
        <w:ind w:left="5760" w:hanging="360"/>
      </w:pPr>
      <w:rPr>
        <w:rFonts w:ascii="Aptos" w:hAnsi="Aptos" w:cs="Aptos" w:hint="default"/>
      </w:rPr>
    </w:lvl>
    <w:lvl w:ilvl="8" w:tplc="04090005" w:tentative="1">
      <w:start w:val="1"/>
      <w:numFmt w:val="bullet"/>
      <w:lvlText w:val=""/>
      <w:lvlJc w:val="left"/>
      <w:pPr>
        <w:ind w:left="6480" w:hanging="360"/>
      </w:pPr>
      <w:rPr>
        <w:rFonts w:ascii="Aptos Display" w:hAnsi="Aptos Display" w:hint="default"/>
      </w:rPr>
    </w:lvl>
  </w:abstractNum>
  <w:num w:numId="1">
    <w:abstractNumId w:val="16"/>
  </w:num>
  <w:num w:numId="2">
    <w:abstractNumId w:val="10"/>
  </w:num>
  <w:num w:numId="3">
    <w:abstractNumId w:val="5"/>
  </w:num>
  <w:num w:numId="4">
    <w:abstractNumId w:val="2"/>
  </w:num>
  <w:num w:numId="5">
    <w:abstractNumId w:val="21"/>
  </w:num>
  <w:num w:numId="6">
    <w:abstractNumId w:val="14"/>
  </w:num>
  <w:num w:numId="7">
    <w:abstractNumId w:val="8"/>
  </w:num>
  <w:num w:numId="8">
    <w:abstractNumId w:val="11"/>
  </w:num>
  <w:num w:numId="9">
    <w:abstractNumId w:val="12"/>
  </w:num>
  <w:num w:numId="10">
    <w:abstractNumId w:val="33"/>
  </w:num>
  <w:num w:numId="11">
    <w:abstractNumId w:val="29"/>
  </w:num>
  <w:num w:numId="12">
    <w:abstractNumId w:val="17"/>
  </w:num>
  <w:num w:numId="13">
    <w:abstractNumId w:val="31"/>
  </w:num>
  <w:num w:numId="14">
    <w:abstractNumId w:val="18"/>
  </w:num>
  <w:num w:numId="15">
    <w:abstractNumId w:val="7"/>
  </w:num>
  <w:num w:numId="16">
    <w:abstractNumId w:val="9"/>
  </w:num>
  <w:num w:numId="17">
    <w:abstractNumId w:val="30"/>
  </w:num>
  <w:num w:numId="18">
    <w:abstractNumId w:val="6"/>
  </w:num>
  <w:num w:numId="19">
    <w:abstractNumId w:val="25"/>
  </w:num>
  <w:num w:numId="20">
    <w:abstractNumId w:val="13"/>
  </w:num>
  <w:num w:numId="21">
    <w:abstractNumId w:val="0"/>
  </w:num>
  <w:num w:numId="22">
    <w:abstractNumId w:val="19"/>
  </w:num>
  <w:num w:numId="23">
    <w:abstractNumId w:val="20"/>
  </w:num>
  <w:num w:numId="24">
    <w:abstractNumId w:val="27"/>
  </w:num>
  <w:num w:numId="25">
    <w:abstractNumId w:val="26"/>
  </w:num>
  <w:num w:numId="26">
    <w:abstractNumId w:val="1"/>
  </w:num>
  <w:num w:numId="27">
    <w:abstractNumId w:val="22"/>
  </w:num>
  <w:num w:numId="28">
    <w:abstractNumId w:val="15"/>
  </w:num>
  <w:num w:numId="29">
    <w:abstractNumId w:val="34"/>
  </w:num>
  <w:num w:numId="30">
    <w:abstractNumId w:val="23"/>
  </w:num>
  <w:num w:numId="31">
    <w:abstractNumId w:val="3"/>
  </w:num>
  <w:num w:numId="32">
    <w:abstractNumId w:val="28"/>
  </w:num>
  <w:num w:numId="33">
    <w:abstractNumId w:val="32"/>
  </w:num>
  <w:num w:numId="34">
    <w:abstractNumId w:val="4"/>
  </w:num>
  <w:num w:numId="3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E059E"/>
    <w:rsid w:val="0000170D"/>
    <w:rsid w:val="00002DAA"/>
    <w:rsid w:val="0000424D"/>
    <w:rsid w:val="00010980"/>
    <w:rsid w:val="00011356"/>
    <w:rsid w:val="000134C9"/>
    <w:rsid w:val="00015524"/>
    <w:rsid w:val="00015E49"/>
    <w:rsid w:val="000174A0"/>
    <w:rsid w:val="00017EEA"/>
    <w:rsid w:val="00021FDF"/>
    <w:rsid w:val="000245BE"/>
    <w:rsid w:val="0002489D"/>
    <w:rsid w:val="000276C2"/>
    <w:rsid w:val="000278F6"/>
    <w:rsid w:val="00030F00"/>
    <w:rsid w:val="00037477"/>
    <w:rsid w:val="0004200B"/>
    <w:rsid w:val="00043842"/>
    <w:rsid w:val="000501EB"/>
    <w:rsid w:val="00050AE8"/>
    <w:rsid w:val="00061DB7"/>
    <w:rsid w:val="000657E5"/>
    <w:rsid w:val="00075783"/>
    <w:rsid w:val="000760A8"/>
    <w:rsid w:val="000764CD"/>
    <w:rsid w:val="00084595"/>
    <w:rsid w:val="00084A6F"/>
    <w:rsid w:val="000874BA"/>
    <w:rsid w:val="00091CD4"/>
    <w:rsid w:val="00094DA4"/>
    <w:rsid w:val="000A456F"/>
    <w:rsid w:val="000A594B"/>
    <w:rsid w:val="000A6C3D"/>
    <w:rsid w:val="000A7254"/>
    <w:rsid w:val="000B143D"/>
    <w:rsid w:val="000B5FAA"/>
    <w:rsid w:val="000C1234"/>
    <w:rsid w:val="000C19E3"/>
    <w:rsid w:val="000C1AFD"/>
    <w:rsid w:val="000C7A10"/>
    <w:rsid w:val="000E059E"/>
    <w:rsid w:val="000E0D03"/>
    <w:rsid w:val="000F0BC5"/>
    <w:rsid w:val="000F3A98"/>
    <w:rsid w:val="000F4E26"/>
    <w:rsid w:val="000F7689"/>
    <w:rsid w:val="00103F36"/>
    <w:rsid w:val="001041C8"/>
    <w:rsid w:val="00105350"/>
    <w:rsid w:val="001112E7"/>
    <w:rsid w:val="001118D4"/>
    <w:rsid w:val="00111D2F"/>
    <w:rsid w:val="00113283"/>
    <w:rsid w:val="00114BF8"/>
    <w:rsid w:val="00121D19"/>
    <w:rsid w:val="00126D6D"/>
    <w:rsid w:val="00127C33"/>
    <w:rsid w:val="00132A83"/>
    <w:rsid w:val="001362A5"/>
    <w:rsid w:val="001405E1"/>
    <w:rsid w:val="00144434"/>
    <w:rsid w:val="001470A0"/>
    <w:rsid w:val="00155B8E"/>
    <w:rsid w:val="0016364A"/>
    <w:rsid w:val="0017140F"/>
    <w:rsid w:val="00174D87"/>
    <w:rsid w:val="00181DD9"/>
    <w:rsid w:val="00183B95"/>
    <w:rsid w:val="00190FD6"/>
    <w:rsid w:val="001A3FB9"/>
    <w:rsid w:val="001B19A1"/>
    <w:rsid w:val="001C05FD"/>
    <w:rsid w:val="001C361B"/>
    <w:rsid w:val="001C58A7"/>
    <w:rsid w:val="001C72DC"/>
    <w:rsid w:val="001D11F4"/>
    <w:rsid w:val="001D4661"/>
    <w:rsid w:val="001E0315"/>
    <w:rsid w:val="001F2689"/>
    <w:rsid w:val="00200004"/>
    <w:rsid w:val="00200847"/>
    <w:rsid w:val="00201754"/>
    <w:rsid w:val="00203959"/>
    <w:rsid w:val="00203FC1"/>
    <w:rsid w:val="002101B0"/>
    <w:rsid w:val="002103BD"/>
    <w:rsid w:val="00217273"/>
    <w:rsid w:val="002178B1"/>
    <w:rsid w:val="002203E3"/>
    <w:rsid w:val="0022082D"/>
    <w:rsid w:val="00227096"/>
    <w:rsid w:val="00227E8B"/>
    <w:rsid w:val="002310FB"/>
    <w:rsid w:val="002313E5"/>
    <w:rsid w:val="002463E8"/>
    <w:rsid w:val="002508C3"/>
    <w:rsid w:val="0025145E"/>
    <w:rsid w:val="002528F8"/>
    <w:rsid w:val="00256F4E"/>
    <w:rsid w:val="00263499"/>
    <w:rsid w:val="00270B4D"/>
    <w:rsid w:val="002758FC"/>
    <w:rsid w:val="002801D6"/>
    <w:rsid w:val="00295810"/>
    <w:rsid w:val="00297940"/>
    <w:rsid w:val="00297D2A"/>
    <w:rsid w:val="002A131D"/>
    <w:rsid w:val="002A45C3"/>
    <w:rsid w:val="002A4B96"/>
    <w:rsid w:val="002B0EB4"/>
    <w:rsid w:val="002C2400"/>
    <w:rsid w:val="002C4AAB"/>
    <w:rsid w:val="002D20E5"/>
    <w:rsid w:val="002D26D8"/>
    <w:rsid w:val="003000C7"/>
    <w:rsid w:val="00303029"/>
    <w:rsid w:val="00311673"/>
    <w:rsid w:val="00312600"/>
    <w:rsid w:val="00312842"/>
    <w:rsid w:val="00312855"/>
    <w:rsid w:val="00313BBD"/>
    <w:rsid w:val="00315958"/>
    <w:rsid w:val="00317C04"/>
    <w:rsid w:val="00333812"/>
    <w:rsid w:val="003353D4"/>
    <w:rsid w:val="0034068C"/>
    <w:rsid w:val="00340EB4"/>
    <w:rsid w:val="00345E44"/>
    <w:rsid w:val="003460DB"/>
    <w:rsid w:val="003546DD"/>
    <w:rsid w:val="003553B9"/>
    <w:rsid w:val="0036559D"/>
    <w:rsid w:val="003756E6"/>
    <w:rsid w:val="00380132"/>
    <w:rsid w:val="00383215"/>
    <w:rsid w:val="00391774"/>
    <w:rsid w:val="00397123"/>
    <w:rsid w:val="003A4A1E"/>
    <w:rsid w:val="003A7897"/>
    <w:rsid w:val="003B03E1"/>
    <w:rsid w:val="003B2560"/>
    <w:rsid w:val="003B309E"/>
    <w:rsid w:val="003C2D2A"/>
    <w:rsid w:val="003C4EB7"/>
    <w:rsid w:val="003C6957"/>
    <w:rsid w:val="003E237C"/>
    <w:rsid w:val="003E363C"/>
    <w:rsid w:val="003E5DA5"/>
    <w:rsid w:val="003E623A"/>
    <w:rsid w:val="003F6F8F"/>
    <w:rsid w:val="00400A43"/>
    <w:rsid w:val="00400A5F"/>
    <w:rsid w:val="00401A9F"/>
    <w:rsid w:val="00402015"/>
    <w:rsid w:val="004037C0"/>
    <w:rsid w:val="00405E9A"/>
    <w:rsid w:val="00410315"/>
    <w:rsid w:val="0041279B"/>
    <w:rsid w:val="00416732"/>
    <w:rsid w:val="00422E4C"/>
    <w:rsid w:val="004255BA"/>
    <w:rsid w:val="004269AF"/>
    <w:rsid w:val="00430B6E"/>
    <w:rsid w:val="00434750"/>
    <w:rsid w:val="00446E25"/>
    <w:rsid w:val="00450FC2"/>
    <w:rsid w:val="004526D2"/>
    <w:rsid w:val="00452CBE"/>
    <w:rsid w:val="004604A1"/>
    <w:rsid w:val="00461519"/>
    <w:rsid w:val="004638D9"/>
    <w:rsid w:val="0046620F"/>
    <w:rsid w:val="00467C3D"/>
    <w:rsid w:val="0047047B"/>
    <w:rsid w:val="00481A5A"/>
    <w:rsid w:val="004843FF"/>
    <w:rsid w:val="0048642A"/>
    <w:rsid w:val="00492E84"/>
    <w:rsid w:val="00493650"/>
    <w:rsid w:val="00494D80"/>
    <w:rsid w:val="00495DB5"/>
    <w:rsid w:val="00495FB7"/>
    <w:rsid w:val="004A1DB2"/>
    <w:rsid w:val="004A5805"/>
    <w:rsid w:val="004A6374"/>
    <w:rsid w:val="004B029D"/>
    <w:rsid w:val="004B2468"/>
    <w:rsid w:val="004B43E4"/>
    <w:rsid w:val="004B55A3"/>
    <w:rsid w:val="004C01CE"/>
    <w:rsid w:val="004C609E"/>
    <w:rsid w:val="004C71AB"/>
    <w:rsid w:val="004C7208"/>
    <w:rsid w:val="004D2FA0"/>
    <w:rsid w:val="004D7160"/>
    <w:rsid w:val="004E6FBD"/>
    <w:rsid w:val="004F17EB"/>
    <w:rsid w:val="004F2021"/>
    <w:rsid w:val="004F36A9"/>
    <w:rsid w:val="004F4748"/>
    <w:rsid w:val="004F5B64"/>
    <w:rsid w:val="00501912"/>
    <w:rsid w:val="005069F0"/>
    <w:rsid w:val="00511D38"/>
    <w:rsid w:val="00514691"/>
    <w:rsid w:val="00524BA8"/>
    <w:rsid w:val="005347F1"/>
    <w:rsid w:val="00546283"/>
    <w:rsid w:val="00550ACD"/>
    <w:rsid w:val="005519A7"/>
    <w:rsid w:val="00552275"/>
    <w:rsid w:val="005576A0"/>
    <w:rsid w:val="00560BFE"/>
    <w:rsid w:val="005620A0"/>
    <w:rsid w:val="00562C8D"/>
    <w:rsid w:val="00562FC9"/>
    <w:rsid w:val="00565490"/>
    <w:rsid w:val="00566B9A"/>
    <w:rsid w:val="00574F5E"/>
    <w:rsid w:val="00585851"/>
    <w:rsid w:val="00593804"/>
    <w:rsid w:val="005941E8"/>
    <w:rsid w:val="00594364"/>
    <w:rsid w:val="00594410"/>
    <w:rsid w:val="005A0C83"/>
    <w:rsid w:val="005A1D9C"/>
    <w:rsid w:val="005A4B2A"/>
    <w:rsid w:val="005B2E23"/>
    <w:rsid w:val="005B32B5"/>
    <w:rsid w:val="005B36A5"/>
    <w:rsid w:val="005C1F8E"/>
    <w:rsid w:val="005C44EB"/>
    <w:rsid w:val="005D0242"/>
    <w:rsid w:val="005D1B92"/>
    <w:rsid w:val="005D4909"/>
    <w:rsid w:val="005D52CE"/>
    <w:rsid w:val="005D75ED"/>
    <w:rsid w:val="005E035B"/>
    <w:rsid w:val="005F1E16"/>
    <w:rsid w:val="005F23E3"/>
    <w:rsid w:val="005F25BB"/>
    <w:rsid w:val="005F339D"/>
    <w:rsid w:val="006009E0"/>
    <w:rsid w:val="00600FD3"/>
    <w:rsid w:val="00610F2A"/>
    <w:rsid w:val="00613164"/>
    <w:rsid w:val="00613F99"/>
    <w:rsid w:val="00615A60"/>
    <w:rsid w:val="00620109"/>
    <w:rsid w:val="006220BB"/>
    <w:rsid w:val="00625553"/>
    <w:rsid w:val="00626A9E"/>
    <w:rsid w:val="006276C1"/>
    <w:rsid w:val="00631003"/>
    <w:rsid w:val="0063622C"/>
    <w:rsid w:val="00643CC7"/>
    <w:rsid w:val="0064415E"/>
    <w:rsid w:val="006447B8"/>
    <w:rsid w:val="006515B4"/>
    <w:rsid w:val="00662C8B"/>
    <w:rsid w:val="00680C3A"/>
    <w:rsid w:val="00680D15"/>
    <w:rsid w:val="00683E27"/>
    <w:rsid w:val="00692DBA"/>
    <w:rsid w:val="00693E0B"/>
    <w:rsid w:val="006953C7"/>
    <w:rsid w:val="00696C1F"/>
    <w:rsid w:val="006A68AC"/>
    <w:rsid w:val="006B63F7"/>
    <w:rsid w:val="006B64EE"/>
    <w:rsid w:val="006C2663"/>
    <w:rsid w:val="006C52FA"/>
    <w:rsid w:val="006C5E1A"/>
    <w:rsid w:val="006C6E13"/>
    <w:rsid w:val="006D61AD"/>
    <w:rsid w:val="006D7630"/>
    <w:rsid w:val="006D7745"/>
    <w:rsid w:val="006E0EB2"/>
    <w:rsid w:val="006E17C7"/>
    <w:rsid w:val="006E4DDB"/>
    <w:rsid w:val="006E5D39"/>
    <w:rsid w:val="006E5E9B"/>
    <w:rsid w:val="006E731E"/>
    <w:rsid w:val="006F1097"/>
    <w:rsid w:val="006F188F"/>
    <w:rsid w:val="006F6389"/>
    <w:rsid w:val="007002C6"/>
    <w:rsid w:val="00700B49"/>
    <w:rsid w:val="007051C1"/>
    <w:rsid w:val="00705AF8"/>
    <w:rsid w:val="0071644F"/>
    <w:rsid w:val="00716C09"/>
    <w:rsid w:val="00720FFE"/>
    <w:rsid w:val="00722A76"/>
    <w:rsid w:val="007251CD"/>
    <w:rsid w:val="007314F6"/>
    <w:rsid w:val="00733AFF"/>
    <w:rsid w:val="007350E9"/>
    <w:rsid w:val="00737091"/>
    <w:rsid w:val="00744A56"/>
    <w:rsid w:val="00746223"/>
    <w:rsid w:val="00747EC8"/>
    <w:rsid w:val="00752D36"/>
    <w:rsid w:val="00760790"/>
    <w:rsid w:val="00764E34"/>
    <w:rsid w:val="00765498"/>
    <w:rsid w:val="007675AA"/>
    <w:rsid w:val="00772302"/>
    <w:rsid w:val="00772A3F"/>
    <w:rsid w:val="00772FAB"/>
    <w:rsid w:val="00775CAB"/>
    <w:rsid w:val="00775F7D"/>
    <w:rsid w:val="0077600F"/>
    <w:rsid w:val="0077651D"/>
    <w:rsid w:val="007825F6"/>
    <w:rsid w:val="007878E3"/>
    <w:rsid w:val="007944BC"/>
    <w:rsid w:val="00794557"/>
    <w:rsid w:val="00797D37"/>
    <w:rsid w:val="007A0FDD"/>
    <w:rsid w:val="007A5C68"/>
    <w:rsid w:val="007A6DCB"/>
    <w:rsid w:val="007B243A"/>
    <w:rsid w:val="007C6A73"/>
    <w:rsid w:val="007C6B85"/>
    <w:rsid w:val="007C76CD"/>
    <w:rsid w:val="007D4BC3"/>
    <w:rsid w:val="007D7E56"/>
    <w:rsid w:val="007E098A"/>
    <w:rsid w:val="007F046B"/>
    <w:rsid w:val="007F20F2"/>
    <w:rsid w:val="00800710"/>
    <w:rsid w:val="00803583"/>
    <w:rsid w:val="00807481"/>
    <w:rsid w:val="008135A5"/>
    <w:rsid w:val="008146A8"/>
    <w:rsid w:val="00825C8F"/>
    <w:rsid w:val="00826AD5"/>
    <w:rsid w:val="00833EC8"/>
    <w:rsid w:val="00835EAD"/>
    <w:rsid w:val="00836B7B"/>
    <w:rsid w:val="00842E78"/>
    <w:rsid w:val="008438D3"/>
    <w:rsid w:val="00855D26"/>
    <w:rsid w:val="00856135"/>
    <w:rsid w:val="0086640C"/>
    <w:rsid w:val="00870B77"/>
    <w:rsid w:val="00871307"/>
    <w:rsid w:val="0087568D"/>
    <w:rsid w:val="0088194C"/>
    <w:rsid w:val="00884EAA"/>
    <w:rsid w:val="00885D14"/>
    <w:rsid w:val="00892012"/>
    <w:rsid w:val="0089518C"/>
    <w:rsid w:val="008A245F"/>
    <w:rsid w:val="008A260D"/>
    <w:rsid w:val="008B0E17"/>
    <w:rsid w:val="008B4346"/>
    <w:rsid w:val="008B60DD"/>
    <w:rsid w:val="008C1138"/>
    <w:rsid w:val="008C1DC6"/>
    <w:rsid w:val="008C62EB"/>
    <w:rsid w:val="008D25AD"/>
    <w:rsid w:val="008D46BD"/>
    <w:rsid w:val="008D6F5A"/>
    <w:rsid w:val="008E0A61"/>
    <w:rsid w:val="008E2C2A"/>
    <w:rsid w:val="008E4AD3"/>
    <w:rsid w:val="008E65F3"/>
    <w:rsid w:val="008F586A"/>
    <w:rsid w:val="008F7E9C"/>
    <w:rsid w:val="0090551F"/>
    <w:rsid w:val="00907A39"/>
    <w:rsid w:val="00910EE3"/>
    <w:rsid w:val="0091362A"/>
    <w:rsid w:val="00917D12"/>
    <w:rsid w:val="00922519"/>
    <w:rsid w:val="00932962"/>
    <w:rsid w:val="00933ABC"/>
    <w:rsid w:val="00934936"/>
    <w:rsid w:val="0094128F"/>
    <w:rsid w:val="00942841"/>
    <w:rsid w:val="00945A1E"/>
    <w:rsid w:val="00946E08"/>
    <w:rsid w:val="00952500"/>
    <w:rsid w:val="00957B7C"/>
    <w:rsid w:val="009603A4"/>
    <w:rsid w:val="0096168A"/>
    <w:rsid w:val="00962777"/>
    <w:rsid w:val="009628F3"/>
    <w:rsid w:val="00962922"/>
    <w:rsid w:val="00965B6A"/>
    <w:rsid w:val="00971ACD"/>
    <w:rsid w:val="00971DDB"/>
    <w:rsid w:val="009723D1"/>
    <w:rsid w:val="00975994"/>
    <w:rsid w:val="0098301F"/>
    <w:rsid w:val="0099142C"/>
    <w:rsid w:val="009970A1"/>
    <w:rsid w:val="009A02F9"/>
    <w:rsid w:val="009A4A7A"/>
    <w:rsid w:val="009A6639"/>
    <w:rsid w:val="009A6C78"/>
    <w:rsid w:val="009B1CB2"/>
    <w:rsid w:val="009B4708"/>
    <w:rsid w:val="009B691F"/>
    <w:rsid w:val="009C2B07"/>
    <w:rsid w:val="009D05A6"/>
    <w:rsid w:val="009D3874"/>
    <w:rsid w:val="009E3C11"/>
    <w:rsid w:val="009F039E"/>
    <w:rsid w:val="009F0A98"/>
    <w:rsid w:val="009F0E4F"/>
    <w:rsid w:val="009F4B1A"/>
    <w:rsid w:val="009F6113"/>
    <w:rsid w:val="009F7BDB"/>
    <w:rsid w:val="00A0383F"/>
    <w:rsid w:val="00A063DE"/>
    <w:rsid w:val="00A13A0E"/>
    <w:rsid w:val="00A1544B"/>
    <w:rsid w:val="00A15BD1"/>
    <w:rsid w:val="00A20DDE"/>
    <w:rsid w:val="00A237DE"/>
    <w:rsid w:val="00A3306D"/>
    <w:rsid w:val="00A352AE"/>
    <w:rsid w:val="00A53052"/>
    <w:rsid w:val="00A54030"/>
    <w:rsid w:val="00A55E23"/>
    <w:rsid w:val="00A56F18"/>
    <w:rsid w:val="00A57186"/>
    <w:rsid w:val="00A57A58"/>
    <w:rsid w:val="00A62053"/>
    <w:rsid w:val="00A63121"/>
    <w:rsid w:val="00A65092"/>
    <w:rsid w:val="00A73CC7"/>
    <w:rsid w:val="00A76C4D"/>
    <w:rsid w:val="00A8013E"/>
    <w:rsid w:val="00A8072B"/>
    <w:rsid w:val="00A8167D"/>
    <w:rsid w:val="00A84950"/>
    <w:rsid w:val="00A93B27"/>
    <w:rsid w:val="00AA1366"/>
    <w:rsid w:val="00AA3258"/>
    <w:rsid w:val="00AA79F0"/>
    <w:rsid w:val="00AB7CA7"/>
    <w:rsid w:val="00AB7D21"/>
    <w:rsid w:val="00AC1E8E"/>
    <w:rsid w:val="00AD0C4F"/>
    <w:rsid w:val="00AD568D"/>
    <w:rsid w:val="00AD6666"/>
    <w:rsid w:val="00AD73E0"/>
    <w:rsid w:val="00AE13FB"/>
    <w:rsid w:val="00AE2893"/>
    <w:rsid w:val="00AE3ABE"/>
    <w:rsid w:val="00AE60BA"/>
    <w:rsid w:val="00AE6C51"/>
    <w:rsid w:val="00AE738C"/>
    <w:rsid w:val="00B0285A"/>
    <w:rsid w:val="00B049D9"/>
    <w:rsid w:val="00B10620"/>
    <w:rsid w:val="00B1150B"/>
    <w:rsid w:val="00B1380C"/>
    <w:rsid w:val="00B1762B"/>
    <w:rsid w:val="00B24EFA"/>
    <w:rsid w:val="00B36801"/>
    <w:rsid w:val="00B40A62"/>
    <w:rsid w:val="00B415EE"/>
    <w:rsid w:val="00B4203A"/>
    <w:rsid w:val="00B44E7F"/>
    <w:rsid w:val="00B47BBC"/>
    <w:rsid w:val="00B5050F"/>
    <w:rsid w:val="00B510D2"/>
    <w:rsid w:val="00B52548"/>
    <w:rsid w:val="00B53269"/>
    <w:rsid w:val="00B64639"/>
    <w:rsid w:val="00B81879"/>
    <w:rsid w:val="00B81B25"/>
    <w:rsid w:val="00B823B1"/>
    <w:rsid w:val="00B9075C"/>
    <w:rsid w:val="00BA6D7C"/>
    <w:rsid w:val="00BB1A8D"/>
    <w:rsid w:val="00BB43A6"/>
    <w:rsid w:val="00BB5508"/>
    <w:rsid w:val="00BB6E6C"/>
    <w:rsid w:val="00BD2125"/>
    <w:rsid w:val="00BD21B7"/>
    <w:rsid w:val="00BE0007"/>
    <w:rsid w:val="00BE025B"/>
    <w:rsid w:val="00BE2B82"/>
    <w:rsid w:val="00BE725E"/>
    <w:rsid w:val="00C0041C"/>
    <w:rsid w:val="00C00F59"/>
    <w:rsid w:val="00C062F1"/>
    <w:rsid w:val="00C0731E"/>
    <w:rsid w:val="00C12A66"/>
    <w:rsid w:val="00C142BD"/>
    <w:rsid w:val="00C15627"/>
    <w:rsid w:val="00C1714E"/>
    <w:rsid w:val="00C22C03"/>
    <w:rsid w:val="00C24DFF"/>
    <w:rsid w:val="00C26C73"/>
    <w:rsid w:val="00C318BF"/>
    <w:rsid w:val="00C3650A"/>
    <w:rsid w:val="00C369E3"/>
    <w:rsid w:val="00C46E7A"/>
    <w:rsid w:val="00C523D1"/>
    <w:rsid w:val="00C526E7"/>
    <w:rsid w:val="00C549E3"/>
    <w:rsid w:val="00C64364"/>
    <w:rsid w:val="00C678E4"/>
    <w:rsid w:val="00C83CF7"/>
    <w:rsid w:val="00C853F3"/>
    <w:rsid w:val="00C95507"/>
    <w:rsid w:val="00C95A4E"/>
    <w:rsid w:val="00CA1486"/>
    <w:rsid w:val="00CA4DD0"/>
    <w:rsid w:val="00CA6D64"/>
    <w:rsid w:val="00CA7B37"/>
    <w:rsid w:val="00CC0D92"/>
    <w:rsid w:val="00CC5043"/>
    <w:rsid w:val="00CC586F"/>
    <w:rsid w:val="00CC654B"/>
    <w:rsid w:val="00CD2B6C"/>
    <w:rsid w:val="00CD67F8"/>
    <w:rsid w:val="00CE1220"/>
    <w:rsid w:val="00CE4D5D"/>
    <w:rsid w:val="00CE63C3"/>
    <w:rsid w:val="00CE6CE1"/>
    <w:rsid w:val="00CE70B9"/>
    <w:rsid w:val="00CF56DB"/>
    <w:rsid w:val="00CF72A8"/>
    <w:rsid w:val="00CF7F3C"/>
    <w:rsid w:val="00D04DB5"/>
    <w:rsid w:val="00D071DF"/>
    <w:rsid w:val="00D134DE"/>
    <w:rsid w:val="00D15D6B"/>
    <w:rsid w:val="00D17714"/>
    <w:rsid w:val="00D17810"/>
    <w:rsid w:val="00D2626B"/>
    <w:rsid w:val="00D340EB"/>
    <w:rsid w:val="00D34C85"/>
    <w:rsid w:val="00D45EE2"/>
    <w:rsid w:val="00D51FE2"/>
    <w:rsid w:val="00D53283"/>
    <w:rsid w:val="00D55F0E"/>
    <w:rsid w:val="00D64B3E"/>
    <w:rsid w:val="00D71F6A"/>
    <w:rsid w:val="00D742CA"/>
    <w:rsid w:val="00D82595"/>
    <w:rsid w:val="00D938DE"/>
    <w:rsid w:val="00D966AB"/>
    <w:rsid w:val="00DA3A68"/>
    <w:rsid w:val="00DA4C6E"/>
    <w:rsid w:val="00DB3D50"/>
    <w:rsid w:val="00DB444C"/>
    <w:rsid w:val="00DB52EB"/>
    <w:rsid w:val="00DC2611"/>
    <w:rsid w:val="00DC2C21"/>
    <w:rsid w:val="00DC38BB"/>
    <w:rsid w:val="00DC7E31"/>
    <w:rsid w:val="00DD2669"/>
    <w:rsid w:val="00DD4FFA"/>
    <w:rsid w:val="00DE1FA8"/>
    <w:rsid w:val="00DE28CC"/>
    <w:rsid w:val="00DF2892"/>
    <w:rsid w:val="00DF4036"/>
    <w:rsid w:val="00DF679D"/>
    <w:rsid w:val="00E02978"/>
    <w:rsid w:val="00E07B3F"/>
    <w:rsid w:val="00E20028"/>
    <w:rsid w:val="00E21E1A"/>
    <w:rsid w:val="00E305B2"/>
    <w:rsid w:val="00E33A2F"/>
    <w:rsid w:val="00E34679"/>
    <w:rsid w:val="00E42103"/>
    <w:rsid w:val="00E4638A"/>
    <w:rsid w:val="00E51C0B"/>
    <w:rsid w:val="00E6140A"/>
    <w:rsid w:val="00E67EB6"/>
    <w:rsid w:val="00E706D7"/>
    <w:rsid w:val="00E80935"/>
    <w:rsid w:val="00E80E03"/>
    <w:rsid w:val="00E830C5"/>
    <w:rsid w:val="00E865D1"/>
    <w:rsid w:val="00E937AB"/>
    <w:rsid w:val="00E97BD0"/>
    <w:rsid w:val="00EA6B9E"/>
    <w:rsid w:val="00EA7C67"/>
    <w:rsid w:val="00EB00D8"/>
    <w:rsid w:val="00EB22FC"/>
    <w:rsid w:val="00EB42E3"/>
    <w:rsid w:val="00EC1BEB"/>
    <w:rsid w:val="00EC5853"/>
    <w:rsid w:val="00EC6450"/>
    <w:rsid w:val="00EC7F3D"/>
    <w:rsid w:val="00ED2ECB"/>
    <w:rsid w:val="00ED335A"/>
    <w:rsid w:val="00ED7FAF"/>
    <w:rsid w:val="00EE423D"/>
    <w:rsid w:val="00EF616A"/>
    <w:rsid w:val="00F10271"/>
    <w:rsid w:val="00F1161D"/>
    <w:rsid w:val="00F22B6A"/>
    <w:rsid w:val="00F273B5"/>
    <w:rsid w:val="00F30026"/>
    <w:rsid w:val="00F315C9"/>
    <w:rsid w:val="00F478D1"/>
    <w:rsid w:val="00F52623"/>
    <w:rsid w:val="00F54A41"/>
    <w:rsid w:val="00F56D2B"/>
    <w:rsid w:val="00F60D57"/>
    <w:rsid w:val="00F61144"/>
    <w:rsid w:val="00F62731"/>
    <w:rsid w:val="00F63015"/>
    <w:rsid w:val="00F678E3"/>
    <w:rsid w:val="00F71CBB"/>
    <w:rsid w:val="00F7353D"/>
    <w:rsid w:val="00F76718"/>
    <w:rsid w:val="00F76CA7"/>
    <w:rsid w:val="00F81562"/>
    <w:rsid w:val="00F83BAA"/>
    <w:rsid w:val="00F84337"/>
    <w:rsid w:val="00F85EEE"/>
    <w:rsid w:val="00F86C95"/>
    <w:rsid w:val="00F9610E"/>
    <w:rsid w:val="00F96FA4"/>
    <w:rsid w:val="00F972ED"/>
    <w:rsid w:val="00FA00FC"/>
    <w:rsid w:val="00FA13DA"/>
    <w:rsid w:val="00FA20DD"/>
    <w:rsid w:val="00FB2FDC"/>
    <w:rsid w:val="00FB4674"/>
    <w:rsid w:val="00FB56D8"/>
    <w:rsid w:val="00FB72AB"/>
    <w:rsid w:val="00FC13A7"/>
    <w:rsid w:val="00FC1A71"/>
    <w:rsid w:val="00FC6355"/>
    <w:rsid w:val="00FD107D"/>
    <w:rsid w:val="00FE0250"/>
    <w:rsid w:val="00FE049C"/>
    <w:rsid w:val="00FE2731"/>
    <w:rsid w:val="00FE5417"/>
    <w:rsid w:val="00FE6FA6"/>
    <w:rsid w:val="00FF167A"/>
    <w:rsid w:val="00FF264E"/>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25E4129"/>
  <w15:chartTrackingRefBased/>
  <w15:docId w15:val="{7650EE55-419A-43E4-85BA-66605D9A24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Wingdings" w:eastAsia="Wingdings" w:hAnsi="Wingdings" w:cs="Symbol"/>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78" w:lineRule="auto"/>
    </w:pPr>
    <w:rPr>
      <w:kern w:val="2"/>
      <w:sz w:val="24"/>
      <w:szCs w:val="24"/>
    </w:rPr>
  </w:style>
  <w:style w:type="paragraph" w:styleId="Heading1">
    <w:name w:val="heading 1"/>
    <w:basedOn w:val="Normal"/>
    <w:next w:val="Normal"/>
    <w:link w:val="Heading1Char"/>
    <w:uiPriority w:val="9"/>
    <w:qFormat/>
    <w:rsid w:val="002101B0"/>
    <w:pPr>
      <w:keepNext/>
      <w:keepLines/>
      <w:spacing w:before="360" w:after="80"/>
      <w:outlineLvl w:val="0"/>
    </w:pPr>
    <w:rPr>
      <w:rFonts w:ascii="Cambria Math" w:eastAsia="Courier New" w:hAnsi="Cambria Math" w:cs="Courier New"/>
      <w:color w:val="0F4761"/>
      <w:sz w:val="40"/>
      <w:szCs w:val="40"/>
    </w:rPr>
  </w:style>
  <w:style w:type="paragraph" w:styleId="Heading2">
    <w:name w:val="heading 2"/>
    <w:basedOn w:val="Normal"/>
    <w:next w:val="Normal"/>
    <w:link w:val="Heading2Char"/>
    <w:uiPriority w:val="9"/>
    <w:unhideWhenUsed/>
    <w:qFormat/>
    <w:rsid w:val="002101B0"/>
    <w:pPr>
      <w:keepNext/>
      <w:keepLines/>
      <w:spacing w:before="160" w:after="80"/>
      <w:outlineLvl w:val="1"/>
    </w:pPr>
    <w:rPr>
      <w:rFonts w:ascii="Cambria Math" w:eastAsia="Courier New" w:hAnsi="Cambria Math" w:cs="Courier New"/>
      <w:color w:val="0F4761"/>
      <w:sz w:val="32"/>
      <w:szCs w:val="32"/>
    </w:rPr>
  </w:style>
  <w:style w:type="paragraph" w:styleId="Heading3">
    <w:name w:val="heading 3"/>
    <w:basedOn w:val="Normal"/>
    <w:next w:val="Normal"/>
    <w:link w:val="Heading3Char"/>
    <w:uiPriority w:val="9"/>
    <w:unhideWhenUsed/>
    <w:qFormat/>
    <w:rsid w:val="002101B0"/>
    <w:pPr>
      <w:keepNext/>
      <w:keepLines/>
      <w:spacing w:before="160" w:after="80"/>
      <w:outlineLvl w:val="2"/>
    </w:pPr>
    <w:rPr>
      <w:rFonts w:eastAsia="Courier New" w:cs="Courier New"/>
      <w:color w:val="0F4761"/>
      <w:sz w:val="28"/>
      <w:szCs w:val="28"/>
    </w:rPr>
  </w:style>
  <w:style w:type="paragraph" w:styleId="Heading4">
    <w:name w:val="heading 4"/>
    <w:basedOn w:val="Normal"/>
    <w:next w:val="Normal"/>
    <w:link w:val="Heading4Char"/>
    <w:uiPriority w:val="9"/>
    <w:semiHidden/>
    <w:unhideWhenUsed/>
    <w:qFormat/>
    <w:rsid w:val="002101B0"/>
    <w:pPr>
      <w:keepNext/>
      <w:keepLines/>
      <w:spacing w:before="80" w:after="40"/>
      <w:outlineLvl w:val="3"/>
    </w:pPr>
    <w:rPr>
      <w:rFonts w:eastAsia="Courier New" w:cs="Courier New"/>
      <w:i/>
      <w:iCs/>
      <w:color w:val="0F4761"/>
    </w:rPr>
  </w:style>
  <w:style w:type="paragraph" w:styleId="Heading5">
    <w:name w:val="heading 5"/>
    <w:basedOn w:val="Normal"/>
    <w:next w:val="Normal"/>
    <w:link w:val="Heading5Char"/>
    <w:uiPriority w:val="9"/>
    <w:semiHidden/>
    <w:unhideWhenUsed/>
    <w:qFormat/>
    <w:rsid w:val="002101B0"/>
    <w:pPr>
      <w:keepNext/>
      <w:keepLines/>
      <w:spacing w:before="80" w:after="40"/>
      <w:outlineLvl w:val="4"/>
    </w:pPr>
    <w:rPr>
      <w:rFonts w:eastAsia="Courier New" w:cs="Courier New"/>
      <w:color w:val="0F4761"/>
    </w:rPr>
  </w:style>
  <w:style w:type="paragraph" w:styleId="Heading6">
    <w:name w:val="heading 6"/>
    <w:basedOn w:val="Normal"/>
    <w:next w:val="Normal"/>
    <w:link w:val="Heading6Char"/>
    <w:uiPriority w:val="9"/>
    <w:semiHidden/>
    <w:unhideWhenUsed/>
    <w:qFormat/>
    <w:rsid w:val="002101B0"/>
    <w:pPr>
      <w:keepNext/>
      <w:keepLines/>
      <w:spacing w:before="40" w:after="0"/>
      <w:outlineLvl w:val="5"/>
    </w:pPr>
    <w:rPr>
      <w:rFonts w:eastAsia="Courier New" w:cs="Courier New"/>
      <w:i/>
      <w:iCs/>
      <w:color w:val="595959"/>
    </w:rPr>
  </w:style>
  <w:style w:type="paragraph" w:styleId="Heading7">
    <w:name w:val="heading 7"/>
    <w:basedOn w:val="Normal"/>
    <w:next w:val="Normal"/>
    <w:link w:val="Heading7Char"/>
    <w:uiPriority w:val="9"/>
    <w:semiHidden/>
    <w:unhideWhenUsed/>
    <w:qFormat/>
    <w:rsid w:val="002101B0"/>
    <w:pPr>
      <w:keepNext/>
      <w:keepLines/>
      <w:spacing w:before="40" w:after="0"/>
      <w:outlineLvl w:val="6"/>
    </w:pPr>
    <w:rPr>
      <w:rFonts w:eastAsia="Courier New" w:cs="Courier New"/>
      <w:color w:val="595959"/>
    </w:rPr>
  </w:style>
  <w:style w:type="paragraph" w:styleId="Heading8">
    <w:name w:val="heading 8"/>
    <w:basedOn w:val="Normal"/>
    <w:next w:val="Normal"/>
    <w:link w:val="Heading8Char"/>
    <w:uiPriority w:val="9"/>
    <w:semiHidden/>
    <w:unhideWhenUsed/>
    <w:qFormat/>
    <w:rsid w:val="002101B0"/>
    <w:pPr>
      <w:keepNext/>
      <w:keepLines/>
      <w:spacing w:after="0"/>
      <w:outlineLvl w:val="7"/>
    </w:pPr>
    <w:rPr>
      <w:rFonts w:eastAsia="Courier New" w:cs="Courier New"/>
      <w:i/>
      <w:iCs/>
      <w:color w:val="272727"/>
    </w:rPr>
  </w:style>
  <w:style w:type="paragraph" w:styleId="Heading9">
    <w:name w:val="heading 9"/>
    <w:basedOn w:val="Normal"/>
    <w:next w:val="Normal"/>
    <w:link w:val="Heading9Char"/>
    <w:uiPriority w:val="9"/>
    <w:semiHidden/>
    <w:unhideWhenUsed/>
    <w:qFormat/>
    <w:rsid w:val="002101B0"/>
    <w:pPr>
      <w:keepNext/>
      <w:keepLines/>
      <w:spacing w:after="0"/>
      <w:outlineLvl w:val="8"/>
    </w:pPr>
    <w:rPr>
      <w:rFonts w:eastAsia="Courier New" w:cs="Courier New"/>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101B0"/>
    <w:rPr>
      <w:rFonts w:ascii="Cambria Math" w:eastAsia="Courier New" w:hAnsi="Cambria Math" w:cs="Courier New"/>
      <w:color w:val="0F4761"/>
      <w:sz w:val="40"/>
      <w:szCs w:val="40"/>
    </w:rPr>
  </w:style>
  <w:style w:type="character" w:customStyle="1" w:styleId="Heading2Char">
    <w:name w:val="Heading 2 Char"/>
    <w:link w:val="Heading2"/>
    <w:uiPriority w:val="9"/>
    <w:rsid w:val="002101B0"/>
    <w:rPr>
      <w:rFonts w:ascii="Cambria Math" w:eastAsia="Courier New" w:hAnsi="Cambria Math" w:cs="Courier New"/>
      <w:color w:val="0F4761"/>
      <w:sz w:val="32"/>
      <w:szCs w:val="32"/>
    </w:rPr>
  </w:style>
  <w:style w:type="character" w:customStyle="1" w:styleId="Heading3Char">
    <w:name w:val="Heading 3 Char"/>
    <w:link w:val="Heading3"/>
    <w:uiPriority w:val="9"/>
    <w:rsid w:val="002101B0"/>
    <w:rPr>
      <w:rFonts w:eastAsia="Courier New" w:cs="Courier New"/>
      <w:color w:val="0F4761"/>
      <w:sz w:val="28"/>
      <w:szCs w:val="28"/>
    </w:rPr>
  </w:style>
  <w:style w:type="character" w:customStyle="1" w:styleId="Heading4Char">
    <w:name w:val="Heading 4 Char"/>
    <w:link w:val="Heading4"/>
    <w:uiPriority w:val="9"/>
    <w:semiHidden/>
    <w:rsid w:val="002101B0"/>
    <w:rPr>
      <w:rFonts w:eastAsia="Courier New" w:cs="Courier New"/>
      <w:i/>
      <w:iCs/>
      <w:color w:val="0F4761"/>
    </w:rPr>
  </w:style>
  <w:style w:type="character" w:customStyle="1" w:styleId="Heading5Char">
    <w:name w:val="Heading 5 Char"/>
    <w:link w:val="Heading5"/>
    <w:uiPriority w:val="9"/>
    <w:semiHidden/>
    <w:rsid w:val="002101B0"/>
    <w:rPr>
      <w:rFonts w:eastAsia="Courier New" w:cs="Courier New"/>
      <w:color w:val="0F4761"/>
    </w:rPr>
  </w:style>
  <w:style w:type="character" w:customStyle="1" w:styleId="Heading6Char">
    <w:name w:val="Heading 6 Char"/>
    <w:link w:val="Heading6"/>
    <w:uiPriority w:val="9"/>
    <w:semiHidden/>
    <w:rsid w:val="002101B0"/>
    <w:rPr>
      <w:rFonts w:eastAsia="Courier New" w:cs="Courier New"/>
      <w:i/>
      <w:iCs/>
      <w:color w:val="595959"/>
    </w:rPr>
  </w:style>
  <w:style w:type="character" w:customStyle="1" w:styleId="Heading7Char">
    <w:name w:val="Heading 7 Char"/>
    <w:link w:val="Heading7"/>
    <w:uiPriority w:val="9"/>
    <w:semiHidden/>
    <w:rsid w:val="002101B0"/>
    <w:rPr>
      <w:rFonts w:eastAsia="Courier New" w:cs="Courier New"/>
      <w:color w:val="595959"/>
    </w:rPr>
  </w:style>
  <w:style w:type="character" w:customStyle="1" w:styleId="Heading8Char">
    <w:name w:val="Heading 8 Char"/>
    <w:link w:val="Heading8"/>
    <w:uiPriority w:val="9"/>
    <w:semiHidden/>
    <w:rsid w:val="002101B0"/>
    <w:rPr>
      <w:rFonts w:eastAsia="Courier New" w:cs="Courier New"/>
      <w:i/>
      <w:iCs/>
      <w:color w:val="272727"/>
    </w:rPr>
  </w:style>
  <w:style w:type="character" w:customStyle="1" w:styleId="Heading9Char">
    <w:name w:val="Heading 9 Char"/>
    <w:link w:val="Heading9"/>
    <w:uiPriority w:val="9"/>
    <w:semiHidden/>
    <w:rsid w:val="002101B0"/>
    <w:rPr>
      <w:rFonts w:eastAsia="Courier New" w:cs="Courier New"/>
      <w:color w:val="272727"/>
    </w:rPr>
  </w:style>
  <w:style w:type="paragraph" w:styleId="Title">
    <w:name w:val="Title"/>
    <w:basedOn w:val="Normal"/>
    <w:next w:val="Normal"/>
    <w:link w:val="TitleChar"/>
    <w:uiPriority w:val="10"/>
    <w:qFormat/>
    <w:rsid w:val="002101B0"/>
    <w:pPr>
      <w:spacing w:after="80" w:line="240" w:lineRule="auto"/>
      <w:contextualSpacing/>
    </w:pPr>
    <w:rPr>
      <w:rFonts w:ascii="Cambria Math" w:eastAsia="Courier New" w:hAnsi="Cambria Math" w:cs="Courier New"/>
      <w:spacing w:val="-10"/>
      <w:kern w:val="28"/>
      <w:sz w:val="56"/>
      <w:szCs w:val="56"/>
    </w:rPr>
  </w:style>
  <w:style w:type="character" w:customStyle="1" w:styleId="TitleChar">
    <w:name w:val="Title Char"/>
    <w:link w:val="Title"/>
    <w:uiPriority w:val="10"/>
    <w:rsid w:val="002101B0"/>
    <w:rPr>
      <w:rFonts w:ascii="Cambria Math" w:eastAsia="Courier New" w:hAnsi="Cambria Math" w:cs="Courier New"/>
      <w:spacing w:val="-10"/>
      <w:kern w:val="28"/>
      <w:sz w:val="56"/>
      <w:szCs w:val="56"/>
    </w:rPr>
  </w:style>
  <w:style w:type="paragraph" w:styleId="Subtitle">
    <w:name w:val="Subtitle"/>
    <w:basedOn w:val="Normal"/>
    <w:next w:val="Normal"/>
    <w:link w:val="SubtitleChar"/>
    <w:uiPriority w:val="11"/>
    <w:qFormat/>
    <w:rsid w:val="002101B0"/>
    <w:pPr>
      <w:numPr>
        <w:ilvl w:val="1"/>
      </w:numPr>
    </w:pPr>
    <w:rPr>
      <w:rFonts w:eastAsia="Courier New" w:cs="Courier New"/>
      <w:color w:val="595959"/>
      <w:spacing w:val="15"/>
      <w:sz w:val="28"/>
      <w:szCs w:val="28"/>
    </w:rPr>
  </w:style>
  <w:style w:type="character" w:customStyle="1" w:styleId="SubtitleChar">
    <w:name w:val="Subtitle Char"/>
    <w:link w:val="Subtitle"/>
    <w:uiPriority w:val="11"/>
    <w:rsid w:val="002101B0"/>
    <w:rPr>
      <w:rFonts w:eastAsia="Courier New" w:cs="Courier New"/>
      <w:color w:val="595959"/>
      <w:spacing w:val="15"/>
      <w:sz w:val="28"/>
      <w:szCs w:val="28"/>
    </w:rPr>
  </w:style>
  <w:style w:type="paragraph" w:styleId="Quote">
    <w:name w:val="Quote"/>
    <w:basedOn w:val="Normal"/>
    <w:next w:val="Normal"/>
    <w:link w:val="QuoteChar"/>
    <w:uiPriority w:val="29"/>
    <w:qFormat/>
    <w:rsid w:val="002101B0"/>
    <w:pPr>
      <w:spacing w:before="160"/>
      <w:jc w:val="center"/>
    </w:pPr>
    <w:rPr>
      <w:i/>
      <w:iCs/>
      <w:color w:val="404040"/>
    </w:rPr>
  </w:style>
  <w:style w:type="character" w:customStyle="1" w:styleId="QuoteChar">
    <w:name w:val="Quote Char"/>
    <w:link w:val="Quote"/>
    <w:uiPriority w:val="29"/>
    <w:rsid w:val="002101B0"/>
    <w:rPr>
      <w:i/>
      <w:iCs/>
      <w:color w:val="404040"/>
    </w:rPr>
  </w:style>
  <w:style w:type="paragraph" w:styleId="ListParagraph">
    <w:name w:val="List Paragraph"/>
    <w:basedOn w:val="Normal"/>
    <w:uiPriority w:val="34"/>
    <w:qFormat/>
    <w:rsid w:val="002101B0"/>
    <w:pPr>
      <w:ind w:left="720"/>
      <w:contextualSpacing/>
    </w:pPr>
  </w:style>
  <w:style w:type="character" w:styleId="IntenseEmphasis">
    <w:name w:val="Intense Emphasis"/>
    <w:uiPriority w:val="21"/>
    <w:qFormat/>
    <w:rsid w:val="002101B0"/>
    <w:rPr>
      <w:i/>
      <w:iCs/>
      <w:color w:val="0F4761"/>
    </w:rPr>
  </w:style>
  <w:style w:type="paragraph" w:styleId="IntenseQuote">
    <w:name w:val="Intense Quote"/>
    <w:basedOn w:val="Normal"/>
    <w:next w:val="Normal"/>
    <w:link w:val="IntenseQuoteChar"/>
    <w:uiPriority w:val="30"/>
    <w:qFormat/>
    <w:rsid w:val="002101B0"/>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link w:val="IntenseQuote"/>
    <w:uiPriority w:val="30"/>
    <w:rsid w:val="002101B0"/>
    <w:rPr>
      <w:i/>
      <w:iCs/>
      <w:color w:val="0F4761"/>
    </w:rPr>
  </w:style>
  <w:style w:type="character" w:styleId="IntenseReference">
    <w:name w:val="Intense Reference"/>
    <w:uiPriority w:val="32"/>
    <w:qFormat/>
    <w:rsid w:val="002101B0"/>
    <w:rPr>
      <w:b/>
      <w:bCs/>
      <w:smallCaps/>
      <w:color w:val="0F4761"/>
      <w:spacing w:val="5"/>
    </w:rPr>
  </w:style>
  <w:style w:type="character" w:styleId="Hyperlink">
    <w:name w:val="Hyperlink"/>
    <w:uiPriority w:val="99"/>
    <w:unhideWhenUsed/>
    <w:rsid w:val="00017EEA"/>
    <w:rPr>
      <w:color w:val="467886"/>
      <w:u w:val="single"/>
    </w:rPr>
  </w:style>
  <w:style w:type="character" w:customStyle="1" w:styleId="UnresolvedMention">
    <w:name w:val="Unresolved Mention"/>
    <w:uiPriority w:val="99"/>
    <w:semiHidden/>
    <w:unhideWhenUsed/>
    <w:rsid w:val="00F60D57"/>
    <w:rPr>
      <w:color w:val="605E5C"/>
      <w:shd w:val="clear" w:color="auto" w:fill="E1DFDD"/>
    </w:rPr>
  </w:style>
  <w:style w:type="paragraph" w:styleId="NormalWeb">
    <w:name w:val="Normal (Web)"/>
    <w:basedOn w:val="Normal"/>
    <w:uiPriority w:val="99"/>
    <w:unhideWhenUsed/>
    <w:rsid w:val="00511D38"/>
    <w:pPr>
      <w:spacing w:before="100" w:beforeAutospacing="1" w:after="100" w:afterAutospacing="1" w:line="240" w:lineRule="auto"/>
    </w:pPr>
    <w:rPr>
      <w:rFonts w:ascii="Courier New" w:eastAsia="Courier New" w:hAnsi="Courier New" w:cs="Courier New"/>
      <w:kern w:val="0"/>
    </w:rPr>
  </w:style>
  <w:style w:type="character" w:customStyle="1" w:styleId="source-title">
    <w:name w:val="source-title"/>
    <w:basedOn w:val="DefaultParagraphFont"/>
    <w:rsid w:val="00CF7F3C"/>
  </w:style>
  <w:style w:type="character" w:customStyle="1" w:styleId="source-count">
    <w:name w:val="source-count"/>
    <w:basedOn w:val="DefaultParagraphFont"/>
    <w:rsid w:val="00CF7F3C"/>
  </w:style>
  <w:style w:type="character" w:customStyle="1" w:styleId="citation-863">
    <w:name w:val="citation-863"/>
    <w:basedOn w:val="DefaultParagraphFont"/>
    <w:rsid w:val="004C01CE"/>
  </w:style>
  <w:style w:type="character" w:customStyle="1" w:styleId="citation-862">
    <w:name w:val="citation-862"/>
    <w:basedOn w:val="DefaultParagraphFont"/>
    <w:rsid w:val="004C01CE"/>
  </w:style>
  <w:style w:type="character" w:customStyle="1" w:styleId="citation-861">
    <w:name w:val="citation-861"/>
    <w:basedOn w:val="DefaultParagraphFont"/>
    <w:rsid w:val="004C01CE"/>
  </w:style>
  <w:style w:type="character" w:customStyle="1" w:styleId="citation-860">
    <w:name w:val="citation-860"/>
    <w:basedOn w:val="DefaultParagraphFont"/>
    <w:rsid w:val="004C01CE"/>
  </w:style>
  <w:style w:type="character" w:customStyle="1" w:styleId="citation-859">
    <w:name w:val="citation-859"/>
    <w:basedOn w:val="DefaultParagraphFont"/>
    <w:rsid w:val="004C01CE"/>
  </w:style>
  <w:style w:type="character" w:customStyle="1" w:styleId="citation-858">
    <w:name w:val="citation-858"/>
    <w:basedOn w:val="DefaultParagraphFont"/>
    <w:rsid w:val="004C01CE"/>
  </w:style>
  <w:style w:type="character" w:customStyle="1" w:styleId="citation-857">
    <w:name w:val="citation-857"/>
    <w:basedOn w:val="DefaultParagraphFont"/>
    <w:rsid w:val="004C01CE"/>
  </w:style>
  <w:style w:type="character" w:customStyle="1" w:styleId="citation-23">
    <w:name w:val="citation-23"/>
    <w:basedOn w:val="DefaultParagraphFont"/>
    <w:rsid w:val="000276C2"/>
  </w:style>
  <w:style w:type="character" w:customStyle="1" w:styleId="citation-22">
    <w:name w:val="citation-22"/>
    <w:basedOn w:val="DefaultParagraphFont"/>
    <w:rsid w:val="000276C2"/>
  </w:style>
  <w:style w:type="character" w:customStyle="1" w:styleId="citation-21">
    <w:name w:val="citation-21"/>
    <w:basedOn w:val="DefaultParagraphFont"/>
    <w:rsid w:val="000276C2"/>
  </w:style>
  <w:style w:type="character" w:customStyle="1" w:styleId="citation-20">
    <w:name w:val="citation-20"/>
    <w:basedOn w:val="DefaultParagraphFont"/>
    <w:rsid w:val="000276C2"/>
  </w:style>
  <w:style w:type="paragraph" w:styleId="Caption">
    <w:name w:val="caption"/>
    <w:basedOn w:val="Normal"/>
    <w:next w:val="Normal"/>
    <w:uiPriority w:val="35"/>
    <w:unhideWhenUsed/>
    <w:qFormat/>
    <w:rsid w:val="006D61AD"/>
    <w:pPr>
      <w:spacing w:after="200" w:line="240" w:lineRule="auto"/>
    </w:pPr>
    <w:rPr>
      <w:i/>
      <w:iCs/>
      <w:color w:val="0E2841"/>
      <w:sz w:val="18"/>
      <w:szCs w:val="18"/>
    </w:rPr>
  </w:style>
  <w:style w:type="character" w:styleId="Strong">
    <w:name w:val="Strong"/>
    <w:uiPriority w:val="22"/>
    <w:qFormat/>
    <w:rsid w:val="00700B49"/>
    <w:rPr>
      <w:b/>
      <w:bCs/>
    </w:rPr>
  </w:style>
  <w:style w:type="paragraph" w:customStyle="1" w:styleId="query-text-line">
    <w:name w:val="query-text-line"/>
    <w:basedOn w:val="Normal"/>
    <w:rsid w:val="00402015"/>
    <w:pPr>
      <w:spacing w:before="100" w:beforeAutospacing="1" w:after="100" w:afterAutospacing="1" w:line="240" w:lineRule="auto"/>
    </w:pPr>
    <w:rPr>
      <w:rFonts w:ascii="Courier New" w:eastAsia="Courier New" w:hAnsi="Courier New" w:cs="Courier New"/>
      <w:kern w:val="0"/>
    </w:rPr>
  </w:style>
  <w:style w:type="paragraph" w:customStyle="1" w:styleId="first-token">
    <w:name w:val="first-token"/>
    <w:basedOn w:val="Normal"/>
    <w:rsid w:val="00FE6FA6"/>
    <w:pPr>
      <w:spacing w:before="100" w:beforeAutospacing="1" w:after="100" w:afterAutospacing="1" w:line="240" w:lineRule="auto"/>
    </w:pPr>
    <w:rPr>
      <w:rFonts w:ascii="Courier New" w:eastAsia="Courier New" w:hAnsi="Courier New" w:cs="Courier New"/>
      <w:kern w:val="0"/>
    </w:rPr>
  </w:style>
  <w:style w:type="character" w:styleId="Emphasis">
    <w:name w:val="Emphasis"/>
    <w:uiPriority w:val="20"/>
    <w:qFormat/>
    <w:rsid w:val="00493650"/>
    <w:rPr>
      <w:i/>
      <w:iCs/>
    </w:rPr>
  </w:style>
  <w:style w:type="character" w:customStyle="1" w:styleId="whitespace-normal">
    <w:name w:val="whitespace-normal"/>
    <w:basedOn w:val="DefaultParagraphFont"/>
    <w:rsid w:val="00C95507"/>
  </w:style>
  <w:style w:type="paragraph" w:customStyle="1" w:styleId="pdq2pgselectionanchorcontainer">
    <w:name w:val="pdq2pg_selectionanchorcontainer"/>
    <w:basedOn w:val="Normal"/>
    <w:rsid w:val="003E237C"/>
    <w:pPr>
      <w:spacing w:before="100" w:beforeAutospacing="1" w:after="100" w:afterAutospacing="1" w:line="240" w:lineRule="auto"/>
    </w:pPr>
    <w:rPr>
      <w:rFonts w:ascii="Courier New" w:eastAsia="Courier New" w:hAnsi="Courier New" w:cs="Courier New"/>
      <w:kern w:val="0"/>
    </w:rPr>
  </w:style>
  <w:style w:type="paragraph" w:styleId="Header">
    <w:name w:val="header"/>
    <w:basedOn w:val="Normal"/>
    <w:link w:val="HeaderChar"/>
    <w:uiPriority w:val="99"/>
    <w:unhideWhenUsed/>
    <w:rsid w:val="004604A1"/>
    <w:pPr>
      <w:tabs>
        <w:tab w:val="center" w:pos="4844"/>
        <w:tab w:val="right" w:pos="9689"/>
      </w:tabs>
    </w:pPr>
  </w:style>
  <w:style w:type="character" w:customStyle="1" w:styleId="HeaderChar">
    <w:name w:val="Header Char"/>
    <w:link w:val="Header"/>
    <w:uiPriority w:val="99"/>
    <w:rsid w:val="004604A1"/>
    <w:rPr>
      <w:kern w:val="2"/>
      <w:sz w:val="24"/>
      <w:szCs w:val="24"/>
    </w:rPr>
  </w:style>
  <w:style w:type="paragraph" w:styleId="Footer">
    <w:name w:val="footer"/>
    <w:basedOn w:val="Normal"/>
    <w:link w:val="FooterChar"/>
    <w:uiPriority w:val="99"/>
    <w:unhideWhenUsed/>
    <w:rsid w:val="004604A1"/>
    <w:pPr>
      <w:tabs>
        <w:tab w:val="center" w:pos="4844"/>
        <w:tab w:val="right" w:pos="9689"/>
      </w:tabs>
    </w:pPr>
  </w:style>
  <w:style w:type="character" w:customStyle="1" w:styleId="FooterChar">
    <w:name w:val="Footer Char"/>
    <w:link w:val="Footer"/>
    <w:uiPriority w:val="99"/>
    <w:rsid w:val="004604A1"/>
    <w:rPr>
      <w:kern w:val="2"/>
      <w:sz w:val="24"/>
      <w:szCs w:val="24"/>
    </w:rPr>
  </w:style>
  <w:style w:type="paragraph" w:customStyle="1" w:styleId="isselectedend">
    <w:name w:val="isselectedend"/>
    <w:basedOn w:val="Normal"/>
    <w:rsid w:val="00011356"/>
    <w:pPr>
      <w:spacing w:before="100" w:beforeAutospacing="1" w:after="100" w:afterAutospacing="1" w:line="240" w:lineRule="auto"/>
    </w:pPr>
    <w:rPr>
      <w:rFonts w:ascii="Courier New" w:eastAsia="Courier New" w:hAnsi="Courier New" w:cs="Courier New"/>
      <w:kern w:val="0"/>
    </w:rPr>
  </w:style>
  <w:style w:type="character" w:customStyle="1" w:styleId="diff-highlight">
    <w:name w:val="diff-highlight"/>
    <w:rsid w:val="007A0FDD"/>
  </w:style>
  <w:style w:type="paragraph" w:styleId="BodyText">
    <w:name w:val="Body Text"/>
    <w:basedOn w:val="Normal"/>
    <w:link w:val="BodyTextChar"/>
    <w:uiPriority w:val="1"/>
    <w:qFormat/>
    <w:rsid w:val="00585851"/>
    <w:pPr>
      <w:widowControl w:val="0"/>
      <w:autoSpaceDE w:val="0"/>
      <w:autoSpaceDN w:val="0"/>
      <w:spacing w:after="0" w:line="240" w:lineRule="auto"/>
      <w:jc w:val="both"/>
    </w:pPr>
    <w:rPr>
      <w:rFonts w:ascii="Times New Roman" w:eastAsia="Times New Roman" w:hAnsi="Times New Roman" w:cs="Times New Roman"/>
      <w:kern w:val="0"/>
    </w:rPr>
  </w:style>
  <w:style w:type="character" w:customStyle="1" w:styleId="BodyTextChar">
    <w:name w:val="Body Text Char"/>
    <w:link w:val="BodyText"/>
    <w:uiPriority w:val="1"/>
    <w:rsid w:val="00585851"/>
    <w:rPr>
      <w:rFonts w:ascii="Times New Roman" w:eastAsia="Times New Roman" w:hAnsi="Times New Roman" w:cs="Times New Roman"/>
      <w:sz w:val="24"/>
      <w:szCs w:val="24"/>
    </w:rPr>
  </w:style>
  <w:style w:type="paragraph" w:styleId="TOCHeading">
    <w:name w:val="TOC Heading"/>
    <w:basedOn w:val="Heading1"/>
    <w:next w:val="Normal"/>
    <w:uiPriority w:val="39"/>
    <w:unhideWhenUsed/>
    <w:qFormat/>
    <w:rsid w:val="003A4A1E"/>
    <w:pPr>
      <w:spacing w:before="240" w:after="0" w:line="259" w:lineRule="auto"/>
      <w:outlineLvl w:val="9"/>
    </w:pPr>
    <w:rPr>
      <w:rFonts w:ascii="Calibri Light" w:eastAsia="Times New Roman" w:hAnsi="Calibri Light" w:cs="Times New Roman"/>
      <w:color w:val="2E74B5"/>
      <w:kern w:val="0"/>
      <w:sz w:val="32"/>
      <w:szCs w:val="32"/>
    </w:rPr>
  </w:style>
  <w:style w:type="paragraph" w:styleId="TOC1">
    <w:name w:val="toc 1"/>
    <w:basedOn w:val="Normal"/>
    <w:next w:val="Normal"/>
    <w:autoRedefine/>
    <w:uiPriority w:val="39"/>
    <w:unhideWhenUsed/>
    <w:rsid w:val="003A4A1E"/>
  </w:style>
  <w:style w:type="paragraph" w:styleId="TOC2">
    <w:name w:val="toc 2"/>
    <w:basedOn w:val="Normal"/>
    <w:next w:val="Normal"/>
    <w:autoRedefine/>
    <w:uiPriority w:val="39"/>
    <w:unhideWhenUsed/>
    <w:rsid w:val="003A4A1E"/>
    <w:pPr>
      <w:ind w:left="240"/>
    </w:pPr>
  </w:style>
  <w:style w:type="paragraph" w:styleId="TOC3">
    <w:name w:val="toc 3"/>
    <w:basedOn w:val="Normal"/>
    <w:next w:val="Normal"/>
    <w:autoRedefine/>
    <w:uiPriority w:val="39"/>
    <w:unhideWhenUsed/>
    <w:rsid w:val="00524BA8"/>
    <w:pPr>
      <w:ind w:left="480"/>
    </w:pPr>
  </w:style>
  <w:style w:type="table" w:styleId="TableGrid">
    <w:name w:val="Table Grid"/>
    <w:basedOn w:val="TableNormal"/>
    <w:uiPriority w:val="59"/>
    <w:rsid w:val="0004384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87142">
      <w:bodyDiv w:val="1"/>
      <w:marLeft w:val="0"/>
      <w:marRight w:val="0"/>
      <w:marTop w:val="0"/>
      <w:marBottom w:val="0"/>
      <w:divBdr>
        <w:top w:val="none" w:sz="0" w:space="0" w:color="auto"/>
        <w:left w:val="none" w:sz="0" w:space="0" w:color="auto"/>
        <w:bottom w:val="none" w:sz="0" w:space="0" w:color="auto"/>
        <w:right w:val="none" w:sz="0" w:space="0" w:color="auto"/>
      </w:divBdr>
      <w:divsChild>
        <w:div w:id="693071072">
          <w:marLeft w:val="0"/>
          <w:marRight w:val="0"/>
          <w:marTop w:val="0"/>
          <w:marBottom w:val="0"/>
          <w:divBdr>
            <w:top w:val="none" w:sz="0" w:space="0" w:color="auto"/>
            <w:left w:val="none" w:sz="0" w:space="0" w:color="auto"/>
            <w:bottom w:val="none" w:sz="0" w:space="0" w:color="auto"/>
            <w:right w:val="none" w:sz="0" w:space="0" w:color="auto"/>
          </w:divBdr>
          <w:divsChild>
            <w:div w:id="17733545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61329">
      <w:bodyDiv w:val="1"/>
      <w:marLeft w:val="0"/>
      <w:marRight w:val="0"/>
      <w:marTop w:val="0"/>
      <w:marBottom w:val="0"/>
      <w:divBdr>
        <w:top w:val="none" w:sz="0" w:space="0" w:color="auto"/>
        <w:left w:val="none" w:sz="0" w:space="0" w:color="auto"/>
        <w:bottom w:val="none" w:sz="0" w:space="0" w:color="auto"/>
        <w:right w:val="none" w:sz="0" w:space="0" w:color="auto"/>
      </w:divBdr>
    </w:div>
    <w:div w:id="123929372">
      <w:marLeft w:val="0"/>
      <w:marRight w:val="0"/>
      <w:marTop w:val="0"/>
      <w:marBottom w:val="0"/>
      <w:divBdr>
        <w:top w:val="none" w:sz="0" w:space="0" w:color="auto"/>
        <w:left w:val="none" w:sz="0" w:space="0" w:color="auto"/>
        <w:bottom w:val="none" w:sz="0" w:space="0" w:color="auto"/>
        <w:right w:val="none" w:sz="0" w:space="0" w:color="auto"/>
      </w:divBdr>
    </w:div>
    <w:div w:id="540897319">
      <w:marLeft w:val="0"/>
      <w:marRight w:val="0"/>
      <w:marTop w:val="0"/>
      <w:marBottom w:val="0"/>
      <w:divBdr>
        <w:top w:val="none" w:sz="0" w:space="0" w:color="auto"/>
        <w:left w:val="none" w:sz="0" w:space="0" w:color="auto"/>
        <w:bottom w:val="none" w:sz="0" w:space="0" w:color="auto"/>
        <w:right w:val="none" w:sz="0" w:space="0" w:color="auto"/>
      </w:divBdr>
      <w:divsChild>
        <w:div w:id="2060664383">
          <w:marLeft w:val="0"/>
          <w:marRight w:val="0"/>
          <w:marTop w:val="0"/>
          <w:marBottom w:val="0"/>
          <w:divBdr>
            <w:top w:val="none" w:sz="0" w:space="0" w:color="auto"/>
            <w:left w:val="none" w:sz="0" w:space="0" w:color="auto"/>
            <w:bottom w:val="none" w:sz="0" w:space="0" w:color="auto"/>
            <w:right w:val="none" w:sz="0" w:space="0" w:color="auto"/>
          </w:divBdr>
        </w:div>
      </w:divsChild>
    </w:div>
    <w:div w:id="562106232">
      <w:marLeft w:val="0"/>
      <w:marRight w:val="0"/>
      <w:marTop w:val="0"/>
      <w:marBottom w:val="0"/>
      <w:divBdr>
        <w:top w:val="none" w:sz="0" w:space="0" w:color="auto"/>
        <w:left w:val="none" w:sz="0" w:space="0" w:color="auto"/>
        <w:bottom w:val="none" w:sz="0" w:space="0" w:color="auto"/>
        <w:right w:val="none" w:sz="0" w:space="0" w:color="auto"/>
      </w:divBdr>
    </w:div>
    <w:div w:id="856849157">
      <w:bodyDiv w:val="1"/>
      <w:marLeft w:val="0"/>
      <w:marRight w:val="0"/>
      <w:marTop w:val="0"/>
      <w:marBottom w:val="0"/>
      <w:divBdr>
        <w:top w:val="none" w:sz="0" w:space="0" w:color="auto"/>
        <w:left w:val="none" w:sz="0" w:space="0" w:color="auto"/>
        <w:bottom w:val="none" w:sz="0" w:space="0" w:color="auto"/>
        <w:right w:val="none" w:sz="0" w:space="0" w:color="auto"/>
      </w:divBdr>
    </w:div>
    <w:div w:id="1108043574">
      <w:marLeft w:val="0"/>
      <w:marRight w:val="0"/>
      <w:marTop w:val="0"/>
      <w:marBottom w:val="0"/>
      <w:divBdr>
        <w:top w:val="none" w:sz="0" w:space="0" w:color="auto"/>
        <w:left w:val="none" w:sz="0" w:space="0" w:color="auto"/>
        <w:bottom w:val="none" w:sz="0" w:space="0" w:color="auto"/>
        <w:right w:val="none" w:sz="0" w:space="0" w:color="auto"/>
      </w:divBdr>
      <w:divsChild>
        <w:div w:id="579173233">
          <w:marLeft w:val="0"/>
          <w:marRight w:val="0"/>
          <w:marTop w:val="0"/>
          <w:marBottom w:val="0"/>
          <w:divBdr>
            <w:top w:val="none" w:sz="0" w:space="0" w:color="auto"/>
            <w:left w:val="none" w:sz="0" w:space="0" w:color="auto"/>
            <w:bottom w:val="none" w:sz="0" w:space="0" w:color="auto"/>
            <w:right w:val="none" w:sz="0" w:space="0" w:color="auto"/>
          </w:divBdr>
        </w:div>
      </w:divsChild>
    </w:div>
    <w:div w:id="1122189187">
      <w:bodyDiv w:val="1"/>
      <w:marLeft w:val="0"/>
      <w:marRight w:val="0"/>
      <w:marTop w:val="0"/>
      <w:marBottom w:val="0"/>
      <w:divBdr>
        <w:top w:val="none" w:sz="0" w:space="0" w:color="auto"/>
        <w:left w:val="none" w:sz="0" w:space="0" w:color="auto"/>
        <w:bottom w:val="none" w:sz="0" w:space="0" w:color="auto"/>
        <w:right w:val="none" w:sz="0" w:space="0" w:color="auto"/>
      </w:divBdr>
    </w:div>
    <w:div w:id="1732655065">
      <w:marLeft w:val="0"/>
      <w:marRight w:val="0"/>
      <w:marTop w:val="0"/>
      <w:marBottom w:val="0"/>
      <w:divBdr>
        <w:top w:val="none" w:sz="0" w:space="0" w:color="auto"/>
        <w:left w:val="none" w:sz="0" w:space="0" w:color="auto"/>
        <w:bottom w:val="none" w:sz="0" w:space="0" w:color="auto"/>
        <w:right w:val="none" w:sz="0" w:space="0" w:color="auto"/>
      </w:divBdr>
      <w:divsChild>
        <w:div w:id="946623586">
          <w:marLeft w:val="0"/>
          <w:marRight w:val="0"/>
          <w:marTop w:val="0"/>
          <w:marBottom w:val="0"/>
          <w:divBdr>
            <w:top w:val="none" w:sz="0" w:space="0" w:color="auto"/>
            <w:left w:val="none" w:sz="0" w:space="0" w:color="auto"/>
            <w:bottom w:val="none" w:sz="0" w:space="0" w:color="auto"/>
            <w:right w:val="none" w:sz="0" w:space="0" w:color="auto"/>
          </w:divBdr>
        </w:div>
      </w:divsChild>
    </w:div>
    <w:div w:id="1889803443">
      <w:bodyDiv w:val="1"/>
      <w:marLeft w:val="0"/>
      <w:marRight w:val="0"/>
      <w:marTop w:val="0"/>
      <w:marBottom w:val="0"/>
      <w:divBdr>
        <w:top w:val="none" w:sz="0" w:space="0" w:color="auto"/>
        <w:left w:val="none" w:sz="0" w:space="0" w:color="auto"/>
        <w:bottom w:val="none" w:sz="0" w:space="0" w:color="auto"/>
        <w:right w:val="none" w:sz="0" w:space="0" w:color="auto"/>
      </w:divBdr>
    </w:div>
    <w:div w:id="207620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png"/><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who.int/campaigns/world-amr-awareness-week/202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5" Type="http://schemas.openxmlformats.org/officeDocument/2006/relationships/hyperlink" Target="https://www.who.int/news-room/fact-sheets/detail/antimicrobial-resistance" TargetMode="Externa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google.com/search?q=https://www.training.cochrane.org/handboo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Desktop\Hamza%20abid\hamza%20file%20article%20updated%20manuscript1122.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Name.XSL" StyleName="GOST - Name Sort" Version="2003"/>
</file>

<file path=customXml/itemProps1.xml><?xml version="1.0" encoding="utf-8"?>
<ds:datastoreItem xmlns:ds="http://schemas.openxmlformats.org/officeDocument/2006/customXml" ds:itemID="{BA6945B4-DA05-4DBF-B700-E9B98C0673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hamza file article updated manuscript1122</Template>
  <TotalTime>16</TotalTime>
  <Pages>74</Pages>
  <Words>22759</Words>
  <Characters>129727</Characters>
  <Application>Microsoft Office Word</Application>
  <DocSecurity>0</DocSecurity>
  <Lines>1081</Lines>
  <Paragraphs>304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152182</CharactersWithSpaces>
  <SharedDoc>false</SharedDoc>
  <HLinks>
    <vt:vector size="522" baseType="variant">
      <vt:variant>
        <vt:i4>2293810</vt:i4>
      </vt:variant>
      <vt:variant>
        <vt:i4>519</vt:i4>
      </vt:variant>
      <vt:variant>
        <vt:i4>0</vt:i4>
      </vt:variant>
      <vt:variant>
        <vt:i4>5</vt:i4>
      </vt:variant>
      <vt:variant>
        <vt:lpwstr>https://www.who.int/campaigns/world-amr-awareness-week/2022</vt:lpwstr>
      </vt:variant>
      <vt:variant>
        <vt:lpwstr/>
      </vt:variant>
      <vt:variant>
        <vt:i4>5898327</vt:i4>
      </vt:variant>
      <vt:variant>
        <vt:i4>516</vt:i4>
      </vt:variant>
      <vt:variant>
        <vt:i4>0</vt:i4>
      </vt:variant>
      <vt:variant>
        <vt:i4>5</vt:i4>
      </vt:variant>
      <vt:variant>
        <vt:lpwstr>https://www.who.int/news-room/fact-sheets/detail/antimicrobial-resistance</vt:lpwstr>
      </vt:variant>
      <vt:variant>
        <vt:lpwstr/>
      </vt:variant>
      <vt:variant>
        <vt:i4>7012415</vt:i4>
      </vt:variant>
      <vt:variant>
        <vt:i4>513</vt:i4>
      </vt:variant>
      <vt:variant>
        <vt:i4>0</vt:i4>
      </vt:variant>
      <vt:variant>
        <vt:i4>5</vt:i4>
      </vt:variant>
      <vt:variant>
        <vt:lpwstr>https://www.google.com/search?q=https://www.training.cochrane.org/handbook</vt:lpwstr>
      </vt:variant>
      <vt:variant>
        <vt:lpwstr/>
      </vt:variant>
      <vt:variant>
        <vt:i4>1572912</vt:i4>
      </vt:variant>
      <vt:variant>
        <vt:i4>500</vt:i4>
      </vt:variant>
      <vt:variant>
        <vt:i4>0</vt:i4>
      </vt:variant>
      <vt:variant>
        <vt:i4>5</vt:i4>
      </vt:variant>
      <vt:variant>
        <vt:lpwstr/>
      </vt:variant>
      <vt:variant>
        <vt:lpwstr>_Toc238628822</vt:lpwstr>
      </vt:variant>
      <vt:variant>
        <vt:i4>1572912</vt:i4>
      </vt:variant>
      <vt:variant>
        <vt:i4>494</vt:i4>
      </vt:variant>
      <vt:variant>
        <vt:i4>0</vt:i4>
      </vt:variant>
      <vt:variant>
        <vt:i4>5</vt:i4>
      </vt:variant>
      <vt:variant>
        <vt:lpwstr/>
      </vt:variant>
      <vt:variant>
        <vt:lpwstr>_Toc238628821</vt:lpwstr>
      </vt:variant>
      <vt:variant>
        <vt:i4>1572912</vt:i4>
      </vt:variant>
      <vt:variant>
        <vt:i4>488</vt:i4>
      </vt:variant>
      <vt:variant>
        <vt:i4>0</vt:i4>
      </vt:variant>
      <vt:variant>
        <vt:i4>5</vt:i4>
      </vt:variant>
      <vt:variant>
        <vt:lpwstr/>
      </vt:variant>
      <vt:variant>
        <vt:lpwstr>_Toc238628820</vt:lpwstr>
      </vt:variant>
      <vt:variant>
        <vt:i4>1769520</vt:i4>
      </vt:variant>
      <vt:variant>
        <vt:i4>482</vt:i4>
      </vt:variant>
      <vt:variant>
        <vt:i4>0</vt:i4>
      </vt:variant>
      <vt:variant>
        <vt:i4>5</vt:i4>
      </vt:variant>
      <vt:variant>
        <vt:lpwstr/>
      </vt:variant>
      <vt:variant>
        <vt:lpwstr>_Toc238628819</vt:lpwstr>
      </vt:variant>
      <vt:variant>
        <vt:i4>1769520</vt:i4>
      </vt:variant>
      <vt:variant>
        <vt:i4>476</vt:i4>
      </vt:variant>
      <vt:variant>
        <vt:i4>0</vt:i4>
      </vt:variant>
      <vt:variant>
        <vt:i4>5</vt:i4>
      </vt:variant>
      <vt:variant>
        <vt:lpwstr/>
      </vt:variant>
      <vt:variant>
        <vt:lpwstr>_Toc238628818</vt:lpwstr>
      </vt:variant>
      <vt:variant>
        <vt:i4>1769520</vt:i4>
      </vt:variant>
      <vt:variant>
        <vt:i4>470</vt:i4>
      </vt:variant>
      <vt:variant>
        <vt:i4>0</vt:i4>
      </vt:variant>
      <vt:variant>
        <vt:i4>5</vt:i4>
      </vt:variant>
      <vt:variant>
        <vt:lpwstr/>
      </vt:variant>
      <vt:variant>
        <vt:lpwstr>_Toc238628817</vt:lpwstr>
      </vt:variant>
      <vt:variant>
        <vt:i4>1769520</vt:i4>
      </vt:variant>
      <vt:variant>
        <vt:i4>464</vt:i4>
      </vt:variant>
      <vt:variant>
        <vt:i4>0</vt:i4>
      </vt:variant>
      <vt:variant>
        <vt:i4>5</vt:i4>
      </vt:variant>
      <vt:variant>
        <vt:lpwstr/>
      </vt:variant>
      <vt:variant>
        <vt:lpwstr>_Toc238628816</vt:lpwstr>
      </vt:variant>
      <vt:variant>
        <vt:i4>1769520</vt:i4>
      </vt:variant>
      <vt:variant>
        <vt:i4>458</vt:i4>
      </vt:variant>
      <vt:variant>
        <vt:i4>0</vt:i4>
      </vt:variant>
      <vt:variant>
        <vt:i4>5</vt:i4>
      </vt:variant>
      <vt:variant>
        <vt:lpwstr/>
      </vt:variant>
      <vt:variant>
        <vt:lpwstr>_Toc238628815</vt:lpwstr>
      </vt:variant>
      <vt:variant>
        <vt:i4>1769520</vt:i4>
      </vt:variant>
      <vt:variant>
        <vt:i4>452</vt:i4>
      </vt:variant>
      <vt:variant>
        <vt:i4>0</vt:i4>
      </vt:variant>
      <vt:variant>
        <vt:i4>5</vt:i4>
      </vt:variant>
      <vt:variant>
        <vt:lpwstr/>
      </vt:variant>
      <vt:variant>
        <vt:lpwstr>_Toc238628814</vt:lpwstr>
      </vt:variant>
      <vt:variant>
        <vt:i4>1769520</vt:i4>
      </vt:variant>
      <vt:variant>
        <vt:i4>446</vt:i4>
      </vt:variant>
      <vt:variant>
        <vt:i4>0</vt:i4>
      </vt:variant>
      <vt:variant>
        <vt:i4>5</vt:i4>
      </vt:variant>
      <vt:variant>
        <vt:lpwstr/>
      </vt:variant>
      <vt:variant>
        <vt:lpwstr>_Toc238628813</vt:lpwstr>
      </vt:variant>
      <vt:variant>
        <vt:i4>1769520</vt:i4>
      </vt:variant>
      <vt:variant>
        <vt:i4>440</vt:i4>
      </vt:variant>
      <vt:variant>
        <vt:i4>0</vt:i4>
      </vt:variant>
      <vt:variant>
        <vt:i4>5</vt:i4>
      </vt:variant>
      <vt:variant>
        <vt:lpwstr/>
      </vt:variant>
      <vt:variant>
        <vt:lpwstr>_Toc238628812</vt:lpwstr>
      </vt:variant>
      <vt:variant>
        <vt:i4>1769520</vt:i4>
      </vt:variant>
      <vt:variant>
        <vt:i4>434</vt:i4>
      </vt:variant>
      <vt:variant>
        <vt:i4>0</vt:i4>
      </vt:variant>
      <vt:variant>
        <vt:i4>5</vt:i4>
      </vt:variant>
      <vt:variant>
        <vt:lpwstr/>
      </vt:variant>
      <vt:variant>
        <vt:lpwstr>_Toc238628811</vt:lpwstr>
      </vt:variant>
      <vt:variant>
        <vt:i4>1769520</vt:i4>
      </vt:variant>
      <vt:variant>
        <vt:i4>428</vt:i4>
      </vt:variant>
      <vt:variant>
        <vt:i4>0</vt:i4>
      </vt:variant>
      <vt:variant>
        <vt:i4>5</vt:i4>
      </vt:variant>
      <vt:variant>
        <vt:lpwstr/>
      </vt:variant>
      <vt:variant>
        <vt:lpwstr>_Toc238628810</vt:lpwstr>
      </vt:variant>
      <vt:variant>
        <vt:i4>1703984</vt:i4>
      </vt:variant>
      <vt:variant>
        <vt:i4>422</vt:i4>
      </vt:variant>
      <vt:variant>
        <vt:i4>0</vt:i4>
      </vt:variant>
      <vt:variant>
        <vt:i4>5</vt:i4>
      </vt:variant>
      <vt:variant>
        <vt:lpwstr/>
      </vt:variant>
      <vt:variant>
        <vt:lpwstr>_Toc238628809</vt:lpwstr>
      </vt:variant>
      <vt:variant>
        <vt:i4>1703984</vt:i4>
      </vt:variant>
      <vt:variant>
        <vt:i4>416</vt:i4>
      </vt:variant>
      <vt:variant>
        <vt:i4>0</vt:i4>
      </vt:variant>
      <vt:variant>
        <vt:i4>5</vt:i4>
      </vt:variant>
      <vt:variant>
        <vt:lpwstr/>
      </vt:variant>
      <vt:variant>
        <vt:lpwstr>_Toc238628808</vt:lpwstr>
      </vt:variant>
      <vt:variant>
        <vt:i4>1703984</vt:i4>
      </vt:variant>
      <vt:variant>
        <vt:i4>410</vt:i4>
      </vt:variant>
      <vt:variant>
        <vt:i4>0</vt:i4>
      </vt:variant>
      <vt:variant>
        <vt:i4>5</vt:i4>
      </vt:variant>
      <vt:variant>
        <vt:lpwstr/>
      </vt:variant>
      <vt:variant>
        <vt:lpwstr>_Toc238628807</vt:lpwstr>
      </vt:variant>
      <vt:variant>
        <vt:i4>1703984</vt:i4>
      </vt:variant>
      <vt:variant>
        <vt:i4>404</vt:i4>
      </vt:variant>
      <vt:variant>
        <vt:i4>0</vt:i4>
      </vt:variant>
      <vt:variant>
        <vt:i4>5</vt:i4>
      </vt:variant>
      <vt:variant>
        <vt:lpwstr/>
      </vt:variant>
      <vt:variant>
        <vt:lpwstr>_Toc238628806</vt:lpwstr>
      </vt:variant>
      <vt:variant>
        <vt:i4>1703984</vt:i4>
      </vt:variant>
      <vt:variant>
        <vt:i4>398</vt:i4>
      </vt:variant>
      <vt:variant>
        <vt:i4>0</vt:i4>
      </vt:variant>
      <vt:variant>
        <vt:i4>5</vt:i4>
      </vt:variant>
      <vt:variant>
        <vt:lpwstr/>
      </vt:variant>
      <vt:variant>
        <vt:lpwstr>_Toc238628805</vt:lpwstr>
      </vt:variant>
      <vt:variant>
        <vt:i4>1703984</vt:i4>
      </vt:variant>
      <vt:variant>
        <vt:i4>392</vt:i4>
      </vt:variant>
      <vt:variant>
        <vt:i4>0</vt:i4>
      </vt:variant>
      <vt:variant>
        <vt:i4>5</vt:i4>
      </vt:variant>
      <vt:variant>
        <vt:lpwstr/>
      </vt:variant>
      <vt:variant>
        <vt:lpwstr>_Toc238628804</vt:lpwstr>
      </vt:variant>
      <vt:variant>
        <vt:i4>1703984</vt:i4>
      </vt:variant>
      <vt:variant>
        <vt:i4>386</vt:i4>
      </vt:variant>
      <vt:variant>
        <vt:i4>0</vt:i4>
      </vt:variant>
      <vt:variant>
        <vt:i4>5</vt:i4>
      </vt:variant>
      <vt:variant>
        <vt:lpwstr/>
      </vt:variant>
      <vt:variant>
        <vt:lpwstr>_Toc238628803</vt:lpwstr>
      </vt:variant>
      <vt:variant>
        <vt:i4>1703984</vt:i4>
      </vt:variant>
      <vt:variant>
        <vt:i4>380</vt:i4>
      </vt:variant>
      <vt:variant>
        <vt:i4>0</vt:i4>
      </vt:variant>
      <vt:variant>
        <vt:i4>5</vt:i4>
      </vt:variant>
      <vt:variant>
        <vt:lpwstr/>
      </vt:variant>
      <vt:variant>
        <vt:lpwstr>_Toc238628802</vt:lpwstr>
      </vt:variant>
      <vt:variant>
        <vt:i4>1703984</vt:i4>
      </vt:variant>
      <vt:variant>
        <vt:i4>374</vt:i4>
      </vt:variant>
      <vt:variant>
        <vt:i4>0</vt:i4>
      </vt:variant>
      <vt:variant>
        <vt:i4>5</vt:i4>
      </vt:variant>
      <vt:variant>
        <vt:lpwstr/>
      </vt:variant>
      <vt:variant>
        <vt:lpwstr>_Toc238628801</vt:lpwstr>
      </vt:variant>
      <vt:variant>
        <vt:i4>1703984</vt:i4>
      </vt:variant>
      <vt:variant>
        <vt:i4>368</vt:i4>
      </vt:variant>
      <vt:variant>
        <vt:i4>0</vt:i4>
      </vt:variant>
      <vt:variant>
        <vt:i4>5</vt:i4>
      </vt:variant>
      <vt:variant>
        <vt:lpwstr/>
      </vt:variant>
      <vt:variant>
        <vt:lpwstr>_Toc238628800</vt:lpwstr>
      </vt:variant>
      <vt:variant>
        <vt:i4>1245247</vt:i4>
      </vt:variant>
      <vt:variant>
        <vt:i4>362</vt:i4>
      </vt:variant>
      <vt:variant>
        <vt:i4>0</vt:i4>
      </vt:variant>
      <vt:variant>
        <vt:i4>5</vt:i4>
      </vt:variant>
      <vt:variant>
        <vt:lpwstr/>
      </vt:variant>
      <vt:variant>
        <vt:lpwstr>_Toc238628799</vt:lpwstr>
      </vt:variant>
      <vt:variant>
        <vt:i4>1245247</vt:i4>
      </vt:variant>
      <vt:variant>
        <vt:i4>356</vt:i4>
      </vt:variant>
      <vt:variant>
        <vt:i4>0</vt:i4>
      </vt:variant>
      <vt:variant>
        <vt:i4>5</vt:i4>
      </vt:variant>
      <vt:variant>
        <vt:lpwstr/>
      </vt:variant>
      <vt:variant>
        <vt:lpwstr>_Toc238628798</vt:lpwstr>
      </vt:variant>
      <vt:variant>
        <vt:i4>1245247</vt:i4>
      </vt:variant>
      <vt:variant>
        <vt:i4>350</vt:i4>
      </vt:variant>
      <vt:variant>
        <vt:i4>0</vt:i4>
      </vt:variant>
      <vt:variant>
        <vt:i4>5</vt:i4>
      </vt:variant>
      <vt:variant>
        <vt:lpwstr/>
      </vt:variant>
      <vt:variant>
        <vt:lpwstr>_Toc238628797</vt:lpwstr>
      </vt:variant>
      <vt:variant>
        <vt:i4>1245247</vt:i4>
      </vt:variant>
      <vt:variant>
        <vt:i4>344</vt:i4>
      </vt:variant>
      <vt:variant>
        <vt:i4>0</vt:i4>
      </vt:variant>
      <vt:variant>
        <vt:i4>5</vt:i4>
      </vt:variant>
      <vt:variant>
        <vt:lpwstr/>
      </vt:variant>
      <vt:variant>
        <vt:lpwstr>_Toc238628796</vt:lpwstr>
      </vt:variant>
      <vt:variant>
        <vt:i4>1245247</vt:i4>
      </vt:variant>
      <vt:variant>
        <vt:i4>338</vt:i4>
      </vt:variant>
      <vt:variant>
        <vt:i4>0</vt:i4>
      </vt:variant>
      <vt:variant>
        <vt:i4>5</vt:i4>
      </vt:variant>
      <vt:variant>
        <vt:lpwstr/>
      </vt:variant>
      <vt:variant>
        <vt:lpwstr>_Toc238628795</vt:lpwstr>
      </vt:variant>
      <vt:variant>
        <vt:i4>1245247</vt:i4>
      </vt:variant>
      <vt:variant>
        <vt:i4>332</vt:i4>
      </vt:variant>
      <vt:variant>
        <vt:i4>0</vt:i4>
      </vt:variant>
      <vt:variant>
        <vt:i4>5</vt:i4>
      </vt:variant>
      <vt:variant>
        <vt:lpwstr/>
      </vt:variant>
      <vt:variant>
        <vt:lpwstr>_Toc238628794</vt:lpwstr>
      </vt:variant>
      <vt:variant>
        <vt:i4>1245247</vt:i4>
      </vt:variant>
      <vt:variant>
        <vt:i4>326</vt:i4>
      </vt:variant>
      <vt:variant>
        <vt:i4>0</vt:i4>
      </vt:variant>
      <vt:variant>
        <vt:i4>5</vt:i4>
      </vt:variant>
      <vt:variant>
        <vt:lpwstr/>
      </vt:variant>
      <vt:variant>
        <vt:lpwstr>_Toc238628793</vt:lpwstr>
      </vt:variant>
      <vt:variant>
        <vt:i4>1245247</vt:i4>
      </vt:variant>
      <vt:variant>
        <vt:i4>320</vt:i4>
      </vt:variant>
      <vt:variant>
        <vt:i4>0</vt:i4>
      </vt:variant>
      <vt:variant>
        <vt:i4>5</vt:i4>
      </vt:variant>
      <vt:variant>
        <vt:lpwstr/>
      </vt:variant>
      <vt:variant>
        <vt:lpwstr>_Toc238628792</vt:lpwstr>
      </vt:variant>
      <vt:variant>
        <vt:i4>1245247</vt:i4>
      </vt:variant>
      <vt:variant>
        <vt:i4>314</vt:i4>
      </vt:variant>
      <vt:variant>
        <vt:i4>0</vt:i4>
      </vt:variant>
      <vt:variant>
        <vt:i4>5</vt:i4>
      </vt:variant>
      <vt:variant>
        <vt:lpwstr/>
      </vt:variant>
      <vt:variant>
        <vt:lpwstr>_Toc238628791</vt:lpwstr>
      </vt:variant>
      <vt:variant>
        <vt:i4>1245247</vt:i4>
      </vt:variant>
      <vt:variant>
        <vt:i4>308</vt:i4>
      </vt:variant>
      <vt:variant>
        <vt:i4>0</vt:i4>
      </vt:variant>
      <vt:variant>
        <vt:i4>5</vt:i4>
      </vt:variant>
      <vt:variant>
        <vt:lpwstr/>
      </vt:variant>
      <vt:variant>
        <vt:lpwstr>_Toc238628790</vt:lpwstr>
      </vt:variant>
      <vt:variant>
        <vt:i4>1179711</vt:i4>
      </vt:variant>
      <vt:variant>
        <vt:i4>302</vt:i4>
      </vt:variant>
      <vt:variant>
        <vt:i4>0</vt:i4>
      </vt:variant>
      <vt:variant>
        <vt:i4>5</vt:i4>
      </vt:variant>
      <vt:variant>
        <vt:lpwstr/>
      </vt:variant>
      <vt:variant>
        <vt:lpwstr>_Toc238628789</vt:lpwstr>
      </vt:variant>
      <vt:variant>
        <vt:i4>1179711</vt:i4>
      </vt:variant>
      <vt:variant>
        <vt:i4>296</vt:i4>
      </vt:variant>
      <vt:variant>
        <vt:i4>0</vt:i4>
      </vt:variant>
      <vt:variant>
        <vt:i4>5</vt:i4>
      </vt:variant>
      <vt:variant>
        <vt:lpwstr/>
      </vt:variant>
      <vt:variant>
        <vt:lpwstr>_Toc238628788</vt:lpwstr>
      </vt:variant>
      <vt:variant>
        <vt:i4>1179711</vt:i4>
      </vt:variant>
      <vt:variant>
        <vt:i4>290</vt:i4>
      </vt:variant>
      <vt:variant>
        <vt:i4>0</vt:i4>
      </vt:variant>
      <vt:variant>
        <vt:i4>5</vt:i4>
      </vt:variant>
      <vt:variant>
        <vt:lpwstr/>
      </vt:variant>
      <vt:variant>
        <vt:lpwstr>_Toc238628787</vt:lpwstr>
      </vt:variant>
      <vt:variant>
        <vt:i4>1179711</vt:i4>
      </vt:variant>
      <vt:variant>
        <vt:i4>284</vt:i4>
      </vt:variant>
      <vt:variant>
        <vt:i4>0</vt:i4>
      </vt:variant>
      <vt:variant>
        <vt:i4>5</vt:i4>
      </vt:variant>
      <vt:variant>
        <vt:lpwstr/>
      </vt:variant>
      <vt:variant>
        <vt:lpwstr>_Toc238628786</vt:lpwstr>
      </vt:variant>
      <vt:variant>
        <vt:i4>1179711</vt:i4>
      </vt:variant>
      <vt:variant>
        <vt:i4>278</vt:i4>
      </vt:variant>
      <vt:variant>
        <vt:i4>0</vt:i4>
      </vt:variant>
      <vt:variant>
        <vt:i4>5</vt:i4>
      </vt:variant>
      <vt:variant>
        <vt:lpwstr/>
      </vt:variant>
      <vt:variant>
        <vt:lpwstr>_Toc238628785</vt:lpwstr>
      </vt:variant>
      <vt:variant>
        <vt:i4>1179711</vt:i4>
      </vt:variant>
      <vt:variant>
        <vt:i4>272</vt:i4>
      </vt:variant>
      <vt:variant>
        <vt:i4>0</vt:i4>
      </vt:variant>
      <vt:variant>
        <vt:i4>5</vt:i4>
      </vt:variant>
      <vt:variant>
        <vt:lpwstr/>
      </vt:variant>
      <vt:variant>
        <vt:lpwstr>_Toc238628784</vt:lpwstr>
      </vt:variant>
      <vt:variant>
        <vt:i4>1179711</vt:i4>
      </vt:variant>
      <vt:variant>
        <vt:i4>266</vt:i4>
      </vt:variant>
      <vt:variant>
        <vt:i4>0</vt:i4>
      </vt:variant>
      <vt:variant>
        <vt:i4>5</vt:i4>
      </vt:variant>
      <vt:variant>
        <vt:lpwstr/>
      </vt:variant>
      <vt:variant>
        <vt:lpwstr>_Toc238628783</vt:lpwstr>
      </vt:variant>
      <vt:variant>
        <vt:i4>1179711</vt:i4>
      </vt:variant>
      <vt:variant>
        <vt:i4>260</vt:i4>
      </vt:variant>
      <vt:variant>
        <vt:i4>0</vt:i4>
      </vt:variant>
      <vt:variant>
        <vt:i4>5</vt:i4>
      </vt:variant>
      <vt:variant>
        <vt:lpwstr/>
      </vt:variant>
      <vt:variant>
        <vt:lpwstr>_Toc238628782</vt:lpwstr>
      </vt:variant>
      <vt:variant>
        <vt:i4>1179711</vt:i4>
      </vt:variant>
      <vt:variant>
        <vt:i4>254</vt:i4>
      </vt:variant>
      <vt:variant>
        <vt:i4>0</vt:i4>
      </vt:variant>
      <vt:variant>
        <vt:i4>5</vt:i4>
      </vt:variant>
      <vt:variant>
        <vt:lpwstr/>
      </vt:variant>
      <vt:variant>
        <vt:lpwstr>_Toc238628781</vt:lpwstr>
      </vt:variant>
      <vt:variant>
        <vt:i4>1179711</vt:i4>
      </vt:variant>
      <vt:variant>
        <vt:i4>248</vt:i4>
      </vt:variant>
      <vt:variant>
        <vt:i4>0</vt:i4>
      </vt:variant>
      <vt:variant>
        <vt:i4>5</vt:i4>
      </vt:variant>
      <vt:variant>
        <vt:lpwstr/>
      </vt:variant>
      <vt:variant>
        <vt:lpwstr>_Toc238628780</vt:lpwstr>
      </vt:variant>
      <vt:variant>
        <vt:i4>1900607</vt:i4>
      </vt:variant>
      <vt:variant>
        <vt:i4>242</vt:i4>
      </vt:variant>
      <vt:variant>
        <vt:i4>0</vt:i4>
      </vt:variant>
      <vt:variant>
        <vt:i4>5</vt:i4>
      </vt:variant>
      <vt:variant>
        <vt:lpwstr/>
      </vt:variant>
      <vt:variant>
        <vt:lpwstr>_Toc238628779</vt:lpwstr>
      </vt:variant>
      <vt:variant>
        <vt:i4>1900607</vt:i4>
      </vt:variant>
      <vt:variant>
        <vt:i4>236</vt:i4>
      </vt:variant>
      <vt:variant>
        <vt:i4>0</vt:i4>
      </vt:variant>
      <vt:variant>
        <vt:i4>5</vt:i4>
      </vt:variant>
      <vt:variant>
        <vt:lpwstr/>
      </vt:variant>
      <vt:variant>
        <vt:lpwstr>_Toc238628778</vt:lpwstr>
      </vt:variant>
      <vt:variant>
        <vt:i4>1900607</vt:i4>
      </vt:variant>
      <vt:variant>
        <vt:i4>230</vt:i4>
      </vt:variant>
      <vt:variant>
        <vt:i4>0</vt:i4>
      </vt:variant>
      <vt:variant>
        <vt:i4>5</vt:i4>
      </vt:variant>
      <vt:variant>
        <vt:lpwstr/>
      </vt:variant>
      <vt:variant>
        <vt:lpwstr>_Toc238628777</vt:lpwstr>
      </vt:variant>
      <vt:variant>
        <vt:i4>1900607</vt:i4>
      </vt:variant>
      <vt:variant>
        <vt:i4>224</vt:i4>
      </vt:variant>
      <vt:variant>
        <vt:i4>0</vt:i4>
      </vt:variant>
      <vt:variant>
        <vt:i4>5</vt:i4>
      </vt:variant>
      <vt:variant>
        <vt:lpwstr/>
      </vt:variant>
      <vt:variant>
        <vt:lpwstr>_Toc238628776</vt:lpwstr>
      </vt:variant>
      <vt:variant>
        <vt:i4>1900607</vt:i4>
      </vt:variant>
      <vt:variant>
        <vt:i4>218</vt:i4>
      </vt:variant>
      <vt:variant>
        <vt:i4>0</vt:i4>
      </vt:variant>
      <vt:variant>
        <vt:i4>5</vt:i4>
      </vt:variant>
      <vt:variant>
        <vt:lpwstr/>
      </vt:variant>
      <vt:variant>
        <vt:lpwstr>_Toc238628775</vt:lpwstr>
      </vt:variant>
      <vt:variant>
        <vt:i4>1900607</vt:i4>
      </vt:variant>
      <vt:variant>
        <vt:i4>212</vt:i4>
      </vt:variant>
      <vt:variant>
        <vt:i4>0</vt:i4>
      </vt:variant>
      <vt:variant>
        <vt:i4>5</vt:i4>
      </vt:variant>
      <vt:variant>
        <vt:lpwstr/>
      </vt:variant>
      <vt:variant>
        <vt:lpwstr>_Toc238628774</vt:lpwstr>
      </vt:variant>
      <vt:variant>
        <vt:i4>1900607</vt:i4>
      </vt:variant>
      <vt:variant>
        <vt:i4>206</vt:i4>
      </vt:variant>
      <vt:variant>
        <vt:i4>0</vt:i4>
      </vt:variant>
      <vt:variant>
        <vt:i4>5</vt:i4>
      </vt:variant>
      <vt:variant>
        <vt:lpwstr/>
      </vt:variant>
      <vt:variant>
        <vt:lpwstr>_Toc238628773</vt:lpwstr>
      </vt:variant>
      <vt:variant>
        <vt:i4>1900607</vt:i4>
      </vt:variant>
      <vt:variant>
        <vt:i4>200</vt:i4>
      </vt:variant>
      <vt:variant>
        <vt:i4>0</vt:i4>
      </vt:variant>
      <vt:variant>
        <vt:i4>5</vt:i4>
      </vt:variant>
      <vt:variant>
        <vt:lpwstr/>
      </vt:variant>
      <vt:variant>
        <vt:lpwstr>_Toc238628772</vt:lpwstr>
      </vt:variant>
      <vt:variant>
        <vt:i4>1900607</vt:i4>
      </vt:variant>
      <vt:variant>
        <vt:i4>194</vt:i4>
      </vt:variant>
      <vt:variant>
        <vt:i4>0</vt:i4>
      </vt:variant>
      <vt:variant>
        <vt:i4>5</vt:i4>
      </vt:variant>
      <vt:variant>
        <vt:lpwstr/>
      </vt:variant>
      <vt:variant>
        <vt:lpwstr>_Toc238628771</vt:lpwstr>
      </vt:variant>
      <vt:variant>
        <vt:i4>1900607</vt:i4>
      </vt:variant>
      <vt:variant>
        <vt:i4>188</vt:i4>
      </vt:variant>
      <vt:variant>
        <vt:i4>0</vt:i4>
      </vt:variant>
      <vt:variant>
        <vt:i4>5</vt:i4>
      </vt:variant>
      <vt:variant>
        <vt:lpwstr/>
      </vt:variant>
      <vt:variant>
        <vt:lpwstr>_Toc238628770</vt:lpwstr>
      </vt:variant>
      <vt:variant>
        <vt:i4>1835071</vt:i4>
      </vt:variant>
      <vt:variant>
        <vt:i4>182</vt:i4>
      </vt:variant>
      <vt:variant>
        <vt:i4>0</vt:i4>
      </vt:variant>
      <vt:variant>
        <vt:i4>5</vt:i4>
      </vt:variant>
      <vt:variant>
        <vt:lpwstr/>
      </vt:variant>
      <vt:variant>
        <vt:lpwstr>_Toc238628769</vt:lpwstr>
      </vt:variant>
      <vt:variant>
        <vt:i4>1835071</vt:i4>
      </vt:variant>
      <vt:variant>
        <vt:i4>176</vt:i4>
      </vt:variant>
      <vt:variant>
        <vt:i4>0</vt:i4>
      </vt:variant>
      <vt:variant>
        <vt:i4>5</vt:i4>
      </vt:variant>
      <vt:variant>
        <vt:lpwstr/>
      </vt:variant>
      <vt:variant>
        <vt:lpwstr>_Toc238628768</vt:lpwstr>
      </vt:variant>
      <vt:variant>
        <vt:i4>1835071</vt:i4>
      </vt:variant>
      <vt:variant>
        <vt:i4>170</vt:i4>
      </vt:variant>
      <vt:variant>
        <vt:i4>0</vt:i4>
      </vt:variant>
      <vt:variant>
        <vt:i4>5</vt:i4>
      </vt:variant>
      <vt:variant>
        <vt:lpwstr/>
      </vt:variant>
      <vt:variant>
        <vt:lpwstr>_Toc238628767</vt:lpwstr>
      </vt:variant>
      <vt:variant>
        <vt:i4>1835071</vt:i4>
      </vt:variant>
      <vt:variant>
        <vt:i4>164</vt:i4>
      </vt:variant>
      <vt:variant>
        <vt:i4>0</vt:i4>
      </vt:variant>
      <vt:variant>
        <vt:i4>5</vt:i4>
      </vt:variant>
      <vt:variant>
        <vt:lpwstr/>
      </vt:variant>
      <vt:variant>
        <vt:lpwstr>_Toc238628766</vt:lpwstr>
      </vt:variant>
      <vt:variant>
        <vt:i4>1835071</vt:i4>
      </vt:variant>
      <vt:variant>
        <vt:i4>158</vt:i4>
      </vt:variant>
      <vt:variant>
        <vt:i4>0</vt:i4>
      </vt:variant>
      <vt:variant>
        <vt:i4>5</vt:i4>
      </vt:variant>
      <vt:variant>
        <vt:lpwstr/>
      </vt:variant>
      <vt:variant>
        <vt:lpwstr>_Toc238628765</vt:lpwstr>
      </vt:variant>
      <vt:variant>
        <vt:i4>1835071</vt:i4>
      </vt:variant>
      <vt:variant>
        <vt:i4>152</vt:i4>
      </vt:variant>
      <vt:variant>
        <vt:i4>0</vt:i4>
      </vt:variant>
      <vt:variant>
        <vt:i4>5</vt:i4>
      </vt:variant>
      <vt:variant>
        <vt:lpwstr/>
      </vt:variant>
      <vt:variant>
        <vt:lpwstr>_Toc238628764</vt:lpwstr>
      </vt:variant>
      <vt:variant>
        <vt:i4>1835071</vt:i4>
      </vt:variant>
      <vt:variant>
        <vt:i4>146</vt:i4>
      </vt:variant>
      <vt:variant>
        <vt:i4>0</vt:i4>
      </vt:variant>
      <vt:variant>
        <vt:i4>5</vt:i4>
      </vt:variant>
      <vt:variant>
        <vt:lpwstr/>
      </vt:variant>
      <vt:variant>
        <vt:lpwstr>_Toc238628763</vt:lpwstr>
      </vt:variant>
      <vt:variant>
        <vt:i4>1835071</vt:i4>
      </vt:variant>
      <vt:variant>
        <vt:i4>140</vt:i4>
      </vt:variant>
      <vt:variant>
        <vt:i4>0</vt:i4>
      </vt:variant>
      <vt:variant>
        <vt:i4>5</vt:i4>
      </vt:variant>
      <vt:variant>
        <vt:lpwstr/>
      </vt:variant>
      <vt:variant>
        <vt:lpwstr>_Toc238628762</vt:lpwstr>
      </vt:variant>
      <vt:variant>
        <vt:i4>1835071</vt:i4>
      </vt:variant>
      <vt:variant>
        <vt:i4>134</vt:i4>
      </vt:variant>
      <vt:variant>
        <vt:i4>0</vt:i4>
      </vt:variant>
      <vt:variant>
        <vt:i4>5</vt:i4>
      </vt:variant>
      <vt:variant>
        <vt:lpwstr/>
      </vt:variant>
      <vt:variant>
        <vt:lpwstr>_Toc238628761</vt:lpwstr>
      </vt:variant>
      <vt:variant>
        <vt:i4>1835071</vt:i4>
      </vt:variant>
      <vt:variant>
        <vt:i4>128</vt:i4>
      </vt:variant>
      <vt:variant>
        <vt:i4>0</vt:i4>
      </vt:variant>
      <vt:variant>
        <vt:i4>5</vt:i4>
      </vt:variant>
      <vt:variant>
        <vt:lpwstr/>
      </vt:variant>
      <vt:variant>
        <vt:lpwstr>_Toc238628760</vt:lpwstr>
      </vt:variant>
      <vt:variant>
        <vt:i4>2031679</vt:i4>
      </vt:variant>
      <vt:variant>
        <vt:i4>122</vt:i4>
      </vt:variant>
      <vt:variant>
        <vt:i4>0</vt:i4>
      </vt:variant>
      <vt:variant>
        <vt:i4>5</vt:i4>
      </vt:variant>
      <vt:variant>
        <vt:lpwstr/>
      </vt:variant>
      <vt:variant>
        <vt:lpwstr>_Toc238628759</vt:lpwstr>
      </vt:variant>
      <vt:variant>
        <vt:i4>2031679</vt:i4>
      </vt:variant>
      <vt:variant>
        <vt:i4>116</vt:i4>
      </vt:variant>
      <vt:variant>
        <vt:i4>0</vt:i4>
      </vt:variant>
      <vt:variant>
        <vt:i4>5</vt:i4>
      </vt:variant>
      <vt:variant>
        <vt:lpwstr/>
      </vt:variant>
      <vt:variant>
        <vt:lpwstr>_Toc238628758</vt:lpwstr>
      </vt:variant>
      <vt:variant>
        <vt:i4>2031679</vt:i4>
      </vt:variant>
      <vt:variant>
        <vt:i4>110</vt:i4>
      </vt:variant>
      <vt:variant>
        <vt:i4>0</vt:i4>
      </vt:variant>
      <vt:variant>
        <vt:i4>5</vt:i4>
      </vt:variant>
      <vt:variant>
        <vt:lpwstr/>
      </vt:variant>
      <vt:variant>
        <vt:lpwstr>_Toc238628757</vt:lpwstr>
      </vt:variant>
      <vt:variant>
        <vt:i4>2031679</vt:i4>
      </vt:variant>
      <vt:variant>
        <vt:i4>104</vt:i4>
      </vt:variant>
      <vt:variant>
        <vt:i4>0</vt:i4>
      </vt:variant>
      <vt:variant>
        <vt:i4>5</vt:i4>
      </vt:variant>
      <vt:variant>
        <vt:lpwstr/>
      </vt:variant>
      <vt:variant>
        <vt:lpwstr>_Toc238628756</vt:lpwstr>
      </vt:variant>
      <vt:variant>
        <vt:i4>2031679</vt:i4>
      </vt:variant>
      <vt:variant>
        <vt:i4>98</vt:i4>
      </vt:variant>
      <vt:variant>
        <vt:i4>0</vt:i4>
      </vt:variant>
      <vt:variant>
        <vt:i4>5</vt:i4>
      </vt:variant>
      <vt:variant>
        <vt:lpwstr/>
      </vt:variant>
      <vt:variant>
        <vt:lpwstr>_Toc238628755</vt:lpwstr>
      </vt:variant>
      <vt:variant>
        <vt:i4>2031679</vt:i4>
      </vt:variant>
      <vt:variant>
        <vt:i4>92</vt:i4>
      </vt:variant>
      <vt:variant>
        <vt:i4>0</vt:i4>
      </vt:variant>
      <vt:variant>
        <vt:i4>5</vt:i4>
      </vt:variant>
      <vt:variant>
        <vt:lpwstr/>
      </vt:variant>
      <vt:variant>
        <vt:lpwstr>_Toc238628754</vt:lpwstr>
      </vt:variant>
      <vt:variant>
        <vt:i4>2031679</vt:i4>
      </vt:variant>
      <vt:variant>
        <vt:i4>86</vt:i4>
      </vt:variant>
      <vt:variant>
        <vt:i4>0</vt:i4>
      </vt:variant>
      <vt:variant>
        <vt:i4>5</vt:i4>
      </vt:variant>
      <vt:variant>
        <vt:lpwstr/>
      </vt:variant>
      <vt:variant>
        <vt:lpwstr>_Toc238628753</vt:lpwstr>
      </vt:variant>
      <vt:variant>
        <vt:i4>2031679</vt:i4>
      </vt:variant>
      <vt:variant>
        <vt:i4>80</vt:i4>
      </vt:variant>
      <vt:variant>
        <vt:i4>0</vt:i4>
      </vt:variant>
      <vt:variant>
        <vt:i4>5</vt:i4>
      </vt:variant>
      <vt:variant>
        <vt:lpwstr/>
      </vt:variant>
      <vt:variant>
        <vt:lpwstr>_Toc238628752</vt:lpwstr>
      </vt:variant>
      <vt:variant>
        <vt:i4>2031679</vt:i4>
      </vt:variant>
      <vt:variant>
        <vt:i4>74</vt:i4>
      </vt:variant>
      <vt:variant>
        <vt:i4>0</vt:i4>
      </vt:variant>
      <vt:variant>
        <vt:i4>5</vt:i4>
      </vt:variant>
      <vt:variant>
        <vt:lpwstr/>
      </vt:variant>
      <vt:variant>
        <vt:lpwstr>_Toc238628751</vt:lpwstr>
      </vt:variant>
      <vt:variant>
        <vt:i4>2031679</vt:i4>
      </vt:variant>
      <vt:variant>
        <vt:i4>68</vt:i4>
      </vt:variant>
      <vt:variant>
        <vt:i4>0</vt:i4>
      </vt:variant>
      <vt:variant>
        <vt:i4>5</vt:i4>
      </vt:variant>
      <vt:variant>
        <vt:lpwstr/>
      </vt:variant>
      <vt:variant>
        <vt:lpwstr>_Toc238628750</vt:lpwstr>
      </vt:variant>
      <vt:variant>
        <vt:i4>1966143</vt:i4>
      </vt:variant>
      <vt:variant>
        <vt:i4>62</vt:i4>
      </vt:variant>
      <vt:variant>
        <vt:i4>0</vt:i4>
      </vt:variant>
      <vt:variant>
        <vt:i4>5</vt:i4>
      </vt:variant>
      <vt:variant>
        <vt:lpwstr/>
      </vt:variant>
      <vt:variant>
        <vt:lpwstr>_Toc238628749</vt:lpwstr>
      </vt:variant>
      <vt:variant>
        <vt:i4>1966143</vt:i4>
      </vt:variant>
      <vt:variant>
        <vt:i4>56</vt:i4>
      </vt:variant>
      <vt:variant>
        <vt:i4>0</vt:i4>
      </vt:variant>
      <vt:variant>
        <vt:i4>5</vt:i4>
      </vt:variant>
      <vt:variant>
        <vt:lpwstr/>
      </vt:variant>
      <vt:variant>
        <vt:lpwstr>_Toc238628748</vt:lpwstr>
      </vt:variant>
      <vt:variant>
        <vt:i4>1966143</vt:i4>
      </vt:variant>
      <vt:variant>
        <vt:i4>50</vt:i4>
      </vt:variant>
      <vt:variant>
        <vt:i4>0</vt:i4>
      </vt:variant>
      <vt:variant>
        <vt:i4>5</vt:i4>
      </vt:variant>
      <vt:variant>
        <vt:lpwstr/>
      </vt:variant>
      <vt:variant>
        <vt:lpwstr>_Toc238628747</vt:lpwstr>
      </vt:variant>
      <vt:variant>
        <vt:i4>1966143</vt:i4>
      </vt:variant>
      <vt:variant>
        <vt:i4>44</vt:i4>
      </vt:variant>
      <vt:variant>
        <vt:i4>0</vt:i4>
      </vt:variant>
      <vt:variant>
        <vt:i4>5</vt:i4>
      </vt:variant>
      <vt:variant>
        <vt:lpwstr/>
      </vt:variant>
      <vt:variant>
        <vt:lpwstr>_Toc238628746</vt:lpwstr>
      </vt:variant>
      <vt:variant>
        <vt:i4>1966143</vt:i4>
      </vt:variant>
      <vt:variant>
        <vt:i4>38</vt:i4>
      </vt:variant>
      <vt:variant>
        <vt:i4>0</vt:i4>
      </vt:variant>
      <vt:variant>
        <vt:i4>5</vt:i4>
      </vt:variant>
      <vt:variant>
        <vt:lpwstr/>
      </vt:variant>
      <vt:variant>
        <vt:lpwstr>_Toc238628745</vt:lpwstr>
      </vt:variant>
      <vt:variant>
        <vt:i4>1966143</vt:i4>
      </vt:variant>
      <vt:variant>
        <vt:i4>32</vt:i4>
      </vt:variant>
      <vt:variant>
        <vt:i4>0</vt:i4>
      </vt:variant>
      <vt:variant>
        <vt:i4>5</vt:i4>
      </vt:variant>
      <vt:variant>
        <vt:lpwstr/>
      </vt:variant>
      <vt:variant>
        <vt:lpwstr>_Toc238628744</vt:lpwstr>
      </vt:variant>
      <vt:variant>
        <vt:i4>1966143</vt:i4>
      </vt:variant>
      <vt:variant>
        <vt:i4>26</vt:i4>
      </vt:variant>
      <vt:variant>
        <vt:i4>0</vt:i4>
      </vt:variant>
      <vt:variant>
        <vt:i4>5</vt:i4>
      </vt:variant>
      <vt:variant>
        <vt:lpwstr/>
      </vt:variant>
      <vt:variant>
        <vt:lpwstr>_Toc238628743</vt:lpwstr>
      </vt:variant>
      <vt:variant>
        <vt:i4>1966143</vt:i4>
      </vt:variant>
      <vt:variant>
        <vt:i4>20</vt:i4>
      </vt:variant>
      <vt:variant>
        <vt:i4>0</vt:i4>
      </vt:variant>
      <vt:variant>
        <vt:i4>5</vt:i4>
      </vt:variant>
      <vt:variant>
        <vt:lpwstr/>
      </vt:variant>
      <vt:variant>
        <vt:lpwstr>_Toc238628742</vt:lpwstr>
      </vt:variant>
      <vt:variant>
        <vt:i4>1966143</vt:i4>
      </vt:variant>
      <vt:variant>
        <vt:i4>14</vt:i4>
      </vt:variant>
      <vt:variant>
        <vt:i4>0</vt:i4>
      </vt:variant>
      <vt:variant>
        <vt:i4>5</vt:i4>
      </vt:variant>
      <vt:variant>
        <vt:lpwstr/>
      </vt:variant>
      <vt:variant>
        <vt:lpwstr>_Toc238628741</vt:lpwstr>
      </vt:variant>
      <vt:variant>
        <vt:i4>1966143</vt:i4>
      </vt:variant>
      <vt:variant>
        <vt:i4>8</vt:i4>
      </vt:variant>
      <vt:variant>
        <vt:i4>0</vt:i4>
      </vt:variant>
      <vt:variant>
        <vt:i4>5</vt:i4>
      </vt:variant>
      <vt:variant>
        <vt:lpwstr/>
      </vt:variant>
      <vt:variant>
        <vt:lpwstr>_Toc238628740</vt:lpwstr>
      </vt:variant>
      <vt:variant>
        <vt:i4>1638463</vt:i4>
      </vt:variant>
      <vt:variant>
        <vt:i4>2</vt:i4>
      </vt:variant>
      <vt:variant>
        <vt:i4>0</vt:i4>
      </vt:variant>
      <vt:variant>
        <vt:i4>5</vt:i4>
      </vt:variant>
      <vt:variant>
        <vt:lpwstr/>
      </vt:variant>
      <vt:variant>
        <vt:lpwstr>_Toc238628739</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DELL</dc:creator>
  <cp:keywords/>
  <dc:description/>
  <cp:lastModifiedBy>Microsoft account</cp:lastModifiedBy>
  <cp:revision>7</cp:revision>
  <cp:lastPrinted>2026-08-18T10:16:00Z</cp:lastPrinted>
  <dcterms:created xsi:type="dcterms:W3CDTF">2026-08-26T09:24:00Z</dcterms:created>
  <dcterms:modified xsi:type="dcterms:W3CDTF">2026-08-26T09:39:00Z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be44c7a0-6a48-4947-b445-b24f3070825a</vt:lpwstr>
  </property>
</Properties>
</file>