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CFC1A" w14:textId="34F5C56C" w:rsidR="006D5DC2" w:rsidRPr="00C838B2" w:rsidRDefault="00C838B2" w:rsidP="00C838B2">
      <w:pPr>
        <w:jc w:val="center"/>
        <w:rPr>
          <w:sz w:val="24"/>
          <w:szCs w:val="24"/>
        </w:rPr>
      </w:pPr>
      <w:r w:rsidRPr="00C838B2">
        <w:rPr>
          <w:b/>
          <w:sz w:val="24"/>
          <w:szCs w:val="24"/>
          <w:u w:val="single"/>
        </w:rPr>
        <w:t xml:space="preserve">Reflective Report: </w:t>
      </w:r>
      <w:r w:rsidR="00FC738C">
        <w:rPr>
          <w:b/>
          <w:sz w:val="24"/>
          <w:szCs w:val="24"/>
          <w:u w:val="single"/>
        </w:rPr>
        <w:t>Religion over t</w:t>
      </w:r>
      <w:r w:rsidR="006D5DC2" w:rsidRPr="00C838B2">
        <w:rPr>
          <w:b/>
          <w:sz w:val="24"/>
          <w:szCs w:val="24"/>
          <w:u w:val="single"/>
        </w:rPr>
        <w:t>ime in Thessaloniki</w:t>
      </w:r>
    </w:p>
    <w:p w14:paraId="73407C23" w14:textId="77777777" w:rsidR="00393C5B" w:rsidRDefault="006D5DC2" w:rsidP="00895C11">
      <w:pPr>
        <w:jc w:val="both"/>
        <w:rPr>
          <w:sz w:val="24"/>
          <w:szCs w:val="24"/>
        </w:rPr>
      </w:pPr>
      <w:r>
        <w:rPr>
          <w:sz w:val="24"/>
          <w:szCs w:val="24"/>
        </w:rPr>
        <w:t xml:space="preserve">“Archaeologists date the founding of Thessaloniki from 315BC, when Cassandros united 26 small settlements of the region around the core settlement </w:t>
      </w:r>
      <w:r w:rsidR="00352D9A">
        <w:rPr>
          <w:sz w:val="24"/>
          <w:szCs w:val="24"/>
        </w:rPr>
        <w:t>of Therm</w:t>
      </w:r>
      <w:r w:rsidR="00F377AE">
        <w:rPr>
          <w:sz w:val="24"/>
          <w:szCs w:val="24"/>
        </w:rPr>
        <w:t>e</w:t>
      </w:r>
      <w:r>
        <w:rPr>
          <w:sz w:val="24"/>
          <w:szCs w:val="24"/>
        </w:rPr>
        <w:t>, known since the sixth century BC”.</w:t>
      </w:r>
      <w:r>
        <w:rPr>
          <w:rStyle w:val="FootnoteReference"/>
          <w:sz w:val="24"/>
          <w:szCs w:val="24"/>
        </w:rPr>
        <w:footnoteReference w:id="1"/>
      </w:r>
      <w:r w:rsidR="00F958CC">
        <w:rPr>
          <w:sz w:val="24"/>
          <w:szCs w:val="24"/>
        </w:rPr>
        <w:t xml:space="preserve"> Quote from Dimitriadis.</w:t>
      </w:r>
    </w:p>
    <w:p w14:paraId="244A8D39" w14:textId="79833580" w:rsidR="007F4768" w:rsidRDefault="007F4768" w:rsidP="00895C11">
      <w:pPr>
        <w:jc w:val="both"/>
        <w:rPr>
          <w:sz w:val="24"/>
          <w:szCs w:val="24"/>
        </w:rPr>
      </w:pPr>
      <w:r w:rsidRPr="007F4768">
        <w:rPr>
          <w:noProof/>
          <w:sz w:val="24"/>
          <w:szCs w:val="24"/>
          <w:lang w:eastAsia="en-GB"/>
        </w:rPr>
        <mc:AlternateContent>
          <mc:Choice Requires="wps">
            <w:drawing>
              <wp:anchor distT="45720" distB="45720" distL="114300" distR="114300" simplePos="0" relativeHeight="251663360" behindDoc="0" locked="0" layoutInCell="1" allowOverlap="1" wp14:anchorId="3EBF3030" wp14:editId="473F2F5F">
                <wp:simplePos x="0" y="0"/>
                <wp:positionH relativeFrom="margin">
                  <wp:posOffset>3438525</wp:posOffset>
                </wp:positionH>
                <wp:positionV relativeFrom="paragraph">
                  <wp:posOffset>2852420</wp:posOffset>
                </wp:positionV>
                <wp:extent cx="2533650" cy="177165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3650" cy="1771650"/>
                        </a:xfrm>
                        <a:prstGeom prst="rect">
                          <a:avLst/>
                        </a:prstGeom>
                        <a:solidFill>
                          <a:srgbClr val="FFFFFF"/>
                        </a:solidFill>
                        <a:ln w="9525">
                          <a:solidFill>
                            <a:srgbClr val="000000"/>
                          </a:solidFill>
                          <a:miter lim="800000"/>
                          <a:headEnd/>
                          <a:tailEnd/>
                        </a:ln>
                      </wps:spPr>
                      <wps:txbx>
                        <w:txbxContent>
                          <w:p w14:paraId="361F9B13" w14:textId="6763F563" w:rsidR="007F4768" w:rsidRDefault="007F4768">
                            <w:r>
                              <w:t xml:space="preserve">Picture of the Rotunda at the Galerius Complex in Thessaloniki. Different religious influences are clearly visible on this building, Greco-Roman, Byzantine and Islamic. </w:t>
                            </w:r>
                          </w:p>
                          <w:p w14:paraId="20389C05" w14:textId="36C624D6" w:rsidR="007F4768" w:rsidRDefault="007F4768">
                            <w:r>
                              <w:t xml:space="preserve">Image from: </w:t>
                            </w:r>
                          </w:p>
                          <w:p w14:paraId="00C9BE72" w14:textId="3B41F894" w:rsidR="007F4768" w:rsidRDefault="007F4768">
                            <w:hyperlink r:id="rId8" w:history="1">
                              <w:r w:rsidRPr="00C01A49">
                                <w:rPr>
                                  <w:rStyle w:val="Hyperlink"/>
                                </w:rPr>
                                <w:t>https://en.unesco.org/</w:t>
                              </w:r>
                            </w:hyperlink>
                            <w:r>
                              <w:t xml:space="preserve"> Date Accessed: 24/04/2018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BF3030" id="_x0000_t202" coordsize="21600,21600" o:spt="202" path="m,l,21600r21600,l21600,xe">
                <v:stroke joinstyle="miter"/>
                <v:path gradientshapeok="t" o:connecttype="rect"/>
              </v:shapetype>
              <v:shape id="Text Box 2" o:spid="_x0000_s1026" type="#_x0000_t202" style="position:absolute;left:0;text-align:left;margin-left:270.75pt;margin-top:224.6pt;width:199.5pt;height:139.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">
                <v:textbox>
                  <w:txbxContent>
                    <w:p w14:paraId="361F9B13" w14:textId="6763F563" w:rsidR="007F4768" w:rsidRDefault="007F4768">
                      <w:r>
                        <w:t xml:space="preserve">Picture of the Rotunda at the Galerius Complex in Thessaloniki. Different religious influences are clearly visible on this building, Greco-Roman, Byzantine and Islamic. </w:t>
                      </w:r>
                    </w:p>
                    <w:p w14:paraId="20389C05" w14:textId="36C624D6" w:rsidR="007F4768" w:rsidRDefault="007F4768">
                      <w:r>
                        <w:t xml:space="preserve">Image from: </w:t>
                      </w:r>
                    </w:p>
                    <w:p w14:paraId="00C9BE72" w14:textId="3B41F894" w:rsidR="007F4768" w:rsidRDefault="007F4768">
                      <w:hyperlink r:id="rId9" w:history="1">
                        <w:r w:rsidRPr="00C01A49">
                          <w:rPr>
                            <w:rStyle w:val="Hyperlink"/>
                          </w:rPr>
                          <w:t>https://en.unesco.org/</w:t>
                        </w:r>
                      </w:hyperlink>
                      <w:r>
                        <w:t xml:space="preserve"> Date Accessed: 24/04/2018</w:t>
                      </w:r>
                    </w:p>
                  </w:txbxContent>
                </v:textbox>
                <w10:wrap type="square" anchorx="margin"/>
              </v:shape>
            </w:pict>
          </mc:Fallback>
        </mc:AlternateContent>
      </w:r>
      <w:r w:rsidR="00FA0BF7">
        <w:rPr>
          <w:sz w:val="24"/>
          <w:szCs w:val="24"/>
        </w:rPr>
        <w:t xml:space="preserve">Before visiting Thessaloniki my expectations of the impact of religion upon the preservation of </w:t>
      </w:r>
      <w:r w:rsidR="00EA516B">
        <w:rPr>
          <w:sz w:val="24"/>
          <w:szCs w:val="24"/>
        </w:rPr>
        <w:t>h</w:t>
      </w:r>
      <w:r w:rsidR="00FA0BF7">
        <w:rPr>
          <w:sz w:val="24"/>
          <w:szCs w:val="24"/>
        </w:rPr>
        <w:t xml:space="preserve">eritage sites had been that changes in religion would have affected the recovery of more ancient finds. I based this expectation from my research </w:t>
      </w:r>
      <w:r w:rsidR="0097702D">
        <w:rPr>
          <w:sz w:val="24"/>
          <w:szCs w:val="24"/>
        </w:rPr>
        <w:t>from the</w:t>
      </w:r>
      <w:r w:rsidR="00E13554">
        <w:rPr>
          <w:sz w:val="24"/>
          <w:szCs w:val="24"/>
        </w:rPr>
        <w:t xml:space="preserve"> Meskell</w:t>
      </w:r>
      <w:r w:rsidR="002C36C4">
        <w:rPr>
          <w:sz w:val="24"/>
          <w:szCs w:val="24"/>
        </w:rPr>
        <w:t>’s</w:t>
      </w:r>
      <w:r w:rsidR="0097702D">
        <w:rPr>
          <w:sz w:val="24"/>
          <w:szCs w:val="24"/>
        </w:rPr>
        <w:t xml:space="preserve"> </w:t>
      </w:r>
      <w:r w:rsidR="0097702D" w:rsidRPr="00E13554">
        <w:rPr>
          <w:i/>
          <w:sz w:val="24"/>
          <w:szCs w:val="24"/>
        </w:rPr>
        <w:t>Nationalism under Fire</w:t>
      </w:r>
      <w:r w:rsidR="00E13554">
        <w:rPr>
          <w:sz w:val="24"/>
          <w:szCs w:val="24"/>
        </w:rPr>
        <w:t>, in which it explained that religion could play a role in damage to antiquities</w:t>
      </w:r>
      <w:r w:rsidR="002C36C4">
        <w:rPr>
          <w:sz w:val="24"/>
          <w:szCs w:val="24"/>
        </w:rPr>
        <w:t xml:space="preserve"> due to religious culture clashes.</w:t>
      </w:r>
      <w:r w:rsidR="002C36C4">
        <w:rPr>
          <w:rStyle w:val="FootnoteReference"/>
          <w:sz w:val="24"/>
          <w:szCs w:val="24"/>
        </w:rPr>
        <w:footnoteReference w:id="2"/>
      </w:r>
      <w:r w:rsidR="002C36C4">
        <w:rPr>
          <w:sz w:val="24"/>
          <w:szCs w:val="24"/>
        </w:rPr>
        <w:t xml:space="preserve"> Multitudes</w:t>
      </w:r>
      <w:r w:rsidR="00352D9A">
        <w:rPr>
          <w:sz w:val="24"/>
          <w:szCs w:val="24"/>
        </w:rPr>
        <w:t xml:space="preserve"> of famed classical leaders appear at Therme. Herodotus recalls that “Xerxes had made camp and launched most of his campaign when he landed in Greece from Therma”.</w:t>
      </w:r>
      <w:r w:rsidR="00352D9A">
        <w:rPr>
          <w:rStyle w:val="FootnoteReference"/>
          <w:sz w:val="24"/>
          <w:szCs w:val="24"/>
        </w:rPr>
        <w:footnoteReference w:id="3"/>
      </w:r>
      <w:r w:rsidR="00352D9A">
        <w:rPr>
          <w:sz w:val="24"/>
          <w:szCs w:val="24"/>
        </w:rPr>
        <w:t xml:space="preserve"> This displays the uniqueness of Thessaloniki as </w:t>
      </w:r>
      <w:r w:rsidR="00E6308F">
        <w:rPr>
          <w:sz w:val="24"/>
          <w:szCs w:val="24"/>
        </w:rPr>
        <w:t xml:space="preserve">throughout its history it has </w:t>
      </w:r>
      <w:r w:rsidR="00352D9A">
        <w:rPr>
          <w:sz w:val="24"/>
          <w:szCs w:val="24"/>
        </w:rPr>
        <w:t xml:space="preserve">had various different religions and ethnicities visiting and leaving parts of their religious heritage behind. </w:t>
      </w:r>
      <w:r w:rsidR="00C838B2">
        <w:rPr>
          <w:sz w:val="24"/>
          <w:szCs w:val="24"/>
        </w:rPr>
        <w:t>Some</w:t>
      </w:r>
      <w:r w:rsidR="007A0063">
        <w:rPr>
          <w:sz w:val="24"/>
          <w:szCs w:val="24"/>
        </w:rPr>
        <w:t xml:space="preserve">thing I had not previously considered before visiting Thessaloniki. On reflection in ancient literary sources such as Herodotus, there is a strong association of Thermae and the later Thessaloniki with </w:t>
      </w:r>
      <w:r w:rsidR="00EA516B">
        <w:rPr>
          <w:sz w:val="24"/>
          <w:szCs w:val="24"/>
        </w:rPr>
        <w:t>classical and H</w:t>
      </w:r>
      <w:r w:rsidR="007A0063">
        <w:rPr>
          <w:sz w:val="24"/>
          <w:szCs w:val="24"/>
        </w:rPr>
        <w:t>ellenistic figures such as King Phillip II.</w:t>
      </w:r>
      <w:r w:rsidR="007A0063">
        <w:rPr>
          <w:rStyle w:val="FootnoteReference"/>
          <w:sz w:val="24"/>
          <w:szCs w:val="24"/>
        </w:rPr>
        <w:footnoteReference w:id="4"/>
      </w:r>
      <w:r w:rsidR="007A0063">
        <w:rPr>
          <w:sz w:val="24"/>
          <w:szCs w:val="24"/>
        </w:rPr>
        <w:t xml:space="preserve"> </w:t>
      </w:r>
      <w:r w:rsidR="00EA516B">
        <w:rPr>
          <w:sz w:val="24"/>
          <w:szCs w:val="24"/>
        </w:rPr>
        <w:t>The Rotunda in the Galerius</w:t>
      </w:r>
      <w:r w:rsidR="002C36C4">
        <w:rPr>
          <w:sz w:val="24"/>
          <w:szCs w:val="24"/>
        </w:rPr>
        <w:t xml:space="preserve"> complex also stands as a reminder that different religions have </w:t>
      </w:r>
      <w:r>
        <w:rPr>
          <w:sz w:val="24"/>
          <w:szCs w:val="24"/>
        </w:rPr>
        <w:t>used the religious buildings for advancing their own faith.</w:t>
      </w:r>
    </w:p>
    <w:p w14:paraId="1F1049FE" w14:textId="4FFB2AB6" w:rsidR="0071785E" w:rsidRDefault="007F4768" w:rsidP="00895C11">
      <w:pPr>
        <w:jc w:val="both"/>
        <w:rPr>
          <w:sz w:val="24"/>
          <w:szCs w:val="24"/>
        </w:rPr>
      </w:pPr>
      <w:r>
        <w:rPr>
          <w:noProof/>
          <w:lang w:eastAsia="en-GB"/>
        </w:rPr>
        <w:drawing>
          <wp:anchor distT="0" distB="0" distL="114300" distR="114300" simplePos="0" relativeHeight="251661312" behindDoc="1" locked="0" layoutInCell="1" allowOverlap="1" wp14:anchorId="14B300C8" wp14:editId="618B1FF7">
            <wp:simplePos x="0" y="0"/>
            <wp:positionH relativeFrom="margin">
              <wp:align>left</wp:align>
            </wp:positionH>
            <wp:positionV relativeFrom="paragraph">
              <wp:posOffset>-1905</wp:posOffset>
            </wp:positionV>
            <wp:extent cx="3390900" cy="1752600"/>
            <wp:effectExtent l="0" t="0" r="0" b="0"/>
            <wp:wrapTight wrapText="bothSides">
              <wp:wrapPolygon edited="0">
                <wp:start x="0" y="0"/>
                <wp:lineTo x="0" y="21365"/>
                <wp:lineTo x="21479" y="21365"/>
                <wp:lineTo x="21479" y="0"/>
                <wp:lineTo x="0" y="0"/>
              </wp:wrapPolygon>
            </wp:wrapTight>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90900" cy="1752600"/>
                    </a:xfrm>
                    <a:prstGeom prst="rect">
                      <a:avLst/>
                    </a:prstGeom>
                    <a:noFill/>
                    <a:ln>
                      <a:noFill/>
                    </a:ln>
                  </pic:spPr>
                </pic:pic>
              </a:graphicData>
            </a:graphic>
            <wp14:sizeRelH relativeFrom="page">
              <wp14:pctWidth>0</wp14:pctWidth>
            </wp14:sizeRelH>
            <wp14:sizeRelV relativeFrom="page">
              <wp14:pctHeight>0</wp14:pctHeight>
            </wp14:sizeRelV>
          </wp:anchor>
        </w:drawing>
      </w:r>
      <w:r w:rsidR="00753F88">
        <w:rPr>
          <w:sz w:val="24"/>
          <w:szCs w:val="24"/>
        </w:rPr>
        <w:t>Across Thessaloniki the theme of religion and its importance is evident across multitudes of Hellenistic and Roman sites.  The preservation of the ancient history of Thessaloniki’s ancient sites, dated from 315BC-4</w:t>
      </w:r>
      <w:r w:rsidR="00753F88" w:rsidRPr="00753F88">
        <w:rPr>
          <w:sz w:val="24"/>
          <w:szCs w:val="24"/>
          <w:vertAlign w:val="superscript"/>
        </w:rPr>
        <w:t>th</w:t>
      </w:r>
      <w:r w:rsidR="00753F88">
        <w:rPr>
          <w:sz w:val="24"/>
          <w:szCs w:val="24"/>
        </w:rPr>
        <w:t xml:space="preserve"> century AD.</w:t>
      </w:r>
      <w:r w:rsidR="00F958CC">
        <w:rPr>
          <w:rStyle w:val="FootnoteReference"/>
          <w:sz w:val="24"/>
          <w:szCs w:val="24"/>
        </w:rPr>
        <w:footnoteReference w:id="5"/>
      </w:r>
      <w:r w:rsidR="00EA516B">
        <w:rPr>
          <w:sz w:val="24"/>
          <w:szCs w:val="24"/>
        </w:rPr>
        <w:t xml:space="preserve"> Has relied solely on t</w:t>
      </w:r>
      <w:r w:rsidR="00753F88">
        <w:rPr>
          <w:sz w:val="24"/>
          <w:szCs w:val="24"/>
        </w:rPr>
        <w:t xml:space="preserve">he Eastern Roman Empire’s continued usage of the Roman sites with the Byzantine era of revival of these heritage sites. </w:t>
      </w:r>
      <w:r w:rsidR="004F35B0">
        <w:rPr>
          <w:sz w:val="24"/>
          <w:szCs w:val="24"/>
        </w:rPr>
        <w:t xml:space="preserve">The main transitions between </w:t>
      </w:r>
      <w:r w:rsidR="004843CD">
        <w:rPr>
          <w:sz w:val="24"/>
          <w:szCs w:val="24"/>
        </w:rPr>
        <w:t>religions</w:t>
      </w:r>
      <w:r w:rsidR="00F377AE">
        <w:rPr>
          <w:sz w:val="24"/>
          <w:szCs w:val="24"/>
        </w:rPr>
        <w:t>, these being Greco-Roman-Byzantine-Islamic</w:t>
      </w:r>
      <w:r w:rsidR="00015FD1">
        <w:rPr>
          <w:sz w:val="24"/>
          <w:szCs w:val="24"/>
        </w:rPr>
        <w:t>. A</w:t>
      </w:r>
      <w:r w:rsidR="004F35B0">
        <w:rPr>
          <w:sz w:val="24"/>
          <w:szCs w:val="24"/>
        </w:rPr>
        <w:t>re notice</w:t>
      </w:r>
      <w:r w:rsidR="00E6308F">
        <w:rPr>
          <w:sz w:val="24"/>
          <w:szCs w:val="24"/>
        </w:rPr>
        <w:t>able amongst sites such as the A</w:t>
      </w:r>
      <w:r w:rsidR="004F35B0">
        <w:rPr>
          <w:sz w:val="24"/>
          <w:szCs w:val="24"/>
        </w:rPr>
        <w:t>gios Demetrios wherein the initial religious significance was Greco-Roman Paganism</w:t>
      </w:r>
      <w:r w:rsidR="004843CD">
        <w:rPr>
          <w:sz w:val="24"/>
          <w:szCs w:val="24"/>
        </w:rPr>
        <w:t>-early Christian era</w:t>
      </w:r>
      <w:r w:rsidR="004F35B0">
        <w:rPr>
          <w:sz w:val="24"/>
          <w:szCs w:val="24"/>
        </w:rPr>
        <w:t xml:space="preserve">, changed into </w:t>
      </w:r>
      <w:r w:rsidR="004843CD">
        <w:rPr>
          <w:sz w:val="24"/>
          <w:szCs w:val="24"/>
        </w:rPr>
        <w:t>Byzantine Church.</w:t>
      </w:r>
      <w:r w:rsidR="00E6308F">
        <w:rPr>
          <w:sz w:val="24"/>
          <w:szCs w:val="24"/>
        </w:rPr>
        <w:t xml:space="preserve"> Agios Demetrios was originall</w:t>
      </w:r>
      <w:r w:rsidR="007A0063">
        <w:rPr>
          <w:sz w:val="24"/>
          <w:szCs w:val="24"/>
        </w:rPr>
        <w:t>y built in the fifth century AD</w:t>
      </w:r>
      <w:r w:rsidR="007A0063" w:rsidRPr="007A0063">
        <w:rPr>
          <w:rFonts w:cstheme="minorHAnsi"/>
          <w:color w:val="000000" w:themeColor="text1"/>
          <w:sz w:val="24"/>
          <w:szCs w:val="24"/>
        </w:rPr>
        <w:t xml:space="preserve"> </w:t>
      </w:r>
      <w:r w:rsidR="007A0063" w:rsidRPr="00895C11">
        <w:rPr>
          <w:rFonts w:cstheme="minorHAnsi"/>
          <w:color w:val="000000" w:themeColor="text1"/>
          <w:sz w:val="24"/>
          <w:szCs w:val="24"/>
        </w:rPr>
        <w:t>Mantopoulou-Panagiotopoulou</w:t>
      </w:r>
      <w:r w:rsidR="007A0063">
        <w:rPr>
          <w:rFonts w:cstheme="minorHAnsi"/>
          <w:color w:val="000000" w:themeColor="text1"/>
          <w:sz w:val="24"/>
          <w:szCs w:val="24"/>
        </w:rPr>
        <w:t xml:space="preserve"> stated that </w:t>
      </w:r>
      <w:r w:rsidR="00E6308F">
        <w:rPr>
          <w:sz w:val="24"/>
          <w:szCs w:val="24"/>
        </w:rPr>
        <w:t xml:space="preserve"> </w:t>
      </w:r>
      <w:r w:rsidR="003D401C">
        <w:rPr>
          <w:sz w:val="24"/>
          <w:szCs w:val="24"/>
        </w:rPr>
        <w:t>“</w:t>
      </w:r>
      <w:r w:rsidR="00E6308F">
        <w:rPr>
          <w:sz w:val="24"/>
          <w:szCs w:val="24"/>
        </w:rPr>
        <w:t>the instigation of Eparch Leontios after his miraculous healin</w:t>
      </w:r>
      <w:r w:rsidR="003D401C">
        <w:rPr>
          <w:sz w:val="24"/>
          <w:szCs w:val="24"/>
        </w:rPr>
        <w:t xml:space="preserve">g by the saint and </w:t>
      </w:r>
      <w:r w:rsidR="00E6308F">
        <w:rPr>
          <w:sz w:val="24"/>
          <w:szCs w:val="24"/>
        </w:rPr>
        <w:t>was extensively re-built in the 7</w:t>
      </w:r>
      <w:r w:rsidR="00E6308F" w:rsidRPr="00E6308F">
        <w:rPr>
          <w:sz w:val="24"/>
          <w:szCs w:val="24"/>
          <w:vertAlign w:val="superscript"/>
        </w:rPr>
        <w:t>th</w:t>
      </w:r>
      <w:r w:rsidR="00E6308F">
        <w:rPr>
          <w:sz w:val="24"/>
          <w:szCs w:val="24"/>
        </w:rPr>
        <w:t xml:space="preserve"> century AD </w:t>
      </w:r>
      <w:r w:rsidR="00E6308F">
        <w:rPr>
          <w:sz w:val="24"/>
          <w:szCs w:val="24"/>
        </w:rPr>
        <w:lastRenderedPageBreak/>
        <w:t>after the catastrophic fire of 629-634 under the supervision of Bishop John of Thessalonika”.</w:t>
      </w:r>
      <w:r w:rsidR="00E6308F">
        <w:rPr>
          <w:rStyle w:val="FootnoteReference"/>
          <w:sz w:val="24"/>
          <w:szCs w:val="24"/>
        </w:rPr>
        <w:footnoteReference w:id="6"/>
      </w:r>
      <w:r w:rsidR="004843CD">
        <w:rPr>
          <w:sz w:val="24"/>
          <w:szCs w:val="24"/>
        </w:rPr>
        <w:t xml:space="preserve"> The elaborate mosaics depicting the </w:t>
      </w:r>
      <w:r w:rsidR="00DE4F10">
        <w:rPr>
          <w:sz w:val="24"/>
          <w:szCs w:val="24"/>
        </w:rPr>
        <w:t xml:space="preserve">saints </w:t>
      </w:r>
      <w:r w:rsidR="004843CD">
        <w:rPr>
          <w:sz w:val="24"/>
          <w:szCs w:val="24"/>
        </w:rPr>
        <w:t xml:space="preserve">as well as golden altars and </w:t>
      </w:r>
      <w:r w:rsidR="00015FD1">
        <w:rPr>
          <w:sz w:val="24"/>
          <w:szCs w:val="24"/>
        </w:rPr>
        <w:t>cloister pres</w:t>
      </w:r>
      <w:r w:rsidR="00EA516B">
        <w:rPr>
          <w:sz w:val="24"/>
          <w:szCs w:val="24"/>
        </w:rPr>
        <w:t>erved the original Greco-Roman m</w:t>
      </w:r>
      <w:r w:rsidR="00015FD1">
        <w:rPr>
          <w:sz w:val="24"/>
          <w:szCs w:val="24"/>
        </w:rPr>
        <w:t>osaics that survived defa</w:t>
      </w:r>
      <w:r w:rsidR="001E4C4D">
        <w:rPr>
          <w:sz w:val="24"/>
          <w:szCs w:val="24"/>
        </w:rPr>
        <w:t>cement under Ottoman occupation. R</w:t>
      </w:r>
      <w:r w:rsidR="00015FD1">
        <w:rPr>
          <w:sz w:val="24"/>
          <w:szCs w:val="24"/>
        </w:rPr>
        <w:t>eligion in this instance had a positive impact on enabling modern day historians to view the cultural transitions Thessaloniki went through.</w:t>
      </w:r>
      <w:r w:rsidR="00EA516B">
        <w:rPr>
          <w:sz w:val="24"/>
          <w:szCs w:val="24"/>
        </w:rPr>
        <w:t xml:space="preserve"> The heritage p</w:t>
      </w:r>
      <w:r w:rsidR="007D5B28">
        <w:rPr>
          <w:sz w:val="24"/>
          <w:szCs w:val="24"/>
        </w:rPr>
        <w:t>reservation organisation UNESCO, also ensure when preserving a heritage site that its religious significance to the community surrounding is respected.</w:t>
      </w:r>
      <w:r w:rsidR="001E4C4D">
        <w:rPr>
          <w:rStyle w:val="FootnoteReference"/>
          <w:sz w:val="24"/>
          <w:szCs w:val="24"/>
        </w:rPr>
        <w:footnoteReference w:id="7"/>
      </w:r>
      <w:r w:rsidR="007D5B28">
        <w:rPr>
          <w:sz w:val="24"/>
          <w:szCs w:val="24"/>
        </w:rPr>
        <w:t xml:space="preserve"> </w:t>
      </w:r>
    </w:p>
    <w:p w14:paraId="4376EAB4" w14:textId="50D74799" w:rsidR="00182941" w:rsidRDefault="007F4768" w:rsidP="00895C11">
      <w:pPr>
        <w:pStyle w:val="CommentText"/>
        <w:jc w:val="both"/>
        <w:rPr>
          <w:sz w:val="24"/>
          <w:szCs w:val="24"/>
        </w:rPr>
      </w:pPr>
      <w:r>
        <w:rPr>
          <w:sz w:val="24"/>
          <w:szCs w:val="24"/>
        </w:rPr>
        <w:t xml:space="preserve">My expectation </w:t>
      </w:r>
      <w:r w:rsidR="00EA516B">
        <w:rPr>
          <w:sz w:val="24"/>
          <w:szCs w:val="24"/>
        </w:rPr>
        <w:t>of the</w:t>
      </w:r>
      <w:r w:rsidR="00555AD0">
        <w:rPr>
          <w:sz w:val="24"/>
          <w:szCs w:val="24"/>
        </w:rPr>
        <w:t xml:space="preserve"> importance of the Greek Orthodox faith and the religious significance associated with </w:t>
      </w:r>
      <w:r w:rsidR="00B37113">
        <w:rPr>
          <w:sz w:val="24"/>
          <w:szCs w:val="24"/>
        </w:rPr>
        <w:t>c</w:t>
      </w:r>
      <w:r w:rsidR="00555AD0">
        <w:rPr>
          <w:sz w:val="24"/>
          <w:szCs w:val="24"/>
        </w:rPr>
        <w:t xml:space="preserve">hurches such as the Agios Demetrios was that there would be less enthusiasm for these </w:t>
      </w:r>
      <w:r w:rsidR="000255E9">
        <w:rPr>
          <w:sz w:val="24"/>
          <w:szCs w:val="24"/>
        </w:rPr>
        <w:t>holy sites</w:t>
      </w:r>
      <w:r w:rsidR="00555AD0">
        <w:rPr>
          <w:sz w:val="24"/>
          <w:szCs w:val="24"/>
        </w:rPr>
        <w:t xml:space="preserve">. My reason for believing this is because of the change of rule that Thessaloniki went through. </w:t>
      </w:r>
      <w:r w:rsidR="00D57017">
        <w:rPr>
          <w:sz w:val="24"/>
          <w:szCs w:val="24"/>
        </w:rPr>
        <w:t xml:space="preserve">Additionally I </w:t>
      </w:r>
      <w:r w:rsidR="00597D8A">
        <w:rPr>
          <w:sz w:val="24"/>
          <w:szCs w:val="24"/>
        </w:rPr>
        <w:t>had read Ozbudun</w:t>
      </w:r>
      <w:r w:rsidR="00D57017">
        <w:rPr>
          <w:sz w:val="24"/>
          <w:szCs w:val="24"/>
        </w:rPr>
        <w:t xml:space="preserve">’s </w:t>
      </w:r>
      <w:r w:rsidR="00D57017" w:rsidRPr="00895C11">
        <w:rPr>
          <w:i/>
          <w:sz w:val="24"/>
          <w:szCs w:val="24"/>
        </w:rPr>
        <w:t>Mustafa Kemal Attaturk</w:t>
      </w:r>
      <w:r w:rsidR="00B37113">
        <w:rPr>
          <w:i/>
          <w:sz w:val="24"/>
          <w:szCs w:val="24"/>
        </w:rPr>
        <w:t>:</w:t>
      </w:r>
      <w:r w:rsidR="00D57017" w:rsidRPr="00895C11">
        <w:rPr>
          <w:i/>
          <w:sz w:val="24"/>
          <w:szCs w:val="24"/>
        </w:rPr>
        <w:t xml:space="preserve"> Founder of a Nation</w:t>
      </w:r>
      <w:r w:rsidR="00B37113">
        <w:rPr>
          <w:sz w:val="24"/>
          <w:szCs w:val="24"/>
        </w:rPr>
        <w:t>.</w:t>
      </w:r>
      <w:r w:rsidR="00597D8A">
        <w:rPr>
          <w:rStyle w:val="FootnoteReference"/>
          <w:sz w:val="24"/>
          <w:szCs w:val="24"/>
        </w:rPr>
        <w:footnoteReference w:id="8"/>
      </w:r>
      <w:r w:rsidR="00B37113">
        <w:rPr>
          <w:sz w:val="24"/>
          <w:szCs w:val="24"/>
        </w:rPr>
        <w:t xml:space="preserve"> This</w:t>
      </w:r>
      <w:r w:rsidR="00D57017">
        <w:rPr>
          <w:sz w:val="24"/>
          <w:szCs w:val="24"/>
        </w:rPr>
        <w:t xml:space="preserve"> promoted the idea that religion was not the main motive for liberation from the Ottoman Empire and that Attaturk himself pushed for secularism. Therefore based on my previous reading I thought that religion did not play a pivotal role in the 1</w:t>
      </w:r>
      <w:r w:rsidR="00D57017" w:rsidRPr="00895C11">
        <w:rPr>
          <w:sz w:val="24"/>
          <w:szCs w:val="24"/>
          <w:vertAlign w:val="superscript"/>
        </w:rPr>
        <w:t>st</w:t>
      </w:r>
      <w:r w:rsidR="00D57017">
        <w:rPr>
          <w:sz w:val="24"/>
          <w:szCs w:val="24"/>
        </w:rPr>
        <w:t xml:space="preserve"> </w:t>
      </w:r>
      <w:r w:rsidR="00B37113">
        <w:rPr>
          <w:sz w:val="24"/>
          <w:szCs w:val="24"/>
        </w:rPr>
        <w:t>Balkan Wars for the Greeks o</w:t>
      </w:r>
      <w:r w:rsidR="00D57017">
        <w:rPr>
          <w:sz w:val="24"/>
          <w:szCs w:val="24"/>
        </w:rPr>
        <w:t xml:space="preserve">f Thessaloniki. </w:t>
      </w:r>
      <w:r w:rsidR="00555AD0">
        <w:rPr>
          <w:sz w:val="24"/>
          <w:szCs w:val="24"/>
        </w:rPr>
        <w:t xml:space="preserve">I </w:t>
      </w:r>
      <w:r w:rsidR="00D57017">
        <w:rPr>
          <w:sz w:val="24"/>
          <w:szCs w:val="24"/>
        </w:rPr>
        <w:t xml:space="preserve">also </w:t>
      </w:r>
      <w:r w:rsidR="00555AD0">
        <w:rPr>
          <w:sz w:val="24"/>
          <w:szCs w:val="24"/>
        </w:rPr>
        <w:t>believed that the conversion of By</w:t>
      </w:r>
      <w:r w:rsidR="00EA516B">
        <w:rPr>
          <w:sz w:val="24"/>
          <w:szCs w:val="24"/>
        </w:rPr>
        <w:t>zantine Orthodox churches into m</w:t>
      </w:r>
      <w:r w:rsidR="00555AD0">
        <w:rPr>
          <w:sz w:val="24"/>
          <w:szCs w:val="24"/>
        </w:rPr>
        <w:t xml:space="preserve">osques would have made the identification of </w:t>
      </w:r>
      <w:r w:rsidR="00D87053">
        <w:rPr>
          <w:sz w:val="24"/>
          <w:szCs w:val="24"/>
        </w:rPr>
        <w:t>Byzantine</w:t>
      </w:r>
      <w:r w:rsidR="00555AD0">
        <w:rPr>
          <w:sz w:val="24"/>
          <w:szCs w:val="24"/>
        </w:rPr>
        <w:t xml:space="preserve"> </w:t>
      </w:r>
      <w:r w:rsidR="00B37113">
        <w:rPr>
          <w:sz w:val="24"/>
          <w:szCs w:val="24"/>
        </w:rPr>
        <w:t>saints</w:t>
      </w:r>
      <w:r w:rsidR="00555AD0">
        <w:rPr>
          <w:sz w:val="24"/>
          <w:szCs w:val="24"/>
        </w:rPr>
        <w:t xml:space="preserve"> and reliquaries </w:t>
      </w:r>
      <w:r w:rsidR="00737B29">
        <w:rPr>
          <w:sz w:val="24"/>
          <w:szCs w:val="24"/>
        </w:rPr>
        <w:t xml:space="preserve">harder to observe, therefore </w:t>
      </w:r>
      <w:r w:rsidR="0043140B">
        <w:rPr>
          <w:sz w:val="24"/>
          <w:szCs w:val="24"/>
        </w:rPr>
        <w:t>fading</w:t>
      </w:r>
      <w:r w:rsidR="00737B29">
        <w:rPr>
          <w:sz w:val="24"/>
          <w:szCs w:val="24"/>
        </w:rPr>
        <w:t xml:space="preserve"> from living memory</w:t>
      </w:r>
      <w:r w:rsidR="00555AD0">
        <w:rPr>
          <w:sz w:val="24"/>
          <w:szCs w:val="24"/>
        </w:rPr>
        <w:t>.</w:t>
      </w:r>
      <w:r w:rsidR="00D57017">
        <w:rPr>
          <w:rStyle w:val="FootnoteReference"/>
          <w:sz w:val="24"/>
          <w:szCs w:val="24"/>
        </w:rPr>
        <w:footnoteReference w:id="9"/>
      </w:r>
      <w:r w:rsidR="00555AD0">
        <w:rPr>
          <w:sz w:val="24"/>
          <w:szCs w:val="24"/>
        </w:rPr>
        <w:t xml:space="preserve"> The subsequent fires coupled with the Great War and the Balkan Wars would have increased a more secular view of these sites, as the Young Turks and other nationalist organisations</w:t>
      </w:r>
      <w:r w:rsidR="00EA516B">
        <w:rPr>
          <w:sz w:val="24"/>
          <w:szCs w:val="24"/>
        </w:rPr>
        <w:t xml:space="preserve"> wished for more secularism in g</w:t>
      </w:r>
      <w:r w:rsidR="00555AD0">
        <w:rPr>
          <w:sz w:val="24"/>
          <w:szCs w:val="24"/>
        </w:rPr>
        <w:t>overnment</w:t>
      </w:r>
      <w:r w:rsidR="0043140B">
        <w:rPr>
          <w:sz w:val="24"/>
          <w:szCs w:val="24"/>
        </w:rPr>
        <w:t xml:space="preserve">, including fundamentally the </w:t>
      </w:r>
      <w:r w:rsidR="00597D8A">
        <w:rPr>
          <w:sz w:val="24"/>
          <w:szCs w:val="24"/>
        </w:rPr>
        <w:t>New</w:t>
      </w:r>
      <w:r w:rsidR="0043140B">
        <w:rPr>
          <w:sz w:val="24"/>
          <w:szCs w:val="24"/>
        </w:rPr>
        <w:t xml:space="preserve"> Greek state</w:t>
      </w:r>
      <w:r w:rsidR="00555AD0">
        <w:rPr>
          <w:sz w:val="24"/>
          <w:szCs w:val="24"/>
        </w:rPr>
        <w:t>.</w:t>
      </w:r>
      <w:r w:rsidR="000C6904">
        <w:rPr>
          <w:rStyle w:val="FootnoteReference"/>
          <w:sz w:val="24"/>
          <w:szCs w:val="24"/>
        </w:rPr>
        <w:footnoteReference w:id="10"/>
      </w:r>
      <w:r w:rsidR="00555AD0" w:rsidRPr="00555AD0">
        <w:rPr>
          <w:sz w:val="24"/>
          <w:szCs w:val="24"/>
        </w:rPr>
        <w:t xml:space="preserve"> </w:t>
      </w:r>
      <w:r w:rsidR="0043140B">
        <w:rPr>
          <w:sz w:val="24"/>
          <w:szCs w:val="24"/>
        </w:rPr>
        <w:t>Although after 1912 the Greek state had emerged from the conflict of the Balkan Wars, the Greek population</w:t>
      </w:r>
      <w:r w:rsidR="00597D8A">
        <w:rPr>
          <w:sz w:val="24"/>
          <w:szCs w:val="24"/>
        </w:rPr>
        <w:t xml:space="preserve"> had remained heavily orthodox.</w:t>
      </w:r>
      <w:r w:rsidR="00597D8A">
        <w:rPr>
          <w:rStyle w:val="FootnoteReference"/>
          <w:sz w:val="24"/>
          <w:szCs w:val="24"/>
        </w:rPr>
        <w:footnoteReference w:id="11"/>
      </w:r>
      <w:r w:rsidR="00597D8A">
        <w:rPr>
          <w:sz w:val="24"/>
          <w:szCs w:val="24"/>
        </w:rPr>
        <w:t xml:space="preserve"> </w:t>
      </w:r>
      <w:r w:rsidR="00555AD0">
        <w:rPr>
          <w:sz w:val="24"/>
          <w:szCs w:val="24"/>
        </w:rPr>
        <w:t xml:space="preserve">However what I quickly realised was that religion for many people in Thessaloniki </w:t>
      </w:r>
      <w:r w:rsidR="00597D8A">
        <w:rPr>
          <w:sz w:val="24"/>
          <w:szCs w:val="24"/>
        </w:rPr>
        <w:t xml:space="preserve">religion </w:t>
      </w:r>
      <w:r w:rsidR="00555AD0">
        <w:rPr>
          <w:sz w:val="24"/>
          <w:szCs w:val="24"/>
        </w:rPr>
        <w:t xml:space="preserve">was still heavily important, these churches are still considered </w:t>
      </w:r>
      <w:r w:rsidR="00D87053">
        <w:rPr>
          <w:sz w:val="24"/>
          <w:szCs w:val="24"/>
        </w:rPr>
        <w:t>s</w:t>
      </w:r>
      <w:r w:rsidR="00555AD0">
        <w:rPr>
          <w:sz w:val="24"/>
          <w:szCs w:val="24"/>
        </w:rPr>
        <w:t xml:space="preserve">acred. People still use the </w:t>
      </w:r>
      <w:r w:rsidR="00D87053">
        <w:rPr>
          <w:sz w:val="24"/>
          <w:szCs w:val="24"/>
        </w:rPr>
        <w:t>c</w:t>
      </w:r>
      <w:r w:rsidR="00555AD0">
        <w:rPr>
          <w:sz w:val="24"/>
          <w:szCs w:val="24"/>
        </w:rPr>
        <w:t>hurches that have survived the ages. Local inhabitants of Thessaloniki regard Agios Demetrios as one of the most important culturally</w:t>
      </w:r>
      <w:r w:rsidR="00597D8A">
        <w:rPr>
          <w:sz w:val="24"/>
          <w:szCs w:val="24"/>
        </w:rPr>
        <w:t xml:space="preserve"> and religiously</w:t>
      </w:r>
      <w:r w:rsidR="00555AD0">
        <w:rPr>
          <w:sz w:val="24"/>
          <w:szCs w:val="24"/>
        </w:rPr>
        <w:t>.</w:t>
      </w:r>
      <w:r w:rsidR="00555AD0">
        <w:rPr>
          <w:rStyle w:val="FootnoteReference"/>
          <w:sz w:val="24"/>
          <w:szCs w:val="24"/>
        </w:rPr>
        <w:footnoteReference w:id="12"/>
      </w:r>
      <w:r w:rsidR="00555AD0">
        <w:rPr>
          <w:sz w:val="24"/>
          <w:szCs w:val="24"/>
        </w:rPr>
        <w:t xml:space="preserve"> Over the course of the visit to Thessaloniki local inhabitants could be seen paying homage to these </w:t>
      </w:r>
      <w:r w:rsidR="00B37113">
        <w:rPr>
          <w:sz w:val="24"/>
          <w:szCs w:val="24"/>
        </w:rPr>
        <w:t>c</w:t>
      </w:r>
      <w:r w:rsidR="00555AD0">
        <w:rPr>
          <w:sz w:val="24"/>
          <w:szCs w:val="24"/>
        </w:rPr>
        <w:t xml:space="preserve">hurches by kissing or praying in front of reliquaries, mosaics and images of the </w:t>
      </w:r>
      <w:r w:rsidR="009E495B">
        <w:rPr>
          <w:sz w:val="24"/>
          <w:szCs w:val="24"/>
        </w:rPr>
        <w:t>Saints</w:t>
      </w:r>
      <w:r w:rsidR="00555AD0">
        <w:rPr>
          <w:sz w:val="24"/>
          <w:szCs w:val="24"/>
        </w:rPr>
        <w:t xml:space="preserve">. This enabled me to have </w:t>
      </w:r>
      <w:r w:rsidR="00597D8A">
        <w:rPr>
          <w:sz w:val="24"/>
          <w:szCs w:val="24"/>
        </w:rPr>
        <w:t>a greater</w:t>
      </w:r>
      <w:r w:rsidR="00B37113">
        <w:rPr>
          <w:sz w:val="24"/>
          <w:szCs w:val="24"/>
        </w:rPr>
        <w:t xml:space="preserve"> </w:t>
      </w:r>
      <w:r w:rsidR="00597D8A">
        <w:rPr>
          <w:sz w:val="24"/>
          <w:szCs w:val="24"/>
        </w:rPr>
        <w:t>appreciation of</w:t>
      </w:r>
      <w:r w:rsidR="00555AD0">
        <w:rPr>
          <w:sz w:val="24"/>
          <w:szCs w:val="24"/>
        </w:rPr>
        <w:t xml:space="preserve"> how religion in Thessaloniki has enabled the survival of these heritage sites,</w:t>
      </w:r>
      <w:r w:rsidR="00182941">
        <w:rPr>
          <w:sz w:val="24"/>
          <w:szCs w:val="24"/>
        </w:rPr>
        <w:t xml:space="preserve"> and improve upon my previous understanding of the importance of Byzantine revival after Ottoman liberation</w:t>
      </w:r>
      <w:r w:rsidR="00555AD0">
        <w:rPr>
          <w:sz w:val="24"/>
          <w:szCs w:val="24"/>
        </w:rPr>
        <w:t xml:space="preserve">. </w:t>
      </w:r>
      <w:r w:rsidR="00D87053">
        <w:rPr>
          <w:sz w:val="24"/>
          <w:szCs w:val="24"/>
        </w:rPr>
        <w:t xml:space="preserve">On reflection what I have learnt is that there is a multifaceted rich history surrounding religion across all of the </w:t>
      </w:r>
      <w:r w:rsidR="00597D8A">
        <w:rPr>
          <w:sz w:val="24"/>
          <w:szCs w:val="24"/>
        </w:rPr>
        <w:t>Byzantine Churches</w:t>
      </w:r>
      <w:r w:rsidR="00D57017">
        <w:rPr>
          <w:sz w:val="24"/>
          <w:szCs w:val="24"/>
        </w:rPr>
        <w:t>. I saw that the people of Thessaloniki regarded these churches with a lot of pride, and served almost as reminders of liberation from the Ottoman Empire.</w:t>
      </w:r>
      <w:r w:rsidR="008723AC">
        <w:rPr>
          <w:sz w:val="24"/>
          <w:szCs w:val="24"/>
        </w:rPr>
        <w:t xml:space="preserve"> </w:t>
      </w:r>
    </w:p>
    <w:p w14:paraId="3A21B410" w14:textId="34AC8494" w:rsidR="00182941" w:rsidRDefault="00AF4C69" w:rsidP="00895C11">
      <w:pPr>
        <w:pStyle w:val="CommentText"/>
        <w:jc w:val="both"/>
        <w:rPr>
          <w:sz w:val="24"/>
          <w:szCs w:val="24"/>
        </w:rPr>
      </w:pPr>
      <w:r w:rsidRPr="00AF4C69">
        <w:rPr>
          <w:noProof/>
          <w:sz w:val="24"/>
          <w:szCs w:val="24"/>
          <w:lang w:eastAsia="en-GB"/>
        </w:rPr>
        <w:lastRenderedPageBreak/>
        <mc:AlternateContent>
          <mc:Choice Requires="wps">
            <w:drawing>
              <wp:anchor distT="45720" distB="45720" distL="114300" distR="114300" simplePos="0" relativeHeight="251660288" behindDoc="0" locked="0" layoutInCell="1" allowOverlap="1" wp14:anchorId="157064B0" wp14:editId="0B1F96BD">
                <wp:simplePos x="0" y="0"/>
                <wp:positionH relativeFrom="column">
                  <wp:posOffset>119380</wp:posOffset>
                </wp:positionH>
                <wp:positionV relativeFrom="paragraph">
                  <wp:posOffset>2468880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34C6DE7" w14:textId="5643124E" w:rsidR="00AF4C69" w:rsidRDefault="00AF4C69">
                            <w:r>
                              <w:t xml:space="preserve">Local people from Thessaloniki gather for a prayers and sermons at Agios Demetrios. Displaying how much respect Byzantine churches are given by the Greek Orthodox community in Thessaloniki. </w:t>
                            </w:r>
                          </w:p>
                          <w:p w14:paraId="55E67812" w14:textId="5AA1C195" w:rsidR="00AF4C69" w:rsidRDefault="00AF4C69">
                            <w:r>
                              <w:t xml:space="preserve">Image from: </w:t>
                            </w:r>
                            <w:hyperlink r:id="rId11" w:history="1">
                              <w:r w:rsidRPr="00C01A49">
                                <w:rPr>
                                  <w:rStyle w:val="Hyperlink"/>
                                </w:rPr>
                                <w:t>http://www.inthessaloniki.com/en/agios-dimitrios</w:t>
                              </w:r>
                            </w:hyperlink>
                            <w:r>
                              <w:t xml:space="preserve"> Accessed 24/04/2018.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57064B0" id="_x0000_s1027" type="#_x0000_t202" style="position:absolute;left:0;text-align:left;margin-left:9.4pt;margin-top:194.4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">
                <v:textbox style="mso-fit-shape-to-text:t">
                  <w:txbxContent>
                    <w:p w14:paraId="534C6DE7" w14:textId="5643124E" w:rsidR="00AF4C69" w:rsidRDefault="00AF4C69">
                      <w:r>
                        <w:t xml:space="preserve">Local people from Thessaloniki gather for a prayers and sermons at Agios Demetrios. Displaying how much respect Byzantine churches are given by the Greek Orthodox community in Thessaloniki. </w:t>
                      </w:r>
                    </w:p>
                    <w:p w14:paraId="55E67812" w14:textId="5AA1C195" w:rsidR="00AF4C69" w:rsidRDefault="00AF4C69">
                      <w:r>
                        <w:t xml:space="preserve">Image from: </w:t>
                      </w:r>
                      <w:hyperlink r:id="rId12" w:history="1">
                        <w:r w:rsidRPr="00C01A49">
                          <w:rPr>
                            <w:rStyle w:val="Hyperlink"/>
                          </w:rPr>
                          <w:t>http://www.inthessaloniki.com/en/agios-dimitrios</w:t>
                        </w:r>
                      </w:hyperlink>
                      <w:r>
                        <w:t xml:space="preserve"> Accessed 24/04/2018.</w:t>
                      </w:r>
                    </w:p>
                  </w:txbxContent>
                </v:textbox>
                <w10:wrap type="square"/>
              </v:shape>
            </w:pict>
          </mc:Fallback>
        </mc:AlternateContent>
      </w:r>
      <w:r w:rsidR="00582B69">
        <w:rPr>
          <w:noProof/>
          <w:lang w:eastAsia="en-GB"/>
        </w:rPr>
        <w:drawing>
          <wp:anchor distT="0" distB="0" distL="114300" distR="114300" simplePos="0" relativeHeight="251658240" behindDoc="1" locked="0" layoutInCell="1" allowOverlap="1" wp14:anchorId="5FBCD4DD" wp14:editId="2E7CADF1">
            <wp:simplePos x="0" y="0"/>
            <wp:positionH relativeFrom="margin">
              <wp:posOffset>95250</wp:posOffset>
            </wp:positionH>
            <wp:positionV relativeFrom="paragraph">
              <wp:posOffset>0</wp:posOffset>
            </wp:positionV>
            <wp:extent cx="5514975" cy="2390775"/>
            <wp:effectExtent l="0" t="0" r="9525" b="9525"/>
            <wp:wrapTight wrapText="bothSides">
              <wp:wrapPolygon edited="0">
                <wp:start x="0" y="0"/>
                <wp:lineTo x="0" y="21514"/>
                <wp:lineTo x="21563" y="21514"/>
                <wp:lineTo x="21563" y="0"/>
                <wp:lineTo x="0" y="0"/>
              </wp:wrapPolygon>
            </wp:wrapTight>
            <wp:docPr id="1" name="Picture 1" descr="Image result for people in agios dimitrios thessalon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ople in agios dimitrios thessaloniki"/>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14975" cy="2390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DC1E7F" w14:textId="3D139E4B" w:rsidR="00582B69" w:rsidRDefault="00582B69" w:rsidP="008723AC">
      <w:pPr>
        <w:pStyle w:val="CommentText"/>
        <w:jc w:val="both"/>
        <w:rPr>
          <w:sz w:val="24"/>
          <w:szCs w:val="24"/>
        </w:rPr>
      </w:pPr>
    </w:p>
    <w:p w14:paraId="4BF17A3B" w14:textId="77777777" w:rsidR="00582B69" w:rsidRDefault="00582B69" w:rsidP="008723AC">
      <w:pPr>
        <w:pStyle w:val="CommentText"/>
        <w:jc w:val="both"/>
        <w:rPr>
          <w:sz w:val="24"/>
          <w:szCs w:val="24"/>
        </w:rPr>
      </w:pPr>
    </w:p>
    <w:p w14:paraId="3B73CB6D" w14:textId="77777777" w:rsidR="00582B69" w:rsidRDefault="00582B69" w:rsidP="008723AC">
      <w:pPr>
        <w:pStyle w:val="CommentText"/>
        <w:jc w:val="both"/>
        <w:rPr>
          <w:sz w:val="24"/>
          <w:szCs w:val="24"/>
        </w:rPr>
      </w:pPr>
    </w:p>
    <w:p w14:paraId="5ADD99CA" w14:textId="77777777" w:rsidR="00AF4C69" w:rsidRDefault="00AF4C69" w:rsidP="008723AC">
      <w:pPr>
        <w:pStyle w:val="CommentText"/>
        <w:jc w:val="both"/>
        <w:rPr>
          <w:sz w:val="24"/>
          <w:szCs w:val="24"/>
        </w:rPr>
      </w:pPr>
    </w:p>
    <w:p w14:paraId="0261CFA6" w14:textId="77777777" w:rsidR="00AF4C69" w:rsidRDefault="00AF4C69" w:rsidP="008723AC">
      <w:pPr>
        <w:pStyle w:val="CommentText"/>
        <w:jc w:val="both"/>
        <w:rPr>
          <w:sz w:val="24"/>
          <w:szCs w:val="24"/>
        </w:rPr>
      </w:pPr>
    </w:p>
    <w:p w14:paraId="662222DC" w14:textId="77777777" w:rsidR="00AF4C69" w:rsidRDefault="00AF4C69" w:rsidP="008723AC">
      <w:pPr>
        <w:pStyle w:val="CommentText"/>
        <w:jc w:val="both"/>
        <w:rPr>
          <w:sz w:val="24"/>
          <w:szCs w:val="24"/>
        </w:rPr>
      </w:pPr>
    </w:p>
    <w:p w14:paraId="46A03AAC" w14:textId="77777777" w:rsidR="00AF4C69" w:rsidRDefault="00AF4C69" w:rsidP="008723AC">
      <w:pPr>
        <w:pStyle w:val="CommentText"/>
        <w:jc w:val="both"/>
        <w:rPr>
          <w:sz w:val="24"/>
          <w:szCs w:val="24"/>
        </w:rPr>
      </w:pPr>
    </w:p>
    <w:p w14:paraId="39DA82A8" w14:textId="37BCFBC4" w:rsidR="007F4768" w:rsidRDefault="0012319E" w:rsidP="007F4768">
      <w:pPr>
        <w:jc w:val="both"/>
        <w:rPr>
          <w:sz w:val="24"/>
          <w:szCs w:val="24"/>
        </w:rPr>
      </w:pPr>
      <w:r>
        <w:rPr>
          <w:sz w:val="24"/>
          <w:szCs w:val="24"/>
        </w:rPr>
        <w:t>Greek Orthodoxy still p</w:t>
      </w:r>
      <w:r w:rsidR="00E6308F">
        <w:rPr>
          <w:sz w:val="24"/>
          <w:szCs w:val="24"/>
        </w:rPr>
        <w:t>laces a high value on Agios Dem</w:t>
      </w:r>
      <w:r>
        <w:rPr>
          <w:sz w:val="24"/>
          <w:szCs w:val="24"/>
        </w:rPr>
        <w:t>etrios and the Agia Sofia which has enabled archaeologists to recover a wealth of artefacts and buildings that piece together</w:t>
      </w:r>
      <w:r w:rsidR="001E4C4D">
        <w:rPr>
          <w:sz w:val="24"/>
          <w:szCs w:val="24"/>
        </w:rPr>
        <w:t xml:space="preserve"> the vibrant history of Thessaloniki’s past. </w:t>
      </w:r>
      <w:r w:rsidR="00AF4C69">
        <w:rPr>
          <w:sz w:val="24"/>
          <w:szCs w:val="24"/>
        </w:rPr>
        <w:t>L</w:t>
      </w:r>
      <w:r>
        <w:rPr>
          <w:sz w:val="24"/>
          <w:szCs w:val="24"/>
        </w:rPr>
        <w:t>ocal inhabita</w:t>
      </w:r>
      <w:r w:rsidR="00AF4C69">
        <w:rPr>
          <w:sz w:val="24"/>
          <w:szCs w:val="24"/>
        </w:rPr>
        <w:t>nts can be seen paying homage</w:t>
      </w:r>
      <w:r w:rsidR="00EA516B">
        <w:rPr>
          <w:sz w:val="24"/>
          <w:szCs w:val="24"/>
        </w:rPr>
        <w:t xml:space="preserve"> to these c</w:t>
      </w:r>
      <w:r>
        <w:rPr>
          <w:sz w:val="24"/>
          <w:szCs w:val="24"/>
        </w:rPr>
        <w:t>hurches kissing or praying in front of reliquaries, mosaics and images of the</w:t>
      </w:r>
      <w:r w:rsidR="00AF4C69">
        <w:rPr>
          <w:sz w:val="24"/>
          <w:szCs w:val="24"/>
        </w:rPr>
        <w:t xml:space="preserve"> saints</w:t>
      </w:r>
      <w:r>
        <w:rPr>
          <w:sz w:val="24"/>
          <w:szCs w:val="24"/>
        </w:rPr>
        <w:t xml:space="preserve">. </w:t>
      </w:r>
      <w:r w:rsidR="000255E9">
        <w:rPr>
          <w:sz w:val="24"/>
          <w:szCs w:val="24"/>
        </w:rPr>
        <w:t xml:space="preserve">I additionally </w:t>
      </w:r>
      <w:r w:rsidR="00B54EAC">
        <w:rPr>
          <w:sz w:val="24"/>
          <w:szCs w:val="24"/>
        </w:rPr>
        <w:t xml:space="preserve">learnt </w:t>
      </w:r>
      <w:r w:rsidR="00D57017">
        <w:rPr>
          <w:sz w:val="24"/>
          <w:szCs w:val="24"/>
        </w:rPr>
        <w:t xml:space="preserve">from </w:t>
      </w:r>
      <w:r w:rsidR="000255E9">
        <w:rPr>
          <w:sz w:val="24"/>
          <w:szCs w:val="24"/>
        </w:rPr>
        <w:t xml:space="preserve">reading </w:t>
      </w:r>
      <w:r w:rsidR="000255E9" w:rsidRPr="00895C11">
        <w:rPr>
          <w:rFonts w:cstheme="minorHAnsi"/>
          <w:sz w:val="24"/>
          <w:szCs w:val="24"/>
        </w:rPr>
        <w:t>Mantopoulou-Panagiotopoulou</w:t>
      </w:r>
      <w:r w:rsidR="000255E9">
        <w:rPr>
          <w:sz w:val="24"/>
          <w:szCs w:val="24"/>
        </w:rPr>
        <w:t xml:space="preserve">’s </w:t>
      </w:r>
      <w:r w:rsidR="000255E9" w:rsidRPr="00895C11">
        <w:rPr>
          <w:i/>
          <w:sz w:val="24"/>
          <w:szCs w:val="24"/>
        </w:rPr>
        <w:t>Monastery of</w:t>
      </w:r>
      <w:r w:rsidR="000255E9">
        <w:rPr>
          <w:sz w:val="24"/>
          <w:szCs w:val="24"/>
        </w:rPr>
        <w:t xml:space="preserve"> </w:t>
      </w:r>
      <w:r w:rsidR="000255E9" w:rsidRPr="00895C11">
        <w:rPr>
          <w:i/>
          <w:sz w:val="24"/>
          <w:szCs w:val="24"/>
        </w:rPr>
        <w:t>Aghios Menas</w:t>
      </w:r>
      <w:r w:rsidR="000255E9">
        <w:rPr>
          <w:sz w:val="24"/>
          <w:szCs w:val="24"/>
        </w:rPr>
        <w:t>. I learnt that the liberation of Thessaloniki and the province of Macedonia as a whole from Ottoman Occupation, sparked a Byzantine Renaissance.</w:t>
      </w:r>
      <w:r w:rsidR="000255E9">
        <w:rPr>
          <w:rStyle w:val="FootnoteReference"/>
          <w:sz w:val="24"/>
          <w:szCs w:val="24"/>
        </w:rPr>
        <w:footnoteReference w:id="13"/>
      </w:r>
      <w:r w:rsidR="000255E9">
        <w:rPr>
          <w:sz w:val="24"/>
          <w:szCs w:val="24"/>
        </w:rPr>
        <w:t xml:space="preserve"> Which then fuelled the Nationalist Greek separatists, to recover a Byzantine identity which was aided by the Greek Orthodox Church. </w:t>
      </w:r>
      <w:r w:rsidR="00D57017">
        <w:rPr>
          <w:sz w:val="24"/>
          <w:szCs w:val="24"/>
        </w:rPr>
        <w:t xml:space="preserve">Therefore on reflection religion had played a pivotal role in Thessaloniki’s history. </w:t>
      </w:r>
      <w:r w:rsidR="007F4768">
        <w:rPr>
          <w:sz w:val="24"/>
          <w:szCs w:val="24"/>
        </w:rPr>
        <w:t>However what I quickly realised was that religion for many people in Thessaloniki was still heavily important, these churches are still considered sacred. People still used the churches that have survived the ages. Local inhabitants of Thessaloniki regarding Agios Demetrios as one of the most important culturally.</w:t>
      </w:r>
      <w:r w:rsidR="007F4768">
        <w:rPr>
          <w:rStyle w:val="FootnoteReference"/>
          <w:sz w:val="24"/>
          <w:szCs w:val="24"/>
        </w:rPr>
        <w:footnoteReference w:id="14"/>
      </w:r>
      <w:r w:rsidR="007F4768">
        <w:rPr>
          <w:sz w:val="24"/>
          <w:szCs w:val="24"/>
        </w:rPr>
        <w:t xml:space="preserve"> </w:t>
      </w:r>
      <w:r w:rsidR="00B54EAC">
        <w:rPr>
          <w:sz w:val="24"/>
          <w:szCs w:val="24"/>
        </w:rPr>
        <w:t xml:space="preserve">Therefore Greek Orthodoxy is still widely practised and heavily important to the population of Thessaloniki, religion has aided the recovery of the heritage sites in the city. </w:t>
      </w:r>
    </w:p>
    <w:p w14:paraId="01E07B6F" w14:textId="5DA30D7D" w:rsidR="00393C5B" w:rsidRDefault="00EA516B" w:rsidP="00895C11">
      <w:pPr>
        <w:jc w:val="both"/>
        <w:rPr>
          <w:sz w:val="24"/>
          <w:szCs w:val="24"/>
        </w:rPr>
      </w:pPr>
      <w:r>
        <w:rPr>
          <w:sz w:val="24"/>
          <w:szCs w:val="24"/>
        </w:rPr>
        <w:t xml:space="preserve">Word Count without Bibliography: 1,070 Words. </w:t>
      </w:r>
    </w:p>
    <w:p w14:paraId="67DB62C0" w14:textId="77777777" w:rsidR="008C5EAC" w:rsidRDefault="008C5EAC" w:rsidP="00895C11">
      <w:pPr>
        <w:jc w:val="both"/>
        <w:rPr>
          <w:sz w:val="24"/>
          <w:szCs w:val="24"/>
        </w:rPr>
      </w:pPr>
    </w:p>
    <w:p w14:paraId="66685CBA" w14:textId="77777777" w:rsidR="000370EF" w:rsidRDefault="000370EF" w:rsidP="00895C11">
      <w:pPr>
        <w:jc w:val="both"/>
        <w:rPr>
          <w:sz w:val="24"/>
          <w:szCs w:val="24"/>
        </w:rPr>
      </w:pPr>
    </w:p>
    <w:p w14:paraId="4CBA4ADF" w14:textId="77777777" w:rsidR="00393C5B" w:rsidRDefault="00393C5B" w:rsidP="00895C11">
      <w:pPr>
        <w:jc w:val="both"/>
        <w:rPr>
          <w:sz w:val="24"/>
          <w:szCs w:val="24"/>
        </w:rPr>
      </w:pPr>
    </w:p>
    <w:p w14:paraId="21D73E28" w14:textId="77777777" w:rsidR="00757FC8" w:rsidRDefault="00393C5B" w:rsidP="00895C11">
      <w:pPr>
        <w:jc w:val="both"/>
        <w:rPr>
          <w:sz w:val="24"/>
          <w:szCs w:val="24"/>
        </w:rPr>
      </w:pPr>
      <w:r>
        <w:rPr>
          <w:sz w:val="24"/>
          <w:szCs w:val="24"/>
        </w:rPr>
        <w:t>Bibliography</w:t>
      </w:r>
    </w:p>
    <w:p w14:paraId="597842A5" w14:textId="77777777" w:rsidR="00081810" w:rsidRDefault="00081810" w:rsidP="00895C11">
      <w:pPr>
        <w:jc w:val="both"/>
        <w:rPr>
          <w:sz w:val="24"/>
          <w:szCs w:val="24"/>
        </w:rPr>
      </w:pPr>
      <w:r>
        <w:rPr>
          <w:sz w:val="24"/>
          <w:szCs w:val="24"/>
        </w:rPr>
        <w:t>Ancient Literary Sources</w:t>
      </w:r>
    </w:p>
    <w:p w14:paraId="75A1A408" w14:textId="77777777" w:rsidR="00393C5B" w:rsidRDefault="00081810" w:rsidP="00895C11">
      <w:pPr>
        <w:jc w:val="both"/>
        <w:rPr>
          <w:sz w:val="24"/>
          <w:szCs w:val="24"/>
        </w:rPr>
      </w:pPr>
      <w:r>
        <w:rPr>
          <w:sz w:val="24"/>
          <w:szCs w:val="24"/>
        </w:rPr>
        <w:t xml:space="preserve">Herodotus, </w:t>
      </w:r>
      <w:r w:rsidRPr="00081810">
        <w:rPr>
          <w:i/>
          <w:sz w:val="24"/>
          <w:szCs w:val="24"/>
        </w:rPr>
        <w:t>The Histories</w:t>
      </w:r>
      <w:r>
        <w:rPr>
          <w:sz w:val="24"/>
          <w:szCs w:val="24"/>
        </w:rPr>
        <w:t xml:space="preserve"> (Trans.). R. Waterfield 1998, Oxford: Oxford University Press. </w:t>
      </w:r>
    </w:p>
    <w:p w14:paraId="0DA9C71D" w14:textId="69AB1A33" w:rsidR="00696A9E" w:rsidRPr="00696A9E" w:rsidRDefault="00081810" w:rsidP="00696A9E">
      <w:pPr>
        <w:rPr>
          <w:rFonts w:cstheme="minorHAnsi"/>
          <w:sz w:val="24"/>
          <w:szCs w:val="24"/>
        </w:rPr>
      </w:pPr>
      <w:r>
        <w:rPr>
          <w:sz w:val="24"/>
          <w:szCs w:val="24"/>
        </w:rPr>
        <w:t>Modern Scholarship</w:t>
      </w:r>
      <w:bookmarkStart w:id="0" w:name="_GoBack"/>
      <w:bookmarkEnd w:id="0"/>
    </w:p>
    <w:p w14:paraId="454854EA" w14:textId="77777777" w:rsidR="00696A9E" w:rsidRPr="0078660D" w:rsidRDefault="00696A9E" w:rsidP="00895C11">
      <w:pPr>
        <w:tabs>
          <w:tab w:val="left" w:pos="3150"/>
        </w:tabs>
        <w:rPr>
          <w:rFonts w:cstheme="minorHAnsi"/>
          <w:color w:val="000000" w:themeColor="text1"/>
          <w:sz w:val="24"/>
          <w:szCs w:val="24"/>
        </w:rPr>
      </w:pPr>
      <w:r>
        <w:rPr>
          <w:rFonts w:cstheme="minorHAnsi"/>
          <w:color w:val="000000" w:themeColor="text1"/>
          <w:sz w:val="24"/>
          <w:szCs w:val="24"/>
        </w:rPr>
        <w:t>Angelomatis-Tsougarakis, H. 1990. ‘</w:t>
      </w:r>
      <w:r w:rsidRPr="00895C11">
        <w:rPr>
          <w:rFonts w:cstheme="minorHAnsi"/>
          <w:i/>
          <w:color w:val="000000" w:themeColor="text1"/>
          <w:sz w:val="24"/>
          <w:szCs w:val="24"/>
        </w:rPr>
        <w:t xml:space="preserve">The Eye of the Greek </w:t>
      </w:r>
      <w:r>
        <w:rPr>
          <w:rFonts w:cstheme="minorHAnsi"/>
          <w:i/>
          <w:color w:val="000000" w:themeColor="text1"/>
          <w:sz w:val="24"/>
          <w:szCs w:val="24"/>
        </w:rPr>
        <w:t>r</w:t>
      </w:r>
      <w:r w:rsidRPr="00895C11">
        <w:rPr>
          <w:rFonts w:cstheme="minorHAnsi"/>
          <w:i/>
          <w:color w:val="000000" w:themeColor="text1"/>
          <w:sz w:val="24"/>
          <w:szCs w:val="24"/>
        </w:rPr>
        <w:t xml:space="preserve">evival: British travellers’ Perceptions of </w:t>
      </w:r>
      <w:r>
        <w:rPr>
          <w:rFonts w:cstheme="minorHAnsi"/>
          <w:i/>
          <w:color w:val="000000" w:themeColor="text1"/>
          <w:sz w:val="24"/>
          <w:szCs w:val="24"/>
        </w:rPr>
        <w:t xml:space="preserve">Early Nineteenth-Century Greece’ </w:t>
      </w:r>
      <w:r>
        <w:rPr>
          <w:rFonts w:cstheme="minorHAnsi"/>
          <w:color w:val="000000" w:themeColor="text1"/>
          <w:sz w:val="24"/>
          <w:szCs w:val="24"/>
        </w:rPr>
        <w:t xml:space="preserve">London: Routledge, 77-114. </w:t>
      </w:r>
    </w:p>
    <w:p w14:paraId="02EE6363" w14:textId="77777777" w:rsidR="00696A9E" w:rsidRPr="00895C11" w:rsidRDefault="00696A9E" w:rsidP="00895C11">
      <w:pPr>
        <w:rPr>
          <w:rFonts w:cstheme="minorHAnsi"/>
          <w:color w:val="000000" w:themeColor="text1"/>
          <w:sz w:val="24"/>
          <w:szCs w:val="24"/>
          <w:shd w:val="clear" w:color="auto" w:fill="FFFFFF"/>
        </w:rPr>
      </w:pPr>
      <w:r w:rsidRPr="00895C11">
        <w:rPr>
          <w:rFonts w:cstheme="minorHAnsi"/>
          <w:color w:val="000000" w:themeColor="text1"/>
          <w:sz w:val="24"/>
          <w:szCs w:val="24"/>
        </w:rPr>
        <w:t xml:space="preserve">Dimitradis, E, P. 1986. </w:t>
      </w:r>
      <w:r w:rsidRPr="00895C11">
        <w:rPr>
          <w:rFonts w:cstheme="minorHAnsi"/>
          <w:i/>
          <w:color w:val="000000" w:themeColor="text1"/>
          <w:sz w:val="24"/>
          <w:szCs w:val="24"/>
        </w:rPr>
        <w:t>‘Thessaloniki over 2,300 Years of Continuous Urban Life</w:t>
      </w:r>
      <w:r w:rsidRPr="00895C11">
        <w:rPr>
          <w:rFonts w:cstheme="minorHAnsi"/>
          <w:color w:val="000000" w:themeColor="text1"/>
          <w:sz w:val="24"/>
          <w:szCs w:val="24"/>
        </w:rPr>
        <w:t>’</w:t>
      </w:r>
      <w:r w:rsidRPr="00895C11">
        <w:rPr>
          <w:rFonts w:cstheme="minorHAnsi"/>
          <w:color w:val="000000" w:themeColor="text1"/>
          <w:sz w:val="24"/>
          <w:szCs w:val="24"/>
          <w:shd w:val="clear" w:color="auto" w:fill="FFFFFF"/>
        </w:rPr>
        <w:t>, 53. 316/317 The Mediterranean – I and II: Urban networks at the regional, the national and the local scale, 111-120.</w:t>
      </w:r>
    </w:p>
    <w:p w14:paraId="0E67804B" w14:textId="77777777" w:rsidR="00696A9E" w:rsidRDefault="00696A9E" w:rsidP="00895C11">
      <w:pPr>
        <w:rPr>
          <w:rFonts w:cstheme="minorHAnsi"/>
          <w:sz w:val="24"/>
          <w:szCs w:val="24"/>
        </w:rPr>
      </w:pPr>
      <w:r w:rsidRPr="00895C11">
        <w:rPr>
          <w:rFonts w:cstheme="minorHAnsi"/>
          <w:color w:val="000000" w:themeColor="text1"/>
          <w:sz w:val="24"/>
          <w:szCs w:val="24"/>
        </w:rPr>
        <w:t>Mantopoulou-Panagiotopoulou T, S. 1996. ‘</w:t>
      </w:r>
      <w:r w:rsidRPr="00895C11">
        <w:rPr>
          <w:rFonts w:cstheme="minorHAnsi"/>
          <w:i/>
          <w:color w:val="000000" w:themeColor="text1"/>
          <w:sz w:val="24"/>
          <w:szCs w:val="24"/>
        </w:rPr>
        <w:t>The Monastery of Aghios Menas in Thessaloniki</w:t>
      </w:r>
      <w:r w:rsidRPr="00895C11">
        <w:rPr>
          <w:rFonts w:cstheme="minorHAnsi"/>
          <w:color w:val="000000" w:themeColor="text1"/>
          <w:sz w:val="24"/>
          <w:szCs w:val="24"/>
        </w:rPr>
        <w:t>’, 50. Dumbarton Oaks Papers, 239-262</w:t>
      </w:r>
      <w:r>
        <w:rPr>
          <w:rFonts w:cstheme="minorHAnsi"/>
          <w:sz w:val="24"/>
          <w:szCs w:val="24"/>
        </w:rPr>
        <w:t xml:space="preserve">. </w:t>
      </w:r>
    </w:p>
    <w:p w14:paraId="33B180FC" w14:textId="77777777" w:rsidR="00696A9E" w:rsidRPr="0097702D" w:rsidRDefault="00696A9E" w:rsidP="00895C11">
      <w:pPr>
        <w:tabs>
          <w:tab w:val="left" w:pos="3150"/>
        </w:tabs>
        <w:rPr>
          <w:rFonts w:cstheme="minorHAnsi"/>
          <w:color w:val="000000" w:themeColor="text1"/>
          <w:sz w:val="24"/>
          <w:szCs w:val="24"/>
        </w:rPr>
      </w:pPr>
      <w:r>
        <w:rPr>
          <w:rFonts w:cstheme="minorHAnsi"/>
          <w:color w:val="000000" w:themeColor="text1"/>
          <w:sz w:val="24"/>
          <w:szCs w:val="24"/>
        </w:rPr>
        <w:t>Meskell, L. 1998 ‘</w:t>
      </w:r>
      <w:r w:rsidRPr="0097702D">
        <w:rPr>
          <w:rFonts w:cstheme="minorHAnsi"/>
          <w:i/>
          <w:color w:val="000000" w:themeColor="text1"/>
          <w:sz w:val="24"/>
          <w:szCs w:val="24"/>
        </w:rPr>
        <w:t>Archaeology under Fire: Nationalism, politics and Heritage in the Eastern Mediterranean</w:t>
      </w:r>
      <w:r>
        <w:rPr>
          <w:rFonts w:cstheme="minorHAnsi"/>
          <w:i/>
          <w:color w:val="000000" w:themeColor="text1"/>
          <w:sz w:val="24"/>
          <w:szCs w:val="24"/>
        </w:rPr>
        <w:t xml:space="preserve"> and Middle East’</w:t>
      </w:r>
      <w:r>
        <w:rPr>
          <w:rFonts w:cstheme="minorHAnsi"/>
          <w:color w:val="000000" w:themeColor="text1"/>
          <w:sz w:val="24"/>
          <w:szCs w:val="24"/>
        </w:rPr>
        <w:t xml:space="preserve"> London: Routledge, 44-67. </w:t>
      </w:r>
    </w:p>
    <w:p w14:paraId="3BAE15D2" w14:textId="77777777" w:rsidR="00696A9E" w:rsidRDefault="00696A9E" w:rsidP="00895C11">
      <w:pPr>
        <w:shd w:val="clear" w:color="auto" w:fill="FFFFFF"/>
        <w:spacing w:after="0" w:line="240" w:lineRule="auto"/>
        <w:rPr>
          <w:rFonts w:cstheme="minorHAnsi"/>
          <w:sz w:val="24"/>
          <w:szCs w:val="24"/>
        </w:rPr>
      </w:pPr>
      <w:r>
        <w:rPr>
          <w:rFonts w:cstheme="minorHAnsi"/>
          <w:sz w:val="24"/>
          <w:szCs w:val="24"/>
        </w:rPr>
        <w:t>Museums and Archives online ‘Hagios</w:t>
      </w:r>
      <w:r w:rsidRPr="00E35F26">
        <w:rPr>
          <w:rFonts w:cstheme="minorHAnsi"/>
          <w:i/>
          <w:sz w:val="24"/>
          <w:szCs w:val="24"/>
        </w:rPr>
        <w:t xml:space="preserve"> Demetrios</w:t>
      </w:r>
      <w:r>
        <w:rPr>
          <w:rFonts w:cstheme="minorHAnsi"/>
          <w:sz w:val="24"/>
          <w:szCs w:val="24"/>
        </w:rPr>
        <w:t xml:space="preserve">’ 2018. </w:t>
      </w:r>
      <w:hyperlink r:id="rId14" w:history="1">
        <w:r w:rsidRPr="00582C48">
          <w:rPr>
            <w:rStyle w:val="Hyperlink"/>
            <w:rFonts w:cstheme="minorHAnsi"/>
            <w:sz w:val="24"/>
            <w:szCs w:val="24"/>
          </w:rPr>
          <w:t>http://mao.bsa.ac.uk/results.php?refno=BRF%2F02%2F01%2F07%2F</w:t>
        </w:r>
      </w:hyperlink>
      <w:r>
        <w:rPr>
          <w:rFonts w:cstheme="minorHAnsi"/>
          <w:sz w:val="24"/>
          <w:szCs w:val="24"/>
        </w:rPr>
        <w:t>. [Accessed: 3</w:t>
      </w:r>
      <w:r w:rsidRPr="00FF293A">
        <w:rPr>
          <w:rFonts w:cstheme="minorHAnsi"/>
          <w:sz w:val="24"/>
          <w:szCs w:val="24"/>
          <w:vertAlign w:val="superscript"/>
        </w:rPr>
        <w:t>rd</w:t>
      </w:r>
      <w:r>
        <w:rPr>
          <w:rFonts w:cstheme="minorHAnsi"/>
          <w:sz w:val="24"/>
          <w:szCs w:val="24"/>
        </w:rPr>
        <w:t xml:space="preserve"> April 2018]. </w:t>
      </w:r>
    </w:p>
    <w:p w14:paraId="2087DDB3" w14:textId="77777777" w:rsidR="00696A9E" w:rsidRDefault="00696A9E" w:rsidP="00895C11">
      <w:pPr>
        <w:shd w:val="clear" w:color="auto" w:fill="FFFFFF"/>
        <w:spacing w:after="0" w:line="240" w:lineRule="auto"/>
        <w:rPr>
          <w:rFonts w:eastAsia="Times New Roman" w:cstheme="minorHAnsi"/>
          <w:color w:val="000000" w:themeColor="text1"/>
          <w:sz w:val="24"/>
          <w:szCs w:val="24"/>
          <w:lang w:eastAsia="en-GB"/>
        </w:rPr>
      </w:pPr>
      <w:r w:rsidRPr="00895C11">
        <w:rPr>
          <w:rFonts w:eastAsia="Times New Roman" w:cstheme="minorHAnsi"/>
          <w:color w:val="000000" w:themeColor="text1"/>
          <w:sz w:val="24"/>
          <w:szCs w:val="24"/>
          <w:lang w:eastAsia="en-GB"/>
        </w:rPr>
        <w:t>Ozbudun, E &amp; Kazancigil, A. 1981 ‘</w:t>
      </w:r>
      <w:r w:rsidRPr="00895C11">
        <w:rPr>
          <w:rFonts w:eastAsia="Times New Roman" w:cstheme="minorHAnsi"/>
          <w:i/>
          <w:color w:val="000000" w:themeColor="text1"/>
          <w:sz w:val="24"/>
          <w:szCs w:val="24"/>
          <w:lang w:eastAsia="en-GB"/>
        </w:rPr>
        <w:t>Ataturk: Founder of a Modern State’</w:t>
      </w:r>
      <w:r w:rsidRPr="00895C11">
        <w:rPr>
          <w:rFonts w:eastAsia="Times New Roman" w:cstheme="minorHAnsi"/>
          <w:color w:val="000000" w:themeColor="text1"/>
          <w:sz w:val="24"/>
          <w:szCs w:val="24"/>
          <w:lang w:eastAsia="en-GB"/>
        </w:rPr>
        <w:t xml:space="preserve"> London: Hurst &amp; Company ltd, 37-57.</w:t>
      </w:r>
    </w:p>
    <w:p w14:paraId="656187FE" w14:textId="77777777" w:rsidR="00696A9E" w:rsidRDefault="00696A9E" w:rsidP="00895C11">
      <w:pPr>
        <w:shd w:val="clear" w:color="auto" w:fill="FFFFFF"/>
        <w:spacing w:after="0" w:line="240" w:lineRule="auto"/>
        <w:rPr>
          <w:rFonts w:eastAsia="Times New Roman" w:cstheme="minorHAnsi"/>
          <w:color w:val="000000" w:themeColor="text1"/>
          <w:sz w:val="24"/>
          <w:szCs w:val="24"/>
          <w:lang w:eastAsia="en-GB"/>
        </w:rPr>
      </w:pPr>
    </w:p>
    <w:p w14:paraId="1750EFA6" w14:textId="77777777" w:rsidR="00696A9E" w:rsidRDefault="00696A9E" w:rsidP="00895C11">
      <w:pPr>
        <w:shd w:val="clear" w:color="auto" w:fill="FFFFFF"/>
        <w:spacing w:after="0" w:line="240" w:lineRule="auto"/>
        <w:rPr>
          <w:rFonts w:eastAsia="Times New Roman" w:cstheme="minorHAnsi"/>
          <w:color w:val="000000" w:themeColor="text1"/>
          <w:sz w:val="24"/>
          <w:szCs w:val="24"/>
          <w:lang w:eastAsia="en-GB"/>
        </w:rPr>
      </w:pPr>
      <w:r w:rsidRPr="00895C11">
        <w:rPr>
          <w:rFonts w:cstheme="minorHAnsi"/>
          <w:color w:val="333333"/>
          <w:sz w:val="24"/>
          <w:szCs w:val="24"/>
          <w:shd w:val="clear" w:color="auto" w:fill="FFFFFF"/>
        </w:rPr>
        <w:t xml:space="preserve"> </w:t>
      </w:r>
      <w:r w:rsidRPr="00895C11">
        <w:rPr>
          <w:rFonts w:cstheme="minorHAnsi"/>
          <w:color w:val="000000" w:themeColor="text1"/>
          <w:sz w:val="24"/>
          <w:szCs w:val="24"/>
          <w:shd w:val="clear" w:color="auto" w:fill="FFFFFF"/>
        </w:rPr>
        <w:t>Qamaruddin</w:t>
      </w:r>
      <w:r w:rsidRPr="00895C11">
        <w:rPr>
          <w:rFonts w:eastAsia="Times New Roman" w:cstheme="minorHAnsi"/>
          <w:color w:val="000000" w:themeColor="text1"/>
          <w:sz w:val="24"/>
          <w:szCs w:val="24"/>
          <w:lang w:eastAsia="en-GB"/>
        </w:rPr>
        <w:t xml:space="preserve">, M, D. </w:t>
      </w:r>
      <w:r w:rsidRPr="00895C11">
        <w:rPr>
          <w:rFonts w:eastAsia="Times New Roman" w:cstheme="minorHAnsi"/>
          <w:color w:val="333333"/>
          <w:sz w:val="24"/>
          <w:szCs w:val="24"/>
          <w:lang w:eastAsia="en-GB"/>
        </w:rPr>
        <w:t>1978</w:t>
      </w:r>
      <w:r w:rsidRPr="00895C11">
        <w:rPr>
          <w:rFonts w:cstheme="minorHAnsi"/>
          <w:sz w:val="24"/>
          <w:szCs w:val="24"/>
        </w:rPr>
        <w:t xml:space="preserve"> ‘Some Contributions of the Young Turks to Modern Turkey’</w:t>
      </w:r>
      <w:r w:rsidRPr="00895C11">
        <w:rPr>
          <w:rFonts w:eastAsia="Times New Roman" w:cstheme="minorHAnsi"/>
          <w:color w:val="333333"/>
          <w:sz w:val="24"/>
          <w:szCs w:val="24"/>
          <w:lang w:eastAsia="en-GB"/>
        </w:rPr>
        <w:t xml:space="preserve">. 39. II. </w:t>
      </w:r>
      <w:r w:rsidRPr="00895C11">
        <w:rPr>
          <w:rFonts w:eastAsia="Times New Roman" w:cstheme="minorHAnsi"/>
          <w:iCs/>
          <w:color w:val="000000" w:themeColor="text1"/>
          <w:sz w:val="24"/>
          <w:szCs w:val="24"/>
          <w:lang w:eastAsia="en-GB"/>
        </w:rPr>
        <w:t>Proceedings of the Indian History Congress</w:t>
      </w:r>
      <w:r w:rsidRPr="00895C11">
        <w:rPr>
          <w:rFonts w:eastAsia="Times New Roman" w:cstheme="minorHAnsi"/>
          <w:color w:val="000000" w:themeColor="text1"/>
          <w:sz w:val="24"/>
          <w:szCs w:val="24"/>
          <w:lang w:eastAsia="en-GB"/>
        </w:rPr>
        <w:t>, 902-906.</w:t>
      </w:r>
    </w:p>
    <w:p w14:paraId="699DCA29" w14:textId="77777777" w:rsidR="00696A9E" w:rsidRDefault="00696A9E" w:rsidP="00895C11">
      <w:pPr>
        <w:shd w:val="clear" w:color="auto" w:fill="FFFFFF"/>
        <w:spacing w:after="0" w:line="240" w:lineRule="auto"/>
        <w:rPr>
          <w:rFonts w:eastAsia="Times New Roman" w:cstheme="minorHAnsi"/>
          <w:color w:val="000000" w:themeColor="text1"/>
          <w:sz w:val="24"/>
          <w:szCs w:val="24"/>
          <w:lang w:eastAsia="en-GB"/>
        </w:rPr>
      </w:pPr>
    </w:p>
    <w:p w14:paraId="1706820F" w14:textId="77777777" w:rsidR="00696A9E" w:rsidRPr="00895C11" w:rsidRDefault="00696A9E" w:rsidP="00895C11">
      <w:pPr>
        <w:rPr>
          <w:rFonts w:cstheme="minorHAnsi"/>
          <w:sz w:val="24"/>
          <w:szCs w:val="24"/>
        </w:rPr>
      </w:pPr>
      <w:r w:rsidRPr="00895C11">
        <w:rPr>
          <w:rFonts w:cstheme="minorHAnsi"/>
          <w:sz w:val="24"/>
          <w:szCs w:val="24"/>
        </w:rPr>
        <w:t>Schnarr, T. ‘</w:t>
      </w:r>
      <w:r w:rsidRPr="00895C11">
        <w:rPr>
          <w:rFonts w:cstheme="minorHAnsi"/>
          <w:i/>
          <w:sz w:val="24"/>
          <w:szCs w:val="24"/>
        </w:rPr>
        <w:t xml:space="preserve">Hagios Demetrios- Thessaloniki Greece’ </w:t>
      </w:r>
      <w:r w:rsidRPr="00895C11">
        <w:rPr>
          <w:rFonts w:cstheme="minorHAnsi"/>
          <w:sz w:val="24"/>
          <w:szCs w:val="24"/>
        </w:rPr>
        <w:t xml:space="preserve">2015. UNESCO.org </w:t>
      </w:r>
      <w:hyperlink r:id="rId15" w:history="1">
        <w:r w:rsidRPr="00895C11">
          <w:rPr>
            <w:rStyle w:val="Hyperlink"/>
            <w:rFonts w:cstheme="minorHAnsi"/>
            <w:sz w:val="24"/>
            <w:szCs w:val="24"/>
          </w:rPr>
          <w:t>http://whc.unesco.org/en/documents/138048</w:t>
        </w:r>
      </w:hyperlink>
      <w:r w:rsidRPr="00895C11">
        <w:rPr>
          <w:rFonts w:cstheme="minorHAnsi"/>
          <w:sz w:val="24"/>
          <w:szCs w:val="24"/>
        </w:rPr>
        <w:t>. [Accessed: 2</w:t>
      </w:r>
      <w:r w:rsidRPr="00895C11">
        <w:rPr>
          <w:rFonts w:cstheme="minorHAnsi"/>
          <w:sz w:val="24"/>
          <w:szCs w:val="24"/>
          <w:vertAlign w:val="superscript"/>
        </w:rPr>
        <w:t>nd</w:t>
      </w:r>
      <w:r w:rsidRPr="00895C11">
        <w:rPr>
          <w:rFonts w:cstheme="minorHAnsi"/>
          <w:sz w:val="24"/>
          <w:szCs w:val="24"/>
        </w:rPr>
        <w:t xml:space="preserve"> April 2018].</w:t>
      </w:r>
    </w:p>
    <w:p w14:paraId="6FB82940" w14:textId="77777777" w:rsidR="00696A9E" w:rsidRDefault="00696A9E" w:rsidP="00895C11">
      <w:pPr>
        <w:shd w:val="clear" w:color="auto" w:fill="FFFFFF"/>
        <w:spacing w:after="0" w:line="240" w:lineRule="auto"/>
        <w:rPr>
          <w:rFonts w:eastAsia="Times New Roman" w:cstheme="minorHAnsi"/>
          <w:color w:val="000000" w:themeColor="text1"/>
          <w:sz w:val="24"/>
          <w:szCs w:val="24"/>
          <w:lang w:eastAsia="en-GB"/>
        </w:rPr>
      </w:pPr>
      <w:r w:rsidRPr="00895C11">
        <w:rPr>
          <w:rFonts w:eastAsia="Times New Roman" w:cstheme="minorHAnsi"/>
          <w:color w:val="000000" w:themeColor="text1"/>
          <w:sz w:val="24"/>
          <w:szCs w:val="24"/>
          <w:lang w:eastAsia="en-GB"/>
        </w:rPr>
        <w:t>Vickers, M. 1972. ‘</w:t>
      </w:r>
      <w:r w:rsidRPr="00895C11">
        <w:rPr>
          <w:rFonts w:eastAsia="Times New Roman" w:cstheme="minorHAnsi"/>
          <w:i/>
          <w:color w:val="000000" w:themeColor="text1"/>
          <w:sz w:val="24"/>
          <w:szCs w:val="24"/>
          <w:lang w:eastAsia="en-GB"/>
        </w:rPr>
        <w:t>Hellenic Thessaloniki’</w:t>
      </w:r>
      <w:r w:rsidRPr="00895C11">
        <w:rPr>
          <w:rFonts w:eastAsia="Times New Roman" w:cstheme="minorHAnsi"/>
          <w:color w:val="000000" w:themeColor="text1"/>
          <w:sz w:val="24"/>
          <w:szCs w:val="24"/>
          <w:lang w:eastAsia="en-GB"/>
        </w:rPr>
        <w:t>, 92. The Journal of Hellenic Studies, 156-170.</w:t>
      </w:r>
    </w:p>
    <w:p w14:paraId="10F38764" w14:textId="77777777" w:rsidR="00696A9E" w:rsidRDefault="00696A9E" w:rsidP="00895C11">
      <w:pPr>
        <w:shd w:val="clear" w:color="auto" w:fill="FFFFFF"/>
        <w:spacing w:after="0" w:line="240" w:lineRule="auto"/>
        <w:rPr>
          <w:rFonts w:eastAsia="Times New Roman" w:cstheme="minorHAnsi"/>
          <w:color w:val="000000" w:themeColor="text1"/>
          <w:sz w:val="24"/>
          <w:szCs w:val="24"/>
          <w:lang w:eastAsia="en-GB"/>
        </w:rPr>
      </w:pPr>
    </w:p>
    <w:p w14:paraId="0713781C" w14:textId="77777777" w:rsidR="00696A9E" w:rsidRDefault="00696A9E" w:rsidP="00895C11">
      <w:pPr>
        <w:tabs>
          <w:tab w:val="left" w:pos="3150"/>
        </w:tabs>
        <w:rPr>
          <w:rFonts w:cstheme="minorHAnsi"/>
          <w:color w:val="000000" w:themeColor="text1"/>
          <w:sz w:val="24"/>
          <w:szCs w:val="24"/>
        </w:rPr>
      </w:pPr>
      <w:r>
        <w:rPr>
          <w:rFonts w:cstheme="minorHAnsi"/>
          <w:color w:val="000000" w:themeColor="text1"/>
          <w:sz w:val="24"/>
          <w:szCs w:val="24"/>
        </w:rPr>
        <w:t>Zakythinos, D, A. 1976 ‘</w:t>
      </w:r>
      <w:r>
        <w:rPr>
          <w:rFonts w:cstheme="minorHAnsi"/>
          <w:i/>
          <w:color w:val="000000" w:themeColor="text1"/>
          <w:sz w:val="24"/>
          <w:szCs w:val="24"/>
        </w:rPr>
        <w:t>The Making of Modern Greece’</w:t>
      </w:r>
      <w:r>
        <w:rPr>
          <w:rFonts w:cstheme="minorHAnsi"/>
          <w:color w:val="000000" w:themeColor="text1"/>
          <w:sz w:val="24"/>
          <w:szCs w:val="24"/>
        </w:rPr>
        <w:t xml:space="preserve"> London: Blackwell &amp; Mott ltd, 88-115. </w:t>
      </w:r>
    </w:p>
    <w:sectPr w:rsidR="00696A9E">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18AC49" w14:textId="77777777" w:rsidR="00C951C3" w:rsidRDefault="00C951C3" w:rsidP="006D5DC2">
      <w:pPr>
        <w:spacing w:after="0" w:line="240" w:lineRule="auto"/>
      </w:pPr>
      <w:r>
        <w:separator/>
      </w:r>
    </w:p>
  </w:endnote>
  <w:endnote w:type="continuationSeparator" w:id="0">
    <w:p w14:paraId="7EDF400A" w14:textId="77777777" w:rsidR="00C951C3" w:rsidRDefault="00C951C3" w:rsidP="006D5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74974074"/>
      <w:docPartObj>
        <w:docPartGallery w:val="Page Numbers (Bottom of Page)"/>
        <w:docPartUnique/>
      </w:docPartObj>
    </w:sdtPr>
    <w:sdtEndPr>
      <w:rPr>
        <w:noProof/>
      </w:rPr>
    </w:sdtEndPr>
    <w:sdtContent>
      <w:p w14:paraId="1552CC9F" w14:textId="77777777" w:rsidR="006D5DC2" w:rsidRDefault="006D5DC2">
        <w:pPr>
          <w:pStyle w:val="Footer"/>
          <w:jc w:val="right"/>
        </w:pPr>
        <w:r>
          <w:fldChar w:fldCharType="begin"/>
        </w:r>
        <w:r>
          <w:instrText xml:space="preserve"> PAGE   \* MERGEFORMAT </w:instrText>
        </w:r>
        <w:r>
          <w:fldChar w:fldCharType="separate"/>
        </w:r>
        <w:r w:rsidR="00C37780">
          <w:rPr>
            <w:noProof/>
          </w:rPr>
          <w:t>4</w:t>
        </w:r>
        <w:r>
          <w:rPr>
            <w:noProof/>
          </w:rPr>
          <w:fldChar w:fldCharType="end"/>
        </w:r>
      </w:p>
    </w:sdtContent>
  </w:sdt>
  <w:p w14:paraId="24809C7F" w14:textId="77777777" w:rsidR="006D5DC2" w:rsidRDefault="006D5D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F586A5" w14:textId="77777777" w:rsidR="00C951C3" w:rsidRDefault="00C951C3" w:rsidP="006D5DC2">
      <w:pPr>
        <w:spacing w:after="0" w:line="240" w:lineRule="auto"/>
      </w:pPr>
      <w:r>
        <w:separator/>
      </w:r>
    </w:p>
  </w:footnote>
  <w:footnote w:type="continuationSeparator" w:id="0">
    <w:p w14:paraId="5B50F98C" w14:textId="77777777" w:rsidR="00C951C3" w:rsidRDefault="00C951C3" w:rsidP="006D5DC2">
      <w:pPr>
        <w:spacing w:after="0" w:line="240" w:lineRule="auto"/>
      </w:pPr>
      <w:r>
        <w:continuationSeparator/>
      </w:r>
    </w:p>
  </w:footnote>
  <w:footnote w:id="1">
    <w:p w14:paraId="4AAAE19E" w14:textId="77777777" w:rsidR="006D5DC2" w:rsidRDefault="006D5DC2">
      <w:pPr>
        <w:pStyle w:val="FootnoteText"/>
      </w:pPr>
      <w:r>
        <w:rPr>
          <w:rStyle w:val="FootnoteReference"/>
        </w:rPr>
        <w:footnoteRef/>
      </w:r>
      <w:r>
        <w:t xml:space="preserve"> Dimitradis, 1986:111. </w:t>
      </w:r>
    </w:p>
  </w:footnote>
  <w:footnote w:id="2">
    <w:p w14:paraId="47E15539" w14:textId="459C7A33" w:rsidR="002C36C4" w:rsidRDefault="002C36C4">
      <w:pPr>
        <w:pStyle w:val="FootnoteText"/>
      </w:pPr>
      <w:r>
        <w:rPr>
          <w:rStyle w:val="FootnoteReference"/>
        </w:rPr>
        <w:footnoteRef/>
      </w:r>
      <w:r>
        <w:t xml:space="preserve"> Meskell, 1998:45-46.</w:t>
      </w:r>
    </w:p>
  </w:footnote>
  <w:footnote w:id="3">
    <w:p w14:paraId="189E472A" w14:textId="77777777" w:rsidR="00352D9A" w:rsidRDefault="00352D9A">
      <w:pPr>
        <w:pStyle w:val="FootnoteText"/>
      </w:pPr>
      <w:r>
        <w:rPr>
          <w:rStyle w:val="FootnoteReference"/>
        </w:rPr>
        <w:footnoteRef/>
      </w:r>
      <w:r>
        <w:t xml:space="preserve"> Her.</w:t>
      </w:r>
      <w:r w:rsidRPr="00352D9A">
        <w:rPr>
          <w:i/>
        </w:rPr>
        <w:t>Hist</w:t>
      </w:r>
      <w:r>
        <w:t xml:space="preserve">.7.124-127. </w:t>
      </w:r>
    </w:p>
  </w:footnote>
  <w:footnote w:id="4">
    <w:p w14:paraId="144A09E8" w14:textId="4B833699" w:rsidR="007A0063" w:rsidRDefault="007A0063">
      <w:pPr>
        <w:pStyle w:val="FootnoteText"/>
      </w:pPr>
      <w:r>
        <w:rPr>
          <w:rStyle w:val="FootnoteReference"/>
        </w:rPr>
        <w:footnoteRef/>
      </w:r>
      <w:r>
        <w:t xml:space="preserve"> Dimitradis, 1986:111-112. </w:t>
      </w:r>
    </w:p>
  </w:footnote>
  <w:footnote w:id="5">
    <w:p w14:paraId="0B1CC4CB" w14:textId="77777777" w:rsidR="00F958CC" w:rsidRDefault="00F958CC">
      <w:pPr>
        <w:pStyle w:val="FootnoteText"/>
      </w:pPr>
      <w:r>
        <w:rPr>
          <w:rStyle w:val="FootnoteReference"/>
        </w:rPr>
        <w:footnoteRef/>
      </w:r>
      <w:r>
        <w:t xml:space="preserve"> Dimitradis, 1986:111. </w:t>
      </w:r>
    </w:p>
  </w:footnote>
  <w:footnote w:id="6">
    <w:p w14:paraId="69B64B81" w14:textId="5722C17A" w:rsidR="00E6308F" w:rsidRDefault="00E6308F">
      <w:pPr>
        <w:pStyle w:val="FootnoteText"/>
      </w:pPr>
      <w:r>
        <w:rPr>
          <w:rStyle w:val="FootnoteReference"/>
        </w:rPr>
        <w:footnoteRef/>
      </w:r>
      <w:r w:rsidR="007A0063">
        <w:t xml:space="preserve"> </w:t>
      </w:r>
      <w:r w:rsidR="007A0063" w:rsidRPr="007A0063">
        <w:rPr>
          <w:rFonts w:cstheme="minorHAnsi"/>
          <w:color w:val="000000" w:themeColor="text1"/>
        </w:rPr>
        <w:t>Mantopoulou-Panagiotopoulou</w:t>
      </w:r>
      <w:r w:rsidR="007A0063">
        <w:rPr>
          <w:rFonts w:cstheme="minorHAnsi"/>
          <w:color w:val="000000" w:themeColor="text1"/>
        </w:rPr>
        <w:t>, 1996:</w:t>
      </w:r>
      <w:r w:rsidR="00DE4F10">
        <w:rPr>
          <w:rFonts w:cstheme="minorHAnsi"/>
          <w:color w:val="000000" w:themeColor="text1"/>
        </w:rPr>
        <w:t>240-241.</w:t>
      </w:r>
    </w:p>
  </w:footnote>
  <w:footnote w:id="7">
    <w:p w14:paraId="117B70B4" w14:textId="77777777" w:rsidR="001E4C4D" w:rsidRDefault="001E4C4D">
      <w:pPr>
        <w:pStyle w:val="FootnoteText"/>
      </w:pPr>
      <w:r>
        <w:rPr>
          <w:rStyle w:val="FootnoteReference"/>
        </w:rPr>
        <w:footnoteRef/>
      </w:r>
      <w:r>
        <w:t xml:space="preserve"> Schnarr, 2015:2.</w:t>
      </w:r>
    </w:p>
  </w:footnote>
  <w:footnote w:id="8">
    <w:p w14:paraId="49028684" w14:textId="73658ADA" w:rsidR="00597D8A" w:rsidRDefault="00597D8A">
      <w:pPr>
        <w:pStyle w:val="FootnoteText"/>
      </w:pPr>
      <w:r>
        <w:rPr>
          <w:rStyle w:val="FootnoteReference"/>
        </w:rPr>
        <w:footnoteRef/>
      </w:r>
      <w:r>
        <w:t xml:space="preserve"> </w:t>
      </w:r>
      <w:r>
        <w:rPr>
          <w:rFonts w:eastAsia="Times New Roman" w:cstheme="minorHAnsi"/>
          <w:color w:val="000000" w:themeColor="text1"/>
          <w:lang w:eastAsia="en-GB"/>
        </w:rPr>
        <w:t xml:space="preserve">Ozbudun &amp; Kazancigil, </w:t>
      </w:r>
      <w:r w:rsidRPr="00597D8A">
        <w:rPr>
          <w:rFonts w:eastAsia="Times New Roman" w:cstheme="minorHAnsi"/>
          <w:color w:val="000000" w:themeColor="text1"/>
          <w:lang w:eastAsia="en-GB"/>
        </w:rPr>
        <w:t>1981</w:t>
      </w:r>
      <w:r>
        <w:rPr>
          <w:rFonts w:eastAsia="Times New Roman" w:cstheme="minorHAnsi"/>
          <w:color w:val="000000" w:themeColor="text1"/>
          <w:lang w:eastAsia="en-GB"/>
        </w:rPr>
        <w:t>:37-38.</w:t>
      </w:r>
    </w:p>
  </w:footnote>
  <w:footnote w:id="9">
    <w:p w14:paraId="078FEBA1" w14:textId="4B10CD32" w:rsidR="00D57017" w:rsidRDefault="00D57017">
      <w:pPr>
        <w:pStyle w:val="FootnoteText"/>
      </w:pPr>
      <w:r>
        <w:rPr>
          <w:rStyle w:val="FootnoteReference"/>
        </w:rPr>
        <w:footnoteRef/>
      </w:r>
      <w:r>
        <w:t xml:space="preserve"> </w:t>
      </w:r>
      <w:r w:rsidRPr="00895C11">
        <w:rPr>
          <w:rFonts w:cstheme="minorHAnsi"/>
        </w:rPr>
        <w:t>Mus</w:t>
      </w:r>
      <w:r w:rsidRPr="00B37113">
        <w:rPr>
          <w:rFonts w:cstheme="minorHAnsi"/>
        </w:rPr>
        <w:t xml:space="preserve">eums and Archives online, 2018:3. </w:t>
      </w:r>
    </w:p>
  </w:footnote>
  <w:footnote w:id="10">
    <w:p w14:paraId="0378DA40" w14:textId="00B4A205" w:rsidR="000C6904" w:rsidRDefault="000C6904">
      <w:pPr>
        <w:pStyle w:val="FootnoteText"/>
      </w:pPr>
      <w:r>
        <w:rPr>
          <w:rStyle w:val="FootnoteReference"/>
        </w:rPr>
        <w:footnoteRef/>
      </w:r>
      <w:r>
        <w:t xml:space="preserve"> </w:t>
      </w:r>
      <w:r w:rsidRPr="00895C11">
        <w:rPr>
          <w:rFonts w:cstheme="minorHAnsi"/>
          <w:color w:val="000000" w:themeColor="text1"/>
          <w:shd w:val="clear" w:color="auto" w:fill="FFFFFF"/>
        </w:rPr>
        <w:t>Qamaruddin</w:t>
      </w:r>
      <w:r w:rsidRPr="00B37113">
        <w:rPr>
          <w:rFonts w:eastAsia="Times New Roman" w:cstheme="minorHAnsi"/>
          <w:color w:val="000000" w:themeColor="text1"/>
          <w:lang w:eastAsia="en-GB"/>
        </w:rPr>
        <w:t xml:space="preserve">, </w:t>
      </w:r>
      <w:r w:rsidRPr="00895C11">
        <w:rPr>
          <w:rFonts w:eastAsia="Times New Roman" w:cstheme="minorHAnsi"/>
          <w:color w:val="000000" w:themeColor="text1"/>
          <w:lang w:eastAsia="en-GB"/>
        </w:rPr>
        <w:t>1978</w:t>
      </w:r>
      <w:r>
        <w:rPr>
          <w:rFonts w:eastAsia="Times New Roman" w:cstheme="minorHAnsi"/>
          <w:color w:val="000000" w:themeColor="text1"/>
          <w:lang w:eastAsia="en-GB"/>
        </w:rPr>
        <w:t>:902.</w:t>
      </w:r>
    </w:p>
  </w:footnote>
  <w:footnote w:id="11">
    <w:p w14:paraId="125BF725" w14:textId="6C6A049E" w:rsidR="00597D8A" w:rsidRDefault="00597D8A">
      <w:pPr>
        <w:pStyle w:val="FootnoteText"/>
      </w:pPr>
      <w:r>
        <w:rPr>
          <w:rStyle w:val="FootnoteReference"/>
        </w:rPr>
        <w:footnoteRef/>
      </w:r>
      <w:r>
        <w:t xml:space="preserve"> </w:t>
      </w:r>
      <w:r>
        <w:rPr>
          <w:rFonts w:cstheme="minorHAnsi"/>
          <w:color w:val="000000" w:themeColor="text1"/>
        </w:rPr>
        <w:t xml:space="preserve">Zakythinos, </w:t>
      </w:r>
      <w:r w:rsidRPr="00597D8A">
        <w:rPr>
          <w:rFonts w:cstheme="minorHAnsi"/>
          <w:color w:val="000000" w:themeColor="text1"/>
        </w:rPr>
        <w:t>1976</w:t>
      </w:r>
      <w:r>
        <w:rPr>
          <w:rFonts w:cstheme="minorHAnsi"/>
          <w:color w:val="000000" w:themeColor="text1"/>
        </w:rPr>
        <w:t>:88-89.</w:t>
      </w:r>
    </w:p>
  </w:footnote>
  <w:footnote w:id="12">
    <w:p w14:paraId="48081ED4" w14:textId="77777777" w:rsidR="00555AD0" w:rsidRDefault="00555AD0" w:rsidP="00555AD0">
      <w:pPr>
        <w:pStyle w:val="FootnoteText"/>
      </w:pPr>
      <w:r>
        <w:rPr>
          <w:rStyle w:val="FootnoteReference"/>
        </w:rPr>
        <w:footnoteRef/>
      </w:r>
      <w:r>
        <w:t xml:space="preserve"> Schnarr, 2015:1.</w:t>
      </w:r>
    </w:p>
  </w:footnote>
  <w:footnote w:id="13">
    <w:p w14:paraId="0199F44F" w14:textId="52BEEF71" w:rsidR="000255E9" w:rsidRDefault="000255E9">
      <w:pPr>
        <w:pStyle w:val="FootnoteText"/>
      </w:pPr>
      <w:r>
        <w:rPr>
          <w:rStyle w:val="FootnoteReference"/>
        </w:rPr>
        <w:footnoteRef/>
      </w:r>
      <w:r>
        <w:t xml:space="preserve"> </w:t>
      </w:r>
      <w:r w:rsidRPr="00895C11">
        <w:rPr>
          <w:rFonts w:cstheme="minorHAnsi"/>
        </w:rPr>
        <w:t>Mantopoulou-Panagiotopoulou</w:t>
      </w:r>
      <w:r>
        <w:rPr>
          <w:rFonts w:cstheme="minorHAnsi"/>
        </w:rPr>
        <w:t>. T, 1996:239-240.</w:t>
      </w:r>
    </w:p>
  </w:footnote>
  <w:footnote w:id="14">
    <w:p w14:paraId="0ED33170" w14:textId="77777777" w:rsidR="007F4768" w:rsidRDefault="007F4768" w:rsidP="007F4768">
      <w:pPr>
        <w:pStyle w:val="FootnoteText"/>
      </w:pPr>
      <w:r>
        <w:rPr>
          <w:rStyle w:val="FootnoteReference"/>
        </w:rPr>
        <w:footnoteRef/>
      </w:r>
      <w:r>
        <w:t xml:space="preserve"> Schnarr, 2015:1.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FE928C" w14:textId="77777777" w:rsidR="006D5DC2" w:rsidRDefault="006D5DC2">
    <w:pPr>
      <w:pStyle w:val="Header"/>
    </w:pPr>
    <w:r>
      <w:t>Thomas Hills</w:t>
    </w:r>
  </w:p>
  <w:p w14:paraId="4B48C6DF" w14:textId="77777777" w:rsidR="006D5DC2" w:rsidRDefault="006D5DC2">
    <w:pPr>
      <w:pStyle w:val="Header"/>
    </w:pPr>
    <w:r>
      <w:t>1500845@student.uwtsd.ac.uk</w:t>
    </w:r>
  </w:p>
  <w:p w14:paraId="420233D3" w14:textId="77777777" w:rsidR="006D5DC2" w:rsidRDefault="006D5DC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FB326B"/>
    <w:multiLevelType w:val="hybridMultilevel"/>
    <w:tmpl w:val="5434D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CCD31EF"/>
    <w:multiLevelType w:val="hybridMultilevel"/>
    <w:tmpl w:val="FA72A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199E"/>
    <w:rsid w:val="00015FD1"/>
    <w:rsid w:val="000255E9"/>
    <w:rsid w:val="000370EF"/>
    <w:rsid w:val="00081810"/>
    <w:rsid w:val="0008785B"/>
    <w:rsid w:val="000C6904"/>
    <w:rsid w:val="001027BD"/>
    <w:rsid w:val="001114AE"/>
    <w:rsid w:val="0012319E"/>
    <w:rsid w:val="00153461"/>
    <w:rsid w:val="00166F6D"/>
    <w:rsid w:val="00182941"/>
    <w:rsid w:val="001E4C4D"/>
    <w:rsid w:val="002000EC"/>
    <w:rsid w:val="00277001"/>
    <w:rsid w:val="002C36C4"/>
    <w:rsid w:val="0030137B"/>
    <w:rsid w:val="00352D9A"/>
    <w:rsid w:val="00393C5B"/>
    <w:rsid w:val="003D0604"/>
    <w:rsid w:val="003D401C"/>
    <w:rsid w:val="0043140B"/>
    <w:rsid w:val="00443083"/>
    <w:rsid w:val="0047554A"/>
    <w:rsid w:val="00477608"/>
    <w:rsid w:val="004843CD"/>
    <w:rsid w:val="004D554C"/>
    <w:rsid w:val="004F35B0"/>
    <w:rsid w:val="0053366F"/>
    <w:rsid w:val="0054666F"/>
    <w:rsid w:val="00550A96"/>
    <w:rsid w:val="00555AD0"/>
    <w:rsid w:val="0057109B"/>
    <w:rsid w:val="0057199E"/>
    <w:rsid w:val="00582B69"/>
    <w:rsid w:val="00597D8A"/>
    <w:rsid w:val="00597EA9"/>
    <w:rsid w:val="00696A9E"/>
    <w:rsid w:val="006A7918"/>
    <w:rsid w:val="006B7685"/>
    <w:rsid w:val="006D5DC2"/>
    <w:rsid w:val="0071785E"/>
    <w:rsid w:val="00737B29"/>
    <w:rsid w:val="00740DEF"/>
    <w:rsid w:val="00753F88"/>
    <w:rsid w:val="00757FC8"/>
    <w:rsid w:val="0078660D"/>
    <w:rsid w:val="007A0063"/>
    <w:rsid w:val="007D5B28"/>
    <w:rsid w:val="007E74EF"/>
    <w:rsid w:val="007F4768"/>
    <w:rsid w:val="008723AC"/>
    <w:rsid w:val="00895C11"/>
    <w:rsid w:val="008C5EAC"/>
    <w:rsid w:val="008F1C48"/>
    <w:rsid w:val="009253BB"/>
    <w:rsid w:val="0097702D"/>
    <w:rsid w:val="009C5A1C"/>
    <w:rsid w:val="009D1018"/>
    <w:rsid w:val="009D1316"/>
    <w:rsid w:val="009E495B"/>
    <w:rsid w:val="009E6CC5"/>
    <w:rsid w:val="00AA642E"/>
    <w:rsid w:val="00AF4C69"/>
    <w:rsid w:val="00B35F7E"/>
    <w:rsid w:val="00B37113"/>
    <w:rsid w:val="00B54EAC"/>
    <w:rsid w:val="00BD5563"/>
    <w:rsid w:val="00C26321"/>
    <w:rsid w:val="00C37780"/>
    <w:rsid w:val="00C566E4"/>
    <w:rsid w:val="00C838B2"/>
    <w:rsid w:val="00C951C3"/>
    <w:rsid w:val="00D57017"/>
    <w:rsid w:val="00D87053"/>
    <w:rsid w:val="00DE4F10"/>
    <w:rsid w:val="00E13554"/>
    <w:rsid w:val="00E35F26"/>
    <w:rsid w:val="00E6308F"/>
    <w:rsid w:val="00EA516B"/>
    <w:rsid w:val="00F07B51"/>
    <w:rsid w:val="00F24722"/>
    <w:rsid w:val="00F377AE"/>
    <w:rsid w:val="00F4625D"/>
    <w:rsid w:val="00F771EF"/>
    <w:rsid w:val="00F958CC"/>
    <w:rsid w:val="00FA0BF7"/>
    <w:rsid w:val="00FC738C"/>
    <w:rsid w:val="00FF2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150D1"/>
  <w15:chartTrackingRefBased/>
  <w15:docId w15:val="{237731D3-37AA-497B-B3EC-95415DF7C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D5D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5DC2"/>
    <w:rPr>
      <w:sz w:val="20"/>
      <w:szCs w:val="20"/>
    </w:rPr>
  </w:style>
  <w:style w:type="character" w:styleId="FootnoteReference">
    <w:name w:val="footnote reference"/>
    <w:basedOn w:val="DefaultParagraphFont"/>
    <w:uiPriority w:val="99"/>
    <w:semiHidden/>
    <w:unhideWhenUsed/>
    <w:rsid w:val="006D5DC2"/>
    <w:rPr>
      <w:vertAlign w:val="superscript"/>
    </w:rPr>
  </w:style>
  <w:style w:type="paragraph" w:styleId="Header">
    <w:name w:val="header"/>
    <w:basedOn w:val="Normal"/>
    <w:link w:val="HeaderChar"/>
    <w:uiPriority w:val="99"/>
    <w:unhideWhenUsed/>
    <w:rsid w:val="006D5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DC2"/>
  </w:style>
  <w:style w:type="paragraph" w:styleId="Footer">
    <w:name w:val="footer"/>
    <w:basedOn w:val="Normal"/>
    <w:link w:val="FooterChar"/>
    <w:uiPriority w:val="99"/>
    <w:unhideWhenUsed/>
    <w:rsid w:val="006D5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DC2"/>
  </w:style>
  <w:style w:type="character" w:styleId="Hyperlink">
    <w:name w:val="Hyperlink"/>
    <w:basedOn w:val="DefaultParagraphFont"/>
    <w:uiPriority w:val="99"/>
    <w:unhideWhenUsed/>
    <w:rsid w:val="00015FD1"/>
    <w:rPr>
      <w:color w:val="0563C1" w:themeColor="hyperlink"/>
      <w:u w:val="single"/>
    </w:rPr>
  </w:style>
  <w:style w:type="paragraph" w:styleId="ListParagraph">
    <w:name w:val="List Paragraph"/>
    <w:basedOn w:val="Normal"/>
    <w:uiPriority w:val="34"/>
    <w:qFormat/>
    <w:rsid w:val="000370EF"/>
    <w:pPr>
      <w:ind w:left="720"/>
      <w:contextualSpacing/>
    </w:pPr>
  </w:style>
  <w:style w:type="character" w:styleId="CommentReference">
    <w:name w:val="annotation reference"/>
    <w:basedOn w:val="DefaultParagraphFont"/>
    <w:uiPriority w:val="99"/>
    <w:semiHidden/>
    <w:unhideWhenUsed/>
    <w:rsid w:val="0071785E"/>
    <w:rPr>
      <w:sz w:val="16"/>
      <w:szCs w:val="16"/>
    </w:rPr>
  </w:style>
  <w:style w:type="paragraph" w:styleId="CommentText">
    <w:name w:val="annotation text"/>
    <w:basedOn w:val="Normal"/>
    <w:link w:val="CommentTextChar"/>
    <w:uiPriority w:val="99"/>
    <w:unhideWhenUsed/>
    <w:rsid w:val="0071785E"/>
    <w:pPr>
      <w:spacing w:line="240" w:lineRule="auto"/>
    </w:pPr>
    <w:rPr>
      <w:sz w:val="20"/>
      <w:szCs w:val="20"/>
    </w:rPr>
  </w:style>
  <w:style w:type="character" w:customStyle="1" w:styleId="CommentTextChar">
    <w:name w:val="Comment Text Char"/>
    <w:basedOn w:val="DefaultParagraphFont"/>
    <w:link w:val="CommentText"/>
    <w:uiPriority w:val="99"/>
    <w:rsid w:val="0071785E"/>
    <w:rPr>
      <w:sz w:val="20"/>
      <w:szCs w:val="20"/>
    </w:rPr>
  </w:style>
  <w:style w:type="paragraph" w:styleId="CommentSubject">
    <w:name w:val="annotation subject"/>
    <w:basedOn w:val="CommentText"/>
    <w:next w:val="CommentText"/>
    <w:link w:val="CommentSubjectChar"/>
    <w:uiPriority w:val="99"/>
    <w:semiHidden/>
    <w:unhideWhenUsed/>
    <w:rsid w:val="0071785E"/>
    <w:rPr>
      <w:b/>
      <w:bCs/>
    </w:rPr>
  </w:style>
  <w:style w:type="character" w:customStyle="1" w:styleId="CommentSubjectChar">
    <w:name w:val="Comment Subject Char"/>
    <w:basedOn w:val="CommentTextChar"/>
    <w:link w:val="CommentSubject"/>
    <w:uiPriority w:val="99"/>
    <w:semiHidden/>
    <w:rsid w:val="0071785E"/>
    <w:rPr>
      <w:b/>
      <w:bCs/>
      <w:sz w:val="20"/>
      <w:szCs w:val="20"/>
    </w:rPr>
  </w:style>
  <w:style w:type="paragraph" w:styleId="BalloonText">
    <w:name w:val="Balloon Text"/>
    <w:basedOn w:val="Normal"/>
    <w:link w:val="BalloonTextChar"/>
    <w:uiPriority w:val="99"/>
    <w:semiHidden/>
    <w:unhideWhenUsed/>
    <w:rsid w:val="007178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785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9957709">
      <w:bodyDiv w:val="1"/>
      <w:marLeft w:val="0"/>
      <w:marRight w:val="0"/>
      <w:marTop w:val="0"/>
      <w:marBottom w:val="0"/>
      <w:divBdr>
        <w:top w:val="none" w:sz="0" w:space="0" w:color="auto"/>
        <w:left w:val="none" w:sz="0" w:space="0" w:color="auto"/>
        <w:bottom w:val="none" w:sz="0" w:space="0" w:color="auto"/>
        <w:right w:val="none" w:sz="0" w:space="0" w:color="auto"/>
      </w:divBdr>
      <w:divsChild>
        <w:div w:id="73941964">
          <w:marLeft w:val="0"/>
          <w:marRight w:val="0"/>
          <w:marTop w:val="0"/>
          <w:marBottom w:val="0"/>
          <w:divBdr>
            <w:top w:val="none" w:sz="0" w:space="0" w:color="auto"/>
            <w:left w:val="none" w:sz="0" w:space="0" w:color="auto"/>
            <w:bottom w:val="none" w:sz="0" w:space="0" w:color="auto"/>
            <w:right w:val="none" w:sz="0" w:space="0" w:color="auto"/>
          </w:divBdr>
        </w:div>
        <w:div w:id="2017682940">
          <w:marLeft w:val="0"/>
          <w:marRight w:val="0"/>
          <w:marTop w:val="0"/>
          <w:marBottom w:val="0"/>
          <w:divBdr>
            <w:top w:val="none" w:sz="0" w:space="0" w:color="auto"/>
            <w:left w:val="none" w:sz="0" w:space="0" w:color="auto"/>
            <w:bottom w:val="none" w:sz="0" w:space="0" w:color="auto"/>
            <w:right w:val="none" w:sz="0" w:space="0" w:color="auto"/>
          </w:divBdr>
        </w:div>
      </w:divsChild>
    </w:div>
    <w:div w:id="1640067316">
      <w:bodyDiv w:val="1"/>
      <w:marLeft w:val="0"/>
      <w:marRight w:val="0"/>
      <w:marTop w:val="0"/>
      <w:marBottom w:val="0"/>
      <w:divBdr>
        <w:top w:val="none" w:sz="0" w:space="0" w:color="auto"/>
        <w:left w:val="none" w:sz="0" w:space="0" w:color="auto"/>
        <w:bottom w:val="none" w:sz="0" w:space="0" w:color="auto"/>
        <w:right w:val="none" w:sz="0" w:space="0" w:color="auto"/>
      </w:divBdr>
      <w:divsChild>
        <w:div w:id="584873892">
          <w:marLeft w:val="0"/>
          <w:marRight w:val="0"/>
          <w:marTop w:val="0"/>
          <w:marBottom w:val="0"/>
          <w:divBdr>
            <w:top w:val="none" w:sz="0" w:space="0" w:color="auto"/>
            <w:left w:val="none" w:sz="0" w:space="0" w:color="auto"/>
            <w:bottom w:val="none" w:sz="0" w:space="0" w:color="auto"/>
            <w:right w:val="none" w:sz="0" w:space="0" w:color="auto"/>
          </w:divBdr>
        </w:div>
        <w:div w:id="2142649055">
          <w:marLeft w:val="0"/>
          <w:marRight w:val="0"/>
          <w:marTop w:val="0"/>
          <w:marBottom w:val="0"/>
          <w:divBdr>
            <w:top w:val="none" w:sz="0" w:space="0" w:color="auto"/>
            <w:left w:val="none" w:sz="0" w:space="0" w:color="auto"/>
            <w:bottom w:val="none" w:sz="0" w:space="0" w:color="auto"/>
            <w:right w:val="none" w:sz="0" w:space="0" w:color="auto"/>
          </w:divBdr>
        </w:div>
        <w:div w:id="548995848">
          <w:marLeft w:val="0"/>
          <w:marRight w:val="0"/>
          <w:marTop w:val="0"/>
          <w:marBottom w:val="0"/>
          <w:divBdr>
            <w:top w:val="none" w:sz="0" w:space="0" w:color="auto"/>
            <w:left w:val="none" w:sz="0" w:space="0" w:color="auto"/>
            <w:bottom w:val="none" w:sz="0" w:space="0" w:color="auto"/>
            <w:right w:val="none" w:sz="0" w:space="0" w:color="auto"/>
          </w:divBdr>
        </w:div>
      </w:divsChild>
    </w:div>
    <w:div w:id="1698851387">
      <w:bodyDiv w:val="1"/>
      <w:marLeft w:val="0"/>
      <w:marRight w:val="0"/>
      <w:marTop w:val="0"/>
      <w:marBottom w:val="0"/>
      <w:divBdr>
        <w:top w:val="none" w:sz="0" w:space="0" w:color="auto"/>
        <w:left w:val="none" w:sz="0" w:space="0" w:color="auto"/>
        <w:bottom w:val="none" w:sz="0" w:space="0" w:color="auto"/>
        <w:right w:val="none" w:sz="0" w:space="0" w:color="auto"/>
      </w:divBdr>
      <w:divsChild>
        <w:div w:id="1105811310">
          <w:marLeft w:val="0"/>
          <w:marRight w:val="0"/>
          <w:marTop w:val="0"/>
          <w:marBottom w:val="0"/>
          <w:divBdr>
            <w:top w:val="none" w:sz="0" w:space="0" w:color="auto"/>
            <w:left w:val="none" w:sz="0" w:space="0" w:color="auto"/>
            <w:bottom w:val="none" w:sz="0" w:space="0" w:color="auto"/>
            <w:right w:val="none" w:sz="0" w:space="0" w:color="auto"/>
          </w:divBdr>
        </w:div>
        <w:div w:id="1007439668">
          <w:marLeft w:val="0"/>
          <w:marRight w:val="0"/>
          <w:marTop w:val="0"/>
          <w:marBottom w:val="0"/>
          <w:divBdr>
            <w:top w:val="none" w:sz="0" w:space="0" w:color="auto"/>
            <w:left w:val="none" w:sz="0" w:space="0" w:color="auto"/>
            <w:bottom w:val="none" w:sz="0" w:space="0" w:color="auto"/>
            <w:right w:val="none" w:sz="0" w:space="0" w:color="auto"/>
          </w:divBdr>
        </w:div>
        <w:div w:id="6793543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unesco.org/" TargetMode="Externa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nthessaloniki.com/en/agios-dimitrio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nthessaloniki.com/en/agios-dimitrios" TargetMode="External"/><Relationship Id="rId5" Type="http://schemas.openxmlformats.org/officeDocument/2006/relationships/webSettings" Target="webSettings.xml"/><Relationship Id="rId15" Type="http://schemas.openxmlformats.org/officeDocument/2006/relationships/hyperlink" Target="http://whc.unesco.org/en/documents/138048"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n.unesco.org/" TargetMode="External"/><Relationship Id="rId14" Type="http://schemas.openxmlformats.org/officeDocument/2006/relationships/hyperlink" Target="http://mao.bsa.ac.uk/results.php?refno=BRF%2F02%2F01%2F07%2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E152C9-A5BB-4874-AA13-4C8D973D9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1231</Words>
  <Characters>7022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dc:creator>
  <cp:keywords/>
  <dc:description/>
  <cp:lastModifiedBy>University Of Wales</cp:lastModifiedBy>
  <cp:revision>2</cp:revision>
  <dcterms:created xsi:type="dcterms:W3CDTF">2018-04-24T21:12:00Z</dcterms:created>
  <dcterms:modified xsi:type="dcterms:W3CDTF">2018-04-24T21:12:00Z</dcterms:modified>
</cp:coreProperties>
</file>