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CE2A45" w14:textId="0B3D4181" w:rsidR="000C1B40" w:rsidRDefault="00564ABC">
      <w:r>
        <w:t>Reflective Essay</w:t>
      </w:r>
    </w:p>
    <w:p w14:paraId="43691C1D" w14:textId="225E8DE4" w:rsidR="00564ABC" w:rsidRDefault="00D74407">
      <w:r>
        <w:t>The opportunity to learn and research</w:t>
      </w:r>
      <w:r w:rsidR="00564ABC">
        <w:t xml:space="preserve"> in the Roderic Bowen Archive and Library has been </w:t>
      </w:r>
      <w:r>
        <w:t>an illuminating experience.  The rich collection of primary sources available</w:t>
      </w:r>
      <w:r w:rsidR="000A39A8">
        <w:t xml:space="preserve"> is a was a unique aid in seminars and an essential resource for the projects.  Using them presented some challenges, however, I was able to learn many new skills which helped me utilise them correctly</w:t>
      </w:r>
      <w:r w:rsidR="006657A7">
        <w:t xml:space="preserve"> and make interpretations relevant</w:t>
      </w:r>
      <w:r w:rsidR="000A39A8">
        <w:t xml:space="preserve"> for each project</w:t>
      </w:r>
      <w:r w:rsidR="006657A7">
        <w:t xml:space="preserve">.  </w:t>
      </w:r>
    </w:p>
    <w:p w14:paraId="6DA53A4A" w14:textId="1D2C1487" w:rsidR="006657A7" w:rsidRDefault="006657A7">
      <w:r>
        <w:t>The first set of lectures about the history of printing were of particular interest to me personally</w:t>
      </w:r>
      <w:r w:rsidR="00690288">
        <w:t xml:space="preserve">.  Interacting with and learning about the medieval manuscripts and incunabula impressed upon me the changes in society which occurred during the renaissance, especially in the sphere of academia.  </w:t>
      </w:r>
      <w:r w:rsidR="0032687C">
        <w:t xml:space="preserve">The skills required to create, let alone read a manuscript were restricted to clergy, especially monks or those who had expressed a desire to take orders.  </w:t>
      </w:r>
      <w:r w:rsidR="00EF23E0">
        <w:t>These restrictions</w:t>
      </w:r>
      <w:r w:rsidR="000B620C">
        <w:t xml:space="preserve"> did not allow for wider debate and may have led in the 21</w:t>
      </w:r>
      <w:r w:rsidR="000B620C" w:rsidRPr="000B620C">
        <w:rPr>
          <w:vertAlign w:val="superscript"/>
        </w:rPr>
        <w:t>st</w:t>
      </w:r>
      <w:r w:rsidR="000B620C">
        <w:t xml:space="preserve"> century, divided as we are by the abyss of time, to the impression that there were very few text</w:t>
      </w:r>
      <w:r w:rsidR="00583DA3">
        <w:t>s</w:t>
      </w:r>
      <w:r w:rsidR="000B620C">
        <w:t xml:space="preserve"> read beyond the bibles and commentaries which are the majority of </w:t>
      </w:r>
      <w:r w:rsidR="00EB33C0">
        <w:t>surviving manuscripts.</w:t>
      </w:r>
      <w:r w:rsidR="00CF548E">
        <w:rPr>
          <w:rStyle w:val="FootnoteReference"/>
        </w:rPr>
        <w:footnoteReference w:id="2"/>
      </w:r>
    </w:p>
    <w:p w14:paraId="7ECD88D7" w14:textId="7461BB32" w:rsidR="00A00036" w:rsidRDefault="00EB33C0">
      <w:r>
        <w:t xml:space="preserve">The difference between medieval academics and the wider spread </w:t>
      </w:r>
      <w:r w:rsidR="003E48B8">
        <w:t>literacy and variety of literature which arose rapidly during</w:t>
      </w:r>
      <w:r>
        <w:t xml:space="preserve"> the renaissance </w:t>
      </w:r>
      <w:r w:rsidR="003E48B8">
        <w:t xml:space="preserve">is incredible.  </w:t>
      </w:r>
      <w:r w:rsidR="007861D3">
        <w:t xml:space="preserve">In </w:t>
      </w:r>
      <w:r w:rsidR="002D121C">
        <w:t xml:space="preserve">The Reformation and the Book, </w:t>
      </w:r>
      <w:proofErr w:type="spellStart"/>
      <w:r w:rsidR="000E34FA">
        <w:t>Gilmont</w:t>
      </w:r>
      <w:proofErr w:type="spellEnd"/>
      <w:r w:rsidR="000E34FA">
        <w:t xml:space="preserve"> and Maag say </w:t>
      </w:r>
      <w:r w:rsidR="00E6217D">
        <w:t xml:space="preserve">that the reformation and </w:t>
      </w:r>
      <w:r w:rsidR="00773695">
        <w:t>rapid spread of</w:t>
      </w:r>
      <w:r w:rsidR="00583870">
        <w:t xml:space="preserve"> </w:t>
      </w:r>
      <w:r w:rsidR="00E6217D">
        <w:t xml:space="preserve">printing </w:t>
      </w:r>
      <w:r w:rsidR="009E7C3A">
        <w:t>developed</w:t>
      </w:r>
      <w:r w:rsidR="00E6217D">
        <w:t xml:space="preserve"> symbiotically, neither one really being </w:t>
      </w:r>
      <w:r w:rsidR="003D20F4">
        <w:t>possible without the other.</w:t>
      </w:r>
      <w:r w:rsidR="008D20DF">
        <w:rPr>
          <w:rStyle w:val="FootnoteReference"/>
        </w:rPr>
        <w:footnoteReference w:id="3"/>
      </w:r>
      <w:r w:rsidR="003D20F4">
        <w:t xml:space="preserve">  </w:t>
      </w:r>
      <w:r w:rsidR="002B45F2">
        <w:t>I would argue</w:t>
      </w:r>
      <w:r w:rsidR="000840AA">
        <w:t xml:space="preserve"> that the plethora of peripheral industries which </w:t>
      </w:r>
      <w:r w:rsidR="004924CA">
        <w:t>grew around the printers</w:t>
      </w:r>
      <w:r w:rsidR="000840AA">
        <w:t xml:space="preserve"> also had a similar relationship</w:t>
      </w:r>
      <w:r w:rsidR="00BC6794">
        <w:t xml:space="preserve">, with the skill of carvers and engravers </w:t>
      </w:r>
      <w:r w:rsidR="006E17B6">
        <w:t>pushing the standard for printing and visa</w:t>
      </w:r>
      <w:r w:rsidR="00967FDC">
        <w:t>-</w:t>
      </w:r>
      <w:r w:rsidR="006E17B6">
        <w:t>versa</w:t>
      </w:r>
      <w:r w:rsidR="000F0505">
        <w:t>.</w:t>
      </w:r>
      <w:r w:rsidR="00EA4D9E">
        <w:rPr>
          <w:rStyle w:val="FootnoteReference"/>
        </w:rPr>
        <w:footnoteReference w:id="4"/>
      </w:r>
    </w:p>
    <w:p w14:paraId="034F70F1" w14:textId="2E0AF491" w:rsidR="00EB33C0" w:rsidRDefault="005C0D2D">
      <w:r>
        <w:t xml:space="preserve">This </w:t>
      </w:r>
      <w:r w:rsidR="00E43297">
        <w:t xml:space="preserve">experimentation was especially evident during research for the illustration project.  </w:t>
      </w:r>
      <w:r w:rsidR="00002E08">
        <w:t xml:space="preserve">Learning the </w:t>
      </w:r>
      <w:r w:rsidR="0030267E">
        <w:t xml:space="preserve">methods of illustration were particularly interesting to me.  </w:t>
      </w:r>
      <w:r w:rsidR="000B12DA">
        <w:t>From written descriptions it was difficult to imagine the proces</w:t>
      </w:r>
      <w:r w:rsidR="00D56894">
        <w:t xml:space="preserve">s.  However, </w:t>
      </w:r>
      <w:r w:rsidR="00943C0A">
        <w:t xml:space="preserve">somewhat ironically, when </w:t>
      </w:r>
      <w:r w:rsidR="006B20E7">
        <w:t>I saw illustrations of the process, it once more impressed upon me the skill of illustrators, especially those like John Martin who were both designers and engravers.</w:t>
      </w:r>
      <w:r w:rsidR="00E40C59">
        <w:rPr>
          <w:rStyle w:val="FootnoteReference"/>
        </w:rPr>
        <w:footnoteReference w:id="5"/>
      </w:r>
      <w:r w:rsidR="006B20E7">
        <w:t xml:space="preserve">  </w:t>
      </w:r>
      <w:r w:rsidR="00344BC9">
        <w:t xml:space="preserve">On reflection, </w:t>
      </w:r>
      <w:r w:rsidR="008C213E">
        <w:t xml:space="preserve">the illustration I chose was more difficult to find specific information about than some of Martin’s other illustrations </w:t>
      </w:r>
      <w:r w:rsidR="00C00CE2">
        <w:t xml:space="preserve">like ‘The Creation of Light’ which was both highly </w:t>
      </w:r>
      <w:r w:rsidR="00A55D50">
        <w:t>criticised</w:t>
      </w:r>
      <w:r w:rsidR="00C00CE2">
        <w:t xml:space="preserve">, praised and </w:t>
      </w:r>
      <w:r w:rsidR="00A55D50">
        <w:t xml:space="preserve">produced as a painting and </w:t>
      </w:r>
      <w:r w:rsidR="00D85155">
        <w:t>mezzotint.</w:t>
      </w:r>
      <w:r w:rsidR="006128B9">
        <w:rPr>
          <w:rStyle w:val="FootnoteReference"/>
        </w:rPr>
        <w:footnoteReference w:id="6"/>
      </w:r>
      <w:r w:rsidR="00D85155">
        <w:t xml:space="preserve">  However, there was still enough information about ‘</w:t>
      </w:r>
      <w:r w:rsidR="00B5058B">
        <w:t>S</w:t>
      </w:r>
      <w:r w:rsidR="00D85155">
        <w:t>atan presides over the infernal council</w:t>
      </w:r>
      <w:r w:rsidR="00EE1A84">
        <w:t>’</w:t>
      </w:r>
      <w:r w:rsidR="00D85155">
        <w:t xml:space="preserve"> </w:t>
      </w:r>
      <w:r w:rsidR="00533ECE">
        <w:t xml:space="preserve">and Martin to make </w:t>
      </w:r>
      <w:r w:rsidR="00EE1A84">
        <w:t xml:space="preserve">condensing it into a six minute </w:t>
      </w:r>
      <w:r w:rsidR="009F5421">
        <w:t xml:space="preserve">presentation </w:t>
      </w:r>
      <w:r w:rsidR="006E41BD">
        <w:t>hard.</w:t>
      </w:r>
      <w:r w:rsidR="000F6366">
        <w:rPr>
          <w:rStyle w:val="FootnoteReference"/>
        </w:rPr>
        <w:footnoteReference w:id="7"/>
      </w:r>
      <w:r w:rsidR="006E41BD">
        <w:t xml:space="preserve">   </w:t>
      </w:r>
      <w:r w:rsidR="00252F4E">
        <w:t xml:space="preserve">During this project, I realised the information which pictures can convey </w:t>
      </w:r>
      <w:r w:rsidR="000F05A8">
        <w:t>where words cannot</w:t>
      </w:r>
      <w:r w:rsidR="0053362D">
        <w:t xml:space="preserve"> without extreme elaboration.  More than this though, I came to understand the emotion </w:t>
      </w:r>
      <w:r w:rsidR="00466FF1">
        <w:t>images can also convey</w:t>
      </w:r>
      <w:r w:rsidR="00987B69">
        <w:t>, inspiring extreme reactions.</w:t>
      </w:r>
      <w:r w:rsidR="00987B69">
        <w:rPr>
          <w:rStyle w:val="FootnoteReference"/>
        </w:rPr>
        <w:footnoteReference w:id="8"/>
      </w:r>
      <w:r w:rsidR="00B82027">
        <w:t xml:space="preserve">  This has helped me select the images I wish to illustrate </w:t>
      </w:r>
      <w:r w:rsidR="00DE67A7">
        <w:t xml:space="preserve">future </w:t>
      </w:r>
      <w:r w:rsidR="00D45B79">
        <w:t>research</w:t>
      </w:r>
      <w:r w:rsidR="003E3339">
        <w:t xml:space="preserve"> more carefully.  </w:t>
      </w:r>
    </w:p>
    <w:p w14:paraId="2EC376DC" w14:textId="11752B6E" w:rsidR="00801A47" w:rsidRDefault="00801A47">
      <w:r>
        <w:t xml:space="preserve">The lectures about illustration </w:t>
      </w:r>
      <w:r w:rsidR="00F612EE">
        <w:t>were also extremely helpful</w:t>
      </w:r>
      <w:r w:rsidR="002742AC">
        <w:t xml:space="preserve"> in placing early and early modern printed illustrations in context and </w:t>
      </w:r>
      <w:r w:rsidR="00F16A13">
        <w:t xml:space="preserve">enabled me to </w:t>
      </w:r>
      <w:r w:rsidR="00073E1D">
        <w:t>appreciate the development in techniques</w:t>
      </w:r>
      <w:r w:rsidR="009201E6">
        <w:t xml:space="preserve">.  </w:t>
      </w:r>
      <w:r w:rsidR="00F574FE">
        <w:t xml:space="preserve">The </w:t>
      </w:r>
      <w:r w:rsidR="005A7E14">
        <w:t>encyclopaedia</w:t>
      </w:r>
      <w:r w:rsidR="00F574FE">
        <w:t xml:space="preserve"> illustrations </w:t>
      </w:r>
      <w:r w:rsidR="005A7E14">
        <w:t>emphasised</w:t>
      </w:r>
      <w:r w:rsidR="00A66720">
        <w:t xml:space="preserve"> not</w:t>
      </w:r>
      <w:r w:rsidR="00F574FE">
        <w:t xml:space="preserve"> </w:t>
      </w:r>
      <w:r w:rsidR="0020205A">
        <w:t xml:space="preserve">only </w:t>
      </w:r>
      <w:r w:rsidR="00F574FE">
        <w:t xml:space="preserve">the difference in </w:t>
      </w:r>
      <w:r w:rsidR="005A7E14">
        <w:t xml:space="preserve">previous </w:t>
      </w:r>
      <w:r w:rsidR="00F574FE">
        <w:t xml:space="preserve">academic </w:t>
      </w:r>
      <w:r w:rsidR="005A7E14">
        <w:t>conventions</w:t>
      </w:r>
      <w:r w:rsidR="00A66720">
        <w:t xml:space="preserve">, but also </w:t>
      </w:r>
      <w:r w:rsidR="00612086">
        <w:t xml:space="preserve">what was </w:t>
      </w:r>
      <w:r w:rsidR="00121C1E">
        <w:t>given priority to be taught and preserved.</w:t>
      </w:r>
      <w:r w:rsidR="00A51C83">
        <w:rPr>
          <w:rStyle w:val="FootnoteReference"/>
        </w:rPr>
        <w:footnoteReference w:id="9"/>
      </w:r>
      <w:r w:rsidR="00116691">
        <w:t xml:space="preserve">  </w:t>
      </w:r>
      <w:r w:rsidR="00FC4CE9">
        <w:t xml:space="preserve">In many cases, the illustrators of </w:t>
      </w:r>
      <w:r w:rsidR="00BE67A0">
        <w:t>factual books were scientists as well as illustrators, like Robert Hooke</w:t>
      </w:r>
      <w:r w:rsidR="00C105BF">
        <w:t xml:space="preserve">, using their experience to </w:t>
      </w:r>
      <w:r w:rsidR="00D92EE4">
        <w:t>accurately depict</w:t>
      </w:r>
      <w:r w:rsidR="009B5B06">
        <w:t xml:space="preserve"> the world around them, share it with others and further explore t</w:t>
      </w:r>
      <w:r w:rsidR="005D3D35">
        <w:t>heir fields.</w:t>
      </w:r>
      <w:r w:rsidR="00A51C83">
        <w:rPr>
          <w:rStyle w:val="FootnoteReference"/>
        </w:rPr>
        <w:footnoteReference w:id="10"/>
      </w:r>
    </w:p>
    <w:p w14:paraId="5ED90400" w14:textId="446BB83A" w:rsidR="007D33F2" w:rsidRDefault="009C504A">
      <w:r>
        <w:t xml:space="preserve">Overall, </w:t>
      </w:r>
      <w:r w:rsidR="00AE7A18">
        <w:t>as</w:t>
      </w:r>
      <w:r>
        <w:t xml:space="preserve"> I learned</w:t>
      </w:r>
      <w:r w:rsidR="00AE7A18">
        <w:t xml:space="preserve"> more</w:t>
      </w:r>
      <w:r>
        <w:t xml:space="preserve"> about print</w:t>
      </w:r>
      <w:r w:rsidR="00BF16AE">
        <w:t xml:space="preserve">ed books, it became apparent that in the past, the entire process from choosing a typeface </w:t>
      </w:r>
      <w:r w:rsidR="00C740D2">
        <w:t>and format to</w:t>
      </w:r>
      <w:r w:rsidR="00BF16AE">
        <w:t xml:space="preserve"> </w:t>
      </w:r>
      <w:r w:rsidR="00C740D2">
        <w:t>the binding and decoration</w:t>
      </w:r>
      <w:r w:rsidR="00112BB2">
        <w:t>,</w:t>
      </w:r>
      <w:r w:rsidR="00C740D2">
        <w:t xml:space="preserve"> </w:t>
      </w:r>
      <w:r w:rsidR="004B574A">
        <w:t xml:space="preserve">was </w:t>
      </w:r>
      <w:r w:rsidR="00112BB2">
        <w:t xml:space="preserve">as much an art as the illustrations.  </w:t>
      </w:r>
      <w:r w:rsidR="00F069AE">
        <w:t>Even the unassuming bindings on the three volumes I examined</w:t>
      </w:r>
      <w:r w:rsidR="00EA77A3">
        <w:t xml:space="preserve"> must have</w:t>
      </w:r>
      <w:r w:rsidR="00F069AE">
        <w:t xml:space="preserve"> required more </w:t>
      </w:r>
      <w:r w:rsidR="00BE2E9C">
        <w:t xml:space="preserve">artistry </w:t>
      </w:r>
      <w:r w:rsidR="0042477F">
        <w:t xml:space="preserve">than </w:t>
      </w:r>
      <w:r w:rsidR="00EA77A3">
        <w:t>they appeared to</w:t>
      </w:r>
      <w:r w:rsidR="008612EE">
        <w:t xml:space="preserve">, in order to </w:t>
      </w:r>
      <w:r w:rsidR="001E1D0D">
        <w:t xml:space="preserve">create </w:t>
      </w:r>
      <w:r w:rsidR="001E1D0D">
        <w:lastRenderedPageBreak/>
        <w:t>the marbling effect on calfskin.</w:t>
      </w:r>
      <w:r w:rsidR="00162A7E">
        <w:rPr>
          <w:rStyle w:val="FootnoteReference"/>
        </w:rPr>
        <w:footnoteReference w:id="11"/>
      </w:r>
      <w:r w:rsidR="003B4144">
        <w:t xml:space="preserve">  </w:t>
      </w:r>
      <w:r w:rsidR="00263BA5">
        <w:t xml:space="preserve">I found the </w:t>
      </w:r>
      <w:r w:rsidR="006E1961">
        <w:t>idea of book binding through history as a “mirror of society”</w:t>
      </w:r>
      <w:r w:rsidR="00C661FF">
        <w:t xml:space="preserve"> interesting.  </w:t>
      </w:r>
      <w:r w:rsidR="00A47837">
        <w:t xml:space="preserve">Mirjam M Foot </w:t>
      </w:r>
      <w:r w:rsidR="00C97BED">
        <w:t xml:space="preserve">suggests </w:t>
      </w:r>
      <w:r w:rsidR="00796EFC">
        <w:t>binding styles</w:t>
      </w:r>
      <w:r w:rsidR="004B77C8">
        <w:t xml:space="preserve"> c</w:t>
      </w:r>
      <w:r w:rsidR="00A9447A">
        <w:t>y</w:t>
      </w:r>
      <w:r w:rsidR="004B77C8">
        <w:t>cled</w:t>
      </w:r>
      <w:r w:rsidR="00B910B9">
        <w:t xml:space="preserve"> in and out of fashion, </w:t>
      </w:r>
      <w:r w:rsidR="00637492">
        <w:t>like clothes</w:t>
      </w:r>
      <w:r w:rsidR="00A238D1">
        <w:t xml:space="preserve">, as did the </w:t>
      </w:r>
      <w:r w:rsidR="00B77508">
        <w:t>reason for buying or giving them.</w:t>
      </w:r>
      <w:r w:rsidR="00584A23">
        <w:rPr>
          <w:rStyle w:val="FootnoteReference"/>
        </w:rPr>
        <w:footnoteReference w:id="12"/>
      </w:r>
      <w:r w:rsidR="00B77508">
        <w:t xml:space="preserve">  </w:t>
      </w:r>
      <w:r w:rsidR="0004138A">
        <w:t>I</w:t>
      </w:r>
      <w:r w:rsidR="00F42197">
        <w:t xml:space="preserve"> think this is still true today, with the myriad styles of paperback and hardback books and </w:t>
      </w:r>
      <w:r w:rsidR="007260B5">
        <w:t xml:space="preserve">their styles </w:t>
      </w:r>
      <w:r w:rsidR="00975FE4">
        <w:t xml:space="preserve">changing </w:t>
      </w:r>
      <w:r w:rsidR="00E928A9">
        <w:t>even in my lifetime.</w:t>
      </w:r>
      <w:r w:rsidR="00AF1E5B">
        <w:t xml:space="preserve">  Also striking is the notion that in the 21</w:t>
      </w:r>
      <w:r w:rsidR="00AF1E5B" w:rsidRPr="00AF1E5B">
        <w:rPr>
          <w:vertAlign w:val="superscript"/>
        </w:rPr>
        <w:t>st</w:t>
      </w:r>
      <w:r w:rsidR="00AF1E5B">
        <w:t xml:space="preserve"> century there are very few people, in Britian</w:t>
      </w:r>
      <w:r w:rsidR="00A11A30">
        <w:t xml:space="preserve"> at least, who cannot read, and who have probably owned one form of book </w:t>
      </w:r>
      <w:r w:rsidR="001933D3">
        <w:t xml:space="preserve">once in their lives.  </w:t>
      </w:r>
      <w:r w:rsidR="001D0B06">
        <w:t xml:space="preserve">Though </w:t>
      </w:r>
      <w:r w:rsidR="00C677C4">
        <w:t xml:space="preserve">Lucy Hartley </w:t>
      </w:r>
      <w:r w:rsidR="003C4201">
        <w:t xml:space="preserve">argues </w:t>
      </w:r>
      <w:r w:rsidR="00016F7B">
        <w:t xml:space="preserve">ninety-nine percent literacy is still </w:t>
      </w:r>
      <w:r w:rsidR="00C6249C">
        <w:t xml:space="preserve">remarkably </w:t>
      </w:r>
      <w:r w:rsidR="00016F7B">
        <w:t xml:space="preserve">lacking for </w:t>
      </w:r>
      <w:r w:rsidR="00170A6D">
        <w:t>such a developed country, I disagree</w:t>
      </w:r>
      <w:r w:rsidR="00301ADD">
        <w:t>, considering how much of an improvement this is</w:t>
      </w:r>
      <w:r w:rsidR="00A54197">
        <w:t xml:space="preserve"> on our </w:t>
      </w:r>
      <w:r w:rsidR="005F6607">
        <w:t>historical literacy rate.</w:t>
      </w:r>
      <w:r w:rsidR="002B1FAB">
        <w:rPr>
          <w:rStyle w:val="FootnoteReference"/>
        </w:rPr>
        <w:footnoteReference w:id="13"/>
      </w:r>
      <w:r w:rsidR="00361EE3">
        <w:t xml:space="preserve">  Even during the renaissance and rapid growth of printing, </w:t>
      </w:r>
      <w:r w:rsidR="00275B92">
        <w:t xml:space="preserve">those who could both read and afford books were </w:t>
      </w:r>
      <w:r w:rsidR="002C3C47">
        <w:t xml:space="preserve">still largely confined to </w:t>
      </w:r>
      <w:r w:rsidR="005C48A3">
        <w:t>specially educated upper classes.</w:t>
      </w:r>
      <w:r w:rsidR="0029579F">
        <w:rPr>
          <w:rStyle w:val="FootnoteReference"/>
        </w:rPr>
        <w:footnoteReference w:id="14"/>
      </w:r>
    </w:p>
    <w:p w14:paraId="7E2D0057" w14:textId="16087E11" w:rsidR="0059449A" w:rsidRDefault="009730FF">
      <w:r>
        <w:t xml:space="preserve">The </w:t>
      </w:r>
      <w:r w:rsidR="007A7498">
        <w:t>province</w:t>
      </w:r>
      <w:r>
        <w:t xml:space="preserve"> was also difficult to accurately track</w:t>
      </w:r>
      <w:r w:rsidR="007A7498">
        <w:t>, there were no indications of individual owners, and many of the book sale catalogues from the time are held in physical copy at the British Library.</w:t>
      </w:r>
      <w:r w:rsidR="00D01F35">
        <w:t xml:space="preserve">  Many of the newspapers which may have contained advertisements for specific family book sales are also woefully </w:t>
      </w:r>
      <w:r w:rsidR="00C03E97">
        <w:t xml:space="preserve">lacking in availability.  </w:t>
      </w:r>
      <w:r w:rsidR="001B58B4">
        <w:t>David Deacon, in his article ‘Yesterday’s Papers and Today’s Technology</w:t>
      </w:r>
      <w:r w:rsidR="00A3151F">
        <w:t>:</w:t>
      </w:r>
      <w:r w:rsidR="00F37BF4">
        <w:t xml:space="preserve"> </w:t>
      </w:r>
      <w:r w:rsidR="00A3151F">
        <w:t>Digital Newspaper Archives and “Push Button” Content Analysis’ mention</w:t>
      </w:r>
      <w:r w:rsidR="00F37BF4">
        <w:t>s</w:t>
      </w:r>
      <w:r w:rsidR="00777C19">
        <w:t xml:space="preserve"> the </w:t>
      </w:r>
      <w:r w:rsidR="006B5A6F">
        <w:t>rapidly growing archive of digitalised records, especially new</w:t>
      </w:r>
      <w:r w:rsidR="004F77BD">
        <w:t>s</w:t>
      </w:r>
      <w:r w:rsidR="006B5A6F">
        <w:t>papers but laments that access can be so varied as to make even citation unreliable on occasion</w:t>
      </w:r>
      <w:r w:rsidR="00646145">
        <w:t>, depending on subscription rules at certain times.</w:t>
      </w:r>
      <w:r w:rsidR="00C443BB">
        <w:rPr>
          <w:rStyle w:val="FootnoteReference"/>
        </w:rPr>
        <w:footnoteReference w:id="15"/>
      </w:r>
      <w:r w:rsidR="00646145">
        <w:t xml:space="preserve">  No where else did I feel this more keenly than trying to trace </w:t>
      </w:r>
      <w:r w:rsidR="00AA723E">
        <w:t xml:space="preserve">the provenance of my three volumes.  It is amazing that the British Library, especially with </w:t>
      </w:r>
      <w:r w:rsidR="007554E1">
        <w:t xml:space="preserve">so many resources </w:t>
      </w:r>
      <w:r w:rsidR="00EC5FF7">
        <w:t xml:space="preserve">has not </w:t>
      </w:r>
      <w:r w:rsidR="006212DE">
        <w:t>digitised more of its collection.</w:t>
      </w:r>
    </w:p>
    <w:p w14:paraId="2E9073C8" w14:textId="3146CE87" w:rsidR="00E5598D" w:rsidRDefault="0059449A">
      <w:r>
        <w:t>Another aspect of the article is the need to organise large bodies of records which vary drastically in content and theme</w:t>
      </w:r>
      <w:r w:rsidR="0089215A">
        <w:t>.  This, thankfully was something the Roderic Bowen Library and Archive</w:t>
      </w:r>
      <w:r w:rsidR="005E1881">
        <w:t xml:space="preserve"> (RBLA)</w:t>
      </w:r>
      <w:r w:rsidR="0089215A">
        <w:t xml:space="preserve"> has </w:t>
      </w:r>
      <w:r w:rsidR="00E0199A">
        <w:t xml:space="preserve">managed to master, ensuring that documents relevant to </w:t>
      </w:r>
      <w:r w:rsidR="00833CB5">
        <w:t xml:space="preserve">my specific year and </w:t>
      </w:r>
      <w:r w:rsidR="00355178">
        <w:t>most information pertaining thereto, even without date</w:t>
      </w:r>
      <w:r w:rsidR="00606E21">
        <w:t xml:space="preserve"> being included</w:t>
      </w:r>
      <w:r w:rsidR="0011339F">
        <w:t xml:space="preserve"> in the description</w:t>
      </w:r>
      <w:r w:rsidR="00606E21">
        <w:t xml:space="preserve"> for some of the records.</w:t>
      </w:r>
      <w:r w:rsidR="00383FF0">
        <w:t xml:space="preserve">  However, there are still areas which could be improved.  For example moving the data from pdf files to a searchable database</w:t>
      </w:r>
      <w:r w:rsidR="00A71223">
        <w:t xml:space="preserve">, and digitising some of the records.  </w:t>
      </w:r>
      <w:r w:rsidR="00DB3B45">
        <w:t>Admittedly</w:t>
      </w:r>
      <w:r w:rsidR="00A71223">
        <w:t xml:space="preserve">, it is more understandable that </w:t>
      </w:r>
      <w:r w:rsidR="00333784">
        <w:t xml:space="preserve">our small archive doesn’t have the requisite resources to fully </w:t>
      </w:r>
      <w:r w:rsidR="00DB3B45">
        <w:t xml:space="preserve">digitalise.  </w:t>
      </w:r>
    </w:p>
    <w:p w14:paraId="1CD781F6" w14:textId="77777777" w:rsidR="003C5477" w:rsidRDefault="00AB5A64">
      <w:r>
        <w:t xml:space="preserve">Extracting information from </w:t>
      </w:r>
      <w:r w:rsidR="00194278">
        <w:t xml:space="preserve">the primary sources in the archive was a skill learned through the lectures </w:t>
      </w:r>
      <w:r w:rsidR="00E45851">
        <w:t>as well experience</w:t>
      </w:r>
      <w:r w:rsidR="00784B4E">
        <w:t xml:space="preserve">.  Often </w:t>
      </w:r>
      <w:r w:rsidR="00135A5D">
        <w:t xml:space="preserve">sources which seemed they would contain </w:t>
      </w:r>
      <w:r w:rsidR="00913C85">
        <w:t xml:space="preserve">little information </w:t>
      </w:r>
      <w:r w:rsidR="006007AF">
        <w:t>were by inference or context very revealing.  For e</w:t>
      </w:r>
      <w:r w:rsidR="00842277">
        <w:t>xample, the tutor’s register contained more information than names of students</w:t>
      </w:r>
      <w:r w:rsidR="002469E0">
        <w:t xml:space="preserve">, and the rules listed at the front </w:t>
      </w:r>
      <w:r w:rsidR="0070421E">
        <w:t xml:space="preserve">give context to the separate celebrations of the Queen’s </w:t>
      </w:r>
      <w:r w:rsidR="00D14445">
        <w:t>jubilee</w:t>
      </w:r>
      <w:r w:rsidR="0070421E">
        <w:t xml:space="preserve"> in town and university, as students were seldom allowed to mingle with the locals.</w:t>
      </w:r>
      <w:r w:rsidR="00623137">
        <w:rPr>
          <w:rStyle w:val="FootnoteReference"/>
        </w:rPr>
        <w:footnoteReference w:id="16"/>
      </w:r>
      <w:r w:rsidR="002F77A1">
        <w:t xml:space="preserve"> </w:t>
      </w:r>
      <w:r w:rsidR="00560164">
        <w:t xml:space="preserve"> </w:t>
      </w:r>
      <w:r w:rsidR="002A4792">
        <w:t xml:space="preserve">The access to the archive records </w:t>
      </w:r>
      <w:r w:rsidR="00BB43D0">
        <w:t xml:space="preserve">also </w:t>
      </w:r>
      <w:r w:rsidR="002A4792">
        <w:t xml:space="preserve">gave me a greater appreciation for </w:t>
      </w:r>
      <w:r w:rsidR="00C81DEC">
        <w:t xml:space="preserve">the personal history </w:t>
      </w:r>
      <w:r w:rsidR="00BB43D0">
        <w:t>of students and tutors</w:t>
      </w:r>
      <w:r w:rsidR="003C5477">
        <w:t xml:space="preserve">. </w:t>
      </w:r>
      <w:r w:rsidR="00BD2722">
        <w:t xml:space="preserve">Especially, </w:t>
      </w:r>
      <w:r w:rsidR="0089220D">
        <w:t xml:space="preserve">the reference letter from a tutor brought </w:t>
      </w:r>
      <w:r w:rsidR="003C5477">
        <w:t>these histories to life.</w:t>
      </w:r>
    </w:p>
    <w:p w14:paraId="48098B35" w14:textId="12A16A96" w:rsidR="00A44506" w:rsidRDefault="002F77A1">
      <w:r>
        <w:t>Care with the sources, especially</w:t>
      </w:r>
      <w:r w:rsidR="00D25201">
        <w:t xml:space="preserve"> books with weak bindings</w:t>
      </w:r>
      <w:r w:rsidR="00CC1762">
        <w:t>, was also</w:t>
      </w:r>
      <w:r w:rsidR="00670368">
        <w:t xml:space="preserve"> needed when handling </w:t>
      </w:r>
      <w:r w:rsidR="00232353">
        <w:t xml:space="preserve">sources for </w:t>
      </w:r>
      <w:r w:rsidR="00386FC9">
        <w:t xml:space="preserve">all three projects.  As </w:t>
      </w:r>
      <w:r w:rsidR="00830169">
        <w:t xml:space="preserve">one of </w:t>
      </w:r>
      <w:r w:rsidR="00386FC9">
        <w:t>the aim</w:t>
      </w:r>
      <w:r w:rsidR="00F215CC">
        <w:t>s</w:t>
      </w:r>
      <w:r w:rsidR="00386FC9">
        <w:t xml:space="preserve"> for the</w:t>
      </w:r>
      <w:r w:rsidR="00830169">
        <w:t xml:space="preserve"> book bibliography, archive and illustration</w:t>
      </w:r>
      <w:r w:rsidR="00F215CC">
        <w:t xml:space="preserve"> projects was to gather </w:t>
      </w:r>
      <w:r w:rsidR="0006093C">
        <w:t>information from</w:t>
      </w:r>
      <w:r w:rsidR="00A46C9D">
        <w:t xml:space="preserve"> these primary sources, it was </w:t>
      </w:r>
      <w:r w:rsidR="00CC5775">
        <w:t>easy to become engrossed in the search for specific information and tempting to rush</w:t>
      </w:r>
      <w:r w:rsidR="00426B56">
        <w:t>.</w:t>
      </w:r>
      <w:r w:rsidR="009C1BAB">
        <w:t xml:space="preserve">  This may have led to </w:t>
      </w:r>
      <w:r w:rsidR="001C5202">
        <w:t xml:space="preserve">turning pages or handling paper too roughly, </w:t>
      </w:r>
      <w:r w:rsidR="00DE7634">
        <w:t xml:space="preserve">and damage </w:t>
      </w:r>
      <w:r w:rsidR="00340BB4">
        <w:t xml:space="preserve">to the precious records and books.  </w:t>
      </w:r>
    </w:p>
    <w:p w14:paraId="17C51089" w14:textId="2A44DD01" w:rsidR="00D2499C" w:rsidRDefault="009E0BEC">
      <w:r>
        <w:t xml:space="preserve">Gaining </w:t>
      </w:r>
      <w:r w:rsidR="004637DB">
        <w:t>data</w:t>
      </w:r>
      <w:r>
        <w:t xml:space="preserve"> from the primary sources for the book bibliography project required identification of printing conventions which are not currently </w:t>
      </w:r>
      <w:r w:rsidR="00F574DE">
        <w:t>in use</w:t>
      </w:r>
      <w:r w:rsidR="006F022A">
        <w:t>, such as signatures</w:t>
      </w:r>
      <w:r w:rsidR="005E71C7">
        <w:t xml:space="preserve">.  </w:t>
      </w:r>
      <w:r w:rsidR="00D75B67">
        <w:t xml:space="preserve">It is amazing that one or two letters and a number can </w:t>
      </w:r>
      <w:r w:rsidR="005A2F90">
        <w:t>communicate</w:t>
      </w:r>
      <w:r w:rsidR="00D75B67">
        <w:t xml:space="preserve"> so m</w:t>
      </w:r>
      <w:r w:rsidR="005A2F90">
        <w:t>uch information</w:t>
      </w:r>
      <w:r w:rsidR="00D11423">
        <w:t>; the way it was printed (folio, quarto etc.)</w:t>
      </w:r>
      <w:r w:rsidR="00A86FCD">
        <w:t xml:space="preserve">, </w:t>
      </w:r>
      <w:r w:rsidR="000D5F17">
        <w:t>how the binder should fold the paper and which order the sheets were to go in.</w:t>
      </w:r>
      <w:r w:rsidR="00953AEC">
        <w:rPr>
          <w:rStyle w:val="FootnoteReference"/>
        </w:rPr>
        <w:footnoteReference w:id="17"/>
      </w:r>
    </w:p>
    <w:p w14:paraId="1D1C67B8" w14:textId="7EC87F7E" w:rsidR="00633A33" w:rsidRDefault="00633A33">
      <w:r>
        <w:lastRenderedPageBreak/>
        <w:t>For the illustration project, access to a physical copy of the primary sources</w:t>
      </w:r>
      <w:r w:rsidR="00273BBC">
        <w:t xml:space="preserve"> enabled </w:t>
      </w:r>
      <w:r w:rsidR="003C0B1A">
        <w:t>examination in a mann</w:t>
      </w:r>
      <w:r w:rsidR="00DA77B0">
        <w:t xml:space="preserve">er which would be more difficult </w:t>
      </w:r>
      <w:r w:rsidR="0040083D">
        <w:t xml:space="preserve">to achieve digitally.  </w:t>
      </w:r>
      <w:r w:rsidR="003F130E">
        <w:t>Magnifying glasses and the naked eye could pick out detail where a digital image zoomed in on might</w:t>
      </w:r>
      <w:r w:rsidR="002A02F3">
        <w:t xml:space="preserve"> </w:t>
      </w:r>
      <w:r w:rsidR="00CF46CB">
        <w:t xml:space="preserve">blur and obscure </w:t>
      </w:r>
      <w:r w:rsidR="00690B0A">
        <w:t xml:space="preserve">them.  </w:t>
      </w:r>
    </w:p>
    <w:p w14:paraId="2BBB1643" w14:textId="013BAA9D" w:rsidR="00414DC7" w:rsidRDefault="00914D60">
      <w:r>
        <w:t xml:space="preserve">The entire module has been enlightening and instructive, enabling a higher level of </w:t>
      </w:r>
      <w:r w:rsidR="00CB5279">
        <w:t>research on my part in the future.  I am now aware of multiple sources and methods of locating them within special collections and archives</w:t>
      </w:r>
      <w:r w:rsidR="003D2288">
        <w:t xml:space="preserve">.  </w:t>
      </w:r>
      <w:r w:rsidR="00735DAB">
        <w:t xml:space="preserve">It has made me aware of the importance of </w:t>
      </w:r>
      <w:r w:rsidR="00CF3901">
        <w:t xml:space="preserve">having a </w:t>
      </w:r>
      <w:r w:rsidR="002B7283">
        <w:t>“better snapshot of present</w:t>
      </w:r>
      <w:r w:rsidR="0012432D">
        <w:t>-</w:t>
      </w:r>
      <w:r w:rsidR="002B7283">
        <w:t>day conditions”</w:t>
      </w:r>
      <w:r w:rsidR="004D3516">
        <w:t>.</w:t>
      </w:r>
      <w:r w:rsidR="00414DC7">
        <w:rPr>
          <w:rStyle w:val="FootnoteReference"/>
        </w:rPr>
        <w:footnoteReference w:id="18"/>
      </w:r>
      <w:r w:rsidR="004D3516">
        <w:t xml:space="preserve">  </w:t>
      </w:r>
      <w:r w:rsidR="00C15CC8">
        <w:t>Although</w:t>
      </w:r>
      <w:r w:rsidR="0012432D">
        <w:t xml:space="preserve"> this refers to </w:t>
      </w:r>
      <w:r w:rsidR="00DC0321">
        <w:t>environmental condi</w:t>
      </w:r>
      <w:r w:rsidR="00F00593">
        <w:t>tions in the article ‘California Island Rediscovery: building an archive to improve conservation today and equip the historical ecologist of tomorrow</w:t>
      </w:r>
      <w:r w:rsidR="00792279">
        <w:t>’</w:t>
      </w:r>
      <w:r w:rsidR="007A50D1">
        <w:t xml:space="preserve">, it could just as easily describe the need for </w:t>
      </w:r>
      <w:r w:rsidR="00FD0E74">
        <w:t>meticulous</w:t>
      </w:r>
      <w:r w:rsidR="001F31DD">
        <w:t xml:space="preserve"> documenting </w:t>
      </w:r>
      <w:r w:rsidR="00FD0E74">
        <w:t>of personal and institutional records, especially thinking carefully</w:t>
      </w:r>
      <w:r w:rsidR="009719E9">
        <w:t xml:space="preserve"> about records which may at first seem insignificant or useless to future generations.  </w:t>
      </w:r>
      <w:r w:rsidR="005E1881">
        <w:t>The images of the rugby teams in the RBLA</w:t>
      </w:r>
      <w:r w:rsidR="00850AE2">
        <w:t xml:space="preserve"> </w:t>
      </w:r>
      <w:r w:rsidR="002E2EE0">
        <w:t>are some of the more interesting, despite their mundane nature.</w:t>
      </w:r>
      <w:r w:rsidR="00AD00C3">
        <w:rPr>
          <w:rStyle w:val="FootnoteReference"/>
        </w:rPr>
        <w:footnoteReference w:id="19"/>
      </w:r>
      <w:r w:rsidR="002E2EE0">
        <w:t xml:space="preserve">  </w:t>
      </w:r>
      <w:r w:rsidR="003C4C7F">
        <w:t xml:space="preserve">They reveal changing fashions, </w:t>
      </w:r>
      <w:r w:rsidR="001E783D">
        <w:t xml:space="preserve">ages and attitudes.  Similarly, I indent to consult </w:t>
      </w:r>
      <w:r w:rsidR="0074019A">
        <w:t>the archives local to Conwy Castle, the subject of my dissertation</w:t>
      </w:r>
      <w:r w:rsidR="001F2341">
        <w:t>, for similar images and records</w:t>
      </w:r>
      <w:r w:rsidR="00B07A1C">
        <w:t xml:space="preserve"> which may give context, depth and accurate detail to </w:t>
      </w:r>
      <w:r w:rsidR="00E201E0">
        <w:t xml:space="preserve">illuminate the other research.  </w:t>
      </w:r>
      <w:r w:rsidR="005C458B">
        <w:t>In further similar research, I would hope to improve</w:t>
      </w:r>
      <w:r w:rsidR="00754DBD">
        <w:t xml:space="preserve"> </w:t>
      </w:r>
      <w:r w:rsidR="00D07A9E">
        <w:t>the depth</w:t>
      </w:r>
      <w:r w:rsidR="001A1C7D">
        <w:t xml:space="preserve"> and breadth</w:t>
      </w:r>
      <w:r w:rsidR="00D07A9E">
        <w:t xml:space="preserve"> of investigation into records and book biography, es</w:t>
      </w:r>
      <w:r w:rsidR="006F6F1D">
        <w:t xml:space="preserve">pecially searching for continuous </w:t>
      </w:r>
      <w:r w:rsidR="001A1C7D">
        <w:t>province</w:t>
      </w:r>
      <w:r w:rsidR="009F0C5E">
        <w:t xml:space="preserve">, and </w:t>
      </w:r>
      <w:r w:rsidR="004E20F3">
        <w:t>in utilising more</w:t>
      </w:r>
      <w:r w:rsidR="001A1C7D">
        <w:t xml:space="preserve"> of</w:t>
      </w:r>
      <w:r w:rsidR="004E20F3">
        <w:t xml:space="preserve"> the digital and physical </w:t>
      </w:r>
      <w:r w:rsidR="001A1C7D">
        <w:t xml:space="preserve">resources available.  </w:t>
      </w:r>
    </w:p>
    <w:p w14:paraId="19664550" w14:textId="77777777" w:rsidR="00CC0D3D" w:rsidRDefault="00CC0D3D"/>
    <w:p w14:paraId="09B60579" w14:textId="77777777" w:rsidR="00CC0D3D" w:rsidRDefault="00CC0D3D"/>
    <w:p w14:paraId="469AD5B6" w14:textId="77777777" w:rsidR="00CC0D3D" w:rsidRDefault="00CC0D3D"/>
    <w:p w14:paraId="15F1F709" w14:textId="77777777" w:rsidR="00CC0D3D" w:rsidRDefault="00CC0D3D"/>
    <w:p w14:paraId="2BE061E1" w14:textId="77777777" w:rsidR="00CC0D3D" w:rsidRDefault="00CC0D3D"/>
    <w:p w14:paraId="5D5A2113" w14:textId="77777777" w:rsidR="00CC0D3D" w:rsidRDefault="00CC0D3D"/>
    <w:p w14:paraId="3D2FB23E" w14:textId="77777777" w:rsidR="00CC0D3D" w:rsidRDefault="00CC0D3D"/>
    <w:p w14:paraId="49BF5E71" w14:textId="77777777" w:rsidR="00CC0D3D" w:rsidRDefault="00CC0D3D"/>
    <w:p w14:paraId="31210078" w14:textId="77777777" w:rsidR="00CC0D3D" w:rsidRDefault="00CC0D3D"/>
    <w:p w14:paraId="767C3027" w14:textId="77777777" w:rsidR="00CC0D3D" w:rsidRDefault="00CC0D3D"/>
    <w:p w14:paraId="415A5443" w14:textId="77777777" w:rsidR="00CC0D3D" w:rsidRDefault="00CC0D3D"/>
    <w:p w14:paraId="04B3984F" w14:textId="77777777" w:rsidR="00CC0D3D" w:rsidRDefault="00CC0D3D"/>
    <w:p w14:paraId="475AEE07" w14:textId="77777777" w:rsidR="00CC0D3D" w:rsidRDefault="00CC0D3D"/>
    <w:p w14:paraId="3B3E5811" w14:textId="77777777" w:rsidR="00CC0D3D" w:rsidRDefault="00CC0D3D"/>
    <w:p w14:paraId="6816FAC4" w14:textId="77777777" w:rsidR="00CC0D3D" w:rsidRDefault="00CC0D3D"/>
    <w:p w14:paraId="77CA5062" w14:textId="77777777" w:rsidR="00CC0D3D" w:rsidRDefault="00CC0D3D"/>
    <w:p w14:paraId="2C36C6E9" w14:textId="77777777" w:rsidR="00CC0D3D" w:rsidRDefault="00CC0D3D"/>
    <w:p w14:paraId="71B30862" w14:textId="77777777" w:rsidR="00CC0D3D" w:rsidRDefault="00CC0D3D"/>
    <w:p w14:paraId="78A54310" w14:textId="77777777" w:rsidR="00CC0D3D" w:rsidRDefault="00CC0D3D"/>
    <w:p w14:paraId="70D721A6" w14:textId="77777777" w:rsidR="00CC0D3D" w:rsidRDefault="00CC0D3D"/>
    <w:p w14:paraId="1EA2C16E" w14:textId="77777777" w:rsidR="00CC0D3D" w:rsidRDefault="00CC0D3D"/>
    <w:p w14:paraId="007C44E8" w14:textId="3A7DD930" w:rsidR="00CC0D3D" w:rsidRDefault="00CC0D3D">
      <w:r>
        <w:t>Bibliography</w:t>
      </w:r>
    </w:p>
    <w:p w14:paraId="06294754" w14:textId="77777777" w:rsidR="00A068AB" w:rsidRPr="0081776F" w:rsidRDefault="00A068AB" w:rsidP="00A068AB">
      <w:pPr>
        <w:pStyle w:val="FootnoteText"/>
        <w:ind w:left="567" w:hanging="567"/>
        <w:rPr>
          <w:rFonts w:cstheme="minorHAnsi"/>
          <w:sz w:val="22"/>
          <w:szCs w:val="22"/>
        </w:rPr>
      </w:pPr>
      <w:r w:rsidRPr="0081776F">
        <w:rPr>
          <w:rFonts w:cstheme="minorHAnsi"/>
          <w:sz w:val="22"/>
          <w:szCs w:val="22"/>
        </w:rPr>
        <w:t xml:space="preserve">Deacon, David, ‘Yesterday’s Papers and Today’s Technology: Digital Newspaper Archives and “Push Button” Content Analysis’, </w:t>
      </w:r>
      <w:r w:rsidRPr="00D849EA">
        <w:rPr>
          <w:rFonts w:cstheme="minorHAnsi"/>
          <w:i/>
          <w:iCs/>
          <w:sz w:val="22"/>
          <w:szCs w:val="22"/>
        </w:rPr>
        <w:t>European Journal of Communication</w:t>
      </w:r>
      <w:r w:rsidRPr="0081776F">
        <w:rPr>
          <w:rFonts w:cstheme="minorHAnsi"/>
          <w:sz w:val="22"/>
          <w:szCs w:val="22"/>
        </w:rPr>
        <w:t xml:space="preserve"> (London), 22.1 (2007), 5–25</w:t>
      </w:r>
    </w:p>
    <w:p w14:paraId="39169843" w14:textId="77777777" w:rsidR="00F94B49" w:rsidRPr="0081776F" w:rsidRDefault="00F94B49" w:rsidP="00F94B49">
      <w:pPr>
        <w:pStyle w:val="FootnoteText"/>
        <w:rPr>
          <w:rFonts w:cstheme="minorHAnsi"/>
          <w:sz w:val="22"/>
          <w:szCs w:val="22"/>
        </w:rPr>
      </w:pPr>
    </w:p>
    <w:p w14:paraId="70ABB41A" w14:textId="31AF8D3F" w:rsidR="00A068AB" w:rsidRPr="0081776F" w:rsidRDefault="00F94B49" w:rsidP="00F94B49">
      <w:pPr>
        <w:pStyle w:val="FootnoteText"/>
        <w:rPr>
          <w:rFonts w:cstheme="minorHAnsi"/>
          <w:sz w:val="22"/>
          <w:szCs w:val="22"/>
        </w:rPr>
      </w:pPr>
      <w:r w:rsidRPr="0081776F">
        <w:rPr>
          <w:rFonts w:cstheme="minorHAnsi"/>
          <w:sz w:val="22"/>
          <w:szCs w:val="22"/>
        </w:rPr>
        <w:t>Evans, Hilary and Evans, Mary, </w:t>
      </w:r>
      <w:r w:rsidRPr="0081776F">
        <w:rPr>
          <w:rFonts w:cstheme="minorHAnsi"/>
          <w:i/>
          <w:iCs/>
          <w:sz w:val="22"/>
          <w:szCs w:val="22"/>
        </w:rPr>
        <w:t>Sources of Illustration, 1500-1900</w:t>
      </w:r>
      <w:r w:rsidRPr="0081776F">
        <w:rPr>
          <w:rFonts w:cstheme="minorHAnsi"/>
          <w:sz w:val="22"/>
          <w:szCs w:val="22"/>
        </w:rPr>
        <w:t> (Bath: Adams and Dart, 1971)</w:t>
      </w:r>
    </w:p>
    <w:p w14:paraId="349D381E" w14:textId="77777777" w:rsidR="00D14E35" w:rsidRPr="0081776F" w:rsidRDefault="00D14E35" w:rsidP="00F94B49">
      <w:pPr>
        <w:pStyle w:val="FootnoteText"/>
        <w:rPr>
          <w:rFonts w:cstheme="minorHAnsi"/>
          <w:sz w:val="22"/>
          <w:szCs w:val="22"/>
        </w:rPr>
      </w:pPr>
    </w:p>
    <w:p w14:paraId="2AF92F3C" w14:textId="73239A72" w:rsidR="00D14E35" w:rsidRPr="0081776F" w:rsidRDefault="00D14E35" w:rsidP="00D14E35">
      <w:pPr>
        <w:pStyle w:val="FootnoteText"/>
        <w:ind w:left="567" w:hanging="567"/>
        <w:rPr>
          <w:rFonts w:cstheme="minorHAnsi"/>
          <w:sz w:val="22"/>
          <w:szCs w:val="22"/>
        </w:rPr>
      </w:pPr>
      <w:r w:rsidRPr="0081776F">
        <w:rPr>
          <w:rFonts w:cstheme="minorHAnsi"/>
          <w:sz w:val="22"/>
          <w:szCs w:val="22"/>
        </w:rPr>
        <w:t xml:space="preserve">Foot, Mirjam J, </w:t>
      </w:r>
      <w:r w:rsidRPr="0081776F">
        <w:rPr>
          <w:rFonts w:cstheme="minorHAnsi"/>
          <w:i/>
          <w:iCs/>
          <w:sz w:val="22"/>
          <w:szCs w:val="22"/>
        </w:rPr>
        <w:t>Studies in the History of Bookbinding</w:t>
      </w:r>
      <w:r w:rsidRPr="0081776F">
        <w:rPr>
          <w:rFonts w:cstheme="minorHAnsi"/>
          <w:sz w:val="22"/>
          <w:szCs w:val="22"/>
        </w:rPr>
        <w:t xml:space="preserve"> (Aldershot: </w:t>
      </w:r>
      <w:proofErr w:type="spellStart"/>
      <w:r w:rsidRPr="0081776F">
        <w:rPr>
          <w:rFonts w:cstheme="minorHAnsi"/>
          <w:sz w:val="22"/>
          <w:szCs w:val="22"/>
        </w:rPr>
        <w:t>Scolar</w:t>
      </w:r>
      <w:proofErr w:type="spellEnd"/>
      <w:r w:rsidRPr="0081776F">
        <w:rPr>
          <w:rFonts w:cstheme="minorHAnsi"/>
          <w:sz w:val="22"/>
          <w:szCs w:val="22"/>
        </w:rPr>
        <w:t xml:space="preserve"> Press, 1993)</w:t>
      </w:r>
    </w:p>
    <w:p w14:paraId="7D5DFD9D" w14:textId="77777777" w:rsidR="00D14E35" w:rsidRPr="0081776F" w:rsidRDefault="00D14E35" w:rsidP="00D14E35">
      <w:pPr>
        <w:pStyle w:val="FootnoteText"/>
        <w:ind w:left="567" w:hanging="567"/>
        <w:rPr>
          <w:rFonts w:cstheme="minorHAnsi"/>
          <w:sz w:val="22"/>
          <w:szCs w:val="22"/>
        </w:rPr>
      </w:pPr>
    </w:p>
    <w:p w14:paraId="78898ADF" w14:textId="71D5237C" w:rsidR="00D14E35" w:rsidRPr="0081776F" w:rsidRDefault="00871E3C" w:rsidP="00D14E35">
      <w:pPr>
        <w:pStyle w:val="FootnoteText"/>
        <w:ind w:left="567" w:hanging="567"/>
        <w:rPr>
          <w:rFonts w:cstheme="minorHAnsi"/>
          <w:color w:val="3A3A3A"/>
          <w:sz w:val="22"/>
          <w:szCs w:val="22"/>
          <w:shd w:val="clear" w:color="auto" w:fill="FFFFFF"/>
        </w:rPr>
      </w:pPr>
      <w:proofErr w:type="spellStart"/>
      <w:r w:rsidRPr="0081776F">
        <w:rPr>
          <w:rFonts w:cstheme="minorHAnsi"/>
          <w:color w:val="3A3A3A"/>
          <w:sz w:val="22"/>
          <w:szCs w:val="22"/>
          <w:shd w:val="clear" w:color="auto" w:fill="FFFFFF"/>
        </w:rPr>
        <w:t>Gilmont</w:t>
      </w:r>
      <w:proofErr w:type="spellEnd"/>
      <w:r w:rsidRPr="0081776F">
        <w:rPr>
          <w:rFonts w:cstheme="minorHAnsi"/>
          <w:color w:val="3A3A3A"/>
          <w:sz w:val="22"/>
          <w:szCs w:val="22"/>
          <w:shd w:val="clear" w:color="auto" w:fill="FFFFFF"/>
        </w:rPr>
        <w:t xml:space="preserve">, </w:t>
      </w:r>
      <w:proofErr w:type="spellStart"/>
      <w:r w:rsidRPr="0081776F">
        <w:rPr>
          <w:rFonts w:cstheme="minorHAnsi"/>
          <w:color w:val="3A3A3A"/>
          <w:sz w:val="22"/>
          <w:szCs w:val="22"/>
          <w:shd w:val="clear" w:color="auto" w:fill="FFFFFF"/>
        </w:rPr>
        <w:t>Jean-François</w:t>
      </w:r>
      <w:proofErr w:type="spellEnd"/>
      <w:r w:rsidRPr="0081776F">
        <w:rPr>
          <w:rFonts w:cstheme="minorHAnsi"/>
          <w:color w:val="3A3A3A"/>
          <w:sz w:val="22"/>
          <w:szCs w:val="22"/>
          <w:shd w:val="clear" w:color="auto" w:fill="FFFFFF"/>
        </w:rPr>
        <w:t>; and Maag, Karin, </w:t>
      </w:r>
      <w:r w:rsidRPr="0081776F">
        <w:rPr>
          <w:rFonts w:cstheme="minorHAnsi"/>
          <w:i/>
          <w:iCs/>
          <w:color w:val="3A3A3A"/>
          <w:sz w:val="22"/>
          <w:szCs w:val="22"/>
          <w:shd w:val="clear" w:color="auto" w:fill="FFFFFF"/>
        </w:rPr>
        <w:t>The Reformation and the Book</w:t>
      </w:r>
      <w:r w:rsidRPr="0081776F">
        <w:rPr>
          <w:rFonts w:cstheme="minorHAnsi"/>
          <w:color w:val="3A3A3A"/>
          <w:sz w:val="22"/>
          <w:szCs w:val="22"/>
          <w:shd w:val="clear" w:color="auto" w:fill="FFFFFF"/>
        </w:rPr>
        <w:t> (Brookfield, VT: Ashgate, 1998)</w:t>
      </w:r>
    </w:p>
    <w:p w14:paraId="515DD6B5" w14:textId="77777777" w:rsidR="00651507" w:rsidRPr="0081776F" w:rsidRDefault="00651507" w:rsidP="00D14E35">
      <w:pPr>
        <w:pStyle w:val="FootnoteText"/>
        <w:ind w:left="567" w:hanging="567"/>
        <w:rPr>
          <w:rFonts w:cstheme="minorHAnsi"/>
          <w:color w:val="3A3A3A"/>
          <w:sz w:val="22"/>
          <w:szCs w:val="22"/>
          <w:shd w:val="clear" w:color="auto" w:fill="FFFFFF"/>
        </w:rPr>
      </w:pPr>
    </w:p>
    <w:p w14:paraId="1A64FFE8" w14:textId="77777777" w:rsidR="00651507" w:rsidRPr="0081776F" w:rsidRDefault="00651507" w:rsidP="00651507">
      <w:pPr>
        <w:pStyle w:val="FootnoteText"/>
        <w:ind w:left="567" w:hanging="567"/>
        <w:rPr>
          <w:rFonts w:cstheme="minorHAnsi"/>
          <w:sz w:val="22"/>
          <w:szCs w:val="22"/>
        </w:rPr>
      </w:pPr>
      <w:r w:rsidRPr="0081776F">
        <w:rPr>
          <w:rFonts w:cstheme="minorHAnsi"/>
          <w:sz w:val="22"/>
          <w:szCs w:val="22"/>
        </w:rPr>
        <w:t xml:space="preserve">Gooding, Ruth, ‘Robert Hooke’s </w:t>
      </w:r>
      <w:proofErr w:type="spellStart"/>
      <w:r w:rsidRPr="0081776F">
        <w:rPr>
          <w:rFonts w:cstheme="minorHAnsi"/>
          <w:sz w:val="22"/>
          <w:szCs w:val="22"/>
        </w:rPr>
        <w:t>Micrographia</w:t>
      </w:r>
      <w:proofErr w:type="spellEnd"/>
      <w:r w:rsidRPr="0081776F">
        <w:rPr>
          <w:rFonts w:cstheme="minorHAnsi"/>
          <w:sz w:val="22"/>
          <w:szCs w:val="22"/>
        </w:rPr>
        <w:t xml:space="preserve">: the First Scientific Best-Seller’, </w:t>
      </w:r>
      <w:r w:rsidRPr="0081776F">
        <w:rPr>
          <w:rFonts w:cstheme="minorHAnsi"/>
          <w:i/>
          <w:iCs/>
          <w:sz w:val="22"/>
          <w:szCs w:val="22"/>
        </w:rPr>
        <w:t>Special Collections Research: The Roderic Bowen Library and Archives</w:t>
      </w:r>
      <w:r w:rsidRPr="0081776F">
        <w:rPr>
          <w:rFonts w:cstheme="minorHAnsi"/>
          <w:sz w:val="22"/>
          <w:szCs w:val="22"/>
        </w:rPr>
        <w:t>, HPEN5040, lecture, University of Wales Trinity Saint David 10/10/23</w:t>
      </w:r>
    </w:p>
    <w:p w14:paraId="12CC205B" w14:textId="77777777" w:rsidR="00651507" w:rsidRPr="0081776F" w:rsidRDefault="00651507" w:rsidP="00651507">
      <w:pPr>
        <w:pStyle w:val="FootnoteText"/>
        <w:rPr>
          <w:rFonts w:cstheme="minorHAnsi"/>
          <w:sz w:val="22"/>
          <w:szCs w:val="22"/>
        </w:rPr>
      </w:pPr>
    </w:p>
    <w:p w14:paraId="2FBA3163" w14:textId="33064685" w:rsidR="00651507" w:rsidRPr="0081776F" w:rsidRDefault="00651507" w:rsidP="00651507">
      <w:pPr>
        <w:pStyle w:val="FootnoteText"/>
        <w:ind w:left="567" w:hanging="567"/>
        <w:rPr>
          <w:rFonts w:cstheme="minorHAnsi"/>
          <w:sz w:val="22"/>
          <w:szCs w:val="22"/>
        </w:rPr>
      </w:pPr>
      <w:r w:rsidRPr="0081776F">
        <w:rPr>
          <w:rFonts w:cstheme="minorHAnsi"/>
          <w:sz w:val="22"/>
          <w:szCs w:val="22"/>
        </w:rPr>
        <w:t xml:space="preserve">Gooding, Ruth, ‘Medieval Manuscripts’, </w:t>
      </w:r>
      <w:r w:rsidRPr="0081776F">
        <w:rPr>
          <w:rFonts w:cstheme="minorHAnsi"/>
          <w:i/>
          <w:iCs/>
          <w:sz w:val="22"/>
          <w:szCs w:val="22"/>
        </w:rPr>
        <w:t>Special Collections Research: The Roderic Bowen Library and Archives</w:t>
      </w:r>
      <w:r w:rsidRPr="0081776F">
        <w:rPr>
          <w:rFonts w:cstheme="minorHAnsi"/>
          <w:sz w:val="22"/>
          <w:szCs w:val="22"/>
        </w:rPr>
        <w:t>, HPEN5040, lecture, University of Wales Trinity Saint David, 26/09/23</w:t>
      </w:r>
    </w:p>
    <w:p w14:paraId="3CBCE335" w14:textId="77777777" w:rsidR="00651507" w:rsidRPr="0081776F" w:rsidRDefault="00651507" w:rsidP="00D14E35">
      <w:pPr>
        <w:pStyle w:val="FootnoteText"/>
        <w:ind w:left="567" w:hanging="567"/>
        <w:rPr>
          <w:rFonts w:cstheme="minorHAnsi"/>
          <w:sz w:val="22"/>
          <w:szCs w:val="22"/>
        </w:rPr>
      </w:pPr>
    </w:p>
    <w:p w14:paraId="2DC708ED" w14:textId="77777777" w:rsidR="000E0B5F" w:rsidRPr="0081776F" w:rsidRDefault="000E0B5F" w:rsidP="000E0B5F">
      <w:pPr>
        <w:pStyle w:val="FootnoteText"/>
        <w:ind w:left="567" w:hanging="567"/>
        <w:rPr>
          <w:rFonts w:cstheme="minorHAnsi"/>
          <w:sz w:val="22"/>
          <w:szCs w:val="22"/>
        </w:rPr>
      </w:pPr>
      <w:r w:rsidRPr="0081776F">
        <w:rPr>
          <w:rFonts w:cstheme="minorHAnsi"/>
          <w:sz w:val="22"/>
          <w:szCs w:val="22"/>
        </w:rPr>
        <w:t xml:space="preserve">Hartley, Lucy, ‘Recognising the power of literacy when designing services’, 21/09/22, &lt; </w:t>
      </w:r>
      <w:hyperlink r:id="rId11" w:history="1">
        <w:r w:rsidRPr="0081776F">
          <w:rPr>
            <w:rStyle w:val="Hyperlink"/>
            <w:rFonts w:cstheme="minorHAnsi"/>
            <w:sz w:val="22"/>
            <w:szCs w:val="22"/>
          </w:rPr>
          <w:t>https://defradigital.blog.gov.uk/2022/09/21/recognising-the-power-of-literacy-when-designing-services/</w:t>
        </w:r>
      </w:hyperlink>
      <w:r w:rsidRPr="0081776F">
        <w:rPr>
          <w:rFonts w:cstheme="minorHAnsi"/>
          <w:sz w:val="22"/>
          <w:szCs w:val="22"/>
        </w:rPr>
        <w:t xml:space="preserve"> &gt; [accessed 21/10/23]</w:t>
      </w:r>
    </w:p>
    <w:p w14:paraId="2B711F35" w14:textId="77777777" w:rsidR="000E0B5F" w:rsidRPr="0081776F" w:rsidRDefault="000E0B5F" w:rsidP="00D14E35">
      <w:pPr>
        <w:pStyle w:val="FootnoteText"/>
        <w:ind w:left="567" w:hanging="567"/>
        <w:rPr>
          <w:rFonts w:cstheme="minorHAnsi"/>
          <w:sz w:val="22"/>
          <w:szCs w:val="22"/>
        </w:rPr>
      </w:pPr>
    </w:p>
    <w:p w14:paraId="15C0788D" w14:textId="32D14498" w:rsidR="000E0B5F" w:rsidRPr="0081776F" w:rsidRDefault="00810981" w:rsidP="00D14E35">
      <w:pPr>
        <w:pStyle w:val="FootnoteText"/>
        <w:ind w:left="567" w:hanging="567"/>
        <w:rPr>
          <w:rFonts w:cstheme="minorHAnsi"/>
          <w:sz w:val="22"/>
          <w:szCs w:val="22"/>
        </w:rPr>
      </w:pPr>
      <w:r w:rsidRPr="0081776F">
        <w:rPr>
          <w:rFonts w:cstheme="minorHAnsi"/>
          <w:sz w:val="22"/>
          <w:szCs w:val="22"/>
        </w:rPr>
        <w:t xml:space="preserve">Johnstone, Christopher, </w:t>
      </w:r>
      <w:r w:rsidRPr="0081776F">
        <w:rPr>
          <w:rFonts w:cstheme="minorHAnsi"/>
          <w:i/>
          <w:iCs/>
          <w:sz w:val="22"/>
          <w:szCs w:val="22"/>
        </w:rPr>
        <w:t>John Martin</w:t>
      </w:r>
      <w:r w:rsidRPr="0081776F">
        <w:rPr>
          <w:rFonts w:cstheme="minorHAnsi"/>
          <w:sz w:val="22"/>
          <w:szCs w:val="22"/>
        </w:rPr>
        <w:t xml:space="preserve"> (London: Academy Editions, 1974)</w:t>
      </w:r>
    </w:p>
    <w:p w14:paraId="6177ADCC" w14:textId="77777777" w:rsidR="00446B6D" w:rsidRPr="0081776F" w:rsidRDefault="00446B6D" w:rsidP="00D14E35">
      <w:pPr>
        <w:pStyle w:val="FootnoteText"/>
        <w:ind w:left="567" w:hanging="567"/>
        <w:rPr>
          <w:rFonts w:cstheme="minorHAnsi"/>
          <w:sz w:val="22"/>
          <w:szCs w:val="22"/>
        </w:rPr>
      </w:pPr>
    </w:p>
    <w:p w14:paraId="3F76A4A3" w14:textId="77777777" w:rsidR="00446B6D" w:rsidRPr="0081776F" w:rsidRDefault="00446B6D" w:rsidP="00446B6D">
      <w:pPr>
        <w:pStyle w:val="FootnoteText"/>
        <w:ind w:left="567" w:hanging="567"/>
        <w:rPr>
          <w:rFonts w:cstheme="minorHAnsi"/>
          <w:sz w:val="22"/>
          <w:szCs w:val="22"/>
        </w:rPr>
      </w:pPr>
      <w:r w:rsidRPr="0081776F">
        <w:rPr>
          <w:rFonts w:cstheme="minorHAnsi"/>
          <w:sz w:val="22"/>
          <w:szCs w:val="22"/>
        </w:rPr>
        <w:t xml:space="preserve">Middleton, Bernard C, </w:t>
      </w:r>
      <w:r w:rsidRPr="0081776F">
        <w:rPr>
          <w:rFonts w:cstheme="minorHAnsi"/>
          <w:i/>
          <w:iCs/>
          <w:sz w:val="22"/>
          <w:szCs w:val="22"/>
        </w:rPr>
        <w:t>The Restoration of Leather Binding</w:t>
      </w:r>
      <w:r w:rsidRPr="0081776F">
        <w:rPr>
          <w:rFonts w:cstheme="minorHAnsi"/>
          <w:sz w:val="22"/>
          <w:szCs w:val="22"/>
        </w:rPr>
        <w:t xml:space="preserve"> (New Castle: Oak Knoll Press, 1998)</w:t>
      </w:r>
    </w:p>
    <w:p w14:paraId="4DCE0D24" w14:textId="77777777" w:rsidR="00A33EE9" w:rsidRPr="0081776F" w:rsidRDefault="00A33EE9" w:rsidP="00446B6D">
      <w:pPr>
        <w:ind w:left="567" w:hanging="567"/>
        <w:rPr>
          <w:rFonts w:cstheme="minorHAnsi"/>
        </w:rPr>
      </w:pPr>
    </w:p>
    <w:p w14:paraId="76F1EF50" w14:textId="20BB558F" w:rsidR="00446B6D" w:rsidRPr="0081776F" w:rsidRDefault="00446B6D" w:rsidP="00446B6D">
      <w:pPr>
        <w:ind w:left="567" w:hanging="567"/>
        <w:rPr>
          <w:rFonts w:cstheme="minorHAnsi"/>
        </w:rPr>
      </w:pPr>
      <w:r w:rsidRPr="0081776F">
        <w:rPr>
          <w:rFonts w:cstheme="minorHAnsi"/>
        </w:rPr>
        <w:t xml:space="preserve">Mitchal, Peter, ‘Bibliography and Bibliographic Description’, </w:t>
      </w:r>
      <w:r w:rsidRPr="0081776F">
        <w:rPr>
          <w:rFonts w:cstheme="minorHAnsi"/>
          <w:i/>
          <w:iCs/>
        </w:rPr>
        <w:t>Special Collections Research: The Roderic Bowen Library and Archives</w:t>
      </w:r>
      <w:r w:rsidRPr="0081776F">
        <w:rPr>
          <w:rFonts w:cstheme="minorHAnsi"/>
        </w:rPr>
        <w:t>, HPEN5040, lecture, University of Wales Trinity Saint David 04/10/23</w:t>
      </w:r>
    </w:p>
    <w:p w14:paraId="3A76D01E" w14:textId="77777777" w:rsidR="00446B6D" w:rsidRPr="0081776F" w:rsidRDefault="00446B6D" w:rsidP="00446B6D">
      <w:pPr>
        <w:ind w:left="567" w:hanging="567"/>
        <w:rPr>
          <w:rFonts w:cstheme="minorHAnsi"/>
        </w:rPr>
      </w:pPr>
      <w:r w:rsidRPr="0081776F">
        <w:rPr>
          <w:rFonts w:cstheme="minorHAnsi"/>
        </w:rPr>
        <w:t xml:space="preserve">Mitchal, Peter, ‘The Development of Printing’, </w:t>
      </w:r>
      <w:r w:rsidRPr="0081776F">
        <w:rPr>
          <w:rFonts w:cstheme="minorHAnsi"/>
          <w:i/>
          <w:iCs/>
        </w:rPr>
        <w:t>Special Collections Research: The Roderic Bowen Library and Archives</w:t>
      </w:r>
      <w:r w:rsidRPr="0081776F">
        <w:rPr>
          <w:rFonts w:cstheme="minorHAnsi"/>
        </w:rPr>
        <w:t>, HPEN5040, lecture, University of Wales Trinity Saint David, 27/09/23</w:t>
      </w:r>
    </w:p>
    <w:p w14:paraId="7B1AD2B5" w14:textId="77777777" w:rsidR="00446B6D" w:rsidRPr="0081776F" w:rsidRDefault="00446B6D" w:rsidP="00446B6D">
      <w:pPr>
        <w:pStyle w:val="FootnoteText"/>
        <w:ind w:left="567" w:hanging="567"/>
        <w:rPr>
          <w:rFonts w:cstheme="minorHAnsi"/>
          <w:sz w:val="22"/>
          <w:szCs w:val="22"/>
        </w:rPr>
      </w:pPr>
      <w:r w:rsidRPr="0081776F">
        <w:rPr>
          <w:rFonts w:cstheme="minorHAnsi"/>
          <w:sz w:val="22"/>
          <w:szCs w:val="22"/>
        </w:rPr>
        <w:t xml:space="preserve">Mitchal, </w:t>
      </w:r>
      <w:proofErr w:type="spellStart"/>
      <w:r w:rsidRPr="0081776F">
        <w:rPr>
          <w:rFonts w:cstheme="minorHAnsi"/>
          <w:sz w:val="22"/>
          <w:szCs w:val="22"/>
        </w:rPr>
        <w:t>Peter,‘History</w:t>
      </w:r>
      <w:proofErr w:type="spellEnd"/>
      <w:r w:rsidRPr="0081776F">
        <w:rPr>
          <w:rFonts w:cstheme="minorHAnsi"/>
          <w:sz w:val="22"/>
          <w:szCs w:val="22"/>
        </w:rPr>
        <w:t xml:space="preserve"> of Libraries, Classification and Encyclopaedic Works’, </w:t>
      </w:r>
      <w:r w:rsidRPr="0081776F">
        <w:rPr>
          <w:rFonts w:cstheme="minorHAnsi"/>
          <w:i/>
          <w:iCs/>
          <w:sz w:val="22"/>
          <w:szCs w:val="22"/>
        </w:rPr>
        <w:t>Special Collections Research: The Roderic Bowen Library and Archives</w:t>
      </w:r>
      <w:r w:rsidRPr="0081776F">
        <w:rPr>
          <w:rFonts w:cstheme="minorHAnsi"/>
          <w:sz w:val="22"/>
          <w:szCs w:val="22"/>
        </w:rPr>
        <w:t>, HPEN5040, lecture, University of Wales Trinity Saint David, 5/10/23</w:t>
      </w:r>
    </w:p>
    <w:p w14:paraId="006C285B" w14:textId="77777777" w:rsidR="00D14E35" w:rsidRPr="0081776F" w:rsidRDefault="00D14E35" w:rsidP="00F94B49">
      <w:pPr>
        <w:pStyle w:val="FootnoteText"/>
        <w:rPr>
          <w:rFonts w:cstheme="minorHAnsi"/>
          <w:sz w:val="22"/>
          <w:szCs w:val="22"/>
        </w:rPr>
      </w:pPr>
    </w:p>
    <w:p w14:paraId="29C3616C" w14:textId="2BFEFFE5" w:rsidR="00CC0D3D" w:rsidRPr="0081776F" w:rsidRDefault="00CC0D3D" w:rsidP="00906179">
      <w:pPr>
        <w:ind w:left="567" w:hanging="567"/>
        <w:rPr>
          <w:rFonts w:cstheme="minorHAnsi"/>
        </w:rPr>
      </w:pPr>
      <w:r w:rsidRPr="0081776F">
        <w:rPr>
          <w:rFonts w:cstheme="minorHAnsi"/>
        </w:rPr>
        <w:t>Morrison,</w:t>
      </w:r>
      <w:r w:rsidR="00137955" w:rsidRPr="0081776F">
        <w:rPr>
          <w:rFonts w:cstheme="minorHAnsi"/>
        </w:rPr>
        <w:t xml:space="preserve"> </w:t>
      </w:r>
      <w:r w:rsidR="00137955" w:rsidRPr="0081776F">
        <w:rPr>
          <w:rFonts w:cstheme="minorHAnsi"/>
        </w:rPr>
        <w:t>Scott A</w:t>
      </w:r>
      <w:r w:rsidR="00046801" w:rsidRPr="0081776F">
        <w:rPr>
          <w:rFonts w:cstheme="minorHAnsi"/>
        </w:rPr>
        <w:t>;</w:t>
      </w:r>
      <w:r w:rsidRPr="0081776F">
        <w:rPr>
          <w:rFonts w:cstheme="minorHAnsi"/>
        </w:rPr>
        <w:t xml:space="preserve"> Sillett,</w:t>
      </w:r>
      <w:r w:rsidR="00137955" w:rsidRPr="0081776F">
        <w:rPr>
          <w:rFonts w:cstheme="minorHAnsi"/>
        </w:rPr>
        <w:t xml:space="preserve"> </w:t>
      </w:r>
      <w:r w:rsidR="00137955" w:rsidRPr="0081776F">
        <w:rPr>
          <w:rFonts w:cstheme="minorHAnsi"/>
        </w:rPr>
        <w:t>T. Scott</w:t>
      </w:r>
      <w:r w:rsidR="00046801" w:rsidRPr="0081776F">
        <w:rPr>
          <w:rFonts w:cstheme="minorHAnsi"/>
        </w:rPr>
        <w:t>;</w:t>
      </w:r>
      <w:r w:rsidRPr="0081776F">
        <w:rPr>
          <w:rFonts w:cstheme="minorHAnsi"/>
        </w:rPr>
        <w:t xml:space="preserve"> Funk,</w:t>
      </w:r>
      <w:r w:rsidR="00046801" w:rsidRPr="0081776F">
        <w:rPr>
          <w:rFonts w:cstheme="minorHAnsi"/>
        </w:rPr>
        <w:t xml:space="preserve"> </w:t>
      </w:r>
      <w:r w:rsidR="00046801" w:rsidRPr="0081776F">
        <w:rPr>
          <w:rFonts w:cstheme="minorHAnsi"/>
        </w:rPr>
        <w:t>W. Chris</w:t>
      </w:r>
      <w:r w:rsidR="00046801" w:rsidRPr="0081776F">
        <w:rPr>
          <w:rFonts w:cstheme="minorHAnsi"/>
        </w:rPr>
        <w:t>;</w:t>
      </w:r>
      <w:r w:rsidRPr="0081776F">
        <w:rPr>
          <w:rFonts w:cstheme="minorHAnsi"/>
        </w:rPr>
        <w:t xml:space="preserve"> K. </w:t>
      </w:r>
      <w:proofErr w:type="spellStart"/>
      <w:r w:rsidRPr="0081776F">
        <w:rPr>
          <w:rFonts w:cstheme="minorHAnsi"/>
        </w:rPr>
        <w:t>Ghalambor</w:t>
      </w:r>
      <w:proofErr w:type="spellEnd"/>
      <w:r w:rsidRPr="0081776F">
        <w:rPr>
          <w:rFonts w:cstheme="minorHAnsi"/>
        </w:rPr>
        <w:t>,</w:t>
      </w:r>
      <w:r w:rsidR="00046801" w:rsidRPr="0081776F">
        <w:rPr>
          <w:rFonts w:cstheme="minorHAnsi"/>
        </w:rPr>
        <w:t xml:space="preserve"> </w:t>
      </w:r>
      <w:r w:rsidR="00046801" w:rsidRPr="0081776F">
        <w:rPr>
          <w:rFonts w:cstheme="minorHAnsi"/>
        </w:rPr>
        <w:t>Cameron</w:t>
      </w:r>
      <w:r w:rsidR="00046801" w:rsidRPr="0081776F">
        <w:rPr>
          <w:rFonts w:cstheme="minorHAnsi"/>
        </w:rPr>
        <w:t>;</w:t>
      </w:r>
      <w:r w:rsidRPr="0081776F">
        <w:rPr>
          <w:rFonts w:cstheme="minorHAnsi"/>
        </w:rPr>
        <w:t xml:space="preserve"> and C. Rick,</w:t>
      </w:r>
      <w:r w:rsidR="00046801" w:rsidRPr="0081776F">
        <w:rPr>
          <w:rFonts w:cstheme="minorHAnsi"/>
        </w:rPr>
        <w:t xml:space="preserve"> </w:t>
      </w:r>
      <w:r w:rsidR="00046801" w:rsidRPr="0081776F">
        <w:rPr>
          <w:rFonts w:cstheme="minorHAnsi"/>
        </w:rPr>
        <w:t>Torben</w:t>
      </w:r>
      <w:r w:rsidR="00CF6CBE" w:rsidRPr="0081776F">
        <w:rPr>
          <w:rFonts w:cstheme="minorHAnsi"/>
        </w:rPr>
        <w:t>,</w:t>
      </w:r>
      <w:r w:rsidRPr="0081776F">
        <w:rPr>
          <w:rFonts w:cstheme="minorHAnsi"/>
        </w:rPr>
        <w:t xml:space="preserve"> ‘California Island Rediscovery: Building an Archive to Improve Conservation Today and Equip the Historical Ecologist of Tomorrow’, </w:t>
      </w:r>
      <w:r w:rsidRPr="00D849EA">
        <w:rPr>
          <w:rFonts w:cstheme="minorHAnsi"/>
          <w:i/>
          <w:iCs/>
        </w:rPr>
        <w:t>Western North American Naturalist</w:t>
      </w:r>
      <w:r w:rsidRPr="0081776F">
        <w:rPr>
          <w:rFonts w:cstheme="minorHAnsi"/>
        </w:rPr>
        <w:t>, 78.4 (2018), 837–51</w:t>
      </w:r>
    </w:p>
    <w:p w14:paraId="6CBAD270" w14:textId="136703B7" w:rsidR="0081776F" w:rsidRPr="0081776F" w:rsidRDefault="0081776F" w:rsidP="004755B0">
      <w:pPr>
        <w:pStyle w:val="FootnoteText"/>
        <w:ind w:left="567" w:hanging="567"/>
        <w:rPr>
          <w:rFonts w:cstheme="minorHAnsi"/>
          <w:sz w:val="22"/>
          <w:szCs w:val="22"/>
        </w:rPr>
      </w:pPr>
      <w:r w:rsidRPr="0081776F">
        <w:rPr>
          <w:rFonts w:cstheme="minorHAnsi"/>
          <w:sz w:val="22"/>
          <w:szCs w:val="22"/>
        </w:rPr>
        <w:t>Ray, Gordon N. (Gordon Norton), </w:t>
      </w:r>
      <w:r w:rsidRPr="0081776F">
        <w:rPr>
          <w:rFonts w:cstheme="minorHAnsi"/>
          <w:i/>
          <w:iCs/>
          <w:sz w:val="22"/>
          <w:szCs w:val="22"/>
        </w:rPr>
        <w:t>The Illustrator and the Book in England from 1790 to 1914</w:t>
      </w:r>
      <w:r w:rsidRPr="0081776F">
        <w:rPr>
          <w:rFonts w:cstheme="minorHAnsi"/>
          <w:sz w:val="22"/>
          <w:szCs w:val="22"/>
        </w:rPr>
        <w:t>, New ed. (New York: Pierpont Morgan Library in association with Dover, 1991)</w:t>
      </w:r>
    </w:p>
    <w:p w14:paraId="63E5052B" w14:textId="77777777" w:rsidR="0081776F" w:rsidRPr="0081776F" w:rsidRDefault="0081776F" w:rsidP="0081776F">
      <w:pPr>
        <w:pStyle w:val="FootnoteText"/>
        <w:ind w:left="567"/>
        <w:rPr>
          <w:rFonts w:cstheme="minorHAnsi"/>
          <w:sz w:val="22"/>
          <w:szCs w:val="22"/>
        </w:rPr>
      </w:pPr>
    </w:p>
    <w:p w14:paraId="734AB5CD" w14:textId="49E8380B" w:rsidR="008633C7" w:rsidRPr="0081776F" w:rsidRDefault="00060F3A" w:rsidP="00A33EE9">
      <w:pPr>
        <w:ind w:left="567" w:hanging="567"/>
        <w:rPr>
          <w:rFonts w:cstheme="minorHAnsi"/>
        </w:rPr>
      </w:pPr>
      <w:r w:rsidRPr="0081776F">
        <w:rPr>
          <w:rFonts w:cstheme="minorHAnsi"/>
        </w:rPr>
        <w:t>Roderic Bowen Library and Archive, P/83 - St. David's College. First Fifteen. 1886-7. Group photograph of St. David's College Lampeter first fifteen Rugby Team 1886-7.</w:t>
      </w:r>
    </w:p>
    <w:p w14:paraId="2D863BEF" w14:textId="2363DB2D" w:rsidR="008633C7" w:rsidRPr="0081776F" w:rsidRDefault="00B80AFB" w:rsidP="008633C7">
      <w:pPr>
        <w:pStyle w:val="FootnoteText"/>
        <w:rPr>
          <w:rFonts w:cstheme="minorHAnsi"/>
          <w:sz w:val="22"/>
          <w:szCs w:val="22"/>
        </w:rPr>
      </w:pPr>
      <w:r w:rsidRPr="0081776F">
        <w:rPr>
          <w:rFonts w:cstheme="minorHAnsi"/>
          <w:sz w:val="22"/>
          <w:szCs w:val="22"/>
        </w:rPr>
        <w:t>Roderic Bowen Library and Archive, UA/A/17 Tutors' Register, 1850-98 (with index and list of college rules)</w:t>
      </w:r>
    </w:p>
    <w:p w14:paraId="04F2E6D2" w14:textId="77777777" w:rsidR="00B17CB3" w:rsidRPr="009F0961" w:rsidRDefault="00B17CB3" w:rsidP="00B17CB3">
      <w:pPr>
        <w:pStyle w:val="FootnoteText"/>
        <w:ind w:left="567"/>
      </w:pPr>
    </w:p>
    <w:sectPr w:rsidR="00B17CB3" w:rsidRPr="009F0961" w:rsidSect="00564AB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C73C1A" w14:textId="77777777" w:rsidR="00F83BFF" w:rsidRDefault="00F83BFF" w:rsidP="00CF548E">
      <w:pPr>
        <w:spacing w:after="0" w:line="240" w:lineRule="auto"/>
      </w:pPr>
      <w:r>
        <w:separator/>
      </w:r>
    </w:p>
  </w:endnote>
  <w:endnote w:type="continuationSeparator" w:id="0">
    <w:p w14:paraId="10F8B663" w14:textId="77777777" w:rsidR="00F83BFF" w:rsidRDefault="00F83BFF" w:rsidP="00CF548E">
      <w:pPr>
        <w:spacing w:after="0" w:line="240" w:lineRule="auto"/>
      </w:pPr>
      <w:r>
        <w:continuationSeparator/>
      </w:r>
    </w:p>
  </w:endnote>
  <w:endnote w:type="continuationNotice" w:id="1">
    <w:p w14:paraId="4894AF24" w14:textId="77777777" w:rsidR="00F83BFF" w:rsidRDefault="00F83BF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6A041F" w14:textId="77777777" w:rsidR="00F83BFF" w:rsidRDefault="00F83BFF" w:rsidP="00CF548E">
      <w:pPr>
        <w:spacing w:after="0" w:line="240" w:lineRule="auto"/>
      </w:pPr>
      <w:r>
        <w:separator/>
      </w:r>
    </w:p>
  </w:footnote>
  <w:footnote w:type="continuationSeparator" w:id="0">
    <w:p w14:paraId="46575F8A" w14:textId="77777777" w:rsidR="00F83BFF" w:rsidRDefault="00F83BFF" w:rsidP="00CF548E">
      <w:pPr>
        <w:spacing w:after="0" w:line="240" w:lineRule="auto"/>
      </w:pPr>
      <w:r>
        <w:continuationSeparator/>
      </w:r>
    </w:p>
  </w:footnote>
  <w:footnote w:type="continuationNotice" w:id="1">
    <w:p w14:paraId="0E20D8E2" w14:textId="77777777" w:rsidR="00F83BFF" w:rsidRDefault="00F83BFF">
      <w:pPr>
        <w:spacing w:after="0" w:line="240" w:lineRule="auto"/>
      </w:pPr>
    </w:p>
  </w:footnote>
  <w:footnote w:id="2">
    <w:p w14:paraId="5401CD38" w14:textId="2B4A0F7B" w:rsidR="00CF548E" w:rsidRPr="002E5FA8" w:rsidRDefault="00CF54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6018">
        <w:t>Ruth Gooding</w:t>
      </w:r>
      <w:r w:rsidR="00CC6018">
        <w:t>,</w:t>
      </w:r>
      <w:r w:rsidR="00CC6018" w:rsidRPr="00CC6018">
        <w:t xml:space="preserve"> </w:t>
      </w:r>
      <w:r w:rsidR="00CC6018">
        <w:t>‘</w:t>
      </w:r>
      <w:r w:rsidR="007C4A7A" w:rsidRPr="00CC6018">
        <w:t xml:space="preserve">Medieval </w:t>
      </w:r>
      <w:r w:rsidR="009548F6" w:rsidRPr="00CC6018">
        <w:t>Manuscripts</w:t>
      </w:r>
      <w:r w:rsidR="00CC6018">
        <w:t>’</w:t>
      </w:r>
      <w:r w:rsidR="00C24B31">
        <w:t xml:space="preserve">, </w:t>
      </w:r>
      <w:r w:rsidR="00C90C7B" w:rsidRPr="00FE1A34">
        <w:rPr>
          <w:i/>
          <w:iCs/>
        </w:rPr>
        <w:t>Special Collections Research: The Roderic Bowen Library and Archives</w:t>
      </w:r>
      <w:r w:rsidR="00C90C7B">
        <w:t xml:space="preserve">, </w:t>
      </w:r>
      <w:r w:rsidR="00A97C37">
        <w:t xml:space="preserve">lecture, </w:t>
      </w:r>
      <w:r w:rsidR="00C24B31">
        <w:t xml:space="preserve">University of Wales Trinity Saint David, </w:t>
      </w:r>
      <w:r w:rsidR="00DA3AE3">
        <w:t>26/09/</w:t>
      </w:r>
      <w:r w:rsidR="00446A62">
        <w:t>23</w:t>
      </w:r>
    </w:p>
  </w:footnote>
  <w:footnote w:id="3">
    <w:p w14:paraId="3A81CFD8" w14:textId="6DED4CF8" w:rsidR="008D20DF" w:rsidRDefault="008D20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03EDA" w:rsidRPr="00D03EDA">
        <w:rPr>
          <w:rFonts w:ascii="Source Sans Pro" w:hAnsi="Source Sans Pro"/>
          <w:color w:val="3A3A3A"/>
          <w:shd w:val="clear" w:color="auto" w:fill="FFFFFF"/>
        </w:rPr>
        <w:t>Jean-François</w:t>
      </w:r>
      <w:proofErr w:type="spellEnd"/>
      <w:r w:rsidR="00DF7FF7">
        <w:rPr>
          <w:rFonts w:ascii="Source Sans Pro" w:hAnsi="Source Sans Pro"/>
          <w:color w:val="3A3A3A"/>
          <w:shd w:val="clear" w:color="auto" w:fill="FFFFFF"/>
        </w:rPr>
        <w:t xml:space="preserve"> </w:t>
      </w:r>
      <w:proofErr w:type="spellStart"/>
      <w:r w:rsidR="00DF7FF7" w:rsidRPr="00D03EDA">
        <w:rPr>
          <w:rFonts w:ascii="Source Sans Pro" w:hAnsi="Source Sans Pro"/>
          <w:color w:val="3A3A3A"/>
          <w:shd w:val="clear" w:color="auto" w:fill="FFFFFF"/>
        </w:rPr>
        <w:t>Gilmont</w:t>
      </w:r>
      <w:proofErr w:type="spellEnd"/>
      <w:r w:rsidR="00D03EDA" w:rsidRPr="00D03EDA">
        <w:rPr>
          <w:rFonts w:ascii="Source Sans Pro" w:hAnsi="Source Sans Pro"/>
          <w:color w:val="3A3A3A"/>
          <w:shd w:val="clear" w:color="auto" w:fill="FFFFFF"/>
        </w:rPr>
        <w:t>, and Karin. Maag, </w:t>
      </w:r>
      <w:r w:rsidR="00D03EDA" w:rsidRPr="00D03EDA">
        <w:rPr>
          <w:rFonts w:ascii="Source Sans Pro" w:hAnsi="Source Sans Pro"/>
          <w:i/>
          <w:iCs/>
          <w:color w:val="3A3A3A"/>
          <w:shd w:val="clear" w:color="auto" w:fill="FFFFFF"/>
        </w:rPr>
        <w:t>The Reformation and the Book</w:t>
      </w:r>
      <w:r w:rsidR="00D03EDA" w:rsidRPr="00D03EDA">
        <w:rPr>
          <w:rFonts w:ascii="Source Sans Pro" w:hAnsi="Source Sans Pro"/>
          <w:color w:val="3A3A3A"/>
          <w:shd w:val="clear" w:color="auto" w:fill="FFFFFF"/>
        </w:rPr>
        <w:t> (Brookfield, VT: Ashgate, 1998)</w:t>
      </w:r>
    </w:p>
  </w:footnote>
  <w:footnote w:id="4">
    <w:p w14:paraId="645772E9" w14:textId="4C1DCE0B" w:rsidR="00EA4D9E" w:rsidRPr="005467C3" w:rsidRDefault="00EA4D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E132E">
        <w:t>Peter Mitchal, ‘</w:t>
      </w:r>
      <w:r w:rsidR="00F04173" w:rsidRPr="00CC6018">
        <w:t xml:space="preserve">The Development of </w:t>
      </w:r>
      <w:r w:rsidR="005467C3" w:rsidRPr="00CC6018">
        <w:t>Printing</w:t>
      </w:r>
      <w:r w:rsidR="00DE132E">
        <w:t>’</w:t>
      </w:r>
      <w:r w:rsidR="005467C3">
        <w:t>,</w:t>
      </w:r>
      <w:r w:rsidR="00DE132E">
        <w:t xml:space="preserve"> </w:t>
      </w:r>
      <w:r w:rsidR="00DE132E" w:rsidRPr="00FE1A34">
        <w:rPr>
          <w:i/>
          <w:iCs/>
        </w:rPr>
        <w:t>Special Collections Research: The Roderic Bowen Library and Archives</w:t>
      </w:r>
      <w:r w:rsidR="00DE132E">
        <w:t>,</w:t>
      </w:r>
      <w:r w:rsidR="00A75FE9">
        <w:t xml:space="preserve"> </w:t>
      </w:r>
      <w:r w:rsidR="00A75FE9" w:rsidRPr="00CA7A71">
        <w:t>HPEN5040</w:t>
      </w:r>
      <w:r w:rsidR="00A75FE9">
        <w:t>,</w:t>
      </w:r>
      <w:r w:rsidR="00DE132E">
        <w:t xml:space="preserve"> lecture, University of Wales Trinity Saint David</w:t>
      </w:r>
      <w:r w:rsidR="00DE132E">
        <w:t>,</w:t>
      </w:r>
      <w:r w:rsidR="0078376D">
        <w:t xml:space="preserve"> 27/09/23</w:t>
      </w:r>
    </w:p>
  </w:footnote>
  <w:footnote w:id="5">
    <w:p w14:paraId="1CB01BE5" w14:textId="0FB90893" w:rsidR="00E40C59" w:rsidRDefault="00E40C59" w:rsidP="009334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40C59">
        <w:t>Hilary</w:t>
      </w:r>
      <w:r w:rsidR="00DF7FF7">
        <w:t xml:space="preserve"> Evans</w:t>
      </w:r>
      <w:r w:rsidRPr="00E40C59">
        <w:t>, and Mary Evans, </w:t>
      </w:r>
      <w:r w:rsidRPr="00E40C59">
        <w:rPr>
          <w:i/>
          <w:iCs/>
        </w:rPr>
        <w:t>Sources of Illustration, 1500-1900</w:t>
      </w:r>
      <w:r w:rsidRPr="00E40C59">
        <w:t> (Bath: Adams and Dart, 1971)</w:t>
      </w:r>
    </w:p>
  </w:footnote>
  <w:footnote w:id="6">
    <w:p w14:paraId="37D26706" w14:textId="5C8B4762" w:rsidR="006128B9" w:rsidRDefault="006128B9">
      <w:pPr>
        <w:pStyle w:val="FootnoteText"/>
      </w:pPr>
      <w:r>
        <w:rPr>
          <w:rStyle w:val="FootnoteReference"/>
        </w:rPr>
        <w:footnoteRef/>
      </w:r>
      <w:r w:rsidR="008919FA" w:rsidRPr="008919FA">
        <w:t>Christopher</w:t>
      </w:r>
      <w:r w:rsidR="00AE4633">
        <w:t xml:space="preserve"> Johnstone</w:t>
      </w:r>
      <w:r w:rsidR="008919FA" w:rsidRPr="008919FA">
        <w:t xml:space="preserve">, </w:t>
      </w:r>
      <w:r w:rsidR="008919FA" w:rsidRPr="008633C7">
        <w:rPr>
          <w:i/>
          <w:iCs/>
        </w:rPr>
        <w:t>John Martin</w:t>
      </w:r>
      <w:r w:rsidR="008919FA" w:rsidRPr="008919FA">
        <w:t xml:space="preserve"> (London: Academy Editions, 1974)</w:t>
      </w:r>
      <w:r>
        <w:t xml:space="preserve"> </w:t>
      </w:r>
    </w:p>
  </w:footnote>
  <w:footnote w:id="7">
    <w:p w14:paraId="04653A13" w14:textId="3B7722E6" w:rsidR="000F6366" w:rsidRDefault="000F63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3349D">
        <w:t>Ibid.</w:t>
      </w:r>
    </w:p>
  </w:footnote>
  <w:footnote w:id="8">
    <w:p w14:paraId="698CA857" w14:textId="4B4BDC37" w:rsidR="0079263F" w:rsidRDefault="00987B69" w:rsidP="007926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263F" w:rsidRPr="0079263F">
        <w:t>Gordon N</w:t>
      </w:r>
      <w:r w:rsidR="00DF7FF7">
        <w:t>. Ray</w:t>
      </w:r>
      <w:r w:rsidR="0079263F" w:rsidRPr="0079263F">
        <w:t xml:space="preserve"> (Gordon Norton), </w:t>
      </w:r>
      <w:r w:rsidR="0079263F" w:rsidRPr="0079263F">
        <w:rPr>
          <w:i/>
          <w:iCs/>
        </w:rPr>
        <w:t>The Illustrator and the Book in England from 1790 to 1914</w:t>
      </w:r>
      <w:r w:rsidR="0079263F" w:rsidRPr="0079263F">
        <w:t>, New ed. (New York: Pierpont</w:t>
      </w:r>
      <w:r w:rsidR="00A54752">
        <w:t xml:space="preserve"> </w:t>
      </w:r>
    </w:p>
    <w:p w14:paraId="755526C1" w14:textId="2472768A" w:rsidR="00987B69" w:rsidRDefault="0079263F">
      <w:pPr>
        <w:pStyle w:val="FootnoteText"/>
      </w:pPr>
      <w:r w:rsidRPr="0079263F">
        <w:t>Morgan Library in association with Dover, 1991)</w:t>
      </w:r>
    </w:p>
  </w:footnote>
  <w:footnote w:id="9">
    <w:p w14:paraId="22D53C42" w14:textId="096EFC1C" w:rsidR="00A51C83" w:rsidRDefault="00A51C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72A3B">
        <w:t xml:space="preserve">Peter Mitchal, </w:t>
      </w:r>
      <w:r w:rsidR="00E72A3B">
        <w:t>‘</w:t>
      </w:r>
      <w:r w:rsidR="00A724E9">
        <w:t xml:space="preserve">History of </w:t>
      </w:r>
      <w:r w:rsidR="00BE17C7">
        <w:t>Libraries, Classification and Encyclopaedic Works</w:t>
      </w:r>
      <w:r w:rsidR="00E72A3B">
        <w:t>’</w:t>
      </w:r>
      <w:r w:rsidR="007F676C">
        <w:t>,</w:t>
      </w:r>
      <w:r w:rsidR="00E72A3B">
        <w:t xml:space="preserve"> </w:t>
      </w:r>
      <w:r w:rsidR="00E72A3B" w:rsidRPr="00FE1A34">
        <w:rPr>
          <w:i/>
          <w:iCs/>
        </w:rPr>
        <w:t>Special Collections Research: The Roderic Bowen Library and Archives</w:t>
      </w:r>
      <w:r w:rsidR="00E72A3B">
        <w:t>,</w:t>
      </w:r>
      <w:r w:rsidR="00A75FE9">
        <w:t xml:space="preserve"> </w:t>
      </w:r>
      <w:r w:rsidR="00A75FE9" w:rsidRPr="00CA7A71">
        <w:t>HPEN5040</w:t>
      </w:r>
      <w:r w:rsidR="00A75FE9">
        <w:t>,</w:t>
      </w:r>
      <w:r w:rsidR="00E72A3B">
        <w:t xml:space="preserve"> lecture</w:t>
      </w:r>
      <w:r w:rsidR="00E72A3B">
        <w:t>,</w:t>
      </w:r>
      <w:r w:rsidR="007F676C">
        <w:t xml:space="preserve"> </w:t>
      </w:r>
      <w:r w:rsidR="00232902">
        <w:t>University of Wales Trinity Saint David</w:t>
      </w:r>
      <w:r w:rsidR="006D408C">
        <w:t xml:space="preserve">, </w:t>
      </w:r>
      <w:r w:rsidR="001B0A27">
        <w:t>5/10/23</w:t>
      </w:r>
    </w:p>
  </w:footnote>
  <w:footnote w:id="10">
    <w:p w14:paraId="4632102A" w14:textId="5A2D03CF" w:rsidR="00A51C83" w:rsidRDefault="00A51C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B1599">
        <w:t>Ruth Gooding</w:t>
      </w:r>
      <w:r w:rsidR="00DB1599">
        <w:t>, ‘</w:t>
      </w:r>
      <w:r w:rsidR="002765EC">
        <w:t xml:space="preserve">Robert Hooke’s </w:t>
      </w:r>
      <w:proofErr w:type="spellStart"/>
      <w:r w:rsidR="002765EC">
        <w:t>Micrographia</w:t>
      </w:r>
      <w:proofErr w:type="spellEnd"/>
      <w:r w:rsidR="007F45B6">
        <w:t xml:space="preserve">: the First </w:t>
      </w:r>
      <w:r w:rsidR="0064226F">
        <w:t>Scientific Best-Seller</w:t>
      </w:r>
      <w:r w:rsidR="00DB1599">
        <w:t>’</w:t>
      </w:r>
      <w:r w:rsidR="00232902">
        <w:t>,</w:t>
      </w:r>
      <w:r w:rsidR="00232902" w:rsidRPr="00232902">
        <w:t xml:space="preserve"> </w:t>
      </w:r>
      <w:r w:rsidR="00DB1599" w:rsidRPr="00FE1A34">
        <w:rPr>
          <w:i/>
          <w:iCs/>
        </w:rPr>
        <w:t>Special Collections Research: The Roderic Bowen Library and Archives</w:t>
      </w:r>
      <w:r w:rsidR="00DB1599">
        <w:t xml:space="preserve">, </w:t>
      </w:r>
      <w:r w:rsidR="00A75FE9" w:rsidRPr="00CA7A71">
        <w:t>HPEN5040</w:t>
      </w:r>
      <w:r w:rsidR="00A75FE9">
        <w:t xml:space="preserve">, </w:t>
      </w:r>
      <w:r w:rsidR="00DB1599">
        <w:t>lecture</w:t>
      </w:r>
      <w:r w:rsidR="00560C51">
        <w:t>,</w:t>
      </w:r>
      <w:r w:rsidR="00DB1599">
        <w:t xml:space="preserve"> </w:t>
      </w:r>
      <w:r w:rsidR="00232902">
        <w:t>University of Wales Trinity Saint David</w:t>
      </w:r>
      <w:r w:rsidR="001B0A27">
        <w:t xml:space="preserve"> </w:t>
      </w:r>
      <w:r w:rsidR="00C3572C">
        <w:t>10/10/23</w:t>
      </w:r>
    </w:p>
  </w:footnote>
  <w:footnote w:id="11">
    <w:p w14:paraId="1A539411" w14:textId="7A32E6A3" w:rsidR="00162A7E" w:rsidRDefault="00162A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D5728" w:rsidRPr="003D5728">
        <w:t>Bernard C</w:t>
      </w:r>
      <w:r w:rsidR="005465D1">
        <w:t>.</w:t>
      </w:r>
      <w:r w:rsidR="00BC6799">
        <w:t xml:space="preserve"> Middleton</w:t>
      </w:r>
      <w:r w:rsidR="003D5728" w:rsidRPr="003D5728">
        <w:t>, The Restoration of Leather Binding (New Castle: Oak Knoll Press, 1998)</w:t>
      </w:r>
    </w:p>
  </w:footnote>
  <w:footnote w:id="12">
    <w:p w14:paraId="3FBB6DFF" w14:textId="31FE0C84" w:rsidR="00584A23" w:rsidRDefault="00584A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03D26" w:rsidRPr="00803D26">
        <w:t>Mirjam</w:t>
      </w:r>
      <w:r w:rsidR="005465D1">
        <w:t xml:space="preserve"> J. Foot</w:t>
      </w:r>
      <w:r w:rsidR="00803D26" w:rsidRPr="00803D26">
        <w:t xml:space="preserve">, Studies in the History of Bookbinding (Aldershot: </w:t>
      </w:r>
      <w:proofErr w:type="spellStart"/>
      <w:r w:rsidR="00803D26" w:rsidRPr="00803D26">
        <w:t>Scolar</w:t>
      </w:r>
      <w:proofErr w:type="spellEnd"/>
      <w:r w:rsidR="00803D26" w:rsidRPr="00803D26">
        <w:t xml:space="preserve"> Press, 1993)</w:t>
      </w:r>
    </w:p>
  </w:footnote>
  <w:footnote w:id="13">
    <w:p w14:paraId="088FD358" w14:textId="0DB3DC02" w:rsidR="002B1FAB" w:rsidRDefault="002B1F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D4C86">
        <w:t>Lucy Hartley</w:t>
      </w:r>
      <w:r w:rsidR="00A610DF">
        <w:t xml:space="preserve">, </w:t>
      </w:r>
      <w:r w:rsidR="00E373BF">
        <w:t>‘</w:t>
      </w:r>
      <w:r w:rsidR="00E373BF" w:rsidRPr="00E373BF">
        <w:t>Recognising the power of literacy when designing services</w:t>
      </w:r>
      <w:r w:rsidR="00E373BF">
        <w:t>’,</w:t>
      </w:r>
      <w:r w:rsidR="009C59CB">
        <w:t xml:space="preserve"> 21/09/22, &lt; </w:t>
      </w:r>
      <w:hyperlink r:id="rId1" w:history="1">
        <w:r w:rsidR="00D24F7B" w:rsidRPr="00C017C0">
          <w:rPr>
            <w:rStyle w:val="Hyperlink"/>
          </w:rPr>
          <w:t>https://defradigital.blog.gov.uk/2022/09/21/recognising-the-power-of-literacy-when-designing-services/</w:t>
        </w:r>
      </w:hyperlink>
      <w:r w:rsidR="00D24F7B">
        <w:t xml:space="preserve"> &gt; [accessed 21/10/23]</w:t>
      </w:r>
    </w:p>
  </w:footnote>
  <w:footnote w:id="14">
    <w:p w14:paraId="7387635B" w14:textId="52BDE5FD" w:rsidR="0029579F" w:rsidRDefault="002957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4121">
        <w:t>Peter Mitchal</w:t>
      </w:r>
      <w:r w:rsidR="00596E40">
        <w:t>,</w:t>
      </w:r>
      <w:r w:rsidR="00B14121" w:rsidRPr="00B14121">
        <w:t xml:space="preserve"> ‘</w:t>
      </w:r>
      <w:r w:rsidR="00674FF1" w:rsidRPr="00B14121">
        <w:t>The Development of Printing</w:t>
      </w:r>
      <w:r w:rsidR="00B14121" w:rsidRPr="00B14121">
        <w:t>’</w:t>
      </w:r>
      <w:r w:rsidR="00674FF1">
        <w:t xml:space="preserve">, </w:t>
      </w:r>
      <w:r w:rsidR="00596E40" w:rsidRPr="00FE1A34">
        <w:rPr>
          <w:i/>
          <w:iCs/>
        </w:rPr>
        <w:t>Special Collections Research: The Roderic Bowen Library and Archives</w:t>
      </w:r>
      <w:r w:rsidR="00596E40">
        <w:t>,</w:t>
      </w:r>
      <w:r w:rsidR="00A75FE9">
        <w:t xml:space="preserve"> </w:t>
      </w:r>
      <w:r w:rsidR="00A75FE9" w:rsidRPr="00CA7A71">
        <w:t>HPEN5040</w:t>
      </w:r>
      <w:r w:rsidR="00A75FE9">
        <w:t>,</w:t>
      </w:r>
      <w:r w:rsidR="00596E40">
        <w:t xml:space="preserve"> lecture,</w:t>
      </w:r>
      <w:r w:rsidR="00596E40">
        <w:t xml:space="preserve"> </w:t>
      </w:r>
      <w:r w:rsidR="00674FF1">
        <w:t>University of Wales Trinity Saint David, 27/09/23</w:t>
      </w:r>
    </w:p>
  </w:footnote>
  <w:footnote w:id="15">
    <w:p w14:paraId="16192788" w14:textId="58FB54E4" w:rsidR="00C443BB" w:rsidRDefault="00C443BB">
      <w:pPr>
        <w:pStyle w:val="FootnoteText"/>
      </w:pPr>
      <w:r>
        <w:rPr>
          <w:rStyle w:val="FootnoteReference"/>
        </w:rPr>
        <w:footnoteRef/>
      </w:r>
      <w:r w:rsidR="00BA5A11" w:rsidRPr="00BA5A11">
        <w:t xml:space="preserve"> David</w:t>
      </w:r>
      <w:r w:rsidR="005465D1">
        <w:t xml:space="preserve"> Deacon</w:t>
      </w:r>
      <w:r w:rsidR="00BA5A11" w:rsidRPr="00BA5A11">
        <w:t>, ‘Yesterday’s Papers and Today’s Technology: Digital Newspaper Archives and “Push Button” Content Analysis’, European Journal of Communication (London), 22.1 (2007), 5–25</w:t>
      </w:r>
    </w:p>
  </w:footnote>
  <w:footnote w:id="16">
    <w:p w14:paraId="6193929C" w14:textId="51F1BCE4" w:rsidR="00623137" w:rsidRDefault="006231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251A2">
        <w:t xml:space="preserve">Roderic Bowen Library and Archive, </w:t>
      </w:r>
      <w:r w:rsidR="00A35F6C" w:rsidRPr="00A35F6C">
        <w:t>UA/A/17 Tutors' Register, 1850-98 (with index and list of college rules)</w:t>
      </w:r>
    </w:p>
  </w:footnote>
  <w:footnote w:id="17">
    <w:p w14:paraId="2EDF33A0" w14:textId="3447354D" w:rsidR="00953AEC" w:rsidRDefault="00953A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60655">
        <w:t>Peter Mitchal, ‘</w:t>
      </w:r>
      <w:r w:rsidR="009A1557">
        <w:t>Bibliography and Bibliographic Description</w:t>
      </w:r>
      <w:r w:rsidR="00C60655">
        <w:t>’</w:t>
      </w:r>
      <w:r w:rsidR="00514A42">
        <w:t>,</w:t>
      </w:r>
      <w:r w:rsidR="00C60655">
        <w:t xml:space="preserve"> </w:t>
      </w:r>
      <w:r w:rsidR="00C60655" w:rsidRPr="00FE1A34">
        <w:rPr>
          <w:i/>
          <w:iCs/>
        </w:rPr>
        <w:t>Special Collections Research: The Roderic Bowen Library and Archives</w:t>
      </w:r>
      <w:r w:rsidR="00C60655">
        <w:t>,</w:t>
      </w:r>
      <w:r w:rsidR="00A75FE9">
        <w:t xml:space="preserve"> </w:t>
      </w:r>
      <w:r w:rsidR="00A75FE9" w:rsidRPr="00CA7A71">
        <w:t>HPEN5040</w:t>
      </w:r>
      <w:r w:rsidR="00A75FE9">
        <w:t>,</w:t>
      </w:r>
      <w:r w:rsidR="00C60655">
        <w:t xml:space="preserve"> lecture,</w:t>
      </w:r>
      <w:r w:rsidR="00C60655">
        <w:t xml:space="preserve"> University of Wales Trinity Saint David </w:t>
      </w:r>
      <w:r w:rsidR="00CF67DE">
        <w:t>04/10/23</w:t>
      </w:r>
    </w:p>
  </w:footnote>
  <w:footnote w:id="18">
    <w:p w14:paraId="29BCCD81" w14:textId="1B82BC90" w:rsidR="00414DC7" w:rsidRDefault="00414D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20D14" w:rsidRPr="00D20D14">
        <w:t>Scott A</w:t>
      </w:r>
      <w:r w:rsidR="005F586D">
        <w:t xml:space="preserve"> Morrison</w:t>
      </w:r>
      <w:r w:rsidR="00D20D14" w:rsidRPr="00D20D14">
        <w:t xml:space="preserve">, T. Scott Sillett, W. Chris Funk, Cameron K. </w:t>
      </w:r>
      <w:proofErr w:type="spellStart"/>
      <w:r w:rsidR="00D20D14" w:rsidRPr="00D20D14">
        <w:t>Ghalambor</w:t>
      </w:r>
      <w:proofErr w:type="spellEnd"/>
      <w:r w:rsidR="00D20D14" w:rsidRPr="00D20D14">
        <w:t>, and Torben C. Rick, ‘California Island Rediscovery: Building an Archive to Improve Conservation Today and Equip the Historical Ecologist of Tomorrow’, Western North American Naturalist, 78.4 (2018), 837–51</w:t>
      </w:r>
    </w:p>
  </w:footnote>
  <w:footnote w:id="19">
    <w:p w14:paraId="43D786F3" w14:textId="66D12C19" w:rsidR="00AD00C3" w:rsidRDefault="00AD00C3">
      <w:pPr>
        <w:pStyle w:val="FootnoteText"/>
      </w:pPr>
      <w:r>
        <w:rPr>
          <w:rStyle w:val="FootnoteReference"/>
        </w:rPr>
        <w:footnoteRef/>
      </w:r>
      <w:r>
        <w:t xml:space="preserve"> Roderic Bowen Library and Archive, </w:t>
      </w:r>
      <w:r w:rsidR="00671966" w:rsidRPr="00671966">
        <w:t>P/83 - St. David's College. First Fifteen. 1886-7. Group photograph of St. David's College Lampeter first fifteen Rugby Team 1886-7.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9E6D43"/>
    <w:multiLevelType w:val="hybridMultilevel"/>
    <w:tmpl w:val="C532888A"/>
    <w:lvl w:ilvl="0" w:tplc="A08EE4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9268B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9463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EEA8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88ECF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82DE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8A243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0DAC7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B7094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BD03D60"/>
    <w:multiLevelType w:val="hybridMultilevel"/>
    <w:tmpl w:val="9A82DB7C"/>
    <w:lvl w:ilvl="0" w:tplc="BAB09A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4293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DC42E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9BABB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F5CBD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403C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49079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668DE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A0F4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91B086B"/>
    <w:multiLevelType w:val="hybridMultilevel"/>
    <w:tmpl w:val="2666A210"/>
    <w:lvl w:ilvl="0" w:tplc="C658D5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C4A0E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5430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2360E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B22D6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894FC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D831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59EB9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2EC4B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2DE0AE1"/>
    <w:multiLevelType w:val="hybridMultilevel"/>
    <w:tmpl w:val="1BFA8B1C"/>
    <w:lvl w:ilvl="0" w:tplc="5A606C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D2E7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E8257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07255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A5805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967A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EC22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7C70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2A27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47706724">
    <w:abstractNumId w:val="0"/>
  </w:num>
  <w:num w:numId="2" w16cid:durableId="1339234631">
    <w:abstractNumId w:val="2"/>
  </w:num>
  <w:num w:numId="3" w16cid:durableId="1182209055">
    <w:abstractNumId w:val="1"/>
  </w:num>
  <w:num w:numId="4" w16cid:durableId="162453212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4ABC"/>
    <w:rsid w:val="00002E08"/>
    <w:rsid w:val="00016F7B"/>
    <w:rsid w:val="000221C4"/>
    <w:rsid w:val="0004138A"/>
    <w:rsid w:val="00046801"/>
    <w:rsid w:val="0006093C"/>
    <w:rsid w:val="00060F3A"/>
    <w:rsid w:val="00060F69"/>
    <w:rsid w:val="00065ECD"/>
    <w:rsid w:val="000734E4"/>
    <w:rsid w:val="00073E1D"/>
    <w:rsid w:val="000840AA"/>
    <w:rsid w:val="000A0B7E"/>
    <w:rsid w:val="000A39A8"/>
    <w:rsid w:val="000A43ED"/>
    <w:rsid w:val="000B12DA"/>
    <w:rsid w:val="000B2DF0"/>
    <w:rsid w:val="000B5450"/>
    <w:rsid w:val="000B620C"/>
    <w:rsid w:val="000C1B40"/>
    <w:rsid w:val="000C4207"/>
    <w:rsid w:val="000D5F17"/>
    <w:rsid w:val="000E0B5F"/>
    <w:rsid w:val="000E111F"/>
    <w:rsid w:val="000E34FA"/>
    <w:rsid w:val="000E48CB"/>
    <w:rsid w:val="000F0505"/>
    <w:rsid w:val="000F05A8"/>
    <w:rsid w:val="000F6366"/>
    <w:rsid w:val="0010352D"/>
    <w:rsid w:val="00112BB2"/>
    <w:rsid w:val="0011339F"/>
    <w:rsid w:val="00116691"/>
    <w:rsid w:val="00117947"/>
    <w:rsid w:val="00121C1E"/>
    <w:rsid w:val="0012432D"/>
    <w:rsid w:val="00135A5D"/>
    <w:rsid w:val="00137955"/>
    <w:rsid w:val="00152D24"/>
    <w:rsid w:val="001575B4"/>
    <w:rsid w:val="00162A7E"/>
    <w:rsid w:val="00170A6D"/>
    <w:rsid w:val="0017126C"/>
    <w:rsid w:val="00176211"/>
    <w:rsid w:val="00186FB2"/>
    <w:rsid w:val="001933D3"/>
    <w:rsid w:val="00194278"/>
    <w:rsid w:val="00196484"/>
    <w:rsid w:val="001A1C7D"/>
    <w:rsid w:val="001B0A27"/>
    <w:rsid w:val="001B58B4"/>
    <w:rsid w:val="001C4BD1"/>
    <w:rsid w:val="001C5202"/>
    <w:rsid w:val="001D0365"/>
    <w:rsid w:val="001D0B06"/>
    <w:rsid w:val="001E1D0D"/>
    <w:rsid w:val="001E783D"/>
    <w:rsid w:val="001F2341"/>
    <w:rsid w:val="001F31DD"/>
    <w:rsid w:val="001F3F30"/>
    <w:rsid w:val="0020205A"/>
    <w:rsid w:val="00232353"/>
    <w:rsid w:val="00232902"/>
    <w:rsid w:val="0023699C"/>
    <w:rsid w:val="00245918"/>
    <w:rsid w:val="002469E0"/>
    <w:rsid w:val="00252F4E"/>
    <w:rsid w:val="00254CC9"/>
    <w:rsid w:val="00257BAA"/>
    <w:rsid w:val="002620D7"/>
    <w:rsid w:val="00263BA5"/>
    <w:rsid w:val="00273BBC"/>
    <w:rsid w:val="002742AC"/>
    <w:rsid w:val="00275B92"/>
    <w:rsid w:val="002765EC"/>
    <w:rsid w:val="00277372"/>
    <w:rsid w:val="0029579F"/>
    <w:rsid w:val="002A02F3"/>
    <w:rsid w:val="002A4792"/>
    <w:rsid w:val="002B0B97"/>
    <w:rsid w:val="002B1FAB"/>
    <w:rsid w:val="002B45F2"/>
    <w:rsid w:val="002B7283"/>
    <w:rsid w:val="002C3C47"/>
    <w:rsid w:val="002D121C"/>
    <w:rsid w:val="002E2EE0"/>
    <w:rsid w:val="002E5FA8"/>
    <w:rsid w:val="002F77A1"/>
    <w:rsid w:val="00301ADD"/>
    <w:rsid w:val="0030267E"/>
    <w:rsid w:val="00303B13"/>
    <w:rsid w:val="00320773"/>
    <w:rsid w:val="00322406"/>
    <w:rsid w:val="0032464B"/>
    <w:rsid w:val="0032687C"/>
    <w:rsid w:val="003325BC"/>
    <w:rsid w:val="00333784"/>
    <w:rsid w:val="00340BB4"/>
    <w:rsid w:val="00344BC9"/>
    <w:rsid w:val="00355178"/>
    <w:rsid w:val="00360538"/>
    <w:rsid w:val="00361EE3"/>
    <w:rsid w:val="00383FF0"/>
    <w:rsid w:val="00386FC9"/>
    <w:rsid w:val="00395FF6"/>
    <w:rsid w:val="003B01EE"/>
    <w:rsid w:val="003B4144"/>
    <w:rsid w:val="003B5D48"/>
    <w:rsid w:val="003C0B1A"/>
    <w:rsid w:val="003C4201"/>
    <w:rsid w:val="003C4C7F"/>
    <w:rsid w:val="003C5477"/>
    <w:rsid w:val="003D20F4"/>
    <w:rsid w:val="003D2288"/>
    <w:rsid w:val="003D5728"/>
    <w:rsid w:val="003D7B90"/>
    <w:rsid w:val="003E3339"/>
    <w:rsid w:val="003E48B8"/>
    <w:rsid w:val="003F130E"/>
    <w:rsid w:val="003F3FA8"/>
    <w:rsid w:val="003F7191"/>
    <w:rsid w:val="0040083D"/>
    <w:rsid w:val="0041289E"/>
    <w:rsid w:val="00414DC7"/>
    <w:rsid w:val="0042477F"/>
    <w:rsid w:val="004251A2"/>
    <w:rsid w:val="00426B56"/>
    <w:rsid w:val="00446A62"/>
    <w:rsid w:val="00446B6D"/>
    <w:rsid w:val="004637DB"/>
    <w:rsid w:val="00466FF1"/>
    <w:rsid w:val="004755B0"/>
    <w:rsid w:val="00482583"/>
    <w:rsid w:val="004924CA"/>
    <w:rsid w:val="004B2AEB"/>
    <w:rsid w:val="004B574A"/>
    <w:rsid w:val="004B77C8"/>
    <w:rsid w:val="004D3516"/>
    <w:rsid w:val="004D5D19"/>
    <w:rsid w:val="004E20F3"/>
    <w:rsid w:val="004F77BD"/>
    <w:rsid w:val="00514A42"/>
    <w:rsid w:val="0053362D"/>
    <w:rsid w:val="00533ECE"/>
    <w:rsid w:val="005465D1"/>
    <w:rsid w:val="005467C3"/>
    <w:rsid w:val="00554CDF"/>
    <w:rsid w:val="00555094"/>
    <w:rsid w:val="00560164"/>
    <w:rsid w:val="00560C51"/>
    <w:rsid w:val="00564ABC"/>
    <w:rsid w:val="00564B69"/>
    <w:rsid w:val="005726D9"/>
    <w:rsid w:val="00583870"/>
    <w:rsid w:val="00583DA3"/>
    <w:rsid w:val="00584A23"/>
    <w:rsid w:val="00591C58"/>
    <w:rsid w:val="0059449A"/>
    <w:rsid w:val="00596E40"/>
    <w:rsid w:val="005A2F90"/>
    <w:rsid w:val="005A7E14"/>
    <w:rsid w:val="005C0D2D"/>
    <w:rsid w:val="005C458B"/>
    <w:rsid w:val="005C48A3"/>
    <w:rsid w:val="005D3D35"/>
    <w:rsid w:val="005E1881"/>
    <w:rsid w:val="005E71C7"/>
    <w:rsid w:val="005F21A0"/>
    <w:rsid w:val="005F586D"/>
    <w:rsid w:val="005F6607"/>
    <w:rsid w:val="006007AF"/>
    <w:rsid w:val="00606E21"/>
    <w:rsid w:val="00612086"/>
    <w:rsid w:val="006128B9"/>
    <w:rsid w:val="006212DE"/>
    <w:rsid w:val="00623137"/>
    <w:rsid w:val="00633A33"/>
    <w:rsid w:val="00637492"/>
    <w:rsid w:val="0064226F"/>
    <w:rsid w:val="00644358"/>
    <w:rsid w:val="00646145"/>
    <w:rsid w:val="006479DE"/>
    <w:rsid w:val="00651507"/>
    <w:rsid w:val="006657A7"/>
    <w:rsid w:val="00665F00"/>
    <w:rsid w:val="00670368"/>
    <w:rsid w:val="00671966"/>
    <w:rsid w:val="00674FF1"/>
    <w:rsid w:val="00681B20"/>
    <w:rsid w:val="00690288"/>
    <w:rsid w:val="00690B0A"/>
    <w:rsid w:val="006B20E7"/>
    <w:rsid w:val="006B548B"/>
    <w:rsid w:val="006B5A6F"/>
    <w:rsid w:val="006C4A3B"/>
    <w:rsid w:val="006D408C"/>
    <w:rsid w:val="006D4C86"/>
    <w:rsid w:val="006E17B6"/>
    <w:rsid w:val="006E1961"/>
    <w:rsid w:val="006E41BD"/>
    <w:rsid w:val="006F022A"/>
    <w:rsid w:val="006F6F1D"/>
    <w:rsid w:val="0070421E"/>
    <w:rsid w:val="007057B8"/>
    <w:rsid w:val="00714A68"/>
    <w:rsid w:val="00715868"/>
    <w:rsid w:val="007260B5"/>
    <w:rsid w:val="00735DAB"/>
    <w:rsid w:val="0074019A"/>
    <w:rsid w:val="00754DBD"/>
    <w:rsid w:val="007554E1"/>
    <w:rsid w:val="00770777"/>
    <w:rsid w:val="00773695"/>
    <w:rsid w:val="00777C19"/>
    <w:rsid w:val="00782460"/>
    <w:rsid w:val="0078376D"/>
    <w:rsid w:val="00784181"/>
    <w:rsid w:val="00784B4E"/>
    <w:rsid w:val="007861D3"/>
    <w:rsid w:val="00792279"/>
    <w:rsid w:val="0079263F"/>
    <w:rsid w:val="00792698"/>
    <w:rsid w:val="00796EFC"/>
    <w:rsid w:val="007A0B84"/>
    <w:rsid w:val="007A50D1"/>
    <w:rsid w:val="007A7498"/>
    <w:rsid w:val="007C4A7A"/>
    <w:rsid w:val="007D33F2"/>
    <w:rsid w:val="007E35AA"/>
    <w:rsid w:val="007F45B6"/>
    <w:rsid w:val="007F676C"/>
    <w:rsid w:val="008000C5"/>
    <w:rsid w:val="00801A47"/>
    <w:rsid w:val="00803D26"/>
    <w:rsid w:val="00810981"/>
    <w:rsid w:val="0081776F"/>
    <w:rsid w:val="0082613D"/>
    <w:rsid w:val="00830169"/>
    <w:rsid w:val="00833CB5"/>
    <w:rsid w:val="00842277"/>
    <w:rsid w:val="00850AE2"/>
    <w:rsid w:val="008612EE"/>
    <w:rsid w:val="008633C7"/>
    <w:rsid w:val="00871E3C"/>
    <w:rsid w:val="00873C32"/>
    <w:rsid w:val="008919FA"/>
    <w:rsid w:val="0089215A"/>
    <w:rsid w:val="0089220D"/>
    <w:rsid w:val="008A23C0"/>
    <w:rsid w:val="008A4296"/>
    <w:rsid w:val="008C213E"/>
    <w:rsid w:val="008D20DF"/>
    <w:rsid w:val="008E1D3E"/>
    <w:rsid w:val="00906179"/>
    <w:rsid w:val="00906764"/>
    <w:rsid w:val="00906859"/>
    <w:rsid w:val="00913C85"/>
    <w:rsid w:val="00914D60"/>
    <w:rsid w:val="009201E6"/>
    <w:rsid w:val="0093349D"/>
    <w:rsid w:val="009374B7"/>
    <w:rsid w:val="00943C0A"/>
    <w:rsid w:val="00953AEC"/>
    <w:rsid w:val="009548F6"/>
    <w:rsid w:val="00955FA8"/>
    <w:rsid w:val="00956EF7"/>
    <w:rsid w:val="00966FBF"/>
    <w:rsid w:val="00967FDC"/>
    <w:rsid w:val="009719E9"/>
    <w:rsid w:val="009730FF"/>
    <w:rsid w:val="00975FE4"/>
    <w:rsid w:val="00986E1A"/>
    <w:rsid w:val="00987B69"/>
    <w:rsid w:val="009A1557"/>
    <w:rsid w:val="009B40A4"/>
    <w:rsid w:val="009B5B06"/>
    <w:rsid w:val="009C1BAB"/>
    <w:rsid w:val="009C3E97"/>
    <w:rsid w:val="009C504A"/>
    <w:rsid w:val="009C59CB"/>
    <w:rsid w:val="009D7540"/>
    <w:rsid w:val="009E0BEC"/>
    <w:rsid w:val="009E7C3A"/>
    <w:rsid w:val="009F0961"/>
    <w:rsid w:val="009F0C5E"/>
    <w:rsid w:val="009F5421"/>
    <w:rsid w:val="00A00036"/>
    <w:rsid w:val="00A03BAE"/>
    <w:rsid w:val="00A06640"/>
    <w:rsid w:val="00A068AB"/>
    <w:rsid w:val="00A07821"/>
    <w:rsid w:val="00A11A30"/>
    <w:rsid w:val="00A238D1"/>
    <w:rsid w:val="00A3151F"/>
    <w:rsid w:val="00A33EE9"/>
    <w:rsid w:val="00A35F6C"/>
    <w:rsid w:val="00A37EA3"/>
    <w:rsid w:val="00A43760"/>
    <w:rsid w:val="00A44506"/>
    <w:rsid w:val="00A44CFE"/>
    <w:rsid w:val="00A46C9D"/>
    <w:rsid w:val="00A47837"/>
    <w:rsid w:val="00A51976"/>
    <w:rsid w:val="00A51C83"/>
    <w:rsid w:val="00A54197"/>
    <w:rsid w:val="00A54752"/>
    <w:rsid w:val="00A551E5"/>
    <w:rsid w:val="00A55D50"/>
    <w:rsid w:val="00A610DF"/>
    <w:rsid w:val="00A66720"/>
    <w:rsid w:val="00A71223"/>
    <w:rsid w:val="00A724E9"/>
    <w:rsid w:val="00A73036"/>
    <w:rsid w:val="00A75FE9"/>
    <w:rsid w:val="00A77350"/>
    <w:rsid w:val="00A86FCD"/>
    <w:rsid w:val="00A9447A"/>
    <w:rsid w:val="00A97366"/>
    <w:rsid w:val="00A97C37"/>
    <w:rsid w:val="00AA723E"/>
    <w:rsid w:val="00AB5A64"/>
    <w:rsid w:val="00AC5838"/>
    <w:rsid w:val="00AD00C3"/>
    <w:rsid w:val="00AE36C9"/>
    <w:rsid w:val="00AE4633"/>
    <w:rsid w:val="00AE76E0"/>
    <w:rsid w:val="00AE7A18"/>
    <w:rsid w:val="00AF167D"/>
    <w:rsid w:val="00AF1E5B"/>
    <w:rsid w:val="00B07A1C"/>
    <w:rsid w:val="00B11A6E"/>
    <w:rsid w:val="00B122DE"/>
    <w:rsid w:val="00B14121"/>
    <w:rsid w:val="00B17CB3"/>
    <w:rsid w:val="00B22863"/>
    <w:rsid w:val="00B23859"/>
    <w:rsid w:val="00B25D90"/>
    <w:rsid w:val="00B31B3F"/>
    <w:rsid w:val="00B5058B"/>
    <w:rsid w:val="00B77508"/>
    <w:rsid w:val="00B80AFB"/>
    <w:rsid w:val="00B82027"/>
    <w:rsid w:val="00B910B9"/>
    <w:rsid w:val="00BA5A11"/>
    <w:rsid w:val="00BA5DAB"/>
    <w:rsid w:val="00BB43D0"/>
    <w:rsid w:val="00BC3D1E"/>
    <w:rsid w:val="00BC6794"/>
    <w:rsid w:val="00BC6799"/>
    <w:rsid w:val="00BD2722"/>
    <w:rsid w:val="00BD40F5"/>
    <w:rsid w:val="00BD6D58"/>
    <w:rsid w:val="00BE17C7"/>
    <w:rsid w:val="00BE2E9C"/>
    <w:rsid w:val="00BE67A0"/>
    <w:rsid w:val="00BF16AE"/>
    <w:rsid w:val="00BF22C8"/>
    <w:rsid w:val="00BF5902"/>
    <w:rsid w:val="00C00CE2"/>
    <w:rsid w:val="00C03E97"/>
    <w:rsid w:val="00C105BF"/>
    <w:rsid w:val="00C15CC8"/>
    <w:rsid w:val="00C20593"/>
    <w:rsid w:val="00C24B31"/>
    <w:rsid w:val="00C3572C"/>
    <w:rsid w:val="00C443BB"/>
    <w:rsid w:val="00C60655"/>
    <w:rsid w:val="00C6249C"/>
    <w:rsid w:val="00C661FF"/>
    <w:rsid w:val="00C66502"/>
    <w:rsid w:val="00C677C4"/>
    <w:rsid w:val="00C740D2"/>
    <w:rsid w:val="00C81DEC"/>
    <w:rsid w:val="00C87AFE"/>
    <w:rsid w:val="00C90C7B"/>
    <w:rsid w:val="00C92035"/>
    <w:rsid w:val="00C97BED"/>
    <w:rsid w:val="00CA0598"/>
    <w:rsid w:val="00CA7A71"/>
    <w:rsid w:val="00CB5279"/>
    <w:rsid w:val="00CB6DC0"/>
    <w:rsid w:val="00CC0D3D"/>
    <w:rsid w:val="00CC1762"/>
    <w:rsid w:val="00CC5775"/>
    <w:rsid w:val="00CC6018"/>
    <w:rsid w:val="00CD3241"/>
    <w:rsid w:val="00CD5E20"/>
    <w:rsid w:val="00CD6C85"/>
    <w:rsid w:val="00CF3901"/>
    <w:rsid w:val="00CF46CB"/>
    <w:rsid w:val="00CF548E"/>
    <w:rsid w:val="00CF67DE"/>
    <w:rsid w:val="00CF6CBE"/>
    <w:rsid w:val="00D01F35"/>
    <w:rsid w:val="00D03EDA"/>
    <w:rsid w:val="00D070F9"/>
    <w:rsid w:val="00D07A9E"/>
    <w:rsid w:val="00D11423"/>
    <w:rsid w:val="00D14445"/>
    <w:rsid w:val="00D14E35"/>
    <w:rsid w:val="00D20D14"/>
    <w:rsid w:val="00D21660"/>
    <w:rsid w:val="00D2499C"/>
    <w:rsid w:val="00D24F7B"/>
    <w:rsid w:val="00D25201"/>
    <w:rsid w:val="00D45B79"/>
    <w:rsid w:val="00D56894"/>
    <w:rsid w:val="00D605B7"/>
    <w:rsid w:val="00D74407"/>
    <w:rsid w:val="00D75B67"/>
    <w:rsid w:val="00D8421B"/>
    <w:rsid w:val="00D849EA"/>
    <w:rsid w:val="00D85155"/>
    <w:rsid w:val="00D92EE4"/>
    <w:rsid w:val="00DA28C9"/>
    <w:rsid w:val="00DA3AE3"/>
    <w:rsid w:val="00DA77B0"/>
    <w:rsid w:val="00DB1599"/>
    <w:rsid w:val="00DB3B45"/>
    <w:rsid w:val="00DC0321"/>
    <w:rsid w:val="00DE132E"/>
    <w:rsid w:val="00DE67A7"/>
    <w:rsid w:val="00DE7634"/>
    <w:rsid w:val="00DF0936"/>
    <w:rsid w:val="00DF7FF7"/>
    <w:rsid w:val="00E0199A"/>
    <w:rsid w:val="00E04E69"/>
    <w:rsid w:val="00E201E0"/>
    <w:rsid w:val="00E2688F"/>
    <w:rsid w:val="00E31557"/>
    <w:rsid w:val="00E373BF"/>
    <w:rsid w:val="00E37FCF"/>
    <w:rsid w:val="00E40C59"/>
    <w:rsid w:val="00E43297"/>
    <w:rsid w:val="00E45851"/>
    <w:rsid w:val="00E5598D"/>
    <w:rsid w:val="00E6217D"/>
    <w:rsid w:val="00E72A3B"/>
    <w:rsid w:val="00E928A9"/>
    <w:rsid w:val="00E956FC"/>
    <w:rsid w:val="00EA4D9E"/>
    <w:rsid w:val="00EA77A3"/>
    <w:rsid w:val="00EB33C0"/>
    <w:rsid w:val="00EB639E"/>
    <w:rsid w:val="00EC5FF7"/>
    <w:rsid w:val="00ED623A"/>
    <w:rsid w:val="00EE1A84"/>
    <w:rsid w:val="00EF23E0"/>
    <w:rsid w:val="00EF4F09"/>
    <w:rsid w:val="00EF52CC"/>
    <w:rsid w:val="00EF77E4"/>
    <w:rsid w:val="00F00593"/>
    <w:rsid w:val="00F04173"/>
    <w:rsid w:val="00F069AE"/>
    <w:rsid w:val="00F16A13"/>
    <w:rsid w:val="00F20B94"/>
    <w:rsid w:val="00F215CC"/>
    <w:rsid w:val="00F36457"/>
    <w:rsid w:val="00F37BF4"/>
    <w:rsid w:val="00F42197"/>
    <w:rsid w:val="00F574DE"/>
    <w:rsid w:val="00F574FE"/>
    <w:rsid w:val="00F612EE"/>
    <w:rsid w:val="00F83BFF"/>
    <w:rsid w:val="00F84C3A"/>
    <w:rsid w:val="00F94B49"/>
    <w:rsid w:val="00FB0C8C"/>
    <w:rsid w:val="00FB36CE"/>
    <w:rsid w:val="00FC4CE9"/>
    <w:rsid w:val="00FD0E74"/>
    <w:rsid w:val="00FE1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443AFC"/>
  <w15:chartTrackingRefBased/>
  <w15:docId w15:val="{2ABBBB26-CE2D-4642-B15A-A4ED81D9C3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CF548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CF548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F548E"/>
    <w:rPr>
      <w:vertAlign w:val="superscript"/>
    </w:rPr>
  </w:style>
  <w:style w:type="paragraph" w:styleId="ListParagraph">
    <w:name w:val="List Paragraph"/>
    <w:basedOn w:val="Normal"/>
    <w:uiPriority w:val="34"/>
    <w:qFormat/>
    <w:rsid w:val="00E40C5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D24F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4F7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9067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06764"/>
  </w:style>
  <w:style w:type="paragraph" w:styleId="Footer">
    <w:name w:val="footer"/>
    <w:basedOn w:val="Normal"/>
    <w:link w:val="FooterChar"/>
    <w:uiPriority w:val="99"/>
    <w:semiHidden/>
    <w:unhideWhenUsed/>
    <w:rsid w:val="009067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067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34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1999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597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795418">
          <w:marLeft w:val="420"/>
          <w:marRight w:val="4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82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1215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228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9588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137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89830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efradigital.blog.gov.uk/2022/09/21/recognising-the-power-of-literacy-when-designing-service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defradigital.blog.gov.uk/2022/09/21/recognising-the-power-of-literacy-when-designing-servi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6" ma:contentTypeDescription="Create a new document." ma:contentTypeScope="" ma:versionID="678510267b0301fc83ebaee2a9dcd2a4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d6af301825234d9d748f31f2cc7c9a5c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0699884-DE81-4A79-BF20-4B0F2EC63452}">
  <ds:schemaRefs>
    <ds:schemaRef ds:uri="http://schemas.microsoft.com/office/2006/metadata/properties"/>
    <ds:schemaRef ds:uri="http://schemas.microsoft.com/office/infopath/2007/PartnerControls"/>
    <ds:schemaRef ds:uri="be49ff73-cec0-4379-9da8-63ff3cc411bb"/>
  </ds:schemaRefs>
</ds:datastoreItem>
</file>

<file path=customXml/itemProps2.xml><?xml version="1.0" encoding="utf-8"?>
<ds:datastoreItem xmlns:ds="http://schemas.openxmlformats.org/officeDocument/2006/customXml" ds:itemID="{A2A227D9-7C89-4425-9A61-324AAA8853D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EDEEBFB5-C032-4784-B4A8-AC9DCEAC60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71028F1-7669-4257-A193-39E2ADDC7BE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2927</TotalTime>
  <Pages>4</Pages>
  <Words>1873</Words>
  <Characters>10439</Characters>
  <Application>Microsoft Office Word</Application>
  <DocSecurity>0</DocSecurity>
  <Lines>155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12275</CharactersWithSpaces>
  <SharedDoc>false</SharedDoc>
  <HLinks>
    <vt:vector size="12" baseType="variant">
      <vt:variant>
        <vt:i4>3211326</vt:i4>
      </vt:variant>
      <vt:variant>
        <vt:i4>0</vt:i4>
      </vt:variant>
      <vt:variant>
        <vt:i4>0</vt:i4>
      </vt:variant>
      <vt:variant>
        <vt:i4>5</vt:i4>
      </vt:variant>
      <vt:variant>
        <vt:lpwstr>https://defradigital.blog.gov.uk/2022/09/21/recognising-the-power-of-literacy-when-designing-services/</vt:lpwstr>
      </vt:variant>
      <vt:variant>
        <vt:lpwstr/>
      </vt:variant>
      <vt:variant>
        <vt:i4>3211326</vt:i4>
      </vt:variant>
      <vt:variant>
        <vt:i4>0</vt:i4>
      </vt:variant>
      <vt:variant>
        <vt:i4>0</vt:i4>
      </vt:variant>
      <vt:variant>
        <vt:i4>5</vt:i4>
      </vt:variant>
      <vt:variant>
        <vt:lpwstr>https://defradigital.blog.gov.uk/2022/09/21/recognising-the-power-of-literacy-when-designing-services/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Carder</dc:creator>
  <cp:keywords/>
  <dc:description/>
  <cp:lastModifiedBy>Rebekah Carder</cp:lastModifiedBy>
  <cp:revision>435</cp:revision>
  <dcterms:created xsi:type="dcterms:W3CDTF">2023-10-16T10:25:00Z</dcterms:created>
  <dcterms:modified xsi:type="dcterms:W3CDTF">2023-10-21T19:40:00Z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