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733FFB" w14:textId="77777777" w:rsidR="009A455B" w:rsidRDefault="009A455B" w:rsidP="009A455B">
      <w:pPr>
        <w:spacing w:line="360" w:lineRule="auto"/>
        <w:rPr>
          <w:rFonts w:ascii="Arial" w:hAnsi="Arial" w:cs="Arial"/>
          <w:b/>
          <w:bCs/>
        </w:rPr>
      </w:pPr>
    </w:p>
    <w:p w14:paraId="5D6A51EE" w14:textId="77777777" w:rsidR="009A455B" w:rsidRDefault="009A455B" w:rsidP="009A455B">
      <w:pPr>
        <w:spacing w:line="360" w:lineRule="auto"/>
        <w:rPr>
          <w:rFonts w:ascii="Arial" w:hAnsi="Arial" w:cs="Arial"/>
          <w:b/>
          <w:bCs/>
        </w:rPr>
      </w:pPr>
    </w:p>
    <w:p w14:paraId="52D5F7D1" w14:textId="77777777" w:rsidR="009A455B" w:rsidRDefault="009A455B" w:rsidP="009A455B">
      <w:pPr>
        <w:spacing w:line="360" w:lineRule="auto"/>
        <w:rPr>
          <w:rFonts w:ascii="Arial" w:hAnsi="Arial" w:cs="Arial"/>
          <w:b/>
          <w:bCs/>
        </w:rPr>
      </w:pPr>
    </w:p>
    <w:p w14:paraId="7590FD64" w14:textId="77777777" w:rsidR="009A455B" w:rsidRDefault="009A455B" w:rsidP="009A455B">
      <w:pPr>
        <w:spacing w:line="360" w:lineRule="auto"/>
        <w:rPr>
          <w:rFonts w:ascii="Arial" w:hAnsi="Arial" w:cs="Arial"/>
          <w:b/>
          <w:bCs/>
        </w:rPr>
      </w:pPr>
    </w:p>
    <w:p w14:paraId="5655D7D1" w14:textId="77777777" w:rsidR="009A455B" w:rsidRDefault="009A455B" w:rsidP="009A455B">
      <w:pPr>
        <w:spacing w:line="360" w:lineRule="auto"/>
        <w:rPr>
          <w:rFonts w:ascii="Arial" w:hAnsi="Arial" w:cs="Arial"/>
          <w:b/>
          <w:bCs/>
        </w:rPr>
      </w:pPr>
    </w:p>
    <w:p w14:paraId="36455BBF" w14:textId="77777777" w:rsidR="009A455B" w:rsidRPr="00C27E23" w:rsidRDefault="009A455B" w:rsidP="009A455B">
      <w:pPr>
        <w:spacing w:line="360" w:lineRule="auto"/>
        <w:rPr>
          <w:rFonts w:ascii="Arial" w:hAnsi="Arial" w:cs="Arial"/>
          <w:b/>
          <w:bCs/>
          <w:sz w:val="44"/>
          <w:szCs w:val="44"/>
        </w:rPr>
      </w:pPr>
      <w:r w:rsidRPr="00C27E23">
        <w:rPr>
          <w:rFonts w:ascii="Arial" w:hAnsi="Arial" w:cs="Arial"/>
          <w:b/>
          <w:bCs/>
          <w:sz w:val="44"/>
          <w:szCs w:val="44"/>
        </w:rPr>
        <w:t>Student Name: [</w:t>
      </w:r>
      <w:r>
        <w:rPr>
          <w:rFonts w:ascii="Arial" w:hAnsi="Arial" w:cs="Arial"/>
          <w:b/>
          <w:bCs/>
          <w:sz w:val="44"/>
          <w:szCs w:val="44"/>
        </w:rPr>
        <w:t>SAJIDA FARAZ</w:t>
      </w:r>
      <w:r w:rsidRPr="00C27E23">
        <w:rPr>
          <w:rFonts w:ascii="Arial" w:hAnsi="Arial" w:cs="Arial"/>
          <w:b/>
          <w:bCs/>
          <w:sz w:val="44"/>
          <w:szCs w:val="44"/>
        </w:rPr>
        <w:t>]</w:t>
      </w:r>
      <w:r w:rsidRPr="00C27E23">
        <w:rPr>
          <w:rFonts w:ascii="Arial" w:hAnsi="Arial" w:cs="Arial"/>
          <w:b/>
          <w:bCs/>
          <w:sz w:val="44"/>
          <w:szCs w:val="44"/>
        </w:rPr>
        <w:br/>
        <w:t>Student Number: [</w:t>
      </w:r>
      <w:r>
        <w:rPr>
          <w:rFonts w:ascii="Arial" w:hAnsi="Arial" w:cs="Arial"/>
          <w:b/>
          <w:bCs/>
          <w:sz w:val="44"/>
          <w:szCs w:val="44"/>
        </w:rPr>
        <w:t>2423344</w:t>
      </w:r>
      <w:r w:rsidRPr="00C27E23">
        <w:rPr>
          <w:rFonts w:ascii="Arial" w:hAnsi="Arial" w:cs="Arial"/>
          <w:b/>
          <w:bCs/>
          <w:sz w:val="44"/>
          <w:szCs w:val="44"/>
        </w:rPr>
        <w:t>]</w:t>
      </w:r>
      <w:r w:rsidRPr="00C27E23">
        <w:rPr>
          <w:rFonts w:ascii="Arial" w:hAnsi="Arial" w:cs="Arial"/>
          <w:b/>
          <w:bCs/>
          <w:sz w:val="44"/>
          <w:szCs w:val="44"/>
        </w:rPr>
        <w:br/>
        <w:t>Module Code and Title: [LCHS4010]</w:t>
      </w:r>
      <w:r w:rsidRPr="00C27E23">
        <w:rPr>
          <w:rFonts w:ascii="Arial" w:hAnsi="Arial" w:cs="Arial"/>
          <w:b/>
          <w:bCs/>
          <w:sz w:val="44"/>
          <w:szCs w:val="44"/>
        </w:rPr>
        <w:br/>
        <w:t xml:space="preserve">Lecturer’s Name: [Kal </w:t>
      </w:r>
      <w:proofErr w:type="spellStart"/>
      <w:r w:rsidRPr="00C27E23">
        <w:rPr>
          <w:rFonts w:ascii="Arial" w:hAnsi="Arial" w:cs="Arial"/>
          <w:b/>
          <w:bCs/>
          <w:sz w:val="44"/>
          <w:szCs w:val="44"/>
        </w:rPr>
        <w:t>Alnababtah</w:t>
      </w:r>
      <w:proofErr w:type="spellEnd"/>
      <w:r w:rsidRPr="00C27E23">
        <w:rPr>
          <w:rFonts w:ascii="Arial" w:hAnsi="Arial" w:cs="Arial"/>
          <w:b/>
          <w:bCs/>
          <w:sz w:val="44"/>
          <w:szCs w:val="44"/>
        </w:rPr>
        <w:t>]</w:t>
      </w:r>
      <w:r w:rsidRPr="00C27E23">
        <w:rPr>
          <w:rFonts w:ascii="Arial" w:hAnsi="Arial" w:cs="Arial"/>
          <w:b/>
          <w:bCs/>
          <w:sz w:val="44"/>
          <w:szCs w:val="44"/>
        </w:rPr>
        <w:br/>
        <w:t xml:space="preserve">Assignment Title: </w:t>
      </w:r>
      <w:r w:rsidRPr="00C27E23">
        <w:rPr>
          <w:rFonts w:ascii="Arial" w:hAnsi="Arial" w:cs="Arial"/>
          <w:b/>
          <w:bCs/>
          <w:i/>
          <w:iCs/>
          <w:sz w:val="44"/>
          <w:szCs w:val="44"/>
        </w:rPr>
        <w:t>Using Psychological Theories to Support Adults Aged 65+ Living with Dementia in a Care Home Setting</w:t>
      </w:r>
    </w:p>
    <w:p w14:paraId="1DDD7AAB" w14:textId="77777777" w:rsidR="009A455B" w:rsidRDefault="009A455B" w:rsidP="009A455B">
      <w:pPr>
        <w:spacing w:line="360" w:lineRule="auto"/>
        <w:rPr>
          <w:rFonts w:ascii="Arial" w:hAnsi="Arial" w:cs="Arial"/>
          <w:b/>
          <w:bCs/>
          <w:sz w:val="44"/>
          <w:szCs w:val="44"/>
        </w:rPr>
      </w:pPr>
    </w:p>
    <w:p w14:paraId="54B7A226" w14:textId="77777777" w:rsidR="009A455B" w:rsidRDefault="009A455B" w:rsidP="009A455B">
      <w:pPr>
        <w:spacing w:line="360" w:lineRule="auto"/>
        <w:rPr>
          <w:rFonts w:ascii="Arial" w:hAnsi="Arial" w:cs="Arial"/>
          <w:b/>
          <w:bCs/>
          <w:sz w:val="44"/>
          <w:szCs w:val="44"/>
        </w:rPr>
      </w:pPr>
    </w:p>
    <w:p w14:paraId="23D47634" w14:textId="77777777" w:rsidR="009A455B" w:rsidRDefault="009A455B" w:rsidP="009A455B">
      <w:pPr>
        <w:spacing w:line="360" w:lineRule="auto"/>
        <w:rPr>
          <w:rFonts w:ascii="Arial" w:hAnsi="Arial" w:cs="Arial"/>
          <w:b/>
          <w:bCs/>
          <w:sz w:val="44"/>
          <w:szCs w:val="44"/>
        </w:rPr>
      </w:pPr>
    </w:p>
    <w:p w14:paraId="28C78009" w14:textId="77777777" w:rsidR="009A455B" w:rsidRDefault="009A455B" w:rsidP="009A455B">
      <w:pPr>
        <w:spacing w:line="360" w:lineRule="auto"/>
        <w:rPr>
          <w:rFonts w:ascii="Arial" w:hAnsi="Arial" w:cs="Arial"/>
          <w:b/>
          <w:bCs/>
          <w:sz w:val="44"/>
          <w:szCs w:val="44"/>
        </w:rPr>
      </w:pPr>
    </w:p>
    <w:p w14:paraId="08879644" w14:textId="77777777" w:rsidR="009A455B" w:rsidRPr="00C27E23" w:rsidRDefault="009A455B" w:rsidP="009A455B">
      <w:pPr>
        <w:spacing w:line="360" w:lineRule="auto"/>
        <w:rPr>
          <w:rFonts w:ascii="Arial" w:hAnsi="Arial" w:cs="Arial"/>
          <w:b/>
          <w:bCs/>
          <w:sz w:val="44"/>
          <w:szCs w:val="44"/>
        </w:rPr>
      </w:pPr>
    </w:p>
    <w:p w14:paraId="549C5CA2" w14:textId="77777777" w:rsidR="009A455B" w:rsidRPr="004C1D75" w:rsidRDefault="009A455B" w:rsidP="009A455B">
      <w:pPr>
        <w:spacing w:line="360" w:lineRule="auto"/>
        <w:rPr>
          <w:rFonts w:ascii="Arial" w:hAnsi="Arial" w:cs="Arial"/>
          <w:b/>
          <w:bCs/>
        </w:rPr>
      </w:pPr>
      <w:r w:rsidRPr="004C1D75">
        <w:rPr>
          <w:rFonts w:ascii="Arial" w:hAnsi="Arial" w:cs="Arial"/>
          <w:b/>
          <w:bCs/>
        </w:rPr>
        <w:lastRenderedPageBreak/>
        <w:t>Table of Contents</w:t>
      </w:r>
    </w:p>
    <w:p w14:paraId="0D9A99F5" w14:textId="77777777" w:rsidR="009A455B" w:rsidRPr="004C1D75" w:rsidRDefault="009A455B" w:rsidP="009A455B">
      <w:pPr>
        <w:numPr>
          <w:ilvl w:val="0"/>
          <w:numId w:val="1"/>
        </w:numPr>
        <w:spacing w:line="360" w:lineRule="auto"/>
        <w:rPr>
          <w:rFonts w:ascii="Arial" w:hAnsi="Arial" w:cs="Arial"/>
          <w:b/>
          <w:bCs/>
        </w:rPr>
      </w:pPr>
      <w:r w:rsidRPr="004C1D75">
        <w:rPr>
          <w:rFonts w:ascii="Arial" w:hAnsi="Arial" w:cs="Arial"/>
          <w:b/>
          <w:bCs/>
        </w:rPr>
        <w:t>Title Page ................................................................................................................. 1</w:t>
      </w:r>
    </w:p>
    <w:p w14:paraId="7F10FD14" w14:textId="77777777" w:rsidR="009A455B" w:rsidRPr="004C1D75" w:rsidRDefault="009A455B" w:rsidP="009A455B">
      <w:pPr>
        <w:numPr>
          <w:ilvl w:val="0"/>
          <w:numId w:val="1"/>
        </w:numPr>
        <w:spacing w:line="360" w:lineRule="auto"/>
        <w:rPr>
          <w:rFonts w:ascii="Arial" w:hAnsi="Arial" w:cs="Arial"/>
          <w:b/>
          <w:bCs/>
        </w:rPr>
      </w:pPr>
      <w:r w:rsidRPr="004C1D75">
        <w:rPr>
          <w:rFonts w:ascii="Arial" w:hAnsi="Arial" w:cs="Arial"/>
          <w:b/>
          <w:bCs/>
        </w:rPr>
        <w:t>Introduction .............................................................................................................. 2</w:t>
      </w:r>
      <w:r w:rsidRPr="004C1D75">
        <w:rPr>
          <w:rFonts w:ascii="Arial" w:hAnsi="Arial" w:cs="Arial"/>
          <w:b/>
          <w:bCs/>
        </w:rPr>
        <w:br/>
      </w:r>
      <w:r w:rsidRPr="004C1D75">
        <w:rPr>
          <w:rFonts w:ascii="Arial" w:hAnsi="Arial" w:cs="Arial"/>
          <w:b/>
          <w:bCs/>
        </w:rPr>
        <w:t> </w:t>
      </w:r>
      <w:r w:rsidRPr="004C1D75">
        <w:rPr>
          <w:rFonts w:ascii="Arial" w:hAnsi="Arial" w:cs="Arial"/>
          <w:b/>
          <w:bCs/>
        </w:rPr>
        <w:t> </w:t>
      </w:r>
      <w:r w:rsidRPr="004C1D75">
        <w:rPr>
          <w:rFonts w:ascii="Arial" w:hAnsi="Arial" w:cs="Arial"/>
          <w:b/>
          <w:bCs/>
        </w:rPr>
        <w:t>2.1 Purpose of the Report</w:t>
      </w:r>
      <w:r w:rsidRPr="004C1D75">
        <w:rPr>
          <w:rFonts w:ascii="Arial" w:hAnsi="Arial" w:cs="Arial"/>
          <w:b/>
          <w:bCs/>
        </w:rPr>
        <w:br/>
      </w:r>
      <w:r w:rsidRPr="004C1D75">
        <w:rPr>
          <w:rFonts w:ascii="Arial" w:hAnsi="Arial" w:cs="Arial"/>
          <w:b/>
          <w:bCs/>
        </w:rPr>
        <w:t> </w:t>
      </w:r>
      <w:r w:rsidRPr="004C1D75">
        <w:rPr>
          <w:rFonts w:ascii="Arial" w:hAnsi="Arial" w:cs="Arial"/>
          <w:b/>
          <w:bCs/>
        </w:rPr>
        <w:t> </w:t>
      </w:r>
      <w:r w:rsidRPr="004C1D75">
        <w:rPr>
          <w:rFonts w:ascii="Arial" w:hAnsi="Arial" w:cs="Arial"/>
          <w:b/>
          <w:bCs/>
        </w:rPr>
        <w:t>2.2 Overview of Dementia in Adults Aged 65+</w:t>
      </w:r>
      <w:r w:rsidRPr="004C1D75">
        <w:rPr>
          <w:rFonts w:ascii="Arial" w:hAnsi="Arial" w:cs="Arial"/>
          <w:b/>
          <w:bCs/>
        </w:rPr>
        <w:br/>
      </w:r>
      <w:r w:rsidRPr="004C1D75">
        <w:rPr>
          <w:rFonts w:ascii="Arial" w:hAnsi="Arial" w:cs="Arial"/>
          <w:b/>
          <w:bCs/>
        </w:rPr>
        <w:t> </w:t>
      </w:r>
      <w:r w:rsidRPr="004C1D75">
        <w:rPr>
          <w:rFonts w:ascii="Arial" w:hAnsi="Arial" w:cs="Arial"/>
          <w:b/>
          <w:bCs/>
        </w:rPr>
        <w:t> </w:t>
      </w:r>
      <w:r w:rsidRPr="004C1D75">
        <w:rPr>
          <w:rFonts w:ascii="Arial" w:hAnsi="Arial" w:cs="Arial"/>
          <w:b/>
          <w:bCs/>
        </w:rPr>
        <w:t>2.3 Structure of the Report</w:t>
      </w:r>
      <w:r w:rsidRPr="004C1D75">
        <w:rPr>
          <w:rFonts w:ascii="Arial" w:hAnsi="Arial" w:cs="Arial"/>
          <w:b/>
          <w:bCs/>
        </w:rPr>
        <w:br/>
      </w:r>
      <w:r w:rsidRPr="004C1D75">
        <w:rPr>
          <w:rFonts w:ascii="Arial" w:hAnsi="Arial" w:cs="Arial"/>
          <w:b/>
          <w:bCs/>
        </w:rPr>
        <w:t> </w:t>
      </w:r>
      <w:r w:rsidRPr="004C1D75">
        <w:rPr>
          <w:rFonts w:ascii="Arial" w:hAnsi="Arial" w:cs="Arial"/>
          <w:b/>
          <w:bCs/>
        </w:rPr>
        <w:t> </w:t>
      </w:r>
      <w:r w:rsidRPr="004C1D75">
        <w:rPr>
          <w:rFonts w:ascii="Arial" w:hAnsi="Arial" w:cs="Arial"/>
          <w:b/>
          <w:bCs/>
        </w:rPr>
        <w:t>References for Introduction</w:t>
      </w:r>
    </w:p>
    <w:p w14:paraId="49C9E77E" w14:textId="77777777" w:rsidR="009A455B" w:rsidRPr="004C1D75" w:rsidRDefault="009A455B" w:rsidP="009A455B">
      <w:pPr>
        <w:numPr>
          <w:ilvl w:val="0"/>
          <w:numId w:val="1"/>
        </w:numPr>
        <w:spacing w:line="360" w:lineRule="auto"/>
        <w:rPr>
          <w:rFonts w:ascii="Arial" w:hAnsi="Arial" w:cs="Arial"/>
          <w:b/>
          <w:bCs/>
        </w:rPr>
      </w:pPr>
      <w:r w:rsidRPr="004C1D75">
        <w:rPr>
          <w:rFonts w:ascii="Arial" w:hAnsi="Arial" w:cs="Arial"/>
          <w:b/>
          <w:bCs/>
        </w:rPr>
        <w:t>Discussion and Analysis ......................................................................................... 4</w:t>
      </w:r>
      <w:r w:rsidRPr="004C1D75">
        <w:rPr>
          <w:rFonts w:ascii="Arial" w:hAnsi="Arial" w:cs="Arial"/>
          <w:b/>
          <w:bCs/>
        </w:rPr>
        <w:br/>
      </w:r>
      <w:r w:rsidRPr="004C1D75">
        <w:rPr>
          <w:rFonts w:ascii="Arial" w:hAnsi="Arial" w:cs="Arial"/>
          <w:b/>
          <w:bCs/>
        </w:rPr>
        <w:t> </w:t>
      </w:r>
      <w:r w:rsidRPr="004C1D75">
        <w:rPr>
          <w:rFonts w:ascii="Arial" w:hAnsi="Arial" w:cs="Arial"/>
          <w:b/>
          <w:bCs/>
        </w:rPr>
        <w:t> </w:t>
      </w:r>
      <w:r w:rsidRPr="004C1D75">
        <w:rPr>
          <w:rFonts w:ascii="Arial" w:hAnsi="Arial" w:cs="Arial"/>
          <w:b/>
          <w:bCs/>
        </w:rPr>
        <w:t>3.1 Erikson’s Psychosocial Theory: Ego Integrity vs Despair</w:t>
      </w:r>
      <w:r w:rsidRPr="004C1D75">
        <w:rPr>
          <w:rFonts w:ascii="Arial" w:hAnsi="Arial" w:cs="Arial"/>
          <w:b/>
          <w:bCs/>
        </w:rPr>
        <w:br/>
      </w:r>
      <w:r w:rsidRPr="004C1D75">
        <w:rPr>
          <w:rFonts w:ascii="Arial" w:hAnsi="Arial" w:cs="Arial"/>
          <w:b/>
          <w:bCs/>
        </w:rPr>
        <w:t> </w:t>
      </w:r>
      <w:r w:rsidRPr="004C1D75">
        <w:rPr>
          <w:rFonts w:ascii="Arial" w:hAnsi="Arial" w:cs="Arial"/>
          <w:b/>
          <w:bCs/>
        </w:rPr>
        <w:t> </w:t>
      </w:r>
      <w:r w:rsidRPr="004C1D75">
        <w:rPr>
          <w:rFonts w:ascii="Arial" w:hAnsi="Arial" w:cs="Arial"/>
          <w:b/>
          <w:bCs/>
        </w:rPr>
        <w:t> </w:t>
      </w:r>
      <w:r w:rsidRPr="004C1D75">
        <w:rPr>
          <w:rFonts w:ascii="Arial" w:hAnsi="Arial" w:cs="Arial"/>
          <w:b/>
          <w:bCs/>
        </w:rPr>
        <w:t> </w:t>
      </w:r>
      <w:r w:rsidRPr="004C1D75">
        <w:rPr>
          <w:rFonts w:ascii="Arial" w:hAnsi="Arial" w:cs="Arial"/>
          <w:b/>
          <w:bCs/>
        </w:rPr>
        <w:t>3.1.1 Relevance for Adults Aged 65+</w:t>
      </w:r>
      <w:r w:rsidRPr="004C1D75">
        <w:rPr>
          <w:rFonts w:ascii="Arial" w:hAnsi="Arial" w:cs="Arial"/>
          <w:b/>
          <w:bCs/>
        </w:rPr>
        <w:br/>
      </w:r>
      <w:r w:rsidRPr="004C1D75">
        <w:rPr>
          <w:rFonts w:ascii="Arial" w:hAnsi="Arial" w:cs="Arial"/>
          <w:b/>
          <w:bCs/>
        </w:rPr>
        <w:t> </w:t>
      </w:r>
      <w:r w:rsidRPr="004C1D75">
        <w:rPr>
          <w:rFonts w:ascii="Arial" w:hAnsi="Arial" w:cs="Arial"/>
          <w:b/>
          <w:bCs/>
        </w:rPr>
        <w:t> </w:t>
      </w:r>
      <w:r w:rsidRPr="004C1D75">
        <w:rPr>
          <w:rFonts w:ascii="Arial" w:hAnsi="Arial" w:cs="Arial"/>
          <w:b/>
          <w:bCs/>
        </w:rPr>
        <w:t> </w:t>
      </w:r>
      <w:r w:rsidRPr="004C1D75">
        <w:rPr>
          <w:rFonts w:ascii="Arial" w:hAnsi="Arial" w:cs="Arial"/>
          <w:b/>
          <w:bCs/>
        </w:rPr>
        <w:t> </w:t>
      </w:r>
      <w:r w:rsidRPr="004C1D75">
        <w:rPr>
          <w:rFonts w:ascii="Arial" w:hAnsi="Arial" w:cs="Arial"/>
          <w:b/>
          <w:bCs/>
        </w:rPr>
        <w:t>3.1.2 Application in a Dementia Care Home</w:t>
      </w:r>
      <w:r w:rsidRPr="004C1D75">
        <w:rPr>
          <w:rFonts w:ascii="Arial" w:hAnsi="Arial" w:cs="Arial"/>
          <w:b/>
          <w:bCs/>
        </w:rPr>
        <w:br/>
      </w:r>
      <w:r w:rsidRPr="004C1D75">
        <w:rPr>
          <w:rFonts w:ascii="Arial" w:hAnsi="Arial" w:cs="Arial"/>
          <w:b/>
          <w:bCs/>
        </w:rPr>
        <w:t> </w:t>
      </w:r>
      <w:r w:rsidRPr="004C1D75">
        <w:rPr>
          <w:rFonts w:ascii="Arial" w:hAnsi="Arial" w:cs="Arial"/>
          <w:b/>
          <w:bCs/>
        </w:rPr>
        <w:t> </w:t>
      </w:r>
      <w:r w:rsidRPr="004C1D75">
        <w:rPr>
          <w:rFonts w:ascii="Arial" w:hAnsi="Arial" w:cs="Arial"/>
          <w:b/>
          <w:bCs/>
        </w:rPr>
        <w:t> </w:t>
      </w:r>
      <w:r w:rsidRPr="004C1D75">
        <w:rPr>
          <w:rFonts w:ascii="Arial" w:hAnsi="Arial" w:cs="Arial"/>
          <w:b/>
          <w:bCs/>
        </w:rPr>
        <w:t> </w:t>
      </w:r>
      <w:r w:rsidRPr="004C1D75">
        <w:rPr>
          <w:rFonts w:ascii="Arial" w:hAnsi="Arial" w:cs="Arial"/>
          <w:b/>
          <w:bCs/>
        </w:rPr>
        <w:t>3.1.3 Critical Evaluation</w:t>
      </w:r>
      <w:r w:rsidRPr="004C1D75">
        <w:rPr>
          <w:rFonts w:ascii="Arial" w:hAnsi="Arial" w:cs="Arial"/>
          <w:b/>
          <w:bCs/>
        </w:rPr>
        <w:br/>
      </w:r>
      <w:r w:rsidRPr="004C1D75">
        <w:rPr>
          <w:rFonts w:ascii="Arial" w:hAnsi="Arial" w:cs="Arial"/>
          <w:b/>
          <w:bCs/>
        </w:rPr>
        <w:t> </w:t>
      </w:r>
      <w:r w:rsidRPr="004C1D75">
        <w:rPr>
          <w:rFonts w:ascii="Arial" w:hAnsi="Arial" w:cs="Arial"/>
          <w:b/>
          <w:bCs/>
        </w:rPr>
        <w:t> </w:t>
      </w:r>
      <w:r w:rsidRPr="004C1D75">
        <w:rPr>
          <w:rFonts w:ascii="Arial" w:hAnsi="Arial" w:cs="Arial"/>
          <w:b/>
          <w:bCs/>
        </w:rPr>
        <w:t> </w:t>
      </w:r>
      <w:r w:rsidRPr="004C1D75">
        <w:rPr>
          <w:rFonts w:ascii="Arial" w:hAnsi="Arial" w:cs="Arial"/>
          <w:b/>
          <w:bCs/>
        </w:rPr>
        <w:t> </w:t>
      </w:r>
      <w:r w:rsidRPr="004C1D75">
        <w:rPr>
          <w:rFonts w:ascii="Arial" w:hAnsi="Arial" w:cs="Arial"/>
          <w:b/>
          <w:bCs/>
        </w:rPr>
        <w:t>3.1.4 Challenges and Strategies</w:t>
      </w:r>
      <w:r w:rsidRPr="004C1D75">
        <w:rPr>
          <w:rFonts w:ascii="Arial" w:hAnsi="Arial" w:cs="Arial"/>
          <w:b/>
          <w:bCs/>
        </w:rPr>
        <w:br/>
      </w:r>
      <w:r w:rsidRPr="004C1D75">
        <w:rPr>
          <w:rFonts w:ascii="Arial" w:hAnsi="Arial" w:cs="Arial"/>
          <w:b/>
          <w:bCs/>
        </w:rPr>
        <w:t> </w:t>
      </w:r>
      <w:r w:rsidRPr="004C1D75">
        <w:rPr>
          <w:rFonts w:ascii="Arial" w:hAnsi="Arial" w:cs="Arial"/>
          <w:b/>
          <w:bCs/>
        </w:rPr>
        <w:t> </w:t>
      </w:r>
      <w:r w:rsidRPr="004C1D75">
        <w:rPr>
          <w:rFonts w:ascii="Arial" w:hAnsi="Arial" w:cs="Arial"/>
          <w:b/>
          <w:bCs/>
        </w:rPr>
        <w:t> </w:t>
      </w:r>
      <w:r w:rsidRPr="004C1D75">
        <w:rPr>
          <w:rFonts w:ascii="Arial" w:hAnsi="Arial" w:cs="Arial"/>
          <w:b/>
          <w:bCs/>
        </w:rPr>
        <w:t> </w:t>
      </w:r>
      <w:r w:rsidRPr="004C1D75">
        <w:rPr>
          <w:rFonts w:ascii="Arial" w:hAnsi="Arial" w:cs="Arial"/>
          <w:b/>
          <w:bCs/>
        </w:rPr>
        <w:t>References for Erikson’s Theory Section</w:t>
      </w:r>
      <w:r w:rsidRPr="004C1D75">
        <w:rPr>
          <w:rFonts w:ascii="Arial" w:hAnsi="Arial" w:cs="Arial"/>
          <w:b/>
          <w:bCs/>
        </w:rPr>
        <w:br/>
      </w:r>
      <w:r w:rsidRPr="004C1D75">
        <w:rPr>
          <w:rFonts w:ascii="Arial" w:hAnsi="Arial" w:cs="Arial"/>
          <w:b/>
          <w:bCs/>
        </w:rPr>
        <w:t> </w:t>
      </w:r>
      <w:r w:rsidRPr="004C1D75">
        <w:rPr>
          <w:rFonts w:ascii="Arial" w:hAnsi="Arial" w:cs="Arial"/>
          <w:b/>
          <w:bCs/>
        </w:rPr>
        <w:t> </w:t>
      </w:r>
      <w:r w:rsidRPr="004C1D75">
        <w:rPr>
          <w:rFonts w:ascii="Arial" w:hAnsi="Arial" w:cs="Arial"/>
          <w:b/>
          <w:bCs/>
        </w:rPr>
        <w:t>3.2 Bandura’s Social Learning Theory</w:t>
      </w:r>
      <w:r w:rsidRPr="004C1D75">
        <w:rPr>
          <w:rFonts w:ascii="Arial" w:hAnsi="Arial" w:cs="Arial"/>
          <w:b/>
          <w:bCs/>
        </w:rPr>
        <w:br/>
      </w:r>
      <w:r w:rsidRPr="004C1D75">
        <w:rPr>
          <w:rFonts w:ascii="Arial" w:hAnsi="Arial" w:cs="Arial"/>
          <w:b/>
          <w:bCs/>
        </w:rPr>
        <w:t> </w:t>
      </w:r>
      <w:r w:rsidRPr="004C1D75">
        <w:rPr>
          <w:rFonts w:ascii="Arial" w:hAnsi="Arial" w:cs="Arial"/>
          <w:b/>
          <w:bCs/>
        </w:rPr>
        <w:t> </w:t>
      </w:r>
      <w:r w:rsidRPr="004C1D75">
        <w:rPr>
          <w:rFonts w:ascii="Arial" w:hAnsi="Arial" w:cs="Arial"/>
          <w:b/>
          <w:bCs/>
        </w:rPr>
        <w:t> </w:t>
      </w:r>
      <w:r w:rsidRPr="004C1D75">
        <w:rPr>
          <w:rFonts w:ascii="Arial" w:hAnsi="Arial" w:cs="Arial"/>
          <w:b/>
          <w:bCs/>
        </w:rPr>
        <w:t> </w:t>
      </w:r>
      <w:r w:rsidRPr="004C1D75">
        <w:rPr>
          <w:rFonts w:ascii="Arial" w:hAnsi="Arial" w:cs="Arial"/>
          <w:b/>
          <w:bCs/>
        </w:rPr>
        <w:t>3.2.1 Relevance for Adults Aged 65+</w:t>
      </w:r>
      <w:r w:rsidRPr="004C1D75">
        <w:rPr>
          <w:rFonts w:ascii="Arial" w:hAnsi="Arial" w:cs="Arial"/>
          <w:b/>
          <w:bCs/>
        </w:rPr>
        <w:br/>
      </w:r>
      <w:r w:rsidRPr="004C1D75">
        <w:rPr>
          <w:rFonts w:ascii="Arial" w:hAnsi="Arial" w:cs="Arial"/>
          <w:b/>
          <w:bCs/>
        </w:rPr>
        <w:t> </w:t>
      </w:r>
      <w:r w:rsidRPr="004C1D75">
        <w:rPr>
          <w:rFonts w:ascii="Arial" w:hAnsi="Arial" w:cs="Arial"/>
          <w:b/>
          <w:bCs/>
        </w:rPr>
        <w:t> </w:t>
      </w:r>
      <w:r w:rsidRPr="004C1D75">
        <w:rPr>
          <w:rFonts w:ascii="Arial" w:hAnsi="Arial" w:cs="Arial"/>
          <w:b/>
          <w:bCs/>
        </w:rPr>
        <w:t> </w:t>
      </w:r>
      <w:r w:rsidRPr="004C1D75">
        <w:rPr>
          <w:rFonts w:ascii="Arial" w:hAnsi="Arial" w:cs="Arial"/>
          <w:b/>
          <w:bCs/>
        </w:rPr>
        <w:t> </w:t>
      </w:r>
      <w:r w:rsidRPr="004C1D75">
        <w:rPr>
          <w:rFonts w:ascii="Arial" w:hAnsi="Arial" w:cs="Arial"/>
          <w:b/>
          <w:bCs/>
        </w:rPr>
        <w:t>3.2.2 Application in a Dementia Care Home</w:t>
      </w:r>
      <w:r w:rsidRPr="004C1D75">
        <w:rPr>
          <w:rFonts w:ascii="Arial" w:hAnsi="Arial" w:cs="Arial"/>
          <w:b/>
          <w:bCs/>
        </w:rPr>
        <w:br/>
      </w:r>
      <w:r w:rsidRPr="004C1D75">
        <w:rPr>
          <w:rFonts w:ascii="Arial" w:hAnsi="Arial" w:cs="Arial"/>
          <w:b/>
          <w:bCs/>
        </w:rPr>
        <w:t> </w:t>
      </w:r>
      <w:r w:rsidRPr="004C1D75">
        <w:rPr>
          <w:rFonts w:ascii="Arial" w:hAnsi="Arial" w:cs="Arial"/>
          <w:b/>
          <w:bCs/>
        </w:rPr>
        <w:t> </w:t>
      </w:r>
      <w:r w:rsidRPr="004C1D75">
        <w:rPr>
          <w:rFonts w:ascii="Arial" w:hAnsi="Arial" w:cs="Arial"/>
          <w:b/>
          <w:bCs/>
        </w:rPr>
        <w:t> </w:t>
      </w:r>
      <w:r w:rsidRPr="004C1D75">
        <w:rPr>
          <w:rFonts w:ascii="Arial" w:hAnsi="Arial" w:cs="Arial"/>
          <w:b/>
          <w:bCs/>
        </w:rPr>
        <w:t> </w:t>
      </w:r>
      <w:r w:rsidRPr="004C1D75">
        <w:rPr>
          <w:rFonts w:ascii="Arial" w:hAnsi="Arial" w:cs="Arial"/>
          <w:b/>
          <w:bCs/>
        </w:rPr>
        <w:t>3.2.3 Critical Evaluation</w:t>
      </w:r>
      <w:r w:rsidRPr="004C1D75">
        <w:rPr>
          <w:rFonts w:ascii="Arial" w:hAnsi="Arial" w:cs="Arial"/>
          <w:b/>
          <w:bCs/>
        </w:rPr>
        <w:br/>
      </w:r>
      <w:r w:rsidRPr="004C1D75">
        <w:rPr>
          <w:rFonts w:ascii="Arial" w:hAnsi="Arial" w:cs="Arial"/>
          <w:b/>
          <w:bCs/>
        </w:rPr>
        <w:t> </w:t>
      </w:r>
      <w:r w:rsidRPr="004C1D75">
        <w:rPr>
          <w:rFonts w:ascii="Arial" w:hAnsi="Arial" w:cs="Arial"/>
          <w:b/>
          <w:bCs/>
        </w:rPr>
        <w:t> </w:t>
      </w:r>
      <w:r w:rsidRPr="004C1D75">
        <w:rPr>
          <w:rFonts w:ascii="Arial" w:hAnsi="Arial" w:cs="Arial"/>
          <w:b/>
          <w:bCs/>
        </w:rPr>
        <w:t> </w:t>
      </w:r>
      <w:r w:rsidRPr="004C1D75">
        <w:rPr>
          <w:rFonts w:ascii="Arial" w:hAnsi="Arial" w:cs="Arial"/>
          <w:b/>
          <w:bCs/>
        </w:rPr>
        <w:t> </w:t>
      </w:r>
      <w:r w:rsidRPr="004C1D75">
        <w:rPr>
          <w:rFonts w:ascii="Arial" w:hAnsi="Arial" w:cs="Arial"/>
          <w:b/>
          <w:bCs/>
        </w:rPr>
        <w:t>3.2.4 Challenges and Strategies</w:t>
      </w:r>
      <w:r w:rsidRPr="004C1D75">
        <w:rPr>
          <w:rFonts w:ascii="Arial" w:hAnsi="Arial" w:cs="Arial"/>
          <w:b/>
          <w:bCs/>
        </w:rPr>
        <w:br/>
      </w:r>
      <w:r w:rsidRPr="004C1D75">
        <w:rPr>
          <w:rFonts w:ascii="Arial" w:hAnsi="Arial" w:cs="Arial"/>
          <w:b/>
          <w:bCs/>
        </w:rPr>
        <w:t> </w:t>
      </w:r>
      <w:r w:rsidRPr="004C1D75">
        <w:rPr>
          <w:rFonts w:ascii="Arial" w:hAnsi="Arial" w:cs="Arial"/>
          <w:b/>
          <w:bCs/>
        </w:rPr>
        <w:t> </w:t>
      </w:r>
      <w:r w:rsidRPr="004C1D75">
        <w:rPr>
          <w:rFonts w:ascii="Arial" w:hAnsi="Arial" w:cs="Arial"/>
          <w:b/>
          <w:bCs/>
        </w:rPr>
        <w:t> </w:t>
      </w:r>
      <w:r w:rsidRPr="004C1D75">
        <w:rPr>
          <w:rFonts w:ascii="Arial" w:hAnsi="Arial" w:cs="Arial"/>
          <w:b/>
          <w:bCs/>
        </w:rPr>
        <w:t> </w:t>
      </w:r>
      <w:r w:rsidRPr="004C1D75">
        <w:rPr>
          <w:rFonts w:ascii="Arial" w:hAnsi="Arial" w:cs="Arial"/>
          <w:b/>
          <w:bCs/>
        </w:rPr>
        <w:t>References for Bandura’s Theory Section</w:t>
      </w:r>
    </w:p>
    <w:p w14:paraId="61C2B718" w14:textId="77777777" w:rsidR="009A455B" w:rsidRPr="004C1D75" w:rsidRDefault="009A455B" w:rsidP="009A455B">
      <w:pPr>
        <w:numPr>
          <w:ilvl w:val="0"/>
          <w:numId w:val="1"/>
        </w:numPr>
        <w:spacing w:line="360" w:lineRule="auto"/>
        <w:rPr>
          <w:rFonts w:ascii="Arial" w:hAnsi="Arial" w:cs="Arial"/>
          <w:b/>
          <w:bCs/>
        </w:rPr>
      </w:pPr>
      <w:r w:rsidRPr="004C1D75">
        <w:rPr>
          <w:rFonts w:ascii="Arial" w:hAnsi="Arial" w:cs="Arial"/>
          <w:b/>
          <w:bCs/>
        </w:rPr>
        <w:t>Conclusion .............................................................................................................. 10</w:t>
      </w:r>
    </w:p>
    <w:p w14:paraId="05F70A42" w14:textId="77777777" w:rsidR="009A455B" w:rsidRPr="004C1D75" w:rsidRDefault="009A455B" w:rsidP="009A455B">
      <w:pPr>
        <w:numPr>
          <w:ilvl w:val="0"/>
          <w:numId w:val="1"/>
        </w:numPr>
        <w:spacing w:line="360" w:lineRule="auto"/>
        <w:rPr>
          <w:rFonts w:ascii="Arial" w:hAnsi="Arial" w:cs="Arial"/>
          <w:b/>
          <w:bCs/>
        </w:rPr>
      </w:pPr>
      <w:r w:rsidRPr="004C1D75">
        <w:rPr>
          <w:rFonts w:ascii="Arial" w:hAnsi="Arial" w:cs="Arial"/>
          <w:b/>
          <w:bCs/>
        </w:rPr>
        <w:t>Main Reference List (UWTSD Harvard Style) ...........................................</w:t>
      </w:r>
      <w:r>
        <w:rPr>
          <w:rFonts w:ascii="Arial" w:hAnsi="Arial" w:cs="Arial"/>
          <w:b/>
          <w:bCs/>
        </w:rPr>
        <w:t>11</w:t>
      </w:r>
    </w:p>
    <w:p w14:paraId="71514716" w14:textId="77777777" w:rsidR="009A455B" w:rsidRDefault="009A455B" w:rsidP="009A455B">
      <w:pPr>
        <w:spacing w:line="360" w:lineRule="auto"/>
        <w:rPr>
          <w:rFonts w:ascii="Arial" w:hAnsi="Arial" w:cs="Arial"/>
          <w:b/>
          <w:bCs/>
        </w:rPr>
      </w:pPr>
    </w:p>
    <w:p w14:paraId="11CA8B0E" w14:textId="77777777" w:rsidR="009A455B" w:rsidRPr="00C27E23" w:rsidRDefault="009A455B" w:rsidP="009A455B">
      <w:pPr>
        <w:spacing w:line="360" w:lineRule="auto"/>
        <w:rPr>
          <w:rFonts w:ascii="Arial" w:hAnsi="Arial" w:cs="Arial"/>
          <w:b/>
          <w:bCs/>
        </w:rPr>
      </w:pPr>
    </w:p>
    <w:p w14:paraId="56211146" w14:textId="77777777" w:rsidR="009A455B" w:rsidRPr="00DD3D23" w:rsidRDefault="009A455B" w:rsidP="009A455B">
      <w:pPr>
        <w:spacing w:line="360" w:lineRule="auto"/>
        <w:rPr>
          <w:rFonts w:ascii="Arial" w:hAnsi="Arial" w:cs="Arial"/>
          <w:b/>
          <w:bCs/>
          <w:sz w:val="22"/>
          <w:szCs w:val="22"/>
        </w:rPr>
      </w:pPr>
      <w:r w:rsidRPr="00DD3D23">
        <w:rPr>
          <w:rFonts w:ascii="Arial" w:hAnsi="Arial" w:cs="Arial"/>
          <w:b/>
          <w:bCs/>
          <w:sz w:val="22"/>
          <w:szCs w:val="22"/>
        </w:rPr>
        <w:lastRenderedPageBreak/>
        <w:t>Psychological Theories in Supporting Adults Aged 65 and Over Living with Dementia in Care Home Settings</w:t>
      </w:r>
    </w:p>
    <w:p w14:paraId="4DA0950D" w14:textId="77777777" w:rsidR="009A455B" w:rsidRPr="00DD3D23" w:rsidRDefault="009A455B" w:rsidP="009A455B">
      <w:pPr>
        <w:spacing w:line="360" w:lineRule="auto"/>
        <w:rPr>
          <w:rFonts w:ascii="Arial" w:hAnsi="Arial" w:cs="Arial"/>
          <w:b/>
          <w:bCs/>
          <w:sz w:val="22"/>
          <w:szCs w:val="22"/>
        </w:rPr>
      </w:pPr>
      <w:r w:rsidRPr="00DD3D23">
        <w:rPr>
          <w:rFonts w:ascii="Arial" w:hAnsi="Arial" w:cs="Arial"/>
          <w:b/>
          <w:bCs/>
          <w:sz w:val="22"/>
          <w:szCs w:val="22"/>
        </w:rPr>
        <w:t>Introduction</w:t>
      </w:r>
    </w:p>
    <w:p w14:paraId="2482FFC5" w14:textId="77777777" w:rsidR="009A455B" w:rsidRPr="00DD3D23" w:rsidRDefault="009A455B" w:rsidP="009A455B">
      <w:pPr>
        <w:spacing w:line="360" w:lineRule="auto"/>
        <w:rPr>
          <w:rFonts w:ascii="Arial" w:hAnsi="Arial" w:cs="Arial"/>
          <w:sz w:val="22"/>
          <w:szCs w:val="22"/>
        </w:rPr>
      </w:pPr>
      <w:r w:rsidRPr="00DD3D23">
        <w:rPr>
          <w:rFonts w:ascii="Arial" w:hAnsi="Arial" w:cs="Arial"/>
          <w:sz w:val="22"/>
          <w:szCs w:val="22"/>
        </w:rPr>
        <w:t xml:space="preserve">Older adults aged 65 years and over form a significant and growing proportion of individuals accessing health and social care services across the UK. As life expectancy increases, age-related conditions such as dementia have become more prevalent, placing substantial demand </w:t>
      </w:r>
      <w:proofErr w:type="gramStart"/>
      <w:r w:rsidRPr="00DD3D23">
        <w:rPr>
          <w:rFonts w:ascii="Arial" w:hAnsi="Arial" w:cs="Arial"/>
          <w:sz w:val="22"/>
          <w:szCs w:val="22"/>
        </w:rPr>
        <w:t>on</w:t>
      </w:r>
      <w:proofErr w:type="gramEnd"/>
      <w:r w:rsidRPr="00DD3D23">
        <w:rPr>
          <w:rFonts w:ascii="Arial" w:hAnsi="Arial" w:cs="Arial"/>
          <w:sz w:val="22"/>
          <w:szCs w:val="22"/>
        </w:rPr>
        <w:t xml:space="preserve"> residential care services. Dementia is a progressive neurological syndrome </w:t>
      </w:r>
      <w:proofErr w:type="spellStart"/>
      <w:r w:rsidRPr="00DD3D23">
        <w:rPr>
          <w:rFonts w:ascii="Arial" w:hAnsi="Arial" w:cs="Arial"/>
          <w:sz w:val="22"/>
          <w:szCs w:val="22"/>
        </w:rPr>
        <w:t>characterised</w:t>
      </w:r>
      <w:proofErr w:type="spellEnd"/>
      <w:r w:rsidRPr="00DD3D23">
        <w:rPr>
          <w:rFonts w:ascii="Arial" w:hAnsi="Arial" w:cs="Arial"/>
          <w:sz w:val="22"/>
          <w:szCs w:val="22"/>
        </w:rPr>
        <w:t xml:space="preserve"> by cognitive decline, memory impairment, changes in </w:t>
      </w:r>
      <w:proofErr w:type="spellStart"/>
      <w:r w:rsidRPr="00DD3D23">
        <w:rPr>
          <w:rFonts w:ascii="Arial" w:hAnsi="Arial" w:cs="Arial"/>
          <w:sz w:val="22"/>
          <w:szCs w:val="22"/>
        </w:rPr>
        <w:t>behaviour</w:t>
      </w:r>
      <w:proofErr w:type="spellEnd"/>
      <w:r w:rsidRPr="00DD3D23">
        <w:rPr>
          <w:rFonts w:ascii="Arial" w:hAnsi="Arial" w:cs="Arial"/>
          <w:sz w:val="22"/>
          <w:szCs w:val="22"/>
        </w:rPr>
        <w:t xml:space="preserve">, communication difficulties, and emotional dysregulation. As dementia advances, many older adults require </w:t>
      </w:r>
      <w:proofErr w:type="spellStart"/>
      <w:r w:rsidRPr="00DD3D23">
        <w:rPr>
          <w:rFonts w:ascii="Arial" w:hAnsi="Arial" w:cs="Arial"/>
          <w:sz w:val="22"/>
          <w:szCs w:val="22"/>
        </w:rPr>
        <w:t>specialised</w:t>
      </w:r>
      <w:proofErr w:type="spellEnd"/>
      <w:r w:rsidRPr="00DD3D23">
        <w:rPr>
          <w:rFonts w:ascii="Arial" w:hAnsi="Arial" w:cs="Arial"/>
          <w:sz w:val="22"/>
          <w:szCs w:val="22"/>
        </w:rPr>
        <w:t xml:space="preserve"> residential care where trained professionals can meet their physical, cognitive, social, and emotional needs through holistic and person-</w:t>
      </w:r>
      <w:proofErr w:type="spellStart"/>
      <w:r w:rsidRPr="00DD3D23">
        <w:rPr>
          <w:rFonts w:ascii="Arial" w:hAnsi="Arial" w:cs="Arial"/>
          <w:sz w:val="22"/>
          <w:szCs w:val="22"/>
        </w:rPr>
        <w:t>centred</w:t>
      </w:r>
      <w:proofErr w:type="spellEnd"/>
      <w:r w:rsidRPr="00DD3D23">
        <w:rPr>
          <w:rFonts w:ascii="Arial" w:hAnsi="Arial" w:cs="Arial"/>
          <w:sz w:val="22"/>
          <w:szCs w:val="22"/>
        </w:rPr>
        <w:t xml:space="preserve"> approaches.</w:t>
      </w:r>
    </w:p>
    <w:p w14:paraId="509AFF8F" w14:textId="77777777" w:rsidR="009A455B" w:rsidRPr="00DD3D23" w:rsidRDefault="009A455B" w:rsidP="009A455B">
      <w:pPr>
        <w:spacing w:line="360" w:lineRule="auto"/>
        <w:rPr>
          <w:rFonts w:ascii="Arial" w:hAnsi="Arial" w:cs="Arial"/>
          <w:sz w:val="22"/>
          <w:szCs w:val="22"/>
        </w:rPr>
      </w:pPr>
      <w:r w:rsidRPr="00DD3D23">
        <w:rPr>
          <w:rFonts w:ascii="Arial" w:hAnsi="Arial" w:cs="Arial"/>
          <w:sz w:val="22"/>
          <w:szCs w:val="22"/>
        </w:rPr>
        <w:t xml:space="preserve">High-quality dementia care extends beyond routine daily assistance. It requires an understanding of psychological processes that shape identity, </w:t>
      </w:r>
      <w:proofErr w:type="spellStart"/>
      <w:r w:rsidRPr="00DD3D23">
        <w:rPr>
          <w:rFonts w:ascii="Arial" w:hAnsi="Arial" w:cs="Arial"/>
          <w:sz w:val="22"/>
          <w:szCs w:val="22"/>
        </w:rPr>
        <w:t>behaviour</w:t>
      </w:r>
      <w:proofErr w:type="spellEnd"/>
      <w:r w:rsidRPr="00DD3D23">
        <w:rPr>
          <w:rFonts w:ascii="Arial" w:hAnsi="Arial" w:cs="Arial"/>
          <w:sz w:val="22"/>
          <w:szCs w:val="22"/>
        </w:rPr>
        <w:t xml:space="preserve">, learning, and emotional wellbeing throughout later life. Psychological theories provide frameworks that explain how older adults make sense of their experiences, respond to their environment, and cope with changes associated with cognitive decline. Applying such theories in care settings enables practitioners to respond sensitively to </w:t>
      </w:r>
      <w:proofErr w:type="spellStart"/>
      <w:r w:rsidRPr="00DD3D23">
        <w:rPr>
          <w:rFonts w:ascii="Arial" w:hAnsi="Arial" w:cs="Arial"/>
          <w:sz w:val="22"/>
          <w:szCs w:val="22"/>
        </w:rPr>
        <w:t>behavioural</w:t>
      </w:r>
      <w:proofErr w:type="spellEnd"/>
      <w:r w:rsidRPr="00DD3D23">
        <w:rPr>
          <w:rFonts w:ascii="Arial" w:hAnsi="Arial" w:cs="Arial"/>
          <w:sz w:val="22"/>
          <w:szCs w:val="22"/>
        </w:rPr>
        <w:t xml:space="preserve"> challenges, support autonomy, and promote meaningful engagement.</w:t>
      </w:r>
    </w:p>
    <w:p w14:paraId="654AE65E" w14:textId="77777777" w:rsidR="009A455B" w:rsidRPr="00DD3D23" w:rsidRDefault="009A455B" w:rsidP="009A455B">
      <w:pPr>
        <w:spacing w:line="360" w:lineRule="auto"/>
        <w:rPr>
          <w:rFonts w:ascii="Arial" w:hAnsi="Arial" w:cs="Arial"/>
          <w:sz w:val="22"/>
          <w:szCs w:val="22"/>
        </w:rPr>
      </w:pPr>
      <w:r w:rsidRPr="00DD3D23">
        <w:rPr>
          <w:rFonts w:ascii="Arial" w:hAnsi="Arial" w:cs="Arial"/>
          <w:sz w:val="22"/>
          <w:szCs w:val="22"/>
        </w:rPr>
        <w:t xml:space="preserve">This report focuses on two key psychological theories that are relevant to older adults living with dementia: Erikson’s Psychosocial Theory, specifically Stage Eight (Ego Integrity vs Despair), and Bandura’s Social Learning Theory. Erikson’s theory highlights the significance of identity, life reflection, and emotional acceptance in older adulthood, while Bandura’s theory </w:t>
      </w:r>
      <w:proofErr w:type="spellStart"/>
      <w:r w:rsidRPr="00DD3D23">
        <w:rPr>
          <w:rFonts w:ascii="Arial" w:hAnsi="Arial" w:cs="Arial"/>
          <w:sz w:val="22"/>
          <w:szCs w:val="22"/>
        </w:rPr>
        <w:t>emphasises</w:t>
      </w:r>
      <w:proofErr w:type="spellEnd"/>
      <w:r w:rsidRPr="00DD3D23">
        <w:rPr>
          <w:rFonts w:ascii="Arial" w:hAnsi="Arial" w:cs="Arial"/>
          <w:sz w:val="22"/>
          <w:szCs w:val="22"/>
        </w:rPr>
        <w:t xml:space="preserve"> the role of observation, modelling, and reinforcement in shaping </w:t>
      </w:r>
      <w:proofErr w:type="spellStart"/>
      <w:r w:rsidRPr="00DD3D23">
        <w:rPr>
          <w:rFonts w:ascii="Arial" w:hAnsi="Arial" w:cs="Arial"/>
          <w:sz w:val="22"/>
          <w:szCs w:val="22"/>
        </w:rPr>
        <w:t>behaviour</w:t>
      </w:r>
      <w:proofErr w:type="spellEnd"/>
      <w:r w:rsidRPr="00DD3D23">
        <w:rPr>
          <w:rFonts w:ascii="Arial" w:hAnsi="Arial" w:cs="Arial"/>
          <w:sz w:val="22"/>
          <w:szCs w:val="22"/>
        </w:rPr>
        <w:t xml:space="preserve">. Although originally developed for general populations, both theories offer valuable insights </w:t>
      </w:r>
      <w:proofErr w:type="gramStart"/>
      <w:r w:rsidRPr="00DD3D23">
        <w:rPr>
          <w:rFonts w:ascii="Arial" w:hAnsi="Arial" w:cs="Arial"/>
          <w:sz w:val="22"/>
          <w:szCs w:val="22"/>
        </w:rPr>
        <w:t>for</w:t>
      </w:r>
      <w:proofErr w:type="gramEnd"/>
      <w:r w:rsidRPr="00DD3D23">
        <w:rPr>
          <w:rFonts w:ascii="Arial" w:hAnsi="Arial" w:cs="Arial"/>
          <w:sz w:val="22"/>
          <w:szCs w:val="22"/>
        </w:rPr>
        <w:t xml:space="preserve"> dementia care when adapted appropriately.</w:t>
      </w:r>
    </w:p>
    <w:p w14:paraId="057480B0" w14:textId="77777777" w:rsidR="009A455B" w:rsidRPr="00DD3D23" w:rsidRDefault="009A455B" w:rsidP="009A455B">
      <w:pPr>
        <w:spacing w:line="360" w:lineRule="auto"/>
        <w:rPr>
          <w:rFonts w:ascii="Arial" w:hAnsi="Arial" w:cs="Arial"/>
          <w:sz w:val="22"/>
          <w:szCs w:val="22"/>
        </w:rPr>
      </w:pPr>
      <w:r w:rsidRPr="00DD3D23">
        <w:rPr>
          <w:rFonts w:ascii="Arial" w:hAnsi="Arial" w:cs="Arial"/>
          <w:sz w:val="22"/>
          <w:szCs w:val="22"/>
        </w:rPr>
        <w:t xml:space="preserve">The aim of this report is to examine each theory in detail, </w:t>
      </w:r>
      <w:proofErr w:type="spellStart"/>
      <w:r w:rsidRPr="00DD3D23">
        <w:rPr>
          <w:rFonts w:ascii="Arial" w:hAnsi="Arial" w:cs="Arial"/>
          <w:sz w:val="22"/>
          <w:szCs w:val="22"/>
        </w:rPr>
        <w:t>analyse</w:t>
      </w:r>
      <w:proofErr w:type="spellEnd"/>
      <w:r w:rsidRPr="00DD3D23">
        <w:rPr>
          <w:rFonts w:ascii="Arial" w:hAnsi="Arial" w:cs="Arial"/>
          <w:sz w:val="22"/>
          <w:szCs w:val="22"/>
        </w:rPr>
        <w:t xml:space="preserve"> its relevance for adults aged 65 and over living with dementia, and evaluate its practical application within dementia care homes. Challenges relating to cognitive impairment, communication barriers, emotional distress, and limited staff resources will be critically explored, alongside evidence-based strategies to support professionals. Ultimately, the report demonstrates that integrating psychological theory into care practice enhances dignity, wellbeing, and quality of life for residents with dementia.</w:t>
      </w:r>
    </w:p>
    <w:p w14:paraId="61799FED" w14:textId="77777777" w:rsidR="009A455B" w:rsidRPr="00DD3D23" w:rsidRDefault="009A455B" w:rsidP="009A455B">
      <w:pPr>
        <w:spacing w:line="360" w:lineRule="auto"/>
        <w:rPr>
          <w:rFonts w:ascii="Arial" w:hAnsi="Arial" w:cs="Arial"/>
          <w:b/>
          <w:bCs/>
          <w:sz w:val="22"/>
          <w:szCs w:val="22"/>
        </w:rPr>
      </w:pPr>
      <w:r w:rsidRPr="00DD3D23">
        <w:rPr>
          <w:rFonts w:ascii="Arial" w:hAnsi="Arial" w:cs="Arial"/>
          <w:sz w:val="22"/>
          <w:szCs w:val="22"/>
        </w:rPr>
        <w:lastRenderedPageBreak/>
        <w:pict w14:anchorId="77D0D473">
          <v:rect id="_x0000_i1025" style="width:0;height:1.5pt" o:hralign="center" o:hrstd="t" o:hr="t" fillcolor="#a0a0a0" stroked="f"/>
        </w:pict>
      </w:r>
    </w:p>
    <w:p w14:paraId="11F92596" w14:textId="77777777" w:rsidR="009A455B" w:rsidRPr="00DD3D23" w:rsidRDefault="009A455B" w:rsidP="009A455B">
      <w:pPr>
        <w:spacing w:line="360" w:lineRule="auto"/>
        <w:rPr>
          <w:rFonts w:ascii="Arial" w:hAnsi="Arial" w:cs="Arial"/>
          <w:b/>
          <w:bCs/>
          <w:sz w:val="22"/>
          <w:szCs w:val="22"/>
        </w:rPr>
      </w:pPr>
      <w:r w:rsidRPr="00DD3D23">
        <w:rPr>
          <w:rFonts w:ascii="Arial" w:hAnsi="Arial" w:cs="Arial"/>
          <w:b/>
          <w:bCs/>
          <w:sz w:val="22"/>
          <w:szCs w:val="22"/>
        </w:rPr>
        <w:t>1. Erikson’s Psychosocial Theory: Ego Integrity vs Despair</w:t>
      </w:r>
    </w:p>
    <w:p w14:paraId="1E23A0D8" w14:textId="77777777" w:rsidR="009A455B" w:rsidRPr="00DD3D23" w:rsidRDefault="009A455B" w:rsidP="009A455B">
      <w:pPr>
        <w:spacing w:line="360" w:lineRule="auto"/>
        <w:rPr>
          <w:rFonts w:ascii="Arial" w:hAnsi="Arial" w:cs="Arial"/>
          <w:b/>
          <w:bCs/>
          <w:sz w:val="22"/>
          <w:szCs w:val="22"/>
        </w:rPr>
      </w:pPr>
      <w:r w:rsidRPr="00DD3D23">
        <w:rPr>
          <w:rFonts w:ascii="Arial" w:hAnsi="Arial" w:cs="Arial"/>
          <w:b/>
          <w:bCs/>
          <w:sz w:val="22"/>
          <w:szCs w:val="22"/>
        </w:rPr>
        <w:t>Relevance for Adults Aged 65+</w:t>
      </w:r>
    </w:p>
    <w:p w14:paraId="57DE3E88" w14:textId="77777777" w:rsidR="009A455B" w:rsidRPr="00DD3D23" w:rsidRDefault="009A455B" w:rsidP="009A455B">
      <w:pPr>
        <w:spacing w:line="360" w:lineRule="auto"/>
        <w:rPr>
          <w:rFonts w:ascii="Arial" w:hAnsi="Arial" w:cs="Arial"/>
          <w:sz w:val="22"/>
          <w:szCs w:val="22"/>
        </w:rPr>
      </w:pPr>
      <w:r w:rsidRPr="00DD3D23">
        <w:rPr>
          <w:rFonts w:ascii="Arial" w:hAnsi="Arial" w:cs="Arial"/>
          <w:sz w:val="22"/>
          <w:szCs w:val="22"/>
        </w:rPr>
        <w:t xml:space="preserve">Erikson’s Psychosocial Theory proposes eight stages of human development, each </w:t>
      </w:r>
      <w:proofErr w:type="spellStart"/>
      <w:r w:rsidRPr="00DD3D23">
        <w:rPr>
          <w:rFonts w:ascii="Arial" w:hAnsi="Arial" w:cs="Arial"/>
          <w:sz w:val="22"/>
          <w:szCs w:val="22"/>
        </w:rPr>
        <w:t>characterised</w:t>
      </w:r>
      <w:proofErr w:type="spellEnd"/>
      <w:r w:rsidRPr="00DD3D23">
        <w:rPr>
          <w:rFonts w:ascii="Arial" w:hAnsi="Arial" w:cs="Arial"/>
          <w:sz w:val="22"/>
          <w:szCs w:val="22"/>
        </w:rPr>
        <w:t xml:space="preserve"> by a psychological conflict that contributes to personality formation. Stage Eight, Ego Integrity vs Despair, typically occurs in later adulthood, usually from around age 65 onwards (Erikson, 1997). During this stage, individuals engage in life review, reflecting on achievements, relationships, failures, and turning points. When individuals achieve ego integrity, they accept their life as meaningful and coherent, resulting in feelings of wisdom and emotional stability. Conversely, despair may arise when individuals perceive their life as unfulfilled or marked by unresolved conflicts.</w:t>
      </w:r>
    </w:p>
    <w:p w14:paraId="0411CCDD" w14:textId="77777777" w:rsidR="009A455B" w:rsidRPr="00DD3D23" w:rsidRDefault="009A455B" w:rsidP="009A455B">
      <w:pPr>
        <w:spacing w:line="360" w:lineRule="auto"/>
        <w:rPr>
          <w:rFonts w:ascii="Arial" w:hAnsi="Arial" w:cs="Arial"/>
          <w:sz w:val="22"/>
          <w:szCs w:val="22"/>
        </w:rPr>
      </w:pPr>
      <w:r w:rsidRPr="00DD3D23">
        <w:rPr>
          <w:rFonts w:ascii="Arial" w:hAnsi="Arial" w:cs="Arial"/>
          <w:sz w:val="22"/>
          <w:szCs w:val="22"/>
        </w:rPr>
        <w:t>For adults aged 65 and over living with dementia, this stage remains psychologically relevant despite progressive cognitive decline. Although dementia affects memory, reasoning, and communication, emotional and sensory processing often remain relatively intact, particularly in the earlier and middle stages. Many residents experience heightened vulnerability, frustration, or loss of identity as dementia impacts their ability to recall life experiences or maintain independence. Erikson’s theory therefore provides a meaningful framework to support emotional adjustment, self-concept, and dignity in later life.</w:t>
      </w:r>
    </w:p>
    <w:p w14:paraId="39ECEB84" w14:textId="77777777" w:rsidR="009A455B" w:rsidRPr="00DD3D23" w:rsidRDefault="009A455B" w:rsidP="009A455B">
      <w:pPr>
        <w:spacing w:line="360" w:lineRule="auto"/>
        <w:rPr>
          <w:rFonts w:ascii="Arial" w:hAnsi="Arial" w:cs="Arial"/>
          <w:b/>
          <w:bCs/>
          <w:sz w:val="22"/>
          <w:szCs w:val="22"/>
        </w:rPr>
      </w:pPr>
      <w:r w:rsidRPr="00DD3D23">
        <w:rPr>
          <w:rFonts w:ascii="Arial" w:hAnsi="Arial" w:cs="Arial"/>
          <w:b/>
          <w:bCs/>
          <w:sz w:val="22"/>
          <w:szCs w:val="22"/>
        </w:rPr>
        <w:t>Application in a Dementia Care Home</w:t>
      </w:r>
    </w:p>
    <w:p w14:paraId="5113E764" w14:textId="77777777" w:rsidR="009A455B" w:rsidRPr="00DD3D23" w:rsidRDefault="009A455B" w:rsidP="009A455B">
      <w:pPr>
        <w:numPr>
          <w:ilvl w:val="0"/>
          <w:numId w:val="2"/>
        </w:numPr>
        <w:spacing w:line="360" w:lineRule="auto"/>
        <w:rPr>
          <w:rFonts w:ascii="Arial" w:hAnsi="Arial" w:cs="Arial"/>
          <w:b/>
          <w:bCs/>
          <w:sz w:val="22"/>
          <w:szCs w:val="22"/>
        </w:rPr>
      </w:pPr>
      <w:r w:rsidRPr="00DD3D23">
        <w:rPr>
          <w:rFonts w:ascii="Arial" w:hAnsi="Arial" w:cs="Arial"/>
          <w:b/>
          <w:bCs/>
          <w:sz w:val="22"/>
          <w:szCs w:val="22"/>
        </w:rPr>
        <w:t>Life Story Work</w:t>
      </w:r>
      <w:r w:rsidRPr="00DD3D23">
        <w:rPr>
          <w:rFonts w:ascii="Arial" w:hAnsi="Arial" w:cs="Arial"/>
          <w:b/>
          <w:bCs/>
          <w:sz w:val="22"/>
          <w:szCs w:val="22"/>
        </w:rPr>
        <w:br/>
      </w:r>
      <w:r w:rsidRPr="00DD3D23">
        <w:rPr>
          <w:rFonts w:ascii="Arial" w:hAnsi="Arial" w:cs="Arial"/>
          <w:sz w:val="22"/>
          <w:szCs w:val="22"/>
        </w:rPr>
        <w:t xml:space="preserve">Life story books, memory boxes, and </w:t>
      </w:r>
      <w:proofErr w:type="spellStart"/>
      <w:r w:rsidRPr="00DD3D23">
        <w:rPr>
          <w:rFonts w:ascii="Arial" w:hAnsi="Arial" w:cs="Arial"/>
          <w:sz w:val="22"/>
          <w:szCs w:val="22"/>
        </w:rPr>
        <w:t>personalised</w:t>
      </w:r>
      <w:proofErr w:type="spellEnd"/>
      <w:r w:rsidRPr="00DD3D23">
        <w:rPr>
          <w:rFonts w:ascii="Arial" w:hAnsi="Arial" w:cs="Arial"/>
          <w:sz w:val="22"/>
          <w:szCs w:val="22"/>
        </w:rPr>
        <w:t xml:space="preserve"> photographs help residents preserve continuity and reinforce identity. These resources enable staff to understand residents’ backgrounds, preferences, and values, fostering empathy and </w:t>
      </w:r>
      <w:proofErr w:type="spellStart"/>
      <w:r w:rsidRPr="00DD3D23">
        <w:rPr>
          <w:rFonts w:ascii="Arial" w:hAnsi="Arial" w:cs="Arial"/>
          <w:sz w:val="22"/>
          <w:szCs w:val="22"/>
        </w:rPr>
        <w:t>personalised</w:t>
      </w:r>
      <w:proofErr w:type="spellEnd"/>
      <w:r w:rsidRPr="00DD3D23">
        <w:rPr>
          <w:rFonts w:ascii="Arial" w:hAnsi="Arial" w:cs="Arial"/>
          <w:sz w:val="22"/>
          <w:szCs w:val="22"/>
        </w:rPr>
        <w:t xml:space="preserve"> care. Life story work also promotes ego integrity by allowing individuals to connect with familiar images or events, even when verbal memory is reduced</w:t>
      </w:r>
      <w:r w:rsidRPr="00DD3D23">
        <w:rPr>
          <w:rFonts w:ascii="Arial" w:hAnsi="Arial" w:cs="Arial"/>
          <w:b/>
          <w:bCs/>
          <w:sz w:val="22"/>
          <w:szCs w:val="22"/>
        </w:rPr>
        <w:t>.</w:t>
      </w:r>
    </w:p>
    <w:p w14:paraId="03A0C943" w14:textId="77777777" w:rsidR="009A455B" w:rsidRPr="00DD3D23" w:rsidRDefault="009A455B" w:rsidP="009A455B">
      <w:pPr>
        <w:numPr>
          <w:ilvl w:val="0"/>
          <w:numId w:val="2"/>
        </w:numPr>
        <w:spacing w:line="360" w:lineRule="auto"/>
        <w:rPr>
          <w:rFonts w:ascii="Arial" w:hAnsi="Arial" w:cs="Arial"/>
          <w:b/>
          <w:bCs/>
          <w:sz w:val="22"/>
          <w:szCs w:val="22"/>
        </w:rPr>
      </w:pPr>
      <w:r w:rsidRPr="00DD3D23">
        <w:rPr>
          <w:rFonts w:ascii="Arial" w:hAnsi="Arial" w:cs="Arial"/>
          <w:b/>
          <w:bCs/>
          <w:sz w:val="22"/>
          <w:szCs w:val="22"/>
        </w:rPr>
        <w:t>Reminiscence Therapy</w:t>
      </w:r>
      <w:r w:rsidRPr="00DD3D23">
        <w:rPr>
          <w:rFonts w:ascii="Arial" w:hAnsi="Arial" w:cs="Arial"/>
          <w:b/>
          <w:bCs/>
          <w:sz w:val="22"/>
          <w:szCs w:val="22"/>
        </w:rPr>
        <w:br/>
      </w:r>
      <w:r w:rsidRPr="00DD3D23">
        <w:rPr>
          <w:rFonts w:ascii="Arial" w:hAnsi="Arial" w:cs="Arial"/>
          <w:sz w:val="22"/>
          <w:szCs w:val="22"/>
        </w:rPr>
        <w:t xml:space="preserve">Reminiscence therapy involves using sensory cues such as music, photographs, objects, or scents to evoke memories and positive emotions. Research demonstrates that reminiscence therapy can reduce anxiety, promote social interaction, and improve mood in individuals with dementia (Woods et al., 2018). Even when residents cannot </w:t>
      </w:r>
      <w:r w:rsidRPr="00DD3D23">
        <w:rPr>
          <w:rFonts w:ascii="Arial" w:hAnsi="Arial" w:cs="Arial"/>
          <w:sz w:val="22"/>
          <w:szCs w:val="22"/>
        </w:rPr>
        <w:lastRenderedPageBreak/>
        <w:t>articulate detailed memories, sensory engagement may evoke feelings of comfort</w:t>
      </w:r>
      <w:r w:rsidRPr="00DD3D23">
        <w:rPr>
          <w:rFonts w:ascii="Arial" w:hAnsi="Arial" w:cs="Arial"/>
          <w:b/>
          <w:bCs/>
          <w:sz w:val="22"/>
          <w:szCs w:val="22"/>
        </w:rPr>
        <w:t xml:space="preserve">, </w:t>
      </w:r>
      <w:r w:rsidRPr="00DD3D23">
        <w:rPr>
          <w:rFonts w:ascii="Arial" w:hAnsi="Arial" w:cs="Arial"/>
          <w:sz w:val="22"/>
          <w:szCs w:val="22"/>
        </w:rPr>
        <w:t>belonging, and emotional security.</w:t>
      </w:r>
    </w:p>
    <w:p w14:paraId="4A55D253" w14:textId="77777777" w:rsidR="009A455B" w:rsidRPr="00DD3D23" w:rsidRDefault="009A455B" w:rsidP="009A455B">
      <w:pPr>
        <w:numPr>
          <w:ilvl w:val="0"/>
          <w:numId w:val="2"/>
        </w:numPr>
        <w:spacing w:line="360" w:lineRule="auto"/>
        <w:rPr>
          <w:rFonts w:ascii="Arial" w:hAnsi="Arial" w:cs="Arial"/>
          <w:sz w:val="22"/>
          <w:szCs w:val="22"/>
        </w:rPr>
      </w:pPr>
      <w:r w:rsidRPr="00DD3D23">
        <w:rPr>
          <w:rFonts w:ascii="Arial" w:hAnsi="Arial" w:cs="Arial"/>
          <w:sz w:val="22"/>
          <w:szCs w:val="22"/>
        </w:rPr>
        <w:t>Person-</w:t>
      </w:r>
      <w:proofErr w:type="spellStart"/>
      <w:r w:rsidRPr="00DD3D23">
        <w:rPr>
          <w:rFonts w:ascii="Arial" w:hAnsi="Arial" w:cs="Arial"/>
          <w:sz w:val="22"/>
          <w:szCs w:val="22"/>
        </w:rPr>
        <w:t>centred</w:t>
      </w:r>
      <w:proofErr w:type="spellEnd"/>
      <w:r w:rsidRPr="00DD3D23">
        <w:rPr>
          <w:rFonts w:ascii="Arial" w:hAnsi="Arial" w:cs="Arial"/>
          <w:sz w:val="22"/>
          <w:szCs w:val="22"/>
        </w:rPr>
        <w:t xml:space="preserve"> Communication</w:t>
      </w:r>
      <w:r w:rsidRPr="00DD3D23">
        <w:rPr>
          <w:rFonts w:ascii="Arial" w:hAnsi="Arial" w:cs="Arial"/>
          <w:sz w:val="22"/>
          <w:szCs w:val="22"/>
        </w:rPr>
        <w:br/>
        <w:t xml:space="preserve">Maintaining respectful, validating communication helps prevent feelings of despair. Using techniques such as active listening, non-verbal reassurance, and acknowledging emotional expression supports residents’ dignity and promotes psychological safety. </w:t>
      </w:r>
      <w:proofErr w:type="spellStart"/>
      <w:r w:rsidRPr="00DD3D23">
        <w:rPr>
          <w:rFonts w:ascii="Arial" w:hAnsi="Arial" w:cs="Arial"/>
          <w:sz w:val="22"/>
          <w:szCs w:val="22"/>
        </w:rPr>
        <w:t>Kitwood</w:t>
      </w:r>
      <w:proofErr w:type="spellEnd"/>
      <w:r w:rsidRPr="00DD3D23">
        <w:rPr>
          <w:rFonts w:ascii="Arial" w:hAnsi="Arial" w:cs="Arial"/>
          <w:sz w:val="22"/>
          <w:szCs w:val="22"/>
        </w:rPr>
        <w:t xml:space="preserve"> (1997) </w:t>
      </w:r>
      <w:proofErr w:type="spellStart"/>
      <w:r w:rsidRPr="00DD3D23">
        <w:rPr>
          <w:rFonts w:ascii="Arial" w:hAnsi="Arial" w:cs="Arial"/>
          <w:sz w:val="22"/>
          <w:szCs w:val="22"/>
        </w:rPr>
        <w:t>emphasises</w:t>
      </w:r>
      <w:proofErr w:type="spellEnd"/>
      <w:r w:rsidRPr="00DD3D23">
        <w:rPr>
          <w:rFonts w:ascii="Arial" w:hAnsi="Arial" w:cs="Arial"/>
          <w:sz w:val="22"/>
          <w:szCs w:val="22"/>
        </w:rPr>
        <w:t xml:space="preserve"> that personhood remains intact despite cognitive decline, making compassionate communication essential.</w:t>
      </w:r>
    </w:p>
    <w:p w14:paraId="5972A2D3" w14:textId="77777777" w:rsidR="009A455B" w:rsidRPr="00DD3D23" w:rsidRDefault="009A455B" w:rsidP="009A455B">
      <w:pPr>
        <w:numPr>
          <w:ilvl w:val="0"/>
          <w:numId w:val="2"/>
        </w:numPr>
        <w:spacing w:line="360" w:lineRule="auto"/>
        <w:rPr>
          <w:rFonts w:ascii="Arial" w:hAnsi="Arial" w:cs="Arial"/>
          <w:b/>
          <w:bCs/>
          <w:sz w:val="22"/>
          <w:szCs w:val="22"/>
        </w:rPr>
      </w:pPr>
      <w:r w:rsidRPr="00DD3D23">
        <w:rPr>
          <w:rFonts w:ascii="Arial" w:hAnsi="Arial" w:cs="Arial"/>
          <w:b/>
          <w:bCs/>
          <w:sz w:val="22"/>
          <w:szCs w:val="22"/>
        </w:rPr>
        <w:t>Supporting Autonomy</w:t>
      </w:r>
      <w:r w:rsidRPr="00DD3D23">
        <w:rPr>
          <w:rFonts w:ascii="Arial" w:hAnsi="Arial" w:cs="Arial"/>
          <w:b/>
          <w:bCs/>
          <w:sz w:val="22"/>
          <w:szCs w:val="22"/>
        </w:rPr>
        <w:br/>
      </w:r>
      <w:r w:rsidRPr="00DD3D23">
        <w:rPr>
          <w:rFonts w:ascii="Arial" w:hAnsi="Arial" w:cs="Arial"/>
          <w:sz w:val="22"/>
          <w:szCs w:val="22"/>
        </w:rPr>
        <w:t>Allowing residents to make simple choices—such as selecting their clothing, choosing meals, or deciding when to engage in activities—supports self-worth and strengthens ego integrity. Even small decisions help counter feelings of helplessness commonly experienced in later stages of dementia.</w:t>
      </w:r>
    </w:p>
    <w:p w14:paraId="1DDD6F57" w14:textId="77777777" w:rsidR="009A455B" w:rsidRPr="00DD3D23" w:rsidRDefault="009A455B" w:rsidP="009A455B">
      <w:pPr>
        <w:spacing w:line="360" w:lineRule="auto"/>
        <w:rPr>
          <w:rFonts w:ascii="Arial" w:hAnsi="Arial" w:cs="Arial"/>
          <w:b/>
          <w:bCs/>
          <w:sz w:val="22"/>
          <w:szCs w:val="22"/>
        </w:rPr>
      </w:pPr>
      <w:r w:rsidRPr="00DD3D23">
        <w:rPr>
          <w:rFonts w:ascii="Arial" w:hAnsi="Arial" w:cs="Arial"/>
          <w:b/>
          <w:bCs/>
          <w:sz w:val="22"/>
          <w:szCs w:val="22"/>
        </w:rPr>
        <w:t>Critical Evaluation</w:t>
      </w:r>
    </w:p>
    <w:p w14:paraId="53052BA7" w14:textId="77777777" w:rsidR="009A455B" w:rsidRPr="00DD3D23" w:rsidRDefault="009A455B" w:rsidP="009A455B">
      <w:pPr>
        <w:spacing w:line="360" w:lineRule="auto"/>
        <w:rPr>
          <w:rFonts w:ascii="Arial" w:hAnsi="Arial" w:cs="Arial"/>
          <w:sz w:val="22"/>
          <w:szCs w:val="22"/>
        </w:rPr>
      </w:pPr>
      <w:r w:rsidRPr="00DD3D23">
        <w:rPr>
          <w:rFonts w:ascii="Arial" w:hAnsi="Arial" w:cs="Arial"/>
          <w:sz w:val="22"/>
          <w:szCs w:val="22"/>
        </w:rPr>
        <w:t>Erikson’s theory is widely valued for its emphasis on meaning-making, identity, and emotional growth in later life, aligning closely with person-</w:t>
      </w:r>
      <w:proofErr w:type="spellStart"/>
      <w:r w:rsidRPr="00DD3D23">
        <w:rPr>
          <w:rFonts w:ascii="Arial" w:hAnsi="Arial" w:cs="Arial"/>
          <w:sz w:val="22"/>
          <w:szCs w:val="22"/>
        </w:rPr>
        <w:t>centred</w:t>
      </w:r>
      <w:proofErr w:type="spellEnd"/>
      <w:r w:rsidRPr="00DD3D23">
        <w:rPr>
          <w:rFonts w:ascii="Arial" w:hAnsi="Arial" w:cs="Arial"/>
          <w:sz w:val="22"/>
          <w:szCs w:val="22"/>
        </w:rPr>
        <w:t xml:space="preserve"> approaches in dementia care. Its focus on life review provides a strong theoretical foundation for interventions such as reminiscence therapy and life story work.</w:t>
      </w:r>
    </w:p>
    <w:p w14:paraId="086897B6" w14:textId="77777777" w:rsidR="009A455B" w:rsidRPr="00DD3D23" w:rsidRDefault="009A455B" w:rsidP="009A455B">
      <w:pPr>
        <w:spacing w:line="360" w:lineRule="auto"/>
        <w:rPr>
          <w:rFonts w:ascii="Arial" w:hAnsi="Arial" w:cs="Arial"/>
          <w:sz w:val="22"/>
          <w:szCs w:val="22"/>
        </w:rPr>
      </w:pPr>
      <w:r w:rsidRPr="00DD3D23">
        <w:rPr>
          <w:rFonts w:ascii="Arial" w:hAnsi="Arial" w:cs="Arial"/>
          <w:sz w:val="22"/>
          <w:szCs w:val="22"/>
        </w:rPr>
        <w:t>However, the theory has limitations when applied to individuals with moderate to severe dementia. Cognitive decline may inhibit the ability to engage in reflective thought, recall autobiographical memories, or process complex emotional experiences. Furthermore, reminiscence may sometimes evoke distress, particularly if traumatic or unresolved memories resurface (</w:t>
      </w:r>
      <w:proofErr w:type="spellStart"/>
      <w:r w:rsidRPr="00DD3D23">
        <w:rPr>
          <w:rFonts w:ascii="Arial" w:hAnsi="Arial" w:cs="Arial"/>
          <w:sz w:val="22"/>
          <w:szCs w:val="22"/>
        </w:rPr>
        <w:t>Cappeliez</w:t>
      </w:r>
      <w:proofErr w:type="spellEnd"/>
      <w:r w:rsidRPr="00DD3D23">
        <w:rPr>
          <w:rFonts w:ascii="Arial" w:hAnsi="Arial" w:cs="Arial"/>
          <w:sz w:val="22"/>
          <w:szCs w:val="22"/>
        </w:rPr>
        <w:t xml:space="preserve"> &amp; O’Rourke, 2006). Practitioners must therefore adopt trauma-informed approaches and avoid pressuring residents to remember past events.</w:t>
      </w:r>
    </w:p>
    <w:p w14:paraId="2F90E621" w14:textId="77777777" w:rsidR="009A455B" w:rsidRPr="00DD3D23" w:rsidRDefault="009A455B" w:rsidP="009A455B">
      <w:pPr>
        <w:spacing w:line="360" w:lineRule="auto"/>
        <w:rPr>
          <w:rFonts w:ascii="Arial" w:hAnsi="Arial" w:cs="Arial"/>
          <w:sz w:val="22"/>
          <w:szCs w:val="22"/>
        </w:rPr>
      </w:pPr>
      <w:r w:rsidRPr="00DD3D23">
        <w:rPr>
          <w:rFonts w:ascii="Arial" w:hAnsi="Arial" w:cs="Arial"/>
          <w:sz w:val="22"/>
          <w:szCs w:val="22"/>
        </w:rPr>
        <w:t xml:space="preserve">Another limitation is that Erikson’s model assumes a linear progression through stages, which may not reflect the lived experience of dementia, where cognitive abilities fluctuate daily. The theory also overlooks cultural differences in how older adults </w:t>
      </w:r>
      <w:proofErr w:type="spellStart"/>
      <w:r w:rsidRPr="00DD3D23">
        <w:rPr>
          <w:rFonts w:ascii="Arial" w:hAnsi="Arial" w:cs="Arial"/>
          <w:sz w:val="22"/>
          <w:szCs w:val="22"/>
        </w:rPr>
        <w:t>conceptualise</w:t>
      </w:r>
      <w:proofErr w:type="spellEnd"/>
      <w:r w:rsidRPr="00DD3D23">
        <w:rPr>
          <w:rFonts w:ascii="Arial" w:hAnsi="Arial" w:cs="Arial"/>
          <w:sz w:val="22"/>
          <w:szCs w:val="22"/>
        </w:rPr>
        <w:t xml:space="preserve"> identity, aging, and end-of-life reflection.</w:t>
      </w:r>
    </w:p>
    <w:p w14:paraId="64D93EA0" w14:textId="77777777" w:rsidR="009A455B" w:rsidRPr="00DD3D23" w:rsidRDefault="009A455B" w:rsidP="009A455B">
      <w:pPr>
        <w:spacing w:line="360" w:lineRule="auto"/>
        <w:rPr>
          <w:rFonts w:ascii="Arial" w:hAnsi="Arial" w:cs="Arial"/>
          <w:sz w:val="22"/>
          <w:szCs w:val="22"/>
        </w:rPr>
      </w:pPr>
      <w:r w:rsidRPr="00DD3D23">
        <w:rPr>
          <w:rFonts w:ascii="Arial" w:hAnsi="Arial" w:cs="Arial"/>
          <w:sz w:val="22"/>
          <w:szCs w:val="22"/>
        </w:rPr>
        <w:t>Despite these criticisms, Erikson’s theory remains a valuable guiding framework when adapted sensitively. Its strengths lie in promoting dignity, emotional validation, and meaningful engagement—core principles of high-quality dementia care.</w:t>
      </w:r>
    </w:p>
    <w:p w14:paraId="7D447AA1" w14:textId="77777777" w:rsidR="009A455B" w:rsidRPr="00DD3D23" w:rsidRDefault="009A455B" w:rsidP="009A455B">
      <w:pPr>
        <w:spacing w:line="360" w:lineRule="auto"/>
        <w:rPr>
          <w:rFonts w:ascii="Arial" w:hAnsi="Arial" w:cs="Arial"/>
          <w:b/>
          <w:bCs/>
          <w:sz w:val="22"/>
          <w:szCs w:val="22"/>
        </w:rPr>
      </w:pPr>
      <w:r w:rsidRPr="00DD3D23">
        <w:rPr>
          <w:rFonts w:ascii="Arial" w:hAnsi="Arial" w:cs="Arial"/>
          <w:b/>
          <w:bCs/>
          <w:sz w:val="22"/>
          <w:szCs w:val="22"/>
        </w:rPr>
        <w:lastRenderedPageBreak/>
        <w:t>Challenges and Strategies</w:t>
      </w:r>
    </w:p>
    <w:p w14:paraId="47217204" w14:textId="77777777" w:rsidR="009A455B" w:rsidRPr="00DD3D23" w:rsidRDefault="009A455B" w:rsidP="009A455B">
      <w:pPr>
        <w:spacing w:line="360" w:lineRule="auto"/>
        <w:rPr>
          <w:rFonts w:ascii="Arial" w:hAnsi="Arial" w:cs="Arial"/>
          <w:b/>
          <w:bCs/>
          <w:sz w:val="22"/>
          <w:szCs w:val="22"/>
        </w:rPr>
      </w:pPr>
      <w:r w:rsidRPr="00DD3D23">
        <w:rPr>
          <w:rFonts w:ascii="Arial" w:hAnsi="Arial" w:cs="Arial"/>
          <w:b/>
          <w:bCs/>
          <w:sz w:val="22"/>
          <w:szCs w:val="22"/>
        </w:rPr>
        <w:t>Challenges:</w:t>
      </w:r>
    </w:p>
    <w:p w14:paraId="691FE349" w14:textId="77777777" w:rsidR="009A455B" w:rsidRPr="00DD3D23" w:rsidRDefault="009A455B" w:rsidP="009A455B">
      <w:pPr>
        <w:numPr>
          <w:ilvl w:val="0"/>
          <w:numId w:val="3"/>
        </w:numPr>
        <w:spacing w:line="360" w:lineRule="auto"/>
        <w:rPr>
          <w:rFonts w:ascii="Arial" w:hAnsi="Arial" w:cs="Arial"/>
          <w:sz w:val="22"/>
          <w:szCs w:val="22"/>
        </w:rPr>
      </w:pPr>
      <w:r w:rsidRPr="00DD3D23">
        <w:rPr>
          <w:rFonts w:ascii="Arial" w:hAnsi="Arial" w:cs="Arial"/>
          <w:sz w:val="22"/>
          <w:szCs w:val="22"/>
        </w:rPr>
        <w:t>Memory loss reduces the ability to recall past events clearly.</w:t>
      </w:r>
    </w:p>
    <w:p w14:paraId="075F4D93" w14:textId="77777777" w:rsidR="009A455B" w:rsidRPr="00DD3D23" w:rsidRDefault="009A455B" w:rsidP="009A455B">
      <w:pPr>
        <w:numPr>
          <w:ilvl w:val="0"/>
          <w:numId w:val="3"/>
        </w:numPr>
        <w:spacing w:line="360" w:lineRule="auto"/>
        <w:rPr>
          <w:rFonts w:ascii="Arial" w:hAnsi="Arial" w:cs="Arial"/>
          <w:sz w:val="22"/>
          <w:szCs w:val="22"/>
        </w:rPr>
      </w:pPr>
      <w:r w:rsidRPr="00DD3D23">
        <w:rPr>
          <w:rFonts w:ascii="Arial" w:hAnsi="Arial" w:cs="Arial"/>
          <w:sz w:val="22"/>
          <w:szCs w:val="22"/>
        </w:rPr>
        <w:t>Emotional responses may fluctuate or be unpredictable.</w:t>
      </w:r>
    </w:p>
    <w:p w14:paraId="6E2FC303" w14:textId="77777777" w:rsidR="009A455B" w:rsidRPr="00DD3D23" w:rsidRDefault="009A455B" w:rsidP="009A455B">
      <w:pPr>
        <w:numPr>
          <w:ilvl w:val="0"/>
          <w:numId w:val="3"/>
        </w:numPr>
        <w:spacing w:line="360" w:lineRule="auto"/>
        <w:rPr>
          <w:rFonts w:ascii="Arial" w:hAnsi="Arial" w:cs="Arial"/>
          <w:sz w:val="22"/>
          <w:szCs w:val="22"/>
        </w:rPr>
      </w:pPr>
      <w:r w:rsidRPr="00DD3D23">
        <w:rPr>
          <w:rFonts w:ascii="Arial" w:hAnsi="Arial" w:cs="Arial"/>
          <w:sz w:val="22"/>
          <w:szCs w:val="22"/>
        </w:rPr>
        <w:t>Reminiscence may trigger distress or confusion.</w:t>
      </w:r>
    </w:p>
    <w:p w14:paraId="39593649" w14:textId="77777777" w:rsidR="009A455B" w:rsidRPr="00DD3D23" w:rsidRDefault="009A455B" w:rsidP="009A455B">
      <w:pPr>
        <w:numPr>
          <w:ilvl w:val="0"/>
          <w:numId w:val="3"/>
        </w:numPr>
        <w:spacing w:line="360" w:lineRule="auto"/>
        <w:rPr>
          <w:rFonts w:ascii="Arial" w:hAnsi="Arial" w:cs="Arial"/>
          <w:sz w:val="22"/>
          <w:szCs w:val="22"/>
        </w:rPr>
      </w:pPr>
      <w:r w:rsidRPr="00DD3D23">
        <w:rPr>
          <w:rFonts w:ascii="Arial" w:hAnsi="Arial" w:cs="Arial"/>
          <w:sz w:val="22"/>
          <w:szCs w:val="22"/>
        </w:rPr>
        <w:t xml:space="preserve">Staff shortages may limit opportunities for </w:t>
      </w:r>
      <w:proofErr w:type="spellStart"/>
      <w:r w:rsidRPr="00DD3D23">
        <w:rPr>
          <w:rFonts w:ascii="Arial" w:hAnsi="Arial" w:cs="Arial"/>
          <w:sz w:val="22"/>
          <w:szCs w:val="22"/>
        </w:rPr>
        <w:t>personalised</w:t>
      </w:r>
      <w:proofErr w:type="spellEnd"/>
      <w:r w:rsidRPr="00DD3D23">
        <w:rPr>
          <w:rFonts w:ascii="Arial" w:hAnsi="Arial" w:cs="Arial"/>
          <w:sz w:val="22"/>
          <w:szCs w:val="22"/>
        </w:rPr>
        <w:t xml:space="preserve"> interaction.</w:t>
      </w:r>
    </w:p>
    <w:p w14:paraId="2E847373" w14:textId="77777777" w:rsidR="009A455B" w:rsidRPr="00DD3D23" w:rsidRDefault="009A455B" w:rsidP="009A455B">
      <w:pPr>
        <w:numPr>
          <w:ilvl w:val="0"/>
          <w:numId w:val="3"/>
        </w:numPr>
        <w:spacing w:line="360" w:lineRule="auto"/>
        <w:rPr>
          <w:rFonts w:ascii="Arial" w:hAnsi="Arial" w:cs="Arial"/>
          <w:sz w:val="22"/>
          <w:szCs w:val="22"/>
        </w:rPr>
      </w:pPr>
      <w:r w:rsidRPr="00DD3D23">
        <w:rPr>
          <w:rFonts w:ascii="Arial" w:hAnsi="Arial" w:cs="Arial"/>
          <w:sz w:val="22"/>
          <w:szCs w:val="22"/>
        </w:rPr>
        <w:t>Some residents may feel frustrated when unable to express themselves.</w:t>
      </w:r>
    </w:p>
    <w:p w14:paraId="2A4DCFF5" w14:textId="77777777" w:rsidR="009A455B" w:rsidRPr="00DD3D23" w:rsidRDefault="009A455B" w:rsidP="009A455B">
      <w:pPr>
        <w:spacing w:line="360" w:lineRule="auto"/>
        <w:rPr>
          <w:rFonts w:ascii="Arial" w:hAnsi="Arial" w:cs="Arial"/>
          <w:b/>
          <w:bCs/>
          <w:sz w:val="22"/>
          <w:szCs w:val="22"/>
        </w:rPr>
      </w:pPr>
      <w:r w:rsidRPr="00DD3D23">
        <w:rPr>
          <w:rFonts w:ascii="Arial" w:hAnsi="Arial" w:cs="Arial"/>
          <w:b/>
          <w:bCs/>
          <w:sz w:val="22"/>
          <w:szCs w:val="22"/>
        </w:rPr>
        <w:t>Strategies:</w:t>
      </w:r>
    </w:p>
    <w:p w14:paraId="062FA0EE" w14:textId="77777777" w:rsidR="009A455B" w:rsidRPr="00DD3D23" w:rsidRDefault="009A455B" w:rsidP="009A455B">
      <w:pPr>
        <w:numPr>
          <w:ilvl w:val="0"/>
          <w:numId w:val="4"/>
        </w:numPr>
        <w:spacing w:line="360" w:lineRule="auto"/>
        <w:rPr>
          <w:rFonts w:ascii="Arial" w:hAnsi="Arial" w:cs="Arial"/>
          <w:sz w:val="22"/>
          <w:szCs w:val="22"/>
        </w:rPr>
      </w:pPr>
      <w:r w:rsidRPr="00DD3D23">
        <w:rPr>
          <w:rFonts w:ascii="Arial" w:hAnsi="Arial" w:cs="Arial"/>
          <w:sz w:val="22"/>
          <w:szCs w:val="22"/>
        </w:rPr>
        <w:t>Use sensory-based reminiscence techniques, including music therapy, scents, tactile objects, and art-based activities.</w:t>
      </w:r>
    </w:p>
    <w:p w14:paraId="6C3D8367" w14:textId="77777777" w:rsidR="009A455B" w:rsidRPr="00DD3D23" w:rsidRDefault="009A455B" w:rsidP="009A455B">
      <w:pPr>
        <w:numPr>
          <w:ilvl w:val="0"/>
          <w:numId w:val="4"/>
        </w:numPr>
        <w:spacing w:line="360" w:lineRule="auto"/>
        <w:rPr>
          <w:rFonts w:ascii="Arial" w:hAnsi="Arial" w:cs="Arial"/>
          <w:sz w:val="22"/>
          <w:szCs w:val="22"/>
        </w:rPr>
      </w:pPr>
      <w:r w:rsidRPr="00DD3D23">
        <w:rPr>
          <w:rFonts w:ascii="Arial" w:hAnsi="Arial" w:cs="Arial"/>
          <w:sz w:val="22"/>
          <w:szCs w:val="22"/>
        </w:rPr>
        <w:t xml:space="preserve">Adopt trauma-informed care practices that </w:t>
      </w:r>
      <w:proofErr w:type="spellStart"/>
      <w:r w:rsidRPr="00DD3D23">
        <w:rPr>
          <w:rFonts w:ascii="Arial" w:hAnsi="Arial" w:cs="Arial"/>
          <w:sz w:val="22"/>
          <w:szCs w:val="22"/>
        </w:rPr>
        <w:t>prioritise</w:t>
      </w:r>
      <w:proofErr w:type="spellEnd"/>
      <w:r w:rsidRPr="00DD3D23">
        <w:rPr>
          <w:rFonts w:ascii="Arial" w:hAnsi="Arial" w:cs="Arial"/>
          <w:sz w:val="22"/>
          <w:szCs w:val="22"/>
        </w:rPr>
        <w:t xml:space="preserve"> emotional safety.</w:t>
      </w:r>
    </w:p>
    <w:p w14:paraId="0EE7086C" w14:textId="77777777" w:rsidR="009A455B" w:rsidRPr="00DD3D23" w:rsidRDefault="009A455B" w:rsidP="009A455B">
      <w:pPr>
        <w:numPr>
          <w:ilvl w:val="0"/>
          <w:numId w:val="4"/>
        </w:numPr>
        <w:spacing w:line="360" w:lineRule="auto"/>
        <w:rPr>
          <w:rFonts w:ascii="Arial" w:hAnsi="Arial" w:cs="Arial"/>
          <w:sz w:val="22"/>
          <w:szCs w:val="22"/>
        </w:rPr>
      </w:pPr>
      <w:r w:rsidRPr="00DD3D23">
        <w:rPr>
          <w:rFonts w:ascii="Arial" w:hAnsi="Arial" w:cs="Arial"/>
          <w:sz w:val="22"/>
          <w:szCs w:val="22"/>
        </w:rPr>
        <w:t>Integrate life story materials into daily routines, such as care planning and communication.</w:t>
      </w:r>
    </w:p>
    <w:p w14:paraId="503AD067" w14:textId="77777777" w:rsidR="009A455B" w:rsidRPr="00DD3D23" w:rsidRDefault="009A455B" w:rsidP="009A455B">
      <w:pPr>
        <w:numPr>
          <w:ilvl w:val="0"/>
          <w:numId w:val="4"/>
        </w:numPr>
        <w:spacing w:line="360" w:lineRule="auto"/>
        <w:rPr>
          <w:rFonts w:ascii="Arial" w:hAnsi="Arial" w:cs="Arial"/>
          <w:sz w:val="22"/>
          <w:szCs w:val="22"/>
        </w:rPr>
      </w:pPr>
      <w:r w:rsidRPr="00DD3D23">
        <w:rPr>
          <w:rFonts w:ascii="Arial" w:hAnsi="Arial" w:cs="Arial"/>
          <w:sz w:val="22"/>
          <w:szCs w:val="22"/>
        </w:rPr>
        <w:t>Offer frequent, brief interactions instead of long sessions that may overwhelm residents.</w:t>
      </w:r>
    </w:p>
    <w:p w14:paraId="7B59EFF5" w14:textId="77777777" w:rsidR="009A455B" w:rsidRPr="00DD3D23" w:rsidRDefault="009A455B" w:rsidP="009A455B">
      <w:pPr>
        <w:numPr>
          <w:ilvl w:val="0"/>
          <w:numId w:val="4"/>
        </w:numPr>
        <w:spacing w:line="360" w:lineRule="auto"/>
        <w:rPr>
          <w:rFonts w:ascii="Arial" w:hAnsi="Arial" w:cs="Arial"/>
          <w:sz w:val="22"/>
          <w:szCs w:val="22"/>
        </w:rPr>
      </w:pPr>
      <w:r w:rsidRPr="00DD3D23">
        <w:rPr>
          <w:rFonts w:ascii="Arial" w:hAnsi="Arial" w:cs="Arial"/>
          <w:sz w:val="22"/>
          <w:szCs w:val="22"/>
        </w:rPr>
        <w:t>Train staff in validation therapy, empathy, and non-confrontational communication techniques.</w:t>
      </w:r>
    </w:p>
    <w:p w14:paraId="44578376" w14:textId="77777777" w:rsidR="009A455B" w:rsidRPr="00DD3D23" w:rsidRDefault="009A455B" w:rsidP="009A455B">
      <w:pPr>
        <w:spacing w:line="360" w:lineRule="auto"/>
        <w:rPr>
          <w:rFonts w:ascii="Arial" w:hAnsi="Arial" w:cs="Arial"/>
          <w:sz w:val="22"/>
          <w:szCs w:val="22"/>
        </w:rPr>
      </w:pPr>
      <w:r w:rsidRPr="00DD3D23">
        <w:rPr>
          <w:rFonts w:ascii="Arial" w:hAnsi="Arial" w:cs="Arial"/>
          <w:sz w:val="22"/>
          <w:szCs w:val="22"/>
        </w:rPr>
        <w:t>Overall, Erikson’s Psychosocial Theory—when applied with flexibility—supports emotional wellbeing, identity preservation, and dignity for older adults living with dementia.</w:t>
      </w:r>
    </w:p>
    <w:p w14:paraId="6C5B30A3" w14:textId="77777777" w:rsidR="009A455B" w:rsidRPr="00DD3D23" w:rsidRDefault="009A455B" w:rsidP="009A455B">
      <w:pPr>
        <w:spacing w:line="360" w:lineRule="auto"/>
        <w:rPr>
          <w:rFonts w:ascii="Arial" w:hAnsi="Arial" w:cs="Arial"/>
          <w:b/>
          <w:bCs/>
          <w:sz w:val="22"/>
          <w:szCs w:val="22"/>
        </w:rPr>
      </w:pPr>
    </w:p>
    <w:p w14:paraId="0165D734" w14:textId="77777777" w:rsidR="009A455B" w:rsidRPr="00DD3D23" w:rsidRDefault="009A455B" w:rsidP="009A455B">
      <w:pPr>
        <w:spacing w:line="360" w:lineRule="auto"/>
        <w:rPr>
          <w:rFonts w:ascii="Arial" w:hAnsi="Arial" w:cs="Arial"/>
          <w:b/>
          <w:bCs/>
          <w:sz w:val="22"/>
          <w:szCs w:val="22"/>
        </w:rPr>
      </w:pPr>
      <w:r w:rsidRPr="00DD3D23">
        <w:rPr>
          <w:rFonts w:ascii="Arial" w:hAnsi="Arial" w:cs="Arial"/>
          <w:b/>
          <w:bCs/>
          <w:sz w:val="22"/>
          <w:szCs w:val="22"/>
        </w:rPr>
        <w:t>2. Bandura’s Social Learning Theory</w:t>
      </w:r>
    </w:p>
    <w:p w14:paraId="3AFD8E47" w14:textId="77777777" w:rsidR="009A455B" w:rsidRPr="00DD3D23" w:rsidRDefault="009A455B" w:rsidP="009A455B">
      <w:pPr>
        <w:spacing w:line="360" w:lineRule="auto"/>
        <w:rPr>
          <w:rFonts w:ascii="Arial" w:hAnsi="Arial" w:cs="Arial"/>
          <w:b/>
          <w:bCs/>
          <w:sz w:val="22"/>
          <w:szCs w:val="22"/>
        </w:rPr>
      </w:pPr>
      <w:r w:rsidRPr="00DD3D23">
        <w:rPr>
          <w:rFonts w:ascii="Arial" w:hAnsi="Arial" w:cs="Arial"/>
          <w:b/>
          <w:bCs/>
          <w:sz w:val="22"/>
          <w:szCs w:val="22"/>
        </w:rPr>
        <w:t>Relevance for Adults Aged 65+</w:t>
      </w:r>
    </w:p>
    <w:p w14:paraId="2C480FF7" w14:textId="77777777" w:rsidR="009A455B" w:rsidRPr="00DD3D23" w:rsidRDefault="009A455B" w:rsidP="009A455B">
      <w:pPr>
        <w:spacing w:line="360" w:lineRule="auto"/>
        <w:rPr>
          <w:rFonts w:ascii="Arial" w:hAnsi="Arial" w:cs="Arial"/>
          <w:b/>
          <w:bCs/>
          <w:sz w:val="22"/>
          <w:szCs w:val="22"/>
        </w:rPr>
      </w:pPr>
      <w:r w:rsidRPr="00DD3D23">
        <w:rPr>
          <w:rFonts w:ascii="Arial" w:hAnsi="Arial" w:cs="Arial"/>
          <w:sz w:val="22"/>
          <w:szCs w:val="22"/>
        </w:rPr>
        <w:t xml:space="preserve">Bandura’s Social Learning Theory </w:t>
      </w:r>
      <w:proofErr w:type="spellStart"/>
      <w:r w:rsidRPr="00DD3D23">
        <w:rPr>
          <w:rFonts w:ascii="Arial" w:hAnsi="Arial" w:cs="Arial"/>
          <w:sz w:val="22"/>
          <w:szCs w:val="22"/>
        </w:rPr>
        <w:t>emphasises</w:t>
      </w:r>
      <w:proofErr w:type="spellEnd"/>
      <w:r w:rsidRPr="00DD3D23">
        <w:rPr>
          <w:rFonts w:ascii="Arial" w:hAnsi="Arial" w:cs="Arial"/>
          <w:sz w:val="22"/>
          <w:szCs w:val="22"/>
        </w:rPr>
        <w:t xml:space="preserve"> that learning occurs through observation, imitation, and reinforcement (Bandura, 1977). Key components include attention, retention, reproduction, and motivation. Although dementia affects memory and attention, older adults often retain the capacity for observational learning, especially in early and middle stages of the condition. Bandura’s concept of self-efficacy—the belief in one's ability to perform a task—is </w:t>
      </w:r>
      <w:r w:rsidRPr="00DD3D23">
        <w:rPr>
          <w:rFonts w:ascii="Arial" w:hAnsi="Arial" w:cs="Arial"/>
          <w:sz w:val="22"/>
          <w:szCs w:val="22"/>
        </w:rPr>
        <w:lastRenderedPageBreak/>
        <w:t>especially relevant in dementia care. As cognitive abilities decline, many individuals experience reduced confidence and increased dependency, which may lead to withdrawal or frustration</w:t>
      </w:r>
      <w:r w:rsidRPr="00DD3D23">
        <w:rPr>
          <w:rFonts w:ascii="Arial" w:hAnsi="Arial" w:cs="Arial"/>
          <w:b/>
          <w:bCs/>
          <w:sz w:val="22"/>
          <w:szCs w:val="22"/>
        </w:rPr>
        <w:t>.</w:t>
      </w:r>
    </w:p>
    <w:p w14:paraId="63993153" w14:textId="77777777" w:rsidR="009A455B" w:rsidRPr="00DD3D23" w:rsidRDefault="009A455B" w:rsidP="009A455B">
      <w:pPr>
        <w:spacing w:line="360" w:lineRule="auto"/>
        <w:rPr>
          <w:rFonts w:ascii="Arial" w:hAnsi="Arial" w:cs="Arial"/>
          <w:sz w:val="22"/>
          <w:szCs w:val="22"/>
        </w:rPr>
      </w:pPr>
      <w:r w:rsidRPr="00DD3D23">
        <w:rPr>
          <w:rFonts w:ascii="Arial" w:hAnsi="Arial" w:cs="Arial"/>
          <w:sz w:val="22"/>
          <w:szCs w:val="22"/>
        </w:rPr>
        <w:t xml:space="preserve">Applying Social Learning Theory in care settings can help residents maintain functional abilities, participate in meaningful activities, and regulate </w:t>
      </w:r>
      <w:proofErr w:type="spellStart"/>
      <w:r w:rsidRPr="00DD3D23">
        <w:rPr>
          <w:rFonts w:ascii="Arial" w:hAnsi="Arial" w:cs="Arial"/>
          <w:sz w:val="22"/>
          <w:szCs w:val="22"/>
        </w:rPr>
        <w:t>behaviour</w:t>
      </w:r>
      <w:proofErr w:type="spellEnd"/>
      <w:r w:rsidRPr="00DD3D23">
        <w:rPr>
          <w:rFonts w:ascii="Arial" w:hAnsi="Arial" w:cs="Arial"/>
          <w:sz w:val="22"/>
          <w:szCs w:val="22"/>
        </w:rPr>
        <w:t>. Positive reinforcement, consistent routines, and clear modelling by staff support engagement and reduce distress.</w:t>
      </w:r>
    </w:p>
    <w:p w14:paraId="070618A5" w14:textId="77777777" w:rsidR="009A455B" w:rsidRPr="00DD3D23" w:rsidRDefault="009A455B" w:rsidP="009A455B">
      <w:pPr>
        <w:spacing w:line="360" w:lineRule="auto"/>
        <w:rPr>
          <w:rFonts w:ascii="Arial" w:hAnsi="Arial" w:cs="Arial"/>
          <w:b/>
          <w:bCs/>
          <w:sz w:val="22"/>
          <w:szCs w:val="22"/>
        </w:rPr>
      </w:pPr>
      <w:r w:rsidRPr="00DD3D23">
        <w:rPr>
          <w:rFonts w:ascii="Arial" w:hAnsi="Arial" w:cs="Arial"/>
          <w:b/>
          <w:bCs/>
          <w:sz w:val="22"/>
          <w:szCs w:val="22"/>
        </w:rPr>
        <w:t>Application in a Dementia Care Home</w:t>
      </w:r>
    </w:p>
    <w:p w14:paraId="0FEC1D1A" w14:textId="77777777" w:rsidR="009A455B" w:rsidRPr="00DD3D23" w:rsidRDefault="009A455B" w:rsidP="009A455B">
      <w:pPr>
        <w:numPr>
          <w:ilvl w:val="0"/>
          <w:numId w:val="5"/>
        </w:numPr>
        <w:spacing w:line="360" w:lineRule="auto"/>
        <w:rPr>
          <w:rFonts w:ascii="Arial" w:hAnsi="Arial" w:cs="Arial"/>
          <w:sz w:val="22"/>
          <w:szCs w:val="22"/>
        </w:rPr>
      </w:pPr>
      <w:proofErr w:type="spellStart"/>
      <w:r w:rsidRPr="00DD3D23">
        <w:rPr>
          <w:rFonts w:ascii="Arial" w:hAnsi="Arial" w:cs="Arial"/>
          <w:sz w:val="22"/>
          <w:szCs w:val="22"/>
        </w:rPr>
        <w:t>Behaviour</w:t>
      </w:r>
      <w:proofErr w:type="spellEnd"/>
      <w:r w:rsidRPr="00DD3D23">
        <w:rPr>
          <w:rFonts w:ascii="Arial" w:hAnsi="Arial" w:cs="Arial"/>
          <w:sz w:val="22"/>
          <w:szCs w:val="22"/>
        </w:rPr>
        <w:t xml:space="preserve"> Modelling by Staff</w:t>
      </w:r>
      <w:r w:rsidRPr="00DD3D23">
        <w:rPr>
          <w:rFonts w:ascii="Arial" w:hAnsi="Arial" w:cs="Arial"/>
          <w:sz w:val="22"/>
          <w:szCs w:val="22"/>
        </w:rPr>
        <w:br/>
        <w:t xml:space="preserve">Residents frequently mirror the emotional tone of staff. When staff demonstrate calm, patient, and empathetic </w:t>
      </w:r>
      <w:proofErr w:type="spellStart"/>
      <w:r w:rsidRPr="00DD3D23">
        <w:rPr>
          <w:rFonts w:ascii="Arial" w:hAnsi="Arial" w:cs="Arial"/>
          <w:sz w:val="22"/>
          <w:szCs w:val="22"/>
        </w:rPr>
        <w:t>behaviour</w:t>
      </w:r>
      <w:proofErr w:type="spellEnd"/>
      <w:r w:rsidRPr="00DD3D23">
        <w:rPr>
          <w:rFonts w:ascii="Arial" w:hAnsi="Arial" w:cs="Arial"/>
          <w:sz w:val="22"/>
          <w:szCs w:val="22"/>
        </w:rPr>
        <w:t>, residents are more likely to remain settled. Conversely, rushed or anxious staff may unintentionally increase agitation or confusion among residents. Consistent modelling helps establish a stable emotional environment.</w:t>
      </w:r>
    </w:p>
    <w:p w14:paraId="702539E5" w14:textId="77777777" w:rsidR="009A455B" w:rsidRPr="00DD3D23" w:rsidRDefault="009A455B" w:rsidP="009A455B">
      <w:pPr>
        <w:numPr>
          <w:ilvl w:val="0"/>
          <w:numId w:val="5"/>
        </w:numPr>
        <w:spacing w:line="360" w:lineRule="auto"/>
        <w:rPr>
          <w:rFonts w:ascii="Arial" w:hAnsi="Arial" w:cs="Arial"/>
          <w:sz w:val="22"/>
          <w:szCs w:val="22"/>
        </w:rPr>
      </w:pPr>
      <w:r w:rsidRPr="00DD3D23">
        <w:rPr>
          <w:rFonts w:ascii="Arial" w:hAnsi="Arial" w:cs="Arial"/>
          <w:b/>
          <w:bCs/>
          <w:sz w:val="22"/>
          <w:szCs w:val="22"/>
        </w:rPr>
        <w:t>Demonstration of Daily Tasks</w:t>
      </w:r>
      <w:r w:rsidRPr="00DD3D23">
        <w:rPr>
          <w:rFonts w:ascii="Arial" w:hAnsi="Arial" w:cs="Arial"/>
          <w:b/>
          <w:bCs/>
          <w:sz w:val="22"/>
          <w:szCs w:val="22"/>
        </w:rPr>
        <w:br/>
      </w:r>
      <w:r w:rsidRPr="00DD3D23">
        <w:rPr>
          <w:rFonts w:ascii="Arial" w:hAnsi="Arial" w:cs="Arial"/>
          <w:sz w:val="22"/>
          <w:szCs w:val="22"/>
        </w:rPr>
        <w:t>Breaking tasks into simple, visual steps—such as demonstrating brushing teeth, washing hands, or getting dressed—supports residents who struggle with sequencing or initiation. Staff engaging in “hand-over-hand” guidance or performing tasks alongside residents increases confidence and participation.</w:t>
      </w:r>
    </w:p>
    <w:p w14:paraId="5F2B0305" w14:textId="77777777" w:rsidR="009A455B" w:rsidRPr="00DD3D23" w:rsidRDefault="009A455B" w:rsidP="009A455B">
      <w:pPr>
        <w:numPr>
          <w:ilvl w:val="0"/>
          <w:numId w:val="5"/>
        </w:numPr>
        <w:spacing w:line="360" w:lineRule="auto"/>
        <w:rPr>
          <w:rFonts w:ascii="Arial" w:hAnsi="Arial" w:cs="Arial"/>
          <w:sz w:val="22"/>
          <w:szCs w:val="22"/>
        </w:rPr>
      </w:pPr>
      <w:r w:rsidRPr="00DD3D23">
        <w:rPr>
          <w:rFonts w:ascii="Arial" w:hAnsi="Arial" w:cs="Arial"/>
          <w:b/>
          <w:bCs/>
          <w:sz w:val="22"/>
          <w:szCs w:val="22"/>
        </w:rPr>
        <w:t>Peer Modelling</w:t>
      </w:r>
      <w:r w:rsidRPr="00DD3D23">
        <w:rPr>
          <w:rFonts w:ascii="Arial" w:hAnsi="Arial" w:cs="Arial"/>
          <w:b/>
          <w:bCs/>
          <w:sz w:val="22"/>
          <w:szCs w:val="22"/>
        </w:rPr>
        <w:br/>
      </w:r>
      <w:r w:rsidRPr="00DD3D23">
        <w:rPr>
          <w:rFonts w:ascii="Arial" w:hAnsi="Arial" w:cs="Arial"/>
          <w:sz w:val="22"/>
          <w:szCs w:val="22"/>
        </w:rPr>
        <w:t>Group activities such as singing, gentle exercise, craft sessions, or communal dining provide opportunities for residents to observe and imitate others. Peer modelling reduces social isolation, encourages engagement, and fosters a sense of belonging, particularly for residents with mild to moderate dementia.</w:t>
      </w:r>
    </w:p>
    <w:p w14:paraId="101FC856" w14:textId="77777777" w:rsidR="009A455B" w:rsidRPr="00DD3D23" w:rsidRDefault="009A455B" w:rsidP="009A455B">
      <w:pPr>
        <w:numPr>
          <w:ilvl w:val="0"/>
          <w:numId w:val="5"/>
        </w:numPr>
        <w:spacing w:line="360" w:lineRule="auto"/>
        <w:rPr>
          <w:rFonts w:ascii="Arial" w:hAnsi="Arial" w:cs="Arial"/>
          <w:sz w:val="22"/>
          <w:szCs w:val="22"/>
        </w:rPr>
      </w:pPr>
      <w:r w:rsidRPr="00DD3D23">
        <w:rPr>
          <w:rFonts w:ascii="Arial" w:hAnsi="Arial" w:cs="Arial"/>
          <w:b/>
          <w:bCs/>
          <w:sz w:val="22"/>
          <w:szCs w:val="22"/>
        </w:rPr>
        <w:t>Positive Reinforcement</w:t>
      </w:r>
      <w:r w:rsidRPr="00DD3D23">
        <w:rPr>
          <w:rFonts w:ascii="Arial" w:hAnsi="Arial" w:cs="Arial"/>
          <w:b/>
          <w:bCs/>
          <w:sz w:val="22"/>
          <w:szCs w:val="22"/>
        </w:rPr>
        <w:br/>
      </w:r>
      <w:r w:rsidRPr="00DD3D23">
        <w:rPr>
          <w:rFonts w:ascii="Arial" w:hAnsi="Arial" w:cs="Arial"/>
          <w:sz w:val="22"/>
          <w:szCs w:val="22"/>
        </w:rPr>
        <w:t xml:space="preserve">Immediate and consistent praise, encouragement, and reassurance strengthen desirable </w:t>
      </w:r>
      <w:proofErr w:type="spellStart"/>
      <w:r w:rsidRPr="00DD3D23">
        <w:rPr>
          <w:rFonts w:ascii="Arial" w:hAnsi="Arial" w:cs="Arial"/>
          <w:sz w:val="22"/>
          <w:szCs w:val="22"/>
        </w:rPr>
        <w:t>behaviours</w:t>
      </w:r>
      <w:proofErr w:type="spellEnd"/>
      <w:r w:rsidRPr="00DD3D23">
        <w:rPr>
          <w:rFonts w:ascii="Arial" w:hAnsi="Arial" w:cs="Arial"/>
          <w:sz w:val="22"/>
          <w:szCs w:val="22"/>
        </w:rPr>
        <w:t>. Positive reinforcement also enhances self-efficacy, helping residents feel capable of engaging in tasks despite cognitive challenges.</w:t>
      </w:r>
    </w:p>
    <w:p w14:paraId="2E5545D6" w14:textId="77777777" w:rsidR="009A455B" w:rsidRPr="00DD3D23" w:rsidRDefault="009A455B" w:rsidP="009A455B">
      <w:pPr>
        <w:spacing w:line="360" w:lineRule="auto"/>
        <w:rPr>
          <w:rFonts w:ascii="Arial" w:hAnsi="Arial" w:cs="Arial"/>
          <w:b/>
          <w:bCs/>
          <w:sz w:val="22"/>
          <w:szCs w:val="22"/>
        </w:rPr>
      </w:pPr>
      <w:r w:rsidRPr="00DD3D23">
        <w:rPr>
          <w:rFonts w:ascii="Arial" w:hAnsi="Arial" w:cs="Arial"/>
          <w:b/>
          <w:bCs/>
          <w:sz w:val="22"/>
          <w:szCs w:val="22"/>
        </w:rPr>
        <w:t>Critical Evaluation</w:t>
      </w:r>
    </w:p>
    <w:p w14:paraId="1864FE3B" w14:textId="77777777" w:rsidR="009A455B" w:rsidRPr="00DD3D23" w:rsidRDefault="009A455B" w:rsidP="009A455B">
      <w:pPr>
        <w:spacing w:line="360" w:lineRule="auto"/>
        <w:rPr>
          <w:rFonts w:ascii="Arial" w:hAnsi="Arial" w:cs="Arial"/>
          <w:sz w:val="22"/>
          <w:szCs w:val="22"/>
        </w:rPr>
      </w:pPr>
      <w:r w:rsidRPr="00DD3D23">
        <w:rPr>
          <w:rFonts w:ascii="Arial" w:hAnsi="Arial" w:cs="Arial"/>
          <w:sz w:val="22"/>
          <w:szCs w:val="22"/>
        </w:rPr>
        <w:t xml:space="preserve">Bandura’s theory offers practical strategies for promoting engagement and </w:t>
      </w:r>
      <w:proofErr w:type="spellStart"/>
      <w:r w:rsidRPr="00DD3D23">
        <w:rPr>
          <w:rFonts w:ascii="Arial" w:hAnsi="Arial" w:cs="Arial"/>
          <w:sz w:val="22"/>
          <w:szCs w:val="22"/>
        </w:rPr>
        <w:t>behaviour</w:t>
      </w:r>
      <w:proofErr w:type="spellEnd"/>
      <w:r w:rsidRPr="00DD3D23">
        <w:rPr>
          <w:rFonts w:ascii="Arial" w:hAnsi="Arial" w:cs="Arial"/>
          <w:sz w:val="22"/>
          <w:szCs w:val="22"/>
        </w:rPr>
        <w:t xml:space="preserve"> regulation in dementia care. The emphasis on modelling and reinforcement aligns with structured, supportive care routines commonly used in residential settings. Many forms of </w:t>
      </w:r>
      <w:proofErr w:type="spellStart"/>
      <w:r w:rsidRPr="00DD3D23">
        <w:rPr>
          <w:rFonts w:ascii="Arial" w:hAnsi="Arial" w:cs="Arial"/>
          <w:sz w:val="22"/>
          <w:szCs w:val="22"/>
        </w:rPr>
        <w:t>behaviour</w:t>
      </w:r>
      <w:proofErr w:type="spellEnd"/>
      <w:r w:rsidRPr="00DD3D23">
        <w:rPr>
          <w:rFonts w:ascii="Arial" w:hAnsi="Arial" w:cs="Arial"/>
          <w:sz w:val="22"/>
          <w:szCs w:val="22"/>
        </w:rPr>
        <w:t xml:space="preserve"> exhibited by residents—such as mirroring emotional states or responding to staff tone—can be understood through a social learning lens.</w:t>
      </w:r>
    </w:p>
    <w:p w14:paraId="7579EEF4" w14:textId="77777777" w:rsidR="009A455B" w:rsidRPr="00DD3D23" w:rsidRDefault="009A455B" w:rsidP="009A455B">
      <w:pPr>
        <w:spacing w:line="360" w:lineRule="auto"/>
        <w:rPr>
          <w:rFonts w:ascii="Arial" w:hAnsi="Arial" w:cs="Arial"/>
          <w:sz w:val="22"/>
          <w:szCs w:val="22"/>
        </w:rPr>
      </w:pPr>
      <w:r w:rsidRPr="00DD3D23">
        <w:rPr>
          <w:rFonts w:ascii="Arial" w:hAnsi="Arial" w:cs="Arial"/>
          <w:sz w:val="22"/>
          <w:szCs w:val="22"/>
        </w:rPr>
        <w:lastRenderedPageBreak/>
        <w:t xml:space="preserve">However, cognitive decline presents challenges. Dementia affects attention, memory retention, and the ability to imitate complex </w:t>
      </w:r>
      <w:proofErr w:type="spellStart"/>
      <w:r w:rsidRPr="00DD3D23">
        <w:rPr>
          <w:rFonts w:ascii="Arial" w:hAnsi="Arial" w:cs="Arial"/>
          <w:sz w:val="22"/>
          <w:szCs w:val="22"/>
        </w:rPr>
        <w:t>behaviours</w:t>
      </w:r>
      <w:proofErr w:type="spellEnd"/>
      <w:r w:rsidRPr="00DD3D23">
        <w:rPr>
          <w:rFonts w:ascii="Arial" w:hAnsi="Arial" w:cs="Arial"/>
          <w:sz w:val="22"/>
          <w:szCs w:val="22"/>
        </w:rPr>
        <w:t>. Some residents may not recall</w:t>
      </w:r>
      <w:r w:rsidRPr="00DD3D23">
        <w:rPr>
          <w:rFonts w:ascii="Arial" w:hAnsi="Arial" w:cs="Arial"/>
          <w:b/>
          <w:bCs/>
          <w:sz w:val="22"/>
          <w:szCs w:val="22"/>
        </w:rPr>
        <w:t xml:space="preserve"> demonstrated </w:t>
      </w:r>
      <w:proofErr w:type="spellStart"/>
      <w:r w:rsidRPr="00DD3D23">
        <w:rPr>
          <w:rFonts w:ascii="Arial" w:hAnsi="Arial" w:cs="Arial"/>
          <w:sz w:val="22"/>
          <w:szCs w:val="22"/>
        </w:rPr>
        <w:t>behaviours</w:t>
      </w:r>
      <w:proofErr w:type="spellEnd"/>
      <w:r w:rsidRPr="00DD3D23">
        <w:rPr>
          <w:rFonts w:ascii="Arial" w:hAnsi="Arial" w:cs="Arial"/>
          <w:sz w:val="22"/>
          <w:szCs w:val="22"/>
        </w:rPr>
        <w:t xml:space="preserve"> or may become confused if staff provide inconsistent cues. Peer modelling may also be ineffective if cognitive abilities vary significantly within groups.</w:t>
      </w:r>
    </w:p>
    <w:p w14:paraId="61D0F874" w14:textId="77777777" w:rsidR="009A455B" w:rsidRPr="00DD3D23" w:rsidRDefault="009A455B" w:rsidP="009A455B">
      <w:pPr>
        <w:spacing w:line="360" w:lineRule="auto"/>
        <w:rPr>
          <w:rFonts w:ascii="Arial" w:hAnsi="Arial" w:cs="Arial"/>
          <w:sz w:val="22"/>
          <w:szCs w:val="22"/>
        </w:rPr>
      </w:pPr>
      <w:r w:rsidRPr="00DD3D23">
        <w:rPr>
          <w:rFonts w:ascii="Arial" w:hAnsi="Arial" w:cs="Arial"/>
          <w:sz w:val="22"/>
          <w:szCs w:val="22"/>
        </w:rPr>
        <w:t xml:space="preserve">Furthermore, Social Learning Theory assumes that individuals are active participants in observing and imitating </w:t>
      </w:r>
      <w:proofErr w:type="spellStart"/>
      <w:r w:rsidRPr="00DD3D23">
        <w:rPr>
          <w:rFonts w:ascii="Arial" w:hAnsi="Arial" w:cs="Arial"/>
          <w:sz w:val="22"/>
          <w:szCs w:val="22"/>
        </w:rPr>
        <w:t>behaviours</w:t>
      </w:r>
      <w:proofErr w:type="spellEnd"/>
      <w:r w:rsidRPr="00DD3D23">
        <w:rPr>
          <w:rFonts w:ascii="Arial" w:hAnsi="Arial" w:cs="Arial"/>
          <w:sz w:val="22"/>
          <w:szCs w:val="22"/>
        </w:rPr>
        <w:t>, which may not always apply to individuals in later stages of dementia. Simplification, repetition, and structured environments are therefore essential.</w:t>
      </w:r>
    </w:p>
    <w:p w14:paraId="28D8770C" w14:textId="77777777" w:rsidR="009A455B" w:rsidRPr="00DD3D23" w:rsidRDefault="009A455B" w:rsidP="009A455B">
      <w:pPr>
        <w:spacing w:line="360" w:lineRule="auto"/>
        <w:rPr>
          <w:rFonts w:ascii="Arial" w:hAnsi="Arial" w:cs="Arial"/>
          <w:sz w:val="22"/>
          <w:szCs w:val="22"/>
        </w:rPr>
      </w:pPr>
      <w:r w:rsidRPr="00DD3D23">
        <w:rPr>
          <w:rFonts w:ascii="Arial" w:hAnsi="Arial" w:cs="Arial"/>
          <w:sz w:val="22"/>
          <w:szCs w:val="22"/>
        </w:rPr>
        <w:t>Despite limitations, research indicates that individuals with dementia benefit from modelling when tasks are broken down into achievable steps, cues are consistent, and reinforcement is immediate (Beard, 2012). When implemented carefully, Social Learning Theory supports independence, reduces anxiety, and enhances quality of life.</w:t>
      </w:r>
    </w:p>
    <w:p w14:paraId="135BD955" w14:textId="77777777" w:rsidR="009A455B" w:rsidRPr="00DD3D23" w:rsidRDefault="009A455B" w:rsidP="009A455B">
      <w:pPr>
        <w:spacing w:line="360" w:lineRule="auto"/>
        <w:rPr>
          <w:rFonts w:ascii="Arial" w:hAnsi="Arial" w:cs="Arial"/>
          <w:b/>
          <w:bCs/>
          <w:sz w:val="22"/>
          <w:szCs w:val="22"/>
        </w:rPr>
      </w:pPr>
      <w:r w:rsidRPr="00DD3D23">
        <w:rPr>
          <w:rFonts w:ascii="Arial" w:hAnsi="Arial" w:cs="Arial"/>
          <w:b/>
          <w:bCs/>
          <w:sz w:val="22"/>
          <w:szCs w:val="22"/>
        </w:rPr>
        <w:t>Challenges and Strategies</w:t>
      </w:r>
    </w:p>
    <w:p w14:paraId="45AD60C7" w14:textId="77777777" w:rsidR="009A455B" w:rsidRPr="00DD3D23" w:rsidRDefault="009A455B" w:rsidP="009A455B">
      <w:pPr>
        <w:spacing w:line="360" w:lineRule="auto"/>
        <w:rPr>
          <w:rFonts w:ascii="Arial" w:hAnsi="Arial" w:cs="Arial"/>
          <w:b/>
          <w:bCs/>
          <w:sz w:val="22"/>
          <w:szCs w:val="22"/>
        </w:rPr>
      </w:pPr>
      <w:r w:rsidRPr="00DD3D23">
        <w:rPr>
          <w:rFonts w:ascii="Arial" w:hAnsi="Arial" w:cs="Arial"/>
          <w:b/>
          <w:bCs/>
          <w:sz w:val="22"/>
          <w:szCs w:val="22"/>
        </w:rPr>
        <w:t>Challenges:</w:t>
      </w:r>
    </w:p>
    <w:p w14:paraId="27669666" w14:textId="77777777" w:rsidR="009A455B" w:rsidRPr="00DD3D23" w:rsidRDefault="009A455B" w:rsidP="009A455B">
      <w:pPr>
        <w:numPr>
          <w:ilvl w:val="0"/>
          <w:numId w:val="6"/>
        </w:numPr>
        <w:spacing w:line="360" w:lineRule="auto"/>
        <w:rPr>
          <w:rFonts w:ascii="Arial" w:hAnsi="Arial" w:cs="Arial"/>
          <w:sz w:val="22"/>
          <w:szCs w:val="22"/>
        </w:rPr>
      </w:pPr>
      <w:r w:rsidRPr="00DD3D23">
        <w:rPr>
          <w:rFonts w:ascii="Arial" w:hAnsi="Arial" w:cs="Arial"/>
          <w:sz w:val="22"/>
          <w:szCs w:val="22"/>
        </w:rPr>
        <w:t>Memory impairment may limit retention.</w:t>
      </w:r>
    </w:p>
    <w:p w14:paraId="25A4944F" w14:textId="77777777" w:rsidR="009A455B" w:rsidRPr="00DD3D23" w:rsidRDefault="009A455B" w:rsidP="009A455B">
      <w:pPr>
        <w:numPr>
          <w:ilvl w:val="0"/>
          <w:numId w:val="6"/>
        </w:numPr>
        <w:spacing w:line="360" w:lineRule="auto"/>
        <w:rPr>
          <w:rFonts w:ascii="Arial" w:hAnsi="Arial" w:cs="Arial"/>
          <w:sz w:val="22"/>
          <w:szCs w:val="22"/>
        </w:rPr>
      </w:pPr>
      <w:r w:rsidRPr="00DD3D23">
        <w:rPr>
          <w:rFonts w:ascii="Arial" w:hAnsi="Arial" w:cs="Arial"/>
          <w:sz w:val="22"/>
          <w:szCs w:val="22"/>
        </w:rPr>
        <w:t>Inconsistent staff practices may create confusion or distress.</w:t>
      </w:r>
    </w:p>
    <w:p w14:paraId="35DA5897" w14:textId="77777777" w:rsidR="009A455B" w:rsidRPr="00DD3D23" w:rsidRDefault="009A455B" w:rsidP="009A455B">
      <w:pPr>
        <w:numPr>
          <w:ilvl w:val="0"/>
          <w:numId w:val="6"/>
        </w:numPr>
        <w:spacing w:line="360" w:lineRule="auto"/>
        <w:rPr>
          <w:rFonts w:ascii="Arial" w:hAnsi="Arial" w:cs="Arial"/>
          <w:sz w:val="22"/>
          <w:szCs w:val="22"/>
        </w:rPr>
      </w:pPr>
      <w:r w:rsidRPr="00DD3D23">
        <w:rPr>
          <w:rFonts w:ascii="Arial" w:hAnsi="Arial" w:cs="Arial"/>
          <w:sz w:val="22"/>
          <w:szCs w:val="22"/>
        </w:rPr>
        <w:t>Cognitive abilities may vary between residents, affecting group learning.</w:t>
      </w:r>
    </w:p>
    <w:p w14:paraId="1485740C" w14:textId="77777777" w:rsidR="009A455B" w:rsidRPr="00DD3D23" w:rsidRDefault="009A455B" w:rsidP="009A455B">
      <w:pPr>
        <w:numPr>
          <w:ilvl w:val="0"/>
          <w:numId w:val="6"/>
        </w:numPr>
        <w:spacing w:line="360" w:lineRule="auto"/>
        <w:rPr>
          <w:rFonts w:ascii="Arial" w:hAnsi="Arial" w:cs="Arial"/>
          <w:sz w:val="22"/>
          <w:szCs w:val="22"/>
        </w:rPr>
      </w:pPr>
      <w:r w:rsidRPr="00DD3D23">
        <w:rPr>
          <w:rFonts w:ascii="Arial" w:hAnsi="Arial" w:cs="Arial"/>
          <w:sz w:val="22"/>
          <w:szCs w:val="22"/>
        </w:rPr>
        <w:t>Short attention spans may reduce the effectiveness of modelling.</w:t>
      </w:r>
    </w:p>
    <w:p w14:paraId="5EC1A602" w14:textId="77777777" w:rsidR="009A455B" w:rsidRPr="00DD3D23" w:rsidRDefault="009A455B" w:rsidP="009A455B">
      <w:pPr>
        <w:numPr>
          <w:ilvl w:val="0"/>
          <w:numId w:val="6"/>
        </w:numPr>
        <w:spacing w:line="360" w:lineRule="auto"/>
        <w:rPr>
          <w:rFonts w:ascii="Arial" w:hAnsi="Arial" w:cs="Arial"/>
          <w:sz w:val="22"/>
          <w:szCs w:val="22"/>
        </w:rPr>
      </w:pPr>
      <w:r w:rsidRPr="00DD3D23">
        <w:rPr>
          <w:rFonts w:ascii="Arial" w:hAnsi="Arial" w:cs="Arial"/>
          <w:sz w:val="22"/>
          <w:szCs w:val="22"/>
        </w:rPr>
        <w:t>Task complexity may overwhelm some residents.</w:t>
      </w:r>
    </w:p>
    <w:p w14:paraId="460A76AA" w14:textId="77777777" w:rsidR="009A455B" w:rsidRPr="00DD3D23" w:rsidRDefault="009A455B" w:rsidP="009A455B">
      <w:pPr>
        <w:spacing w:line="360" w:lineRule="auto"/>
        <w:rPr>
          <w:rFonts w:ascii="Arial" w:hAnsi="Arial" w:cs="Arial"/>
          <w:b/>
          <w:bCs/>
          <w:sz w:val="22"/>
          <w:szCs w:val="22"/>
        </w:rPr>
      </w:pPr>
      <w:r w:rsidRPr="00DD3D23">
        <w:rPr>
          <w:rFonts w:ascii="Arial" w:hAnsi="Arial" w:cs="Arial"/>
          <w:b/>
          <w:bCs/>
          <w:sz w:val="22"/>
          <w:szCs w:val="22"/>
        </w:rPr>
        <w:t>Strategies:</w:t>
      </w:r>
    </w:p>
    <w:p w14:paraId="1A772CBB" w14:textId="77777777" w:rsidR="009A455B" w:rsidRPr="00DD3D23" w:rsidRDefault="009A455B" w:rsidP="009A455B">
      <w:pPr>
        <w:numPr>
          <w:ilvl w:val="0"/>
          <w:numId w:val="7"/>
        </w:numPr>
        <w:spacing w:line="360" w:lineRule="auto"/>
        <w:rPr>
          <w:rFonts w:ascii="Arial" w:hAnsi="Arial" w:cs="Arial"/>
          <w:sz w:val="22"/>
          <w:szCs w:val="22"/>
        </w:rPr>
      </w:pPr>
      <w:r w:rsidRPr="00DD3D23">
        <w:rPr>
          <w:rFonts w:ascii="Arial" w:hAnsi="Arial" w:cs="Arial"/>
          <w:sz w:val="22"/>
          <w:szCs w:val="22"/>
        </w:rPr>
        <w:t>Provide slow, clear, and repetitive demonstrations.</w:t>
      </w:r>
    </w:p>
    <w:p w14:paraId="68FBB4A8" w14:textId="77777777" w:rsidR="009A455B" w:rsidRPr="00DD3D23" w:rsidRDefault="009A455B" w:rsidP="009A455B">
      <w:pPr>
        <w:numPr>
          <w:ilvl w:val="0"/>
          <w:numId w:val="7"/>
        </w:numPr>
        <w:spacing w:line="360" w:lineRule="auto"/>
        <w:rPr>
          <w:rFonts w:ascii="Arial" w:hAnsi="Arial" w:cs="Arial"/>
          <w:sz w:val="22"/>
          <w:szCs w:val="22"/>
        </w:rPr>
      </w:pPr>
      <w:r w:rsidRPr="00DD3D23">
        <w:rPr>
          <w:rFonts w:ascii="Arial" w:hAnsi="Arial" w:cs="Arial"/>
          <w:sz w:val="22"/>
          <w:szCs w:val="22"/>
        </w:rPr>
        <w:t>Establish consistent routines with predictable sequences.</w:t>
      </w:r>
    </w:p>
    <w:p w14:paraId="1B4E901D" w14:textId="77777777" w:rsidR="009A455B" w:rsidRPr="00DD3D23" w:rsidRDefault="009A455B" w:rsidP="009A455B">
      <w:pPr>
        <w:numPr>
          <w:ilvl w:val="0"/>
          <w:numId w:val="7"/>
        </w:numPr>
        <w:spacing w:line="360" w:lineRule="auto"/>
        <w:rPr>
          <w:rFonts w:ascii="Arial" w:hAnsi="Arial" w:cs="Arial"/>
          <w:sz w:val="22"/>
          <w:szCs w:val="22"/>
        </w:rPr>
      </w:pPr>
      <w:r w:rsidRPr="00DD3D23">
        <w:rPr>
          <w:rFonts w:ascii="Arial" w:hAnsi="Arial" w:cs="Arial"/>
          <w:sz w:val="22"/>
          <w:szCs w:val="22"/>
        </w:rPr>
        <w:t xml:space="preserve">Train all staff to adopt calm, uniform communication and </w:t>
      </w:r>
      <w:proofErr w:type="spellStart"/>
      <w:r w:rsidRPr="00DD3D23">
        <w:rPr>
          <w:rFonts w:ascii="Arial" w:hAnsi="Arial" w:cs="Arial"/>
          <w:sz w:val="22"/>
          <w:szCs w:val="22"/>
        </w:rPr>
        <w:t>behaviour</w:t>
      </w:r>
      <w:proofErr w:type="spellEnd"/>
      <w:r w:rsidRPr="00DD3D23">
        <w:rPr>
          <w:rFonts w:ascii="Arial" w:hAnsi="Arial" w:cs="Arial"/>
          <w:sz w:val="22"/>
          <w:szCs w:val="22"/>
        </w:rPr>
        <w:t xml:space="preserve"> approaches.</w:t>
      </w:r>
    </w:p>
    <w:p w14:paraId="2FFB5E69" w14:textId="77777777" w:rsidR="009A455B" w:rsidRPr="00DD3D23" w:rsidRDefault="009A455B" w:rsidP="009A455B">
      <w:pPr>
        <w:numPr>
          <w:ilvl w:val="0"/>
          <w:numId w:val="7"/>
        </w:numPr>
        <w:spacing w:line="360" w:lineRule="auto"/>
        <w:rPr>
          <w:rFonts w:ascii="Arial" w:hAnsi="Arial" w:cs="Arial"/>
          <w:sz w:val="22"/>
          <w:szCs w:val="22"/>
        </w:rPr>
      </w:pPr>
      <w:r w:rsidRPr="00DD3D23">
        <w:rPr>
          <w:rFonts w:ascii="Arial" w:hAnsi="Arial" w:cs="Arial"/>
          <w:sz w:val="22"/>
          <w:szCs w:val="22"/>
        </w:rPr>
        <w:t xml:space="preserve">Group residents by cognitive ability to </w:t>
      </w:r>
      <w:proofErr w:type="spellStart"/>
      <w:r w:rsidRPr="00DD3D23">
        <w:rPr>
          <w:rFonts w:ascii="Arial" w:hAnsi="Arial" w:cs="Arial"/>
          <w:sz w:val="22"/>
          <w:szCs w:val="22"/>
        </w:rPr>
        <w:t>optimise</w:t>
      </w:r>
      <w:proofErr w:type="spellEnd"/>
      <w:r w:rsidRPr="00DD3D23">
        <w:rPr>
          <w:rFonts w:ascii="Arial" w:hAnsi="Arial" w:cs="Arial"/>
          <w:sz w:val="22"/>
          <w:szCs w:val="22"/>
        </w:rPr>
        <w:t xml:space="preserve"> peer modelling.</w:t>
      </w:r>
    </w:p>
    <w:p w14:paraId="5961AC9F" w14:textId="77777777" w:rsidR="009A455B" w:rsidRPr="00DD3D23" w:rsidRDefault="009A455B" w:rsidP="009A455B">
      <w:pPr>
        <w:numPr>
          <w:ilvl w:val="0"/>
          <w:numId w:val="7"/>
        </w:numPr>
        <w:spacing w:line="360" w:lineRule="auto"/>
        <w:rPr>
          <w:rFonts w:ascii="Arial" w:hAnsi="Arial" w:cs="Arial"/>
          <w:sz w:val="22"/>
          <w:szCs w:val="22"/>
        </w:rPr>
      </w:pPr>
      <w:r w:rsidRPr="00DD3D23">
        <w:rPr>
          <w:rFonts w:ascii="Arial" w:hAnsi="Arial" w:cs="Arial"/>
          <w:sz w:val="22"/>
          <w:szCs w:val="22"/>
        </w:rPr>
        <w:t>Use frequent, immediate positive reinforcement.</w:t>
      </w:r>
    </w:p>
    <w:p w14:paraId="13283EBC" w14:textId="77777777" w:rsidR="009A455B" w:rsidRPr="00DD3D23" w:rsidRDefault="009A455B" w:rsidP="009A455B">
      <w:pPr>
        <w:numPr>
          <w:ilvl w:val="0"/>
          <w:numId w:val="7"/>
        </w:numPr>
        <w:spacing w:line="360" w:lineRule="auto"/>
        <w:rPr>
          <w:rFonts w:ascii="Arial" w:hAnsi="Arial" w:cs="Arial"/>
          <w:sz w:val="22"/>
          <w:szCs w:val="22"/>
        </w:rPr>
      </w:pPr>
      <w:r w:rsidRPr="00DD3D23">
        <w:rPr>
          <w:rFonts w:ascii="Arial" w:hAnsi="Arial" w:cs="Arial"/>
          <w:sz w:val="22"/>
          <w:szCs w:val="22"/>
        </w:rPr>
        <w:t>Break tasks into small, manageable steps with visual or tactile cues.</w:t>
      </w:r>
    </w:p>
    <w:p w14:paraId="09FB6627" w14:textId="77777777" w:rsidR="009A455B" w:rsidRPr="00DD3D23" w:rsidRDefault="009A455B" w:rsidP="009A455B">
      <w:pPr>
        <w:spacing w:line="360" w:lineRule="auto"/>
        <w:rPr>
          <w:rFonts w:ascii="Arial" w:hAnsi="Arial" w:cs="Arial"/>
          <w:sz w:val="22"/>
          <w:szCs w:val="22"/>
        </w:rPr>
      </w:pPr>
      <w:r w:rsidRPr="00DD3D23">
        <w:rPr>
          <w:rFonts w:ascii="Arial" w:hAnsi="Arial" w:cs="Arial"/>
          <w:sz w:val="22"/>
          <w:szCs w:val="22"/>
        </w:rPr>
        <w:t xml:space="preserve">Bandura’s theory, when adapted thoughtfully, offers a valuable framework for enhancing functional skills, promoting engagement, and reducing </w:t>
      </w:r>
      <w:proofErr w:type="spellStart"/>
      <w:r w:rsidRPr="00DD3D23">
        <w:rPr>
          <w:rFonts w:ascii="Arial" w:hAnsi="Arial" w:cs="Arial"/>
          <w:sz w:val="22"/>
          <w:szCs w:val="22"/>
        </w:rPr>
        <w:t>behavioural</w:t>
      </w:r>
      <w:proofErr w:type="spellEnd"/>
      <w:r w:rsidRPr="00DD3D23">
        <w:rPr>
          <w:rFonts w:ascii="Arial" w:hAnsi="Arial" w:cs="Arial"/>
          <w:sz w:val="22"/>
          <w:szCs w:val="22"/>
        </w:rPr>
        <w:t xml:space="preserve"> challenges.</w:t>
      </w:r>
    </w:p>
    <w:p w14:paraId="0C8A8DF5" w14:textId="77777777" w:rsidR="009A455B" w:rsidRPr="00DD3D23" w:rsidRDefault="009A455B" w:rsidP="009A455B">
      <w:pPr>
        <w:spacing w:line="360" w:lineRule="auto"/>
        <w:rPr>
          <w:rFonts w:ascii="Arial" w:hAnsi="Arial" w:cs="Arial"/>
          <w:b/>
          <w:bCs/>
          <w:sz w:val="22"/>
          <w:szCs w:val="22"/>
        </w:rPr>
      </w:pPr>
      <w:r w:rsidRPr="00DD3D23">
        <w:rPr>
          <w:rFonts w:ascii="Arial" w:hAnsi="Arial" w:cs="Arial"/>
          <w:b/>
          <w:bCs/>
          <w:sz w:val="22"/>
          <w:szCs w:val="22"/>
        </w:rPr>
        <w:lastRenderedPageBreak/>
        <w:t>Conclusion</w:t>
      </w:r>
    </w:p>
    <w:p w14:paraId="3A74B4CA" w14:textId="77777777" w:rsidR="009A455B" w:rsidRPr="00DD3D23" w:rsidRDefault="009A455B" w:rsidP="009A455B">
      <w:pPr>
        <w:spacing w:line="360" w:lineRule="auto"/>
        <w:rPr>
          <w:rFonts w:ascii="Arial" w:hAnsi="Arial" w:cs="Arial"/>
          <w:sz w:val="22"/>
          <w:szCs w:val="22"/>
        </w:rPr>
      </w:pPr>
      <w:r w:rsidRPr="00DD3D23">
        <w:rPr>
          <w:rFonts w:ascii="Arial" w:hAnsi="Arial" w:cs="Arial"/>
          <w:sz w:val="22"/>
          <w:szCs w:val="22"/>
        </w:rPr>
        <w:t>This report has demonstrated the important role psychological theories play in supporting older adults living with dementia in care home settings. Erikson’s Psychosocial Theory highlights the need for identity preservation, emotional validation, and meaningful engagement in later life. Life story work, reminiscence therapy, and person-</w:t>
      </w:r>
      <w:proofErr w:type="spellStart"/>
      <w:r w:rsidRPr="00DD3D23">
        <w:rPr>
          <w:rFonts w:ascii="Arial" w:hAnsi="Arial" w:cs="Arial"/>
          <w:sz w:val="22"/>
          <w:szCs w:val="22"/>
        </w:rPr>
        <w:t>centred</w:t>
      </w:r>
      <w:proofErr w:type="spellEnd"/>
      <w:r w:rsidRPr="00DD3D23">
        <w:rPr>
          <w:rFonts w:ascii="Arial" w:hAnsi="Arial" w:cs="Arial"/>
          <w:sz w:val="22"/>
          <w:szCs w:val="22"/>
        </w:rPr>
        <w:t xml:space="preserve"> communication help promote ego integrity, reduce despair, and uphold dignity. Although cognitive decline may restrict reflective capacity, emotional responses remain strong, and interventions grounded in Erikson’s theory continue to offer significant psychological benefits.</w:t>
      </w:r>
    </w:p>
    <w:p w14:paraId="2A48797C" w14:textId="77777777" w:rsidR="009A455B" w:rsidRPr="00DD3D23" w:rsidRDefault="009A455B" w:rsidP="009A455B">
      <w:pPr>
        <w:spacing w:line="360" w:lineRule="auto"/>
        <w:rPr>
          <w:rFonts w:ascii="Arial" w:hAnsi="Arial" w:cs="Arial"/>
          <w:sz w:val="22"/>
          <w:szCs w:val="22"/>
        </w:rPr>
      </w:pPr>
      <w:r w:rsidRPr="00DD3D23">
        <w:rPr>
          <w:rFonts w:ascii="Arial" w:hAnsi="Arial" w:cs="Arial"/>
          <w:sz w:val="22"/>
          <w:szCs w:val="22"/>
        </w:rPr>
        <w:t xml:space="preserve">Bandura’s Social Learning Theory provides practical strategies for supporting </w:t>
      </w:r>
      <w:proofErr w:type="spellStart"/>
      <w:r w:rsidRPr="00DD3D23">
        <w:rPr>
          <w:rFonts w:ascii="Arial" w:hAnsi="Arial" w:cs="Arial"/>
          <w:sz w:val="22"/>
          <w:szCs w:val="22"/>
        </w:rPr>
        <w:t>behaviour</w:t>
      </w:r>
      <w:proofErr w:type="spellEnd"/>
      <w:r w:rsidRPr="00DD3D23">
        <w:rPr>
          <w:rFonts w:ascii="Arial" w:hAnsi="Arial" w:cs="Arial"/>
          <w:sz w:val="22"/>
          <w:szCs w:val="22"/>
        </w:rPr>
        <w:t xml:space="preserve">, learning, and independence through modelling, demonstration, peer interaction, and reinforcement. Although dementia limits aspects of observational learning, consistent cues, simplified tasks, and positive reinforcement enable residents to maintain routines and social engagement. Both theories underscore the importance of compassionate, psychologically informed care that </w:t>
      </w:r>
      <w:proofErr w:type="spellStart"/>
      <w:r w:rsidRPr="00DD3D23">
        <w:rPr>
          <w:rFonts w:ascii="Arial" w:hAnsi="Arial" w:cs="Arial"/>
          <w:sz w:val="22"/>
          <w:szCs w:val="22"/>
        </w:rPr>
        <w:t>recognises</w:t>
      </w:r>
      <w:proofErr w:type="spellEnd"/>
      <w:r w:rsidRPr="00DD3D23">
        <w:rPr>
          <w:rFonts w:ascii="Arial" w:hAnsi="Arial" w:cs="Arial"/>
          <w:sz w:val="22"/>
          <w:szCs w:val="22"/>
        </w:rPr>
        <w:t xml:space="preserve"> residents as individuals with unique experiences, preferences, and emotional needs.</w:t>
      </w:r>
    </w:p>
    <w:p w14:paraId="39694431" w14:textId="77777777" w:rsidR="009A455B" w:rsidRPr="00DD3D23" w:rsidRDefault="009A455B" w:rsidP="009A455B">
      <w:pPr>
        <w:spacing w:line="360" w:lineRule="auto"/>
        <w:rPr>
          <w:rFonts w:ascii="Arial" w:hAnsi="Arial" w:cs="Arial"/>
          <w:sz w:val="22"/>
          <w:szCs w:val="22"/>
        </w:rPr>
      </w:pPr>
      <w:r w:rsidRPr="00DD3D23">
        <w:rPr>
          <w:rFonts w:ascii="Arial" w:hAnsi="Arial" w:cs="Arial"/>
          <w:sz w:val="22"/>
          <w:szCs w:val="22"/>
        </w:rPr>
        <w:t>Challenges such as memory loss, communication difficulties, emotional variability, and resource limitations can impact the application of these theories. However, strategies such as trauma-informed practice, structured routines, staff training, and sensory-based interventions help overcome these barriers. Incorporating psychological frameworks into dementia care enhances wellbeing, supports autonomy, and improves the quality of interaction between staff and residents. Ultimately, practitioners who draw upon Erikson’s and Bandura’s theories are better equipped to deliver holistic, person-</w:t>
      </w:r>
      <w:proofErr w:type="spellStart"/>
      <w:r w:rsidRPr="00DD3D23">
        <w:rPr>
          <w:rFonts w:ascii="Arial" w:hAnsi="Arial" w:cs="Arial"/>
          <w:sz w:val="22"/>
          <w:szCs w:val="22"/>
        </w:rPr>
        <w:t>centred</w:t>
      </w:r>
      <w:proofErr w:type="spellEnd"/>
      <w:r w:rsidRPr="00DD3D23">
        <w:rPr>
          <w:rFonts w:ascii="Arial" w:hAnsi="Arial" w:cs="Arial"/>
          <w:sz w:val="22"/>
          <w:szCs w:val="22"/>
        </w:rPr>
        <w:t xml:space="preserve"> care that </w:t>
      </w:r>
      <w:proofErr w:type="spellStart"/>
      <w:r w:rsidRPr="00DD3D23">
        <w:rPr>
          <w:rFonts w:ascii="Arial" w:hAnsi="Arial" w:cs="Arial"/>
          <w:sz w:val="22"/>
          <w:szCs w:val="22"/>
        </w:rPr>
        <w:t>honours</w:t>
      </w:r>
      <w:proofErr w:type="spellEnd"/>
      <w:r w:rsidRPr="00DD3D23">
        <w:rPr>
          <w:rFonts w:ascii="Arial" w:hAnsi="Arial" w:cs="Arial"/>
          <w:sz w:val="22"/>
          <w:szCs w:val="22"/>
        </w:rPr>
        <w:t xml:space="preserve"> the dignity and humanity of older adults living with dementia.</w:t>
      </w:r>
    </w:p>
    <w:p w14:paraId="1669E3D8" w14:textId="77777777" w:rsidR="009A455B" w:rsidRPr="00DD3D23" w:rsidRDefault="009A455B" w:rsidP="009A455B">
      <w:pPr>
        <w:spacing w:line="360" w:lineRule="auto"/>
        <w:rPr>
          <w:rFonts w:ascii="Arial" w:hAnsi="Arial" w:cs="Arial"/>
          <w:b/>
          <w:bCs/>
          <w:sz w:val="22"/>
          <w:szCs w:val="22"/>
        </w:rPr>
      </w:pPr>
      <w:r w:rsidRPr="00DD3D23">
        <w:rPr>
          <w:rFonts w:ascii="Arial" w:hAnsi="Arial" w:cs="Arial"/>
          <w:b/>
          <w:bCs/>
          <w:sz w:val="22"/>
          <w:szCs w:val="22"/>
        </w:rPr>
        <w:t>Main Reference List</w:t>
      </w:r>
    </w:p>
    <w:p w14:paraId="7756995A" w14:textId="77777777" w:rsidR="009A455B" w:rsidRPr="00DD3D23" w:rsidRDefault="009A455B" w:rsidP="009A455B">
      <w:pPr>
        <w:spacing w:line="360" w:lineRule="auto"/>
        <w:rPr>
          <w:rFonts w:ascii="Arial" w:hAnsi="Arial" w:cs="Arial"/>
          <w:sz w:val="22"/>
          <w:szCs w:val="22"/>
        </w:rPr>
      </w:pPr>
      <w:r w:rsidRPr="00DD3D23">
        <w:rPr>
          <w:rFonts w:ascii="Arial" w:hAnsi="Arial" w:cs="Arial"/>
          <w:sz w:val="22"/>
          <w:szCs w:val="22"/>
        </w:rPr>
        <w:t xml:space="preserve">Bandura, A. (1977) </w:t>
      </w:r>
      <w:r w:rsidRPr="00DD3D23">
        <w:rPr>
          <w:rFonts w:ascii="Arial" w:hAnsi="Arial" w:cs="Arial"/>
          <w:i/>
          <w:iCs/>
          <w:sz w:val="22"/>
          <w:szCs w:val="22"/>
        </w:rPr>
        <w:t>Social Learning Theory</w:t>
      </w:r>
      <w:r w:rsidRPr="00DD3D23">
        <w:rPr>
          <w:rFonts w:ascii="Arial" w:hAnsi="Arial" w:cs="Arial"/>
          <w:sz w:val="22"/>
          <w:szCs w:val="22"/>
        </w:rPr>
        <w:t>. Englewood Cliffs, NJ: Prentice-Hall.</w:t>
      </w:r>
      <w:r w:rsidRPr="00DD3D23">
        <w:rPr>
          <w:rFonts w:ascii="Arial" w:hAnsi="Arial" w:cs="Arial"/>
          <w:sz w:val="22"/>
          <w:szCs w:val="22"/>
        </w:rPr>
        <w:br/>
        <w:t xml:space="preserve">Beard, R. (2012) ‘Art therapies and dementia care: A systematic review’, </w:t>
      </w:r>
      <w:r w:rsidRPr="00DD3D23">
        <w:rPr>
          <w:rFonts w:ascii="Arial" w:hAnsi="Arial" w:cs="Arial"/>
          <w:i/>
          <w:iCs/>
          <w:sz w:val="22"/>
          <w:szCs w:val="22"/>
        </w:rPr>
        <w:t>Dementia</w:t>
      </w:r>
      <w:r w:rsidRPr="00DD3D23">
        <w:rPr>
          <w:rFonts w:ascii="Arial" w:hAnsi="Arial" w:cs="Arial"/>
          <w:sz w:val="22"/>
          <w:szCs w:val="22"/>
        </w:rPr>
        <w:t>, 11(5), pp. 633–656.</w:t>
      </w:r>
      <w:r w:rsidRPr="00DD3D23">
        <w:rPr>
          <w:rFonts w:ascii="Arial" w:hAnsi="Arial" w:cs="Arial"/>
          <w:sz w:val="22"/>
          <w:szCs w:val="22"/>
        </w:rPr>
        <w:br/>
      </w:r>
      <w:proofErr w:type="spellStart"/>
      <w:r w:rsidRPr="00DD3D23">
        <w:rPr>
          <w:rFonts w:ascii="Arial" w:hAnsi="Arial" w:cs="Arial"/>
          <w:sz w:val="22"/>
          <w:szCs w:val="22"/>
        </w:rPr>
        <w:t>Cappeliez</w:t>
      </w:r>
      <w:proofErr w:type="spellEnd"/>
      <w:r w:rsidRPr="00DD3D23">
        <w:rPr>
          <w:rFonts w:ascii="Arial" w:hAnsi="Arial" w:cs="Arial"/>
          <w:sz w:val="22"/>
          <w:szCs w:val="22"/>
        </w:rPr>
        <w:t xml:space="preserve">, P. and O’Rourke, N. (2006) ‘Empirical validation of a model of reminiscence and health in later life’, </w:t>
      </w:r>
      <w:r w:rsidRPr="00DD3D23">
        <w:rPr>
          <w:rFonts w:ascii="Arial" w:hAnsi="Arial" w:cs="Arial"/>
          <w:i/>
          <w:iCs/>
          <w:sz w:val="22"/>
          <w:szCs w:val="22"/>
        </w:rPr>
        <w:t>Journal of Gerontology: Psychological Sciences</w:t>
      </w:r>
      <w:r w:rsidRPr="00DD3D23">
        <w:rPr>
          <w:rFonts w:ascii="Arial" w:hAnsi="Arial" w:cs="Arial"/>
          <w:sz w:val="22"/>
          <w:szCs w:val="22"/>
        </w:rPr>
        <w:t>, 61B(4), pp. 237–244.</w:t>
      </w:r>
      <w:r w:rsidRPr="00DD3D23">
        <w:rPr>
          <w:rFonts w:ascii="Arial" w:hAnsi="Arial" w:cs="Arial"/>
          <w:sz w:val="22"/>
          <w:szCs w:val="22"/>
        </w:rPr>
        <w:br/>
        <w:t xml:space="preserve">Erikson, E. (1997) </w:t>
      </w:r>
      <w:r w:rsidRPr="00DD3D23">
        <w:rPr>
          <w:rFonts w:ascii="Arial" w:hAnsi="Arial" w:cs="Arial"/>
          <w:i/>
          <w:iCs/>
          <w:sz w:val="22"/>
          <w:szCs w:val="22"/>
        </w:rPr>
        <w:t>The Life Cycle Completed</w:t>
      </w:r>
      <w:r w:rsidRPr="00DD3D23">
        <w:rPr>
          <w:rFonts w:ascii="Arial" w:hAnsi="Arial" w:cs="Arial"/>
          <w:sz w:val="22"/>
          <w:szCs w:val="22"/>
        </w:rPr>
        <w:t>. New York: Norton.</w:t>
      </w:r>
      <w:r w:rsidRPr="00DD3D23">
        <w:rPr>
          <w:rFonts w:ascii="Arial" w:hAnsi="Arial" w:cs="Arial"/>
          <w:sz w:val="22"/>
          <w:szCs w:val="22"/>
        </w:rPr>
        <w:br/>
      </w:r>
      <w:proofErr w:type="spellStart"/>
      <w:r w:rsidRPr="00DD3D23">
        <w:rPr>
          <w:rFonts w:ascii="Arial" w:hAnsi="Arial" w:cs="Arial"/>
          <w:sz w:val="22"/>
          <w:szCs w:val="22"/>
        </w:rPr>
        <w:t>Kitwood</w:t>
      </w:r>
      <w:proofErr w:type="spellEnd"/>
      <w:r w:rsidRPr="00DD3D23">
        <w:rPr>
          <w:rFonts w:ascii="Arial" w:hAnsi="Arial" w:cs="Arial"/>
          <w:sz w:val="22"/>
          <w:szCs w:val="22"/>
        </w:rPr>
        <w:t xml:space="preserve">, T. (1997) </w:t>
      </w:r>
      <w:r w:rsidRPr="00DD3D23">
        <w:rPr>
          <w:rFonts w:ascii="Arial" w:hAnsi="Arial" w:cs="Arial"/>
          <w:i/>
          <w:iCs/>
          <w:sz w:val="22"/>
          <w:szCs w:val="22"/>
        </w:rPr>
        <w:t>Dementia Reconsidered: The Person Comes First</w:t>
      </w:r>
      <w:r w:rsidRPr="00DD3D23">
        <w:rPr>
          <w:rFonts w:ascii="Arial" w:hAnsi="Arial" w:cs="Arial"/>
          <w:sz w:val="22"/>
          <w:szCs w:val="22"/>
        </w:rPr>
        <w:t>. Buckingham: Open University Press.</w:t>
      </w:r>
      <w:r w:rsidRPr="00DD3D23">
        <w:rPr>
          <w:rFonts w:ascii="Arial" w:hAnsi="Arial" w:cs="Arial"/>
          <w:sz w:val="22"/>
          <w:szCs w:val="22"/>
        </w:rPr>
        <w:br/>
      </w:r>
      <w:r w:rsidRPr="00DD3D23">
        <w:rPr>
          <w:rFonts w:ascii="Arial" w:hAnsi="Arial" w:cs="Arial"/>
          <w:sz w:val="22"/>
          <w:szCs w:val="22"/>
        </w:rPr>
        <w:lastRenderedPageBreak/>
        <w:t xml:space="preserve">Woods, B., </w:t>
      </w:r>
      <w:proofErr w:type="spellStart"/>
      <w:r w:rsidRPr="00DD3D23">
        <w:rPr>
          <w:rFonts w:ascii="Arial" w:hAnsi="Arial" w:cs="Arial"/>
          <w:sz w:val="22"/>
          <w:szCs w:val="22"/>
        </w:rPr>
        <w:t>O’Philbin</w:t>
      </w:r>
      <w:proofErr w:type="spellEnd"/>
      <w:r w:rsidRPr="00DD3D23">
        <w:rPr>
          <w:rFonts w:ascii="Arial" w:hAnsi="Arial" w:cs="Arial"/>
          <w:sz w:val="22"/>
          <w:szCs w:val="22"/>
        </w:rPr>
        <w:t xml:space="preserve">, L., Farrell, E., Spector, A. and Orrell, M. (2018) ‘Reminiscence therapy for dementia’, </w:t>
      </w:r>
      <w:r w:rsidRPr="00DD3D23">
        <w:rPr>
          <w:rFonts w:ascii="Arial" w:hAnsi="Arial" w:cs="Arial"/>
          <w:i/>
          <w:iCs/>
          <w:sz w:val="22"/>
          <w:szCs w:val="22"/>
        </w:rPr>
        <w:t>Cochrane Database of Systematic Reviews</w:t>
      </w:r>
      <w:r w:rsidRPr="00DD3D23">
        <w:rPr>
          <w:rFonts w:ascii="Arial" w:hAnsi="Arial" w:cs="Arial"/>
          <w:sz w:val="22"/>
          <w:szCs w:val="22"/>
        </w:rPr>
        <w:t>, 3, pp. 1–67.</w:t>
      </w:r>
    </w:p>
    <w:p w14:paraId="50460143" w14:textId="77777777" w:rsidR="009A455B" w:rsidRPr="00DD3D23" w:rsidRDefault="009A455B" w:rsidP="009A455B">
      <w:pPr>
        <w:spacing w:line="360" w:lineRule="auto"/>
        <w:rPr>
          <w:rFonts w:ascii="Arial" w:hAnsi="Arial" w:cs="Arial"/>
          <w:sz w:val="22"/>
          <w:szCs w:val="22"/>
        </w:rPr>
      </w:pPr>
    </w:p>
    <w:p w14:paraId="008CC153" w14:textId="77777777" w:rsidR="001A5C55" w:rsidRDefault="001A5C55"/>
    <w:sectPr w:rsidR="001A5C55" w:rsidSect="009A455B">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CB203C"/>
    <w:multiLevelType w:val="multilevel"/>
    <w:tmpl w:val="A0FC6A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4E00266"/>
    <w:multiLevelType w:val="multilevel"/>
    <w:tmpl w:val="877294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DED3F94"/>
    <w:multiLevelType w:val="multilevel"/>
    <w:tmpl w:val="B6C42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650062D"/>
    <w:multiLevelType w:val="multilevel"/>
    <w:tmpl w:val="131A4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DEA0861"/>
    <w:multiLevelType w:val="multilevel"/>
    <w:tmpl w:val="3E2C8A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A5E2F1B"/>
    <w:multiLevelType w:val="multilevel"/>
    <w:tmpl w:val="B678A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F134F7D"/>
    <w:multiLevelType w:val="multilevel"/>
    <w:tmpl w:val="68BEB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49143381">
    <w:abstractNumId w:val="4"/>
  </w:num>
  <w:num w:numId="2" w16cid:durableId="1544174214">
    <w:abstractNumId w:val="0"/>
  </w:num>
  <w:num w:numId="3" w16cid:durableId="820657392">
    <w:abstractNumId w:val="3"/>
  </w:num>
  <w:num w:numId="4" w16cid:durableId="874192545">
    <w:abstractNumId w:val="5"/>
  </w:num>
  <w:num w:numId="5" w16cid:durableId="865412293">
    <w:abstractNumId w:val="1"/>
  </w:num>
  <w:num w:numId="6" w16cid:durableId="540020155">
    <w:abstractNumId w:val="2"/>
  </w:num>
  <w:num w:numId="7" w16cid:durableId="184917592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55B"/>
    <w:rsid w:val="001A5C55"/>
    <w:rsid w:val="001B37C9"/>
    <w:rsid w:val="003671C4"/>
    <w:rsid w:val="009A455B"/>
    <w:rsid w:val="00B62BA9"/>
    <w:rsid w:val="00B71CC0"/>
    <w:rsid w:val="00DD36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86904"/>
  <w15:chartTrackingRefBased/>
  <w15:docId w15:val="{5B378092-92D0-4AD0-8166-301D0F8CFE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455B"/>
  </w:style>
  <w:style w:type="paragraph" w:styleId="Heading1">
    <w:name w:val="heading 1"/>
    <w:basedOn w:val="Normal"/>
    <w:next w:val="Normal"/>
    <w:link w:val="Heading1Char"/>
    <w:uiPriority w:val="9"/>
    <w:qFormat/>
    <w:rsid w:val="009A45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45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45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45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45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45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45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45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45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45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45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45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45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45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45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45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45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455B"/>
    <w:rPr>
      <w:rFonts w:eastAsiaTheme="majorEastAsia" w:cstheme="majorBidi"/>
      <w:color w:val="272727" w:themeColor="text1" w:themeTint="D8"/>
    </w:rPr>
  </w:style>
  <w:style w:type="paragraph" w:styleId="Title">
    <w:name w:val="Title"/>
    <w:basedOn w:val="Normal"/>
    <w:next w:val="Normal"/>
    <w:link w:val="TitleChar"/>
    <w:uiPriority w:val="10"/>
    <w:qFormat/>
    <w:rsid w:val="009A45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45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45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45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455B"/>
    <w:pPr>
      <w:spacing w:before="160"/>
      <w:jc w:val="center"/>
    </w:pPr>
    <w:rPr>
      <w:i/>
      <w:iCs/>
      <w:color w:val="404040" w:themeColor="text1" w:themeTint="BF"/>
    </w:rPr>
  </w:style>
  <w:style w:type="character" w:customStyle="1" w:styleId="QuoteChar">
    <w:name w:val="Quote Char"/>
    <w:basedOn w:val="DefaultParagraphFont"/>
    <w:link w:val="Quote"/>
    <w:uiPriority w:val="29"/>
    <w:rsid w:val="009A455B"/>
    <w:rPr>
      <w:i/>
      <w:iCs/>
      <w:color w:val="404040" w:themeColor="text1" w:themeTint="BF"/>
    </w:rPr>
  </w:style>
  <w:style w:type="paragraph" w:styleId="ListParagraph">
    <w:name w:val="List Paragraph"/>
    <w:basedOn w:val="Normal"/>
    <w:uiPriority w:val="34"/>
    <w:qFormat/>
    <w:rsid w:val="009A455B"/>
    <w:pPr>
      <w:ind w:left="720"/>
      <w:contextualSpacing/>
    </w:pPr>
  </w:style>
  <w:style w:type="character" w:styleId="IntenseEmphasis">
    <w:name w:val="Intense Emphasis"/>
    <w:basedOn w:val="DefaultParagraphFont"/>
    <w:uiPriority w:val="21"/>
    <w:qFormat/>
    <w:rsid w:val="009A455B"/>
    <w:rPr>
      <w:i/>
      <w:iCs/>
      <w:color w:val="0F4761" w:themeColor="accent1" w:themeShade="BF"/>
    </w:rPr>
  </w:style>
  <w:style w:type="paragraph" w:styleId="IntenseQuote">
    <w:name w:val="Intense Quote"/>
    <w:basedOn w:val="Normal"/>
    <w:next w:val="Normal"/>
    <w:link w:val="IntenseQuoteChar"/>
    <w:uiPriority w:val="30"/>
    <w:qFormat/>
    <w:rsid w:val="009A45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455B"/>
    <w:rPr>
      <w:i/>
      <w:iCs/>
      <w:color w:val="0F4761" w:themeColor="accent1" w:themeShade="BF"/>
    </w:rPr>
  </w:style>
  <w:style w:type="character" w:styleId="IntenseReference">
    <w:name w:val="Intense Reference"/>
    <w:basedOn w:val="DefaultParagraphFont"/>
    <w:uiPriority w:val="32"/>
    <w:qFormat/>
    <w:rsid w:val="009A455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2481</Words>
  <Characters>14147</Characters>
  <Application>Microsoft Office Word</Application>
  <DocSecurity>0</DocSecurity>
  <Lines>117</Lines>
  <Paragraphs>33</Paragraphs>
  <ScaleCrop>false</ScaleCrop>
  <Company/>
  <LinksUpToDate>false</LinksUpToDate>
  <CharactersWithSpaces>16595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nouman shahpal</dc:creator>
  <cp:keywords/>
  <dc:description/>
  <cp:lastModifiedBy>nouman shahpal</cp:lastModifiedBy>
  <cp:revision>1</cp:revision>
  <dcterms:created xsi:type="dcterms:W3CDTF">2025-11-17T13:59:00Z</dcterms:created>
  <dcterms:modified xsi:type="dcterms:W3CDTF">2025-11-17T14:00:00Z</dcterms:modified>
</cp:coreProperties>
</file>