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C1F28B" w14:textId="6D2AF1F3" w:rsidR="00C523C5" w:rsidRPr="00C523C5" w:rsidRDefault="00C523C5" w:rsidP="00C523C5">
      <w:pPr>
        <w:spacing w:line="240" w:lineRule="auto"/>
        <w:ind w:firstLine="720"/>
        <w:rPr>
          <w:rFonts w:ascii="Calibri" w:eastAsia="Times New Roman" w:hAnsi="Calibri" w:cs="Calibri"/>
          <w:kern w:val="0"/>
          <w:lang w:eastAsia="en-CA"/>
          <w14:ligatures w14:val="none"/>
        </w:rPr>
      </w:pPr>
      <w:r w:rsidRPr="00C523C5">
        <w:rPr>
          <w:rFonts w:ascii="Calibri" w:eastAsia="Times New Roman" w:hAnsi="Calibri" w:cs="Calibri"/>
          <w:kern w:val="0"/>
          <w:lang w:eastAsia="en-CA"/>
          <w14:ligatures w14:val="none"/>
        </w:rPr>
        <w:t>This essay critically reviews De divination, Books I and II, written by Roman politician, lawyer, orator and philosopher Marcus Cicero (106 BCE – 43</w:t>
      </w:r>
      <w:r>
        <w:rPr>
          <w:rFonts w:ascii="Calibri" w:eastAsia="Times New Roman" w:hAnsi="Calibri" w:cs="Calibri"/>
          <w:kern w:val="0"/>
          <w:lang w:eastAsia="en-CA"/>
          <w14:ligatures w14:val="none"/>
        </w:rPr>
        <w:t xml:space="preserve"> </w:t>
      </w:r>
      <w:r w:rsidRPr="00C523C5">
        <w:rPr>
          <w:rFonts w:ascii="Calibri" w:eastAsia="Times New Roman" w:hAnsi="Calibri" w:cs="Calibri"/>
          <w:kern w:val="0"/>
          <w:lang w:eastAsia="en-CA"/>
          <w14:ligatures w14:val="none"/>
        </w:rPr>
        <w:t>BCE)</w:t>
      </w:r>
      <w:r w:rsidR="00455D92">
        <w:rPr>
          <w:rFonts w:ascii="Calibri" w:eastAsia="Times New Roman" w:hAnsi="Calibri" w:cs="Calibri"/>
          <w:kern w:val="0"/>
          <w:lang w:eastAsia="en-CA"/>
          <w14:ligatures w14:val="none"/>
        </w:rPr>
        <w:t>.</w:t>
      </w:r>
      <w:r>
        <w:rPr>
          <w:rStyle w:val="FootnoteReference"/>
          <w:rFonts w:ascii="Calibri" w:eastAsia="Times New Roman" w:hAnsi="Calibri" w:cs="Calibri"/>
          <w:kern w:val="0"/>
          <w:lang w:eastAsia="en-CA"/>
          <w14:ligatures w14:val="none"/>
        </w:rPr>
        <w:footnoteReference w:id="1"/>
      </w:r>
      <w:r w:rsidRPr="00C523C5">
        <w:rPr>
          <w:rFonts w:ascii="Calibri" w:eastAsia="Times New Roman" w:hAnsi="Calibri" w:cs="Calibri"/>
          <w:kern w:val="0"/>
          <w:lang w:eastAsia="en-CA"/>
          <w14:ligatures w14:val="none"/>
        </w:rPr>
        <w:t xml:space="preserve"> Written approximately 45 BCE, De Divinatione (On Divination) examines the subject of divination through competing Greek-founded philosophical schools of thought. Divination was an essential element of Greek theology and daily life; most believed that the gods had concern for humankind, and divination was a method by way humankind could receive messages from the gods</w:t>
      </w:r>
      <w:r w:rsidR="00455D92">
        <w:rPr>
          <w:rFonts w:ascii="Calibri" w:eastAsia="Times New Roman" w:hAnsi="Calibri" w:cs="Calibri"/>
          <w:kern w:val="0"/>
          <w:lang w:eastAsia="en-CA"/>
          <w14:ligatures w14:val="none"/>
        </w:rPr>
        <w:t>.</w:t>
      </w:r>
      <w:r>
        <w:rPr>
          <w:rStyle w:val="FootnoteReference"/>
          <w:rFonts w:ascii="Calibri" w:eastAsia="Times New Roman" w:hAnsi="Calibri" w:cs="Calibri"/>
          <w:kern w:val="0"/>
          <w:lang w:eastAsia="en-CA"/>
          <w14:ligatures w14:val="none"/>
        </w:rPr>
        <w:footnoteReference w:id="2"/>
      </w:r>
      <w:r w:rsidR="00455D92">
        <w:rPr>
          <w:rFonts w:ascii="Calibri" w:eastAsia="Times New Roman" w:hAnsi="Calibri" w:cs="Calibri"/>
          <w:kern w:val="0"/>
          <w:lang w:eastAsia="en-CA"/>
          <w14:ligatures w14:val="none"/>
        </w:rPr>
        <w:t xml:space="preserve"> </w:t>
      </w:r>
      <w:r w:rsidRPr="00C523C5">
        <w:rPr>
          <w:rFonts w:ascii="Calibri" w:eastAsia="Times New Roman" w:hAnsi="Calibri" w:cs="Calibri"/>
          <w:kern w:val="0"/>
          <w:lang w:eastAsia="en-CA"/>
          <w14:ligatures w14:val="none"/>
        </w:rPr>
        <w:t>The Stoics were the greatest champions of this idea while the New Academy took a skeptical approach</w:t>
      </w:r>
      <w:r w:rsidR="00455D92">
        <w:rPr>
          <w:rFonts w:ascii="Calibri" w:eastAsia="Times New Roman" w:hAnsi="Calibri" w:cs="Calibri"/>
          <w:kern w:val="0"/>
          <w:lang w:eastAsia="en-CA"/>
          <w14:ligatures w14:val="none"/>
        </w:rPr>
        <w:t>.</w:t>
      </w:r>
      <w:r>
        <w:rPr>
          <w:rStyle w:val="FootnoteReference"/>
          <w:rFonts w:ascii="Calibri" w:eastAsia="Times New Roman" w:hAnsi="Calibri" w:cs="Calibri"/>
          <w:kern w:val="0"/>
          <w:lang w:eastAsia="en-CA"/>
          <w14:ligatures w14:val="none"/>
        </w:rPr>
        <w:footnoteReference w:id="3"/>
      </w:r>
      <w:r w:rsidR="00455D92">
        <w:rPr>
          <w:rFonts w:ascii="Calibri" w:eastAsia="Times New Roman" w:hAnsi="Calibri" w:cs="Calibri"/>
          <w:kern w:val="0"/>
          <w:lang w:eastAsia="en-CA"/>
          <w14:ligatures w14:val="none"/>
        </w:rPr>
        <w:t xml:space="preserve"> </w:t>
      </w:r>
      <w:r w:rsidRPr="00C523C5">
        <w:rPr>
          <w:rFonts w:ascii="Calibri" w:eastAsia="Times New Roman" w:hAnsi="Calibri" w:cs="Calibri"/>
          <w:kern w:val="0"/>
          <w:lang w:eastAsia="en-CA"/>
          <w14:ligatures w14:val="none"/>
        </w:rPr>
        <w:t>Although Cicero is Roman, historical records indicate that when the Romans invaded Greece during the Hellenistic period, they decided to learn from the Greeks rather than destroy their culture; resulting in the integration of Greek culture into Roman society, permeating even at the highest level of the Roman elite</w:t>
      </w:r>
      <w:r>
        <w:rPr>
          <w:rStyle w:val="FootnoteReference"/>
          <w:rFonts w:ascii="Calibri" w:eastAsia="Times New Roman" w:hAnsi="Calibri" w:cs="Calibri"/>
          <w:kern w:val="0"/>
          <w:lang w:eastAsia="en-CA"/>
          <w14:ligatures w14:val="none"/>
        </w:rPr>
        <w:footnoteReference w:id="4"/>
      </w:r>
      <w:r w:rsidRPr="00C523C5">
        <w:rPr>
          <w:rFonts w:ascii="Calibri" w:eastAsia="Times New Roman" w:hAnsi="Calibri" w:cs="Calibri"/>
          <w:kern w:val="0"/>
          <w:lang w:eastAsia="en-CA"/>
          <w14:ligatures w14:val="none"/>
        </w:rPr>
        <w:t>, including Cicero himself, who was a Stoic</w:t>
      </w:r>
      <w:r w:rsidR="005D024A">
        <w:rPr>
          <w:rStyle w:val="FootnoteReference"/>
          <w:rFonts w:ascii="Calibri" w:eastAsia="Times New Roman" w:hAnsi="Calibri" w:cs="Calibri"/>
          <w:kern w:val="0"/>
          <w:lang w:eastAsia="en-CA"/>
          <w14:ligatures w14:val="none"/>
        </w:rPr>
        <w:footnoteReference w:id="5"/>
      </w:r>
      <w:r w:rsidRPr="00C523C5">
        <w:rPr>
          <w:rFonts w:ascii="Calibri" w:eastAsia="Times New Roman" w:hAnsi="Calibri" w:cs="Calibri"/>
          <w:kern w:val="0"/>
          <w:lang w:eastAsia="en-CA"/>
          <w14:ligatures w14:val="none"/>
        </w:rPr>
        <w:t>.</w:t>
      </w:r>
    </w:p>
    <w:p w14:paraId="60829ACE" w14:textId="65539BD1" w:rsidR="00C523C5" w:rsidRPr="00C523C5" w:rsidRDefault="00C523C5" w:rsidP="00C523C5">
      <w:pPr>
        <w:spacing w:line="240" w:lineRule="auto"/>
        <w:ind w:firstLine="720"/>
        <w:rPr>
          <w:rFonts w:ascii="Calibri" w:eastAsia="Times New Roman" w:hAnsi="Calibri" w:cs="Calibri"/>
          <w:kern w:val="0"/>
          <w:lang w:eastAsia="en-CA"/>
          <w14:ligatures w14:val="none"/>
        </w:rPr>
      </w:pPr>
      <w:r w:rsidRPr="00C523C5">
        <w:rPr>
          <w:rFonts w:ascii="Calibri" w:eastAsia="Times New Roman" w:hAnsi="Calibri" w:cs="Calibri"/>
          <w:kern w:val="0"/>
          <w:lang w:eastAsia="en-CA"/>
          <w14:ligatures w14:val="none"/>
        </w:rPr>
        <w:t>De Divinatione is divided into Books I and II to present the two opposing views. They are written in dialogue format, resembling debates in Greece.</w:t>
      </w:r>
      <w:r w:rsidR="00455D92">
        <w:rPr>
          <w:rStyle w:val="FootnoteReference"/>
          <w:rFonts w:ascii="Calibri" w:eastAsia="Times New Roman" w:hAnsi="Calibri" w:cs="Calibri"/>
          <w:kern w:val="0"/>
          <w:lang w:eastAsia="en-CA"/>
          <w14:ligatures w14:val="none"/>
        </w:rPr>
        <w:footnoteReference w:id="6"/>
      </w:r>
      <w:r w:rsidRPr="00C523C5">
        <w:rPr>
          <w:rFonts w:ascii="Calibri" w:eastAsia="Times New Roman" w:hAnsi="Calibri" w:cs="Calibri"/>
          <w:kern w:val="0"/>
          <w:lang w:eastAsia="en-CA"/>
          <w14:ligatures w14:val="none"/>
        </w:rPr>
        <w:t xml:space="preserve"> This style of presenting information allows the readers to clearly distinguish between different or opposing points of view. The book is narrated by Marcus, but the debate is between he and his brother Quintus, with Quintus presenting his arguments in favour of divination in Book I, and Marcus presenting his arguments against divination in Book II. The dialogue format in this book should not be mistaken as a written record of a conversation that took place between Cicero and his brother, nor should it be assumed that the views presented in the dialogue are their personal views, even if the dialogue characters bare a close resemblance to real life figures; rather, Quintus and Marcus are characterizations of a specific point of view. For the purpose of distinguishing Cicero the writer of De Divinatione from his dialogue character, ‘Cicero’ will be used to refer to the writer of this book while ‘Marcus’ will be used to refer to the dialogue character. De Divinatione was intended to be part two of a three-part series on theology with the completed De Natura Deorum (On The Nature Of God) being part one, and the unfinished De Fato (On Fate) as part three. The unfinished trilogy leaves some speculation as to why it was written and what Cicero’s sincere beliefs on divination were, as Cicero, presenting as Marcus takes on opposing opinions in De Natura Deorum and De Divinatione.</w:t>
      </w:r>
      <w:r w:rsidR="00455D92">
        <w:rPr>
          <w:rStyle w:val="FootnoteReference"/>
          <w:rFonts w:ascii="Calibri" w:eastAsia="Times New Roman" w:hAnsi="Calibri" w:cs="Calibri"/>
          <w:kern w:val="0"/>
          <w:lang w:eastAsia="en-CA"/>
          <w14:ligatures w14:val="none"/>
        </w:rPr>
        <w:footnoteReference w:id="7"/>
      </w:r>
      <w:r w:rsidRPr="00C523C5">
        <w:rPr>
          <w:rFonts w:ascii="Calibri" w:eastAsia="Times New Roman" w:hAnsi="Calibri" w:cs="Calibri"/>
          <w:kern w:val="0"/>
          <w:lang w:eastAsia="en-CA"/>
          <w14:ligatures w14:val="none"/>
        </w:rPr>
        <w:t xml:space="preserve"> De Divinatione is viewed to be particularly controversial given the strength of its argument against divination, contrasting Cicero’s own position as an augur for the Senate and the works he had created years prior in support of divination.</w:t>
      </w:r>
      <w:r w:rsidR="00455D92">
        <w:rPr>
          <w:rStyle w:val="FootnoteReference"/>
          <w:rFonts w:ascii="Calibri" w:eastAsia="Times New Roman" w:hAnsi="Calibri" w:cs="Calibri"/>
          <w:kern w:val="0"/>
          <w:lang w:eastAsia="en-CA"/>
          <w14:ligatures w14:val="none"/>
        </w:rPr>
        <w:footnoteReference w:id="8"/>
      </w:r>
      <w:r w:rsidRPr="00C523C5">
        <w:rPr>
          <w:rFonts w:ascii="Calibri" w:eastAsia="Times New Roman" w:hAnsi="Calibri" w:cs="Calibri"/>
          <w:kern w:val="0"/>
          <w:lang w:eastAsia="en-CA"/>
          <w14:ligatures w14:val="none"/>
        </w:rPr>
        <w:t xml:space="preserve"> While there is some evidence that this is was an intellectual exercise to impress the New Academy, of whom he was a member of, or create a brand of Roman philosophy,</w:t>
      </w:r>
      <w:r w:rsidR="00E155ED">
        <w:rPr>
          <w:rStyle w:val="FootnoteReference"/>
          <w:rFonts w:ascii="Calibri" w:eastAsia="Times New Roman" w:hAnsi="Calibri" w:cs="Calibri"/>
          <w:kern w:val="0"/>
          <w:lang w:eastAsia="en-CA"/>
          <w14:ligatures w14:val="none"/>
        </w:rPr>
        <w:footnoteReference w:id="9"/>
      </w:r>
      <w:r w:rsidRPr="00C523C5">
        <w:rPr>
          <w:rFonts w:ascii="Calibri" w:eastAsia="Times New Roman" w:hAnsi="Calibri" w:cs="Calibri"/>
          <w:kern w:val="0"/>
          <w:lang w:eastAsia="en-CA"/>
          <w14:ligatures w14:val="none"/>
        </w:rPr>
        <w:t xml:space="preserve"> there is equally compelling evidence to indicate that it serves a political purpose. </w:t>
      </w:r>
    </w:p>
    <w:p w14:paraId="0D79C8A6" w14:textId="56595884" w:rsidR="00C523C5" w:rsidRPr="00C523C5" w:rsidRDefault="00C523C5" w:rsidP="00C523C5">
      <w:pPr>
        <w:spacing w:line="240" w:lineRule="auto"/>
        <w:ind w:firstLine="720"/>
        <w:rPr>
          <w:rFonts w:ascii="Calibri" w:eastAsia="Times New Roman" w:hAnsi="Calibri" w:cs="Calibri"/>
          <w:kern w:val="0"/>
          <w:lang w:eastAsia="en-CA"/>
          <w14:ligatures w14:val="none"/>
        </w:rPr>
      </w:pPr>
      <w:r w:rsidRPr="00C523C5">
        <w:rPr>
          <w:rFonts w:ascii="Calibri" w:eastAsia="Times New Roman" w:hAnsi="Calibri" w:cs="Calibri"/>
          <w:kern w:val="0"/>
          <w:lang w:eastAsia="en-CA"/>
          <w14:ligatures w14:val="none"/>
        </w:rPr>
        <w:t>In the decades leading up to the publishing of de divinatione, the Roman Republic would have witnessed an increased integration or foreign culture into their own. Some of these foreign influences were more readily accepted, such as Greek philosophy, which saw increasing popularity among the Romans starting 2nd century BCE,</w:t>
      </w:r>
      <w:r w:rsidR="00DF0312">
        <w:rPr>
          <w:rStyle w:val="FootnoteReference"/>
          <w:rFonts w:ascii="Calibri" w:eastAsia="Times New Roman" w:hAnsi="Calibri" w:cs="Calibri"/>
          <w:kern w:val="0"/>
          <w:lang w:eastAsia="en-CA"/>
          <w14:ligatures w14:val="none"/>
        </w:rPr>
        <w:footnoteReference w:id="10"/>
      </w:r>
      <w:r w:rsidRPr="00C523C5">
        <w:rPr>
          <w:rFonts w:ascii="Calibri" w:eastAsia="Times New Roman" w:hAnsi="Calibri" w:cs="Calibri"/>
          <w:kern w:val="0"/>
          <w:lang w:eastAsia="en-CA"/>
          <w14:ligatures w14:val="none"/>
        </w:rPr>
        <w:t xml:space="preserve"> but others were seen as a threat. The Roman Republic was ruled by a Senate that employed the use of state sanctioned diviners to affirm political decisions, relaying a </w:t>
      </w:r>
      <w:r w:rsidRPr="00C523C5">
        <w:rPr>
          <w:rFonts w:ascii="Calibri" w:eastAsia="Times New Roman" w:hAnsi="Calibri" w:cs="Calibri"/>
          <w:kern w:val="0"/>
          <w:lang w:eastAsia="en-CA"/>
          <w14:ligatures w14:val="none"/>
        </w:rPr>
        <w:lastRenderedPageBreak/>
        <w:t>message to the masses that these decisions were decreed by divine will.</w:t>
      </w:r>
      <w:r w:rsidR="00DF0312">
        <w:rPr>
          <w:rStyle w:val="FootnoteReference"/>
          <w:rFonts w:ascii="Calibri" w:eastAsia="Times New Roman" w:hAnsi="Calibri" w:cs="Calibri"/>
          <w:kern w:val="0"/>
          <w:lang w:eastAsia="en-CA"/>
          <w14:ligatures w14:val="none"/>
        </w:rPr>
        <w:footnoteReference w:id="11"/>
      </w:r>
      <w:r w:rsidRPr="00C523C5">
        <w:rPr>
          <w:rFonts w:ascii="Calibri" w:eastAsia="Times New Roman" w:hAnsi="Calibri" w:cs="Calibri"/>
          <w:kern w:val="0"/>
          <w:lang w:eastAsia="en-CA"/>
          <w14:ligatures w14:val="none"/>
        </w:rPr>
        <w:t xml:space="preserve"> But the import of astrology from Babylon to Greece, and eventually to Rome created a situation that would threaten the Senate’s narrative of divine authority.</w:t>
      </w:r>
      <w:r w:rsidR="00DF0312">
        <w:rPr>
          <w:rStyle w:val="FootnoteReference"/>
          <w:rFonts w:ascii="Calibri" w:eastAsia="Times New Roman" w:hAnsi="Calibri" w:cs="Calibri"/>
          <w:kern w:val="0"/>
          <w:lang w:eastAsia="en-CA"/>
          <w14:ligatures w14:val="none"/>
        </w:rPr>
        <w:footnoteReference w:id="12"/>
      </w:r>
      <w:r w:rsidRPr="00C523C5">
        <w:rPr>
          <w:rFonts w:ascii="Calibri" w:eastAsia="Times New Roman" w:hAnsi="Calibri" w:cs="Calibri"/>
          <w:kern w:val="0"/>
          <w:lang w:eastAsia="en-CA"/>
          <w14:ligatures w14:val="none"/>
        </w:rPr>
        <w:t xml:space="preserve"> Astrology allowed for personal horoscopes to be produced, which could in turn be used to support an individual’s ambition to challenge status quo by reason of fate. Due to the accessibility of astrology, civil unrest could be triggered at any level of political hierarchy in society; from Athenio, a Sicilian slave overseer who eventually became the leader of a slave revolt to generals and aristocratic leaders that used astrology to support their endeavors to take over Rome.</w:t>
      </w:r>
      <w:r w:rsidR="00ED7294">
        <w:rPr>
          <w:rStyle w:val="FootnoteReference"/>
          <w:rFonts w:ascii="Calibri" w:eastAsia="Times New Roman" w:hAnsi="Calibri" w:cs="Calibri"/>
          <w:kern w:val="0"/>
          <w:lang w:eastAsia="en-CA"/>
          <w14:ligatures w14:val="none"/>
        </w:rPr>
        <w:footnoteReference w:id="13"/>
      </w:r>
      <w:r w:rsidRPr="00C523C5">
        <w:rPr>
          <w:rFonts w:ascii="Calibri" w:eastAsia="Times New Roman" w:hAnsi="Calibri" w:cs="Calibri"/>
          <w:kern w:val="0"/>
          <w:lang w:eastAsia="en-CA"/>
          <w14:ligatures w14:val="none"/>
        </w:rPr>
        <w:t xml:space="preserve"> The association astrology had with lower classes and foreign political power provoked attempts to expel astrologers from Roman ruled regions as early as 139 BCE.</w:t>
      </w:r>
      <w:r w:rsidR="00ED7294">
        <w:rPr>
          <w:rStyle w:val="FootnoteReference"/>
          <w:rFonts w:ascii="Calibri" w:eastAsia="Times New Roman" w:hAnsi="Calibri" w:cs="Calibri"/>
          <w:kern w:val="0"/>
          <w:lang w:eastAsia="en-CA"/>
          <w14:ligatures w14:val="none"/>
        </w:rPr>
        <w:footnoteReference w:id="14"/>
      </w:r>
      <w:r w:rsidRPr="00C523C5">
        <w:rPr>
          <w:rFonts w:ascii="Calibri" w:eastAsia="Times New Roman" w:hAnsi="Calibri" w:cs="Calibri"/>
          <w:kern w:val="0"/>
          <w:lang w:eastAsia="en-CA"/>
          <w14:ligatures w14:val="none"/>
        </w:rPr>
        <w:t xml:space="preserve"> It wasn’t until it gained the favour of the Greeks, whose culture the Roman elite had high regard for, that its status began to ris</w:t>
      </w:r>
      <w:r w:rsidR="00ED7294">
        <w:rPr>
          <w:rFonts w:ascii="Calibri" w:eastAsia="Times New Roman" w:hAnsi="Calibri" w:cs="Calibri"/>
          <w:kern w:val="0"/>
          <w:lang w:eastAsia="en-CA"/>
          <w14:ligatures w14:val="none"/>
        </w:rPr>
        <w:t>e</w:t>
      </w:r>
      <w:r w:rsidRPr="00C523C5">
        <w:rPr>
          <w:rFonts w:ascii="Calibri" w:eastAsia="Times New Roman" w:hAnsi="Calibri" w:cs="Calibri"/>
          <w:kern w:val="0"/>
          <w:lang w:eastAsia="en-CA"/>
          <w14:ligatures w14:val="none"/>
        </w:rPr>
        <w:t>.</w:t>
      </w:r>
      <w:r w:rsidR="00ED7294">
        <w:rPr>
          <w:rStyle w:val="FootnoteReference"/>
          <w:rFonts w:ascii="Calibri" w:eastAsia="Times New Roman" w:hAnsi="Calibri" w:cs="Calibri"/>
          <w:kern w:val="0"/>
          <w:lang w:eastAsia="en-CA"/>
          <w14:ligatures w14:val="none"/>
        </w:rPr>
        <w:footnoteReference w:id="15"/>
      </w:r>
      <w:r w:rsidRPr="00C523C5">
        <w:rPr>
          <w:rFonts w:ascii="Calibri" w:eastAsia="Times New Roman" w:hAnsi="Calibri" w:cs="Calibri"/>
          <w:kern w:val="0"/>
          <w:lang w:eastAsia="en-CA"/>
          <w14:ligatures w14:val="none"/>
        </w:rPr>
        <w:t xml:space="preserve"> Amongst the Greeks, it was Cicero’s own teacher, Posidonius, who was credited for bringing astrology to the Roman elite.</w:t>
      </w:r>
      <w:r w:rsidR="00ED7294">
        <w:rPr>
          <w:rStyle w:val="FootnoteReference"/>
          <w:rFonts w:ascii="Calibri" w:eastAsia="Times New Roman" w:hAnsi="Calibri" w:cs="Calibri"/>
          <w:kern w:val="0"/>
          <w:lang w:eastAsia="en-CA"/>
          <w14:ligatures w14:val="none"/>
        </w:rPr>
        <w:footnoteReference w:id="16"/>
      </w:r>
      <w:r w:rsidRPr="00C523C5">
        <w:rPr>
          <w:rFonts w:ascii="Calibri" w:eastAsia="Times New Roman" w:hAnsi="Calibri" w:cs="Calibri"/>
          <w:kern w:val="0"/>
          <w:lang w:eastAsia="en-CA"/>
          <w14:ligatures w14:val="none"/>
        </w:rPr>
        <w:t> As a state sanctioned augur and supporter of the Roman Republic, Cicero was likely to have vested interest in divination as it relates to politics, and used philosophy to express his views.</w:t>
      </w:r>
      <w:r w:rsidR="00A8308B">
        <w:rPr>
          <w:rStyle w:val="FootnoteReference"/>
          <w:rFonts w:ascii="Calibri" w:eastAsia="Times New Roman" w:hAnsi="Calibri" w:cs="Calibri"/>
          <w:kern w:val="0"/>
          <w:lang w:eastAsia="en-CA"/>
          <w14:ligatures w14:val="none"/>
        </w:rPr>
        <w:footnoteReference w:id="17"/>
      </w:r>
    </w:p>
    <w:p w14:paraId="14134CCB" w14:textId="55945F6D" w:rsidR="00C523C5" w:rsidRPr="00C523C5" w:rsidRDefault="00C523C5" w:rsidP="00C523C5">
      <w:pPr>
        <w:spacing w:line="254" w:lineRule="auto"/>
        <w:ind w:firstLine="720"/>
        <w:rPr>
          <w:rFonts w:ascii="Calibri" w:eastAsia="Times New Roman" w:hAnsi="Calibri" w:cs="Calibri"/>
          <w:kern w:val="0"/>
          <w:lang w:eastAsia="en-CA"/>
          <w14:ligatures w14:val="none"/>
        </w:rPr>
      </w:pPr>
      <w:r w:rsidRPr="00C523C5">
        <w:rPr>
          <w:rFonts w:ascii="Calibri" w:eastAsia="Times New Roman" w:hAnsi="Calibri" w:cs="Calibri"/>
          <w:kern w:val="0"/>
          <w:lang w:eastAsia="en-CA"/>
          <w14:ligatures w14:val="none"/>
        </w:rPr>
        <w:t>The introduction in Book I would have shown Cicero's attempt at presenting a neutral argument. The subject of divination is introduced through Marcus’ acknowledgment of the important role of divination in society, and in particular, the formation and continued success of Roman political power through its use of augury in political and military decisions (Book I).</w:t>
      </w:r>
      <w:r w:rsidR="00BA6B47">
        <w:rPr>
          <w:rStyle w:val="FootnoteReference"/>
          <w:rFonts w:ascii="Calibri" w:eastAsia="Times New Roman" w:hAnsi="Calibri" w:cs="Calibri"/>
          <w:kern w:val="0"/>
          <w:lang w:eastAsia="en-CA"/>
          <w14:ligatures w14:val="none"/>
        </w:rPr>
        <w:footnoteReference w:id="18"/>
      </w:r>
      <w:r w:rsidRPr="00C523C5">
        <w:rPr>
          <w:rFonts w:ascii="Calibri" w:eastAsia="Times New Roman" w:hAnsi="Calibri" w:cs="Calibri"/>
          <w:kern w:val="0"/>
          <w:lang w:eastAsia="en-CA"/>
          <w14:ligatures w14:val="none"/>
        </w:rPr>
        <w:t xml:space="preserve"> He recognizes that even though divination has widespread acceptance in Roman culture through the integration of the Greek founded Stoic philosophy, the usage and even belief in the existence of divination do not go unchallenged. There were skeptics amongst the believers; from individuals who only believed in certain types of divination to whole philosophical lineages that question or reject divination all together, such as the New Academy, headed by Carneades (c213 BCE – 129 BCE), and the Epicureans, headed by Epicurus.</w:t>
      </w:r>
      <w:r w:rsidR="00316B3A">
        <w:rPr>
          <w:rStyle w:val="FootnoteReference"/>
          <w:rFonts w:ascii="Calibri" w:eastAsia="Times New Roman" w:hAnsi="Calibri" w:cs="Calibri"/>
          <w:kern w:val="0"/>
          <w:lang w:eastAsia="en-CA"/>
          <w14:ligatures w14:val="none"/>
        </w:rPr>
        <w:footnoteReference w:id="19"/>
      </w:r>
      <w:r w:rsidRPr="00C523C5">
        <w:rPr>
          <w:rFonts w:ascii="Calibri" w:eastAsia="Times New Roman" w:hAnsi="Calibri" w:cs="Calibri"/>
          <w:kern w:val="0"/>
          <w:lang w:eastAsia="en-CA"/>
          <w14:ligatures w14:val="none"/>
        </w:rPr>
        <w:t xml:space="preserve"> Marcus shares his own doubt towards divination and shows his admiration towards the New Academy’s philosophical approach to question everything and suspend all conclusions until facts and reasoning from all sides have been presented.</w:t>
      </w:r>
      <w:r w:rsidR="00110A67">
        <w:rPr>
          <w:rStyle w:val="FootnoteReference"/>
          <w:rFonts w:ascii="Calibri" w:eastAsia="Times New Roman" w:hAnsi="Calibri" w:cs="Calibri"/>
          <w:kern w:val="0"/>
          <w:lang w:eastAsia="en-CA"/>
          <w14:ligatures w14:val="none"/>
        </w:rPr>
        <w:footnoteReference w:id="20"/>
      </w:r>
      <w:r w:rsidRPr="00C523C5">
        <w:rPr>
          <w:rFonts w:ascii="Calibri" w:eastAsia="Times New Roman" w:hAnsi="Calibri" w:cs="Calibri"/>
          <w:kern w:val="0"/>
          <w:lang w:eastAsia="en-CA"/>
          <w14:ligatures w14:val="none"/>
        </w:rPr>
        <w:t xml:space="preserve"> This could have been done to demonstrate Cicero's ability to be objective and inspire confidence in the reader that he plans of examining the topic in a fair and unbiased manner. Beyond the politics, Cicero may have been trying to establish himself as a Roman philosopher by adopting a stance that is distinctly Roman, and if part of his goal was the impress the New Academy, he would have had to abide by their standards. It is only at the close of the introduction where Cicero, through Marcus, hints at his discomfort with the use of divination in politics and reveals that the purpose of writing this book is to determine how much weight should be given to divinatory practices to achieve the balance of being able to maintain their religious rites without losing their culture to superstitious practices. Although seemingly benign, it implies a greater purpose to this book to be written than just to present a thought exercise.</w:t>
      </w:r>
    </w:p>
    <w:p w14:paraId="4375BBF9" w14:textId="0E2C4D49" w:rsidR="00C523C5" w:rsidRPr="00C523C5" w:rsidRDefault="00C523C5" w:rsidP="00C523C5">
      <w:pPr>
        <w:spacing w:line="254" w:lineRule="auto"/>
        <w:ind w:firstLine="720"/>
        <w:rPr>
          <w:rFonts w:ascii="Calibri" w:eastAsia="Times New Roman" w:hAnsi="Calibri" w:cs="Calibri"/>
          <w:kern w:val="0"/>
          <w:lang w:eastAsia="en-CA"/>
          <w14:ligatures w14:val="none"/>
        </w:rPr>
      </w:pPr>
      <w:r w:rsidRPr="00C523C5">
        <w:rPr>
          <w:rFonts w:ascii="Calibri" w:eastAsia="Times New Roman" w:hAnsi="Calibri" w:cs="Calibri"/>
          <w:kern w:val="0"/>
          <w:lang w:eastAsia="en-CA"/>
          <w14:ligatures w14:val="none"/>
        </w:rPr>
        <w:lastRenderedPageBreak/>
        <w:t>If it was not obvious in Marcus’ introduction, then it become explicit from the onset of Quintus’ dialogue, that the examination of divination will mainly focus on Stoic doctrine. De Divinatione does not disclose the reason Cicero selected the Stoics to be the voice that argues in favour of divination, especially when there is evidence to show divination was not only practised by the Stoics, but it was possible that Cicero wanted to address individuals whom he would consider to be his peers.</w:t>
      </w:r>
      <w:r w:rsidR="00F0429E">
        <w:rPr>
          <w:rStyle w:val="FootnoteReference"/>
          <w:rFonts w:ascii="Calibri" w:eastAsia="Times New Roman" w:hAnsi="Calibri" w:cs="Calibri"/>
          <w:kern w:val="0"/>
          <w:lang w:eastAsia="en-CA"/>
          <w14:ligatures w14:val="none"/>
        </w:rPr>
        <w:footnoteReference w:id="21"/>
      </w:r>
      <w:r w:rsidRPr="00C523C5">
        <w:rPr>
          <w:rFonts w:ascii="Calibri" w:eastAsia="Times New Roman" w:hAnsi="Calibri" w:cs="Calibri"/>
          <w:kern w:val="0"/>
          <w:lang w:eastAsia="en-CA"/>
          <w14:ligatures w14:val="none"/>
        </w:rPr>
        <w:t xml:space="preserve"> A potential motivation for doing so was because the Stoics were a reputable philosophical school of thought and if Cicero was using a dialogue to compare arguments fairly, he would have had to use an intellectual match for the New Academy. In De Natura Deorum, Cicero also uses a dialogue form with characters of equal standing.</w:t>
      </w:r>
      <w:r w:rsidR="009A01CD">
        <w:rPr>
          <w:rStyle w:val="FootnoteReference"/>
          <w:rFonts w:ascii="Calibri" w:eastAsia="Times New Roman" w:hAnsi="Calibri" w:cs="Calibri"/>
          <w:kern w:val="0"/>
          <w:lang w:eastAsia="en-CA"/>
          <w14:ligatures w14:val="none"/>
        </w:rPr>
        <w:footnoteReference w:id="22"/>
      </w:r>
      <w:r w:rsidRPr="00C523C5">
        <w:rPr>
          <w:rFonts w:ascii="Calibri" w:eastAsia="Times New Roman" w:hAnsi="Calibri" w:cs="Calibri"/>
          <w:kern w:val="0"/>
          <w:lang w:eastAsia="en-CA"/>
          <w14:ligatures w14:val="none"/>
        </w:rPr>
        <w:t xml:space="preserve"> This signals to the reader that each argument should be weighed equally. He would not be able to, for example, achieve the same effect by sourcing a Chaldean, per by Cicero's definition, to voice the argument in support of divination because they didn't have the same social standing as the Stoics in Rome, and could present a conflict of interest if Cicero is attempting to convince the Stoics against superstitious practices.</w:t>
      </w:r>
      <w:r w:rsidR="00A11C81">
        <w:rPr>
          <w:rStyle w:val="FootnoteReference"/>
          <w:rFonts w:ascii="Calibri" w:eastAsia="Times New Roman" w:hAnsi="Calibri" w:cs="Calibri"/>
          <w:kern w:val="0"/>
          <w:lang w:eastAsia="en-CA"/>
          <w14:ligatures w14:val="none"/>
        </w:rPr>
        <w:footnoteReference w:id="23"/>
      </w:r>
      <w:r w:rsidRPr="00C523C5">
        <w:rPr>
          <w:rFonts w:ascii="Calibri" w:eastAsia="Times New Roman" w:hAnsi="Calibri" w:cs="Calibri"/>
          <w:kern w:val="0"/>
          <w:lang w:eastAsia="en-CA"/>
          <w14:ligatures w14:val="none"/>
        </w:rPr>
        <w:t xml:space="preserve"> The other potential motivation for using the Stoics is to use the New Academy's style of argument to voice his disapproval for the perceived negative influence the Stoics have had on Roman culture, for example, Posidonius' role in advocating for astrology. In any case, the choice to select Quintus as the voice to represent Stoics would imply his respect for the Stoics even if he may be trying to distance himself from their political or philosophical ideas.</w:t>
      </w:r>
      <w:r w:rsidR="003D22A4">
        <w:rPr>
          <w:rStyle w:val="FootnoteReference"/>
          <w:rFonts w:ascii="Calibri" w:eastAsia="Times New Roman" w:hAnsi="Calibri" w:cs="Calibri"/>
          <w:kern w:val="0"/>
          <w:lang w:eastAsia="en-CA"/>
          <w14:ligatures w14:val="none"/>
        </w:rPr>
        <w:footnoteReference w:id="24"/>
      </w:r>
    </w:p>
    <w:p w14:paraId="16B90A17" w14:textId="701AD26D" w:rsidR="00C523C5" w:rsidRPr="00C523C5" w:rsidRDefault="00C523C5" w:rsidP="00C523C5">
      <w:pPr>
        <w:spacing w:line="240" w:lineRule="auto"/>
        <w:ind w:firstLine="720"/>
        <w:rPr>
          <w:rFonts w:ascii="Calibri" w:eastAsia="Times New Roman" w:hAnsi="Calibri" w:cs="Calibri"/>
          <w:kern w:val="0"/>
          <w:lang w:eastAsia="en-CA"/>
          <w14:ligatures w14:val="none"/>
        </w:rPr>
      </w:pPr>
      <w:r w:rsidRPr="00C523C5">
        <w:rPr>
          <w:rFonts w:ascii="Calibri" w:eastAsia="Times New Roman" w:hAnsi="Calibri" w:cs="Calibri"/>
          <w:kern w:val="0"/>
          <w:lang w:eastAsia="en-CA"/>
          <w14:ligatures w14:val="none"/>
        </w:rPr>
        <w:t xml:space="preserve">Quintus, being the one to begin the dialogue sets the parameters in which the debate will take place, defining divination as “the foreseeing and foretelling of events considered as happening by chance” (Book </w:t>
      </w:r>
      <w:r w:rsidR="003C4995">
        <w:rPr>
          <w:rFonts w:ascii="Calibri" w:eastAsia="Times New Roman" w:hAnsi="Calibri" w:cs="Calibri"/>
          <w:kern w:val="0"/>
          <w:lang w:eastAsia="en-CA"/>
          <w14:ligatures w14:val="none"/>
        </w:rPr>
        <w:t>1</w:t>
      </w:r>
      <w:r w:rsidRPr="00C523C5">
        <w:rPr>
          <w:rFonts w:ascii="Calibri" w:eastAsia="Times New Roman" w:hAnsi="Calibri" w:cs="Calibri"/>
          <w:kern w:val="0"/>
          <w:lang w:eastAsia="en-CA"/>
          <w14:ligatures w14:val="none"/>
        </w:rPr>
        <w:t>, sec 5).</w:t>
      </w:r>
      <w:r w:rsidR="003C4995">
        <w:rPr>
          <w:rStyle w:val="FootnoteReference"/>
          <w:rFonts w:ascii="Calibri" w:eastAsia="Times New Roman" w:hAnsi="Calibri" w:cs="Calibri"/>
          <w:kern w:val="0"/>
          <w:lang w:eastAsia="en-CA"/>
          <w14:ligatures w14:val="none"/>
        </w:rPr>
        <w:footnoteReference w:id="25"/>
      </w:r>
      <w:r w:rsidRPr="00C523C5">
        <w:rPr>
          <w:rFonts w:ascii="Calibri" w:eastAsia="Times New Roman" w:hAnsi="Calibri" w:cs="Calibri"/>
          <w:kern w:val="0"/>
          <w:lang w:eastAsia="en-CA"/>
          <w14:ligatures w14:val="none"/>
        </w:rPr>
        <w:t>  The definition is somewhat curious as the traditional concept of Stoicism did not appear to accommodate for chance as it is defined in Books I and II, and there are no references or citations in De divinatione to clarify whether this was a definition produced or agreed upon by Stoics, or whether this was Cicero’s characterization of his own Stoic beliefs. Cicero is shown to provide credit to certain ideas, for example when referencing the idea of ___</w:t>
      </w:r>
      <w:r w:rsidR="00F756B7">
        <w:rPr>
          <w:rFonts w:ascii="Calibri" w:eastAsia="Times New Roman" w:hAnsi="Calibri" w:cs="Calibri"/>
          <w:kern w:val="0"/>
          <w:lang w:eastAsia="en-CA"/>
          <w14:ligatures w14:val="none"/>
        </w:rPr>
        <w:t>posidonius fate</w:t>
      </w:r>
      <w:r w:rsidRPr="00C523C5">
        <w:rPr>
          <w:rFonts w:ascii="Calibri" w:eastAsia="Times New Roman" w:hAnsi="Calibri" w:cs="Calibri"/>
          <w:kern w:val="0"/>
          <w:lang w:eastAsia="en-CA"/>
          <w14:ligatures w14:val="none"/>
        </w:rPr>
        <w:t>___ but it is unknown how consistently he does this.</w:t>
      </w:r>
      <w:r w:rsidR="00F90F0A">
        <w:rPr>
          <w:rStyle w:val="FootnoteReference"/>
          <w:rFonts w:ascii="Calibri" w:eastAsia="Times New Roman" w:hAnsi="Calibri" w:cs="Calibri"/>
          <w:kern w:val="0"/>
          <w:lang w:eastAsia="en-CA"/>
          <w14:ligatures w14:val="none"/>
        </w:rPr>
        <w:footnoteReference w:id="26"/>
      </w:r>
      <w:r w:rsidRPr="00C523C5">
        <w:rPr>
          <w:rFonts w:ascii="Calibri" w:eastAsia="Times New Roman" w:hAnsi="Calibri" w:cs="Calibri"/>
          <w:kern w:val="0"/>
          <w:lang w:eastAsia="en-CA"/>
          <w14:ligatures w14:val="none"/>
        </w:rPr>
        <w:t xml:space="preserve"> Here, the dialogue format for presenting ideas become powerful because it can give the illusion that an actual person has said something without it actually being side in real life. Without additional context within De divinatione, the reader would need to be well aware of the social context to know if Cicero misappropriated what the Stoics believed divination to be. What historical evidence can provide, is that Stoicism descended from Plato’s belief that the divine and the material world operated as a single organism, where one can affect the other.</w:t>
      </w:r>
      <w:r w:rsidR="00F90F0A">
        <w:rPr>
          <w:rStyle w:val="FootnoteReference"/>
          <w:rFonts w:ascii="Calibri" w:eastAsia="Times New Roman" w:hAnsi="Calibri" w:cs="Calibri"/>
          <w:kern w:val="0"/>
          <w:lang w:eastAsia="en-CA"/>
          <w14:ligatures w14:val="none"/>
        </w:rPr>
        <w:footnoteReference w:id="27"/>
      </w:r>
      <w:r w:rsidRPr="00C523C5">
        <w:rPr>
          <w:rFonts w:ascii="Calibri" w:eastAsia="Times New Roman" w:hAnsi="Calibri" w:cs="Calibri"/>
          <w:kern w:val="0"/>
          <w:lang w:eastAsia="en-CA"/>
          <w14:ligatures w14:val="none"/>
        </w:rPr>
        <w:t xml:space="preserve"> Each material item was linked to a god, and the gods could be manipulated to make changes.</w:t>
      </w:r>
      <w:r w:rsidR="00F90F0A">
        <w:rPr>
          <w:rStyle w:val="FootnoteReference"/>
          <w:rFonts w:ascii="Calibri" w:eastAsia="Times New Roman" w:hAnsi="Calibri" w:cs="Calibri"/>
          <w:kern w:val="0"/>
          <w:lang w:eastAsia="en-CA"/>
          <w14:ligatures w14:val="none"/>
        </w:rPr>
        <w:footnoteReference w:id="28"/>
      </w:r>
      <w:r w:rsidRPr="00C523C5">
        <w:rPr>
          <w:rFonts w:ascii="Calibri" w:eastAsia="Times New Roman" w:hAnsi="Calibri" w:cs="Calibri"/>
          <w:kern w:val="0"/>
          <w:lang w:eastAsia="en-CA"/>
          <w14:ligatures w14:val="none"/>
        </w:rPr>
        <w:t xml:space="preserve"> God, was the personification of logic, or reason, that controlled the events of the universe, resulting in fate (campion, 186).</w:t>
      </w:r>
      <w:r w:rsidR="005D7A09">
        <w:rPr>
          <w:rStyle w:val="FootnoteReference"/>
          <w:rFonts w:ascii="Calibri" w:eastAsia="Times New Roman" w:hAnsi="Calibri" w:cs="Calibri"/>
          <w:kern w:val="0"/>
          <w:lang w:eastAsia="en-CA"/>
          <w14:ligatures w14:val="none"/>
        </w:rPr>
        <w:footnoteReference w:id="29"/>
      </w:r>
      <w:r w:rsidRPr="00C523C5">
        <w:rPr>
          <w:rFonts w:ascii="Calibri" w:eastAsia="Times New Roman" w:hAnsi="Calibri" w:cs="Calibri"/>
          <w:kern w:val="0"/>
          <w:lang w:eastAsia="en-CA"/>
          <w14:ligatures w14:val="none"/>
        </w:rPr>
        <w:t xml:space="preserve"> As Quintus explains on fate:</w:t>
      </w:r>
    </w:p>
    <w:p w14:paraId="53C4C489" w14:textId="77777777" w:rsidR="00C523C5" w:rsidRPr="00C523C5" w:rsidRDefault="00C523C5" w:rsidP="00C523C5">
      <w:pPr>
        <w:spacing w:line="240" w:lineRule="auto"/>
        <w:ind w:firstLine="720"/>
        <w:rPr>
          <w:rFonts w:ascii="Calibri" w:eastAsia="Times New Roman" w:hAnsi="Calibri" w:cs="Calibri"/>
          <w:kern w:val="0"/>
          <w:lang w:eastAsia="en-CA"/>
          <w14:ligatures w14:val="none"/>
        </w:rPr>
      </w:pPr>
    </w:p>
    <w:p w14:paraId="3EB48DBE" w14:textId="77777777" w:rsidR="00C523C5" w:rsidRPr="00C523C5" w:rsidRDefault="00C523C5" w:rsidP="00182ABD">
      <w:pPr>
        <w:spacing w:line="240" w:lineRule="auto"/>
        <w:ind w:left="720"/>
        <w:rPr>
          <w:rFonts w:ascii="Calibri" w:eastAsia="Times New Roman" w:hAnsi="Calibri" w:cs="Calibri"/>
          <w:kern w:val="0"/>
          <w:lang w:eastAsia="en-CA"/>
          <w14:ligatures w14:val="none"/>
        </w:rPr>
      </w:pPr>
      <w:r w:rsidRPr="00C523C5">
        <w:rPr>
          <w:rFonts w:ascii="Calibri" w:eastAsia="Times New Roman" w:hAnsi="Calibri" w:cs="Calibri"/>
          <w:kern w:val="0"/>
          <w:lang w:eastAsia="en-CA"/>
          <w14:ligatures w14:val="none"/>
        </w:rPr>
        <w:lastRenderedPageBreak/>
        <w:t>Things which are to be do not suddenly spring into existence, but the evolution of time is like the unwinding of a cable: it creates nothing new and only unfolds each event in its order.</w:t>
      </w:r>
    </w:p>
    <w:p w14:paraId="2FAE80ED" w14:textId="77777777" w:rsidR="00C523C5" w:rsidRPr="00C523C5" w:rsidRDefault="00C523C5" w:rsidP="00C523C5">
      <w:pPr>
        <w:spacing w:line="240" w:lineRule="auto"/>
        <w:ind w:firstLine="720"/>
        <w:rPr>
          <w:rFonts w:ascii="Calibri" w:eastAsia="Times New Roman" w:hAnsi="Calibri" w:cs="Calibri"/>
          <w:kern w:val="0"/>
          <w:lang w:eastAsia="en-CA"/>
          <w14:ligatures w14:val="none"/>
        </w:rPr>
      </w:pPr>
      <w:r w:rsidRPr="00C523C5">
        <w:rPr>
          <w:rFonts w:ascii="Calibri" w:eastAsia="Times New Roman" w:hAnsi="Calibri" w:cs="Calibri"/>
          <w:kern w:val="0"/>
          <w:lang w:eastAsia="en-CA"/>
          <w14:ligatures w14:val="none"/>
        </w:rPr>
        <w:t>And</w:t>
      </w:r>
    </w:p>
    <w:p w14:paraId="5494C1D6" w14:textId="77777777" w:rsidR="00C523C5" w:rsidRPr="00C523C5" w:rsidRDefault="00C523C5" w:rsidP="00182ABD">
      <w:pPr>
        <w:spacing w:line="240" w:lineRule="auto"/>
        <w:ind w:left="720"/>
        <w:rPr>
          <w:rFonts w:ascii="Calibri" w:eastAsia="Times New Roman" w:hAnsi="Calibri" w:cs="Calibri"/>
          <w:kern w:val="0"/>
          <w:lang w:eastAsia="en-CA"/>
          <w14:ligatures w14:val="none"/>
        </w:rPr>
      </w:pPr>
      <w:r w:rsidRPr="00C523C5">
        <w:rPr>
          <w:rFonts w:ascii="Calibri" w:eastAsia="Times New Roman" w:hAnsi="Calibri" w:cs="Calibri"/>
          <w:color w:val="4472C4"/>
          <w:kern w:val="0"/>
          <w:lang w:eastAsia="en-CA"/>
          <w14:ligatures w14:val="none"/>
        </w:rPr>
        <w:t>divinity can be traced down to god, fate and nature. All things happen by fate, and fate is the orderly succession of things that happen through the effect of a specific cause p361</w:t>
      </w:r>
    </w:p>
    <w:p w14:paraId="69DD225B" w14:textId="77777777" w:rsidR="00C523C5" w:rsidRPr="00C523C5" w:rsidRDefault="00C523C5" w:rsidP="00C523C5">
      <w:pPr>
        <w:spacing w:line="240" w:lineRule="auto"/>
        <w:ind w:firstLine="720"/>
        <w:rPr>
          <w:rFonts w:ascii="Calibri" w:eastAsia="Times New Roman" w:hAnsi="Calibri" w:cs="Calibri"/>
          <w:kern w:val="0"/>
          <w:lang w:eastAsia="en-CA"/>
          <w14:ligatures w14:val="none"/>
        </w:rPr>
      </w:pPr>
    </w:p>
    <w:p w14:paraId="637BE150" w14:textId="663EAA4A" w:rsidR="00C523C5" w:rsidRPr="00C523C5" w:rsidRDefault="00C523C5" w:rsidP="00C523C5">
      <w:pPr>
        <w:spacing w:line="240" w:lineRule="auto"/>
        <w:ind w:firstLine="720"/>
        <w:rPr>
          <w:rFonts w:ascii="Calibri" w:eastAsia="Times New Roman" w:hAnsi="Calibri" w:cs="Calibri"/>
          <w:kern w:val="0"/>
          <w:lang w:eastAsia="en-CA"/>
          <w14:ligatures w14:val="none"/>
        </w:rPr>
      </w:pPr>
      <w:r w:rsidRPr="00C523C5">
        <w:rPr>
          <w:rFonts w:ascii="Calibri" w:eastAsia="Times New Roman" w:hAnsi="Calibri" w:cs="Calibri"/>
          <w:kern w:val="0"/>
          <w:lang w:eastAsia="en-CA"/>
          <w14:ligatures w14:val="none"/>
        </w:rPr>
        <w:t>Although Plato believed that all events occur under divine will, he acknowledges in Laws, according to Goar, that chance and opportunity can also occur under divine will (Goar p243).</w:t>
      </w:r>
      <w:r w:rsidR="000E2252">
        <w:rPr>
          <w:rStyle w:val="FootnoteReference"/>
          <w:rFonts w:ascii="Calibri" w:eastAsia="Times New Roman" w:hAnsi="Calibri" w:cs="Calibri"/>
          <w:kern w:val="0"/>
          <w:lang w:eastAsia="en-CA"/>
          <w14:ligatures w14:val="none"/>
        </w:rPr>
        <w:footnoteReference w:id="30"/>
      </w:r>
      <w:r w:rsidRPr="00C523C5">
        <w:rPr>
          <w:rFonts w:ascii="Calibri" w:eastAsia="Times New Roman" w:hAnsi="Calibri" w:cs="Calibri"/>
          <w:kern w:val="0"/>
          <w:lang w:eastAsia="en-CA"/>
          <w14:ligatures w14:val="none"/>
        </w:rPr>
        <w:t xml:space="preserve"> Zeno, the founder of Stoicism, incorporate Platonic notions of the divine operation, but appears more closely aligned with the notion of predetermination, resembling Quintus’ allegory on fate.</w:t>
      </w:r>
      <w:r w:rsidR="00A71EA5">
        <w:rPr>
          <w:rStyle w:val="FootnoteReference"/>
          <w:rFonts w:ascii="Calibri" w:eastAsia="Times New Roman" w:hAnsi="Calibri" w:cs="Calibri"/>
          <w:kern w:val="0"/>
          <w:lang w:eastAsia="en-CA"/>
          <w14:ligatures w14:val="none"/>
        </w:rPr>
        <w:footnoteReference w:id="31"/>
      </w:r>
      <w:r w:rsidRPr="00C523C5">
        <w:rPr>
          <w:rFonts w:ascii="Calibri" w:eastAsia="Times New Roman" w:hAnsi="Calibri" w:cs="Calibri"/>
          <w:kern w:val="0"/>
          <w:lang w:eastAsia="en-CA"/>
          <w14:ligatures w14:val="none"/>
        </w:rPr>
        <w:t xml:space="preserve"> In response to their perceived lack of free will, they adopted a practice of self-discipline, leading a virtuous life, and avoiding all pleasure.</w:t>
      </w:r>
      <w:r w:rsidR="004236E9">
        <w:rPr>
          <w:rStyle w:val="FootnoteReference"/>
          <w:rFonts w:ascii="Calibri" w:eastAsia="Times New Roman" w:hAnsi="Calibri" w:cs="Calibri"/>
          <w:kern w:val="0"/>
          <w:lang w:eastAsia="en-CA"/>
          <w14:ligatures w14:val="none"/>
        </w:rPr>
        <w:footnoteReference w:id="32"/>
      </w:r>
      <w:r w:rsidRPr="00C523C5">
        <w:rPr>
          <w:rFonts w:ascii="Calibri" w:eastAsia="Times New Roman" w:hAnsi="Calibri" w:cs="Calibri"/>
          <w:kern w:val="0"/>
          <w:lang w:eastAsia="en-CA"/>
          <w14:ligatures w14:val="none"/>
        </w:rPr>
        <w:t xml:space="preserve"> The goal was not to remediate their external circumstances, but to achieve harmony with nature.</w:t>
      </w:r>
      <w:r w:rsidR="00FD4304">
        <w:rPr>
          <w:rStyle w:val="FootnoteReference"/>
          <w:rFonts w:ascii="Calibri" w:eastAsia="Times New Roman" w:hAnsi="Calibri" w:cs="Calibri"/>
          <w:kern w:val="0"/>
          <w:lang w:eastAsia="en-CA"/>
          <w14:ligatures w14:val="none"/>
        </w:rPr>
        <w:footnoteReference w:id="33"/>
      </w:r>
      <w:r w:rsidRPr="00C523C5">
        <w:rPr>
          <w:rFonts w:ascii="Calibri" w:eastAsia="Times New Roman" w:hAnsi="Calibri" w:cs="Calibri"/>
          <w:kern w:val="0"/>
          <w:lang w:eastAsia="en-CA"/>
          <w14:ligatures w14:val="none"/>
        </w:rPr>
        <w:t xml:space="preserve"> It would appear that the traditional views and practices of Stoicism contradicts Quintus’ definition of divination, as Marcus points out later on (put reference here).</w:t>
      </w:r>
      <w:r w:rsidR="00A50921">
        <w:rPr>
          <w:rStyle w:val="FootnoteReference"/>
          <w:rFonts w:ascii="Calibri" w:eastAsia="Times New Roman" w:hAnsi="Calibri" w:cs="Calibri"/>
          <w:kern w:val="0"/>
          <w:lang w:eastAsia="en-CA"/>
          <w14:ligatures w14:val="none"/>
        </w:rPr>
        <w:footnoteReference w:id="34"/>
      </w:r>
      <w:r w:rsidRPr="00C523C5">
        <w:rPr>
          <w:rFonts w:ascii="Calibri" w:eastAsia="Times New Roman" w:hAnsi="Calibri" w:cs="Calibri"/>
          <w:kern w:val="0"/>
          <w:lang w:eastAsia="en-CA"/>
          <w14:ligatures w14:val="none"/>
        </w:rPr>
        <w:t xml:space="preserve"> Of course, it is entirely possible for chance to be part of Stoic cosmology, but it </w:t>
      </w:r>
      <w:r w:rsidR="00793EE6">
        <w:rPr>
          <w:rFonts w:ascii="Calibri" w:eastAsia="Times New Roman" w:hAnsi="Calibri" w:cs="Calibri"/>
          <w:kern w:val="0"/>
          <w:lang w:eastAsia="en-CA"/>
          <w14:ligatures w14:val="none"/>
        </w:rPr>
        <w:t xml:space="preserve">is </w:t>
      </w:r>
      <w:r w:rsidRPr="00C523C5">
        <w:rPr>
          <w:rFonts w:ascii="Calibri" w:eastAsia="Times New Roman" w:hAnsi="Calibri" w:cs="Calibri"/>
          <w:kern w:val="0"/>
          <w:lang w:eastAsia="en-CA"/>
          <w14:ligatures w14:val="none"/>
        </w:rPr>
        <w:t>unclear if Cicero's framing of the definition accurately captures what they think of chance. Since we know Cicero authored Quintus' dialogue, the contradiction between the Stoic definition and belief could either demonstrate Cicero's own intellectual bias against divination, clever manipulation of language for him to form his argument against divination later on, or an actual logical inconsistency within Stoic beliefs. If Cicero had a source in mind, he did not name them.</w:t>
      </w:r>
    </w:p>
    <w:p w14:paraId="227F9541" w14:textId="30EE2BBB" w:rsidR="00C523C5" w:rsidRPr="00C523C5" w:rsidRDefault="00C523C5" w:rsidP="00C523C5">
      <w:pPr>
        <w:spacing w:line="240" w:lineRule="auto"/>
        <w:ind w:firstLine="720"/>
        <w:rPr>
          <w:rFonts w:ascii="Calibri" w:eastAsia="Times New Roman" w:hAnsi="Calibri" w:cs="Calibri"/>
          <w:kern w:val="0"/>
          <w:lang w:eastAsia="en-CA"/>
          <w14:ligatures w14:val="none"/>
        </w:rPr>
      </w:pPr>
      <w:r w:rsidRPr="00C523C5">
        <w:rPr>
          <w:rFonts w:ascii="Calibri" w:eastAsia="Times New Roman" w:hAnsi="Calibri" w:cs="Calibri"/>
          <w:kern w:val="0"/>
          <w:lang w:eastAsia="en-CA"/>
          <w14:ligatures w14:val="none"/>
        </w:rPr>
        <w:t>The reason Quintus gives for the existence of divination can be condensed to the following: the long and observed connection between signs and events prove there is divination, and if there is divination, there are gods; since there are gods there must also be divination because gods are benefactors to man, and man can be benefitted from having access to the foretelling of future events.</w:t>
      </w:r>
      <w:r w:rsidR="00793EE6">
        <w:rPr>
          <w:rStyle w:val="FootnoteReference"/>
          <w:rFonts w:ascii="Calibri" w:eastAsia="Times New Roman" w:hAnsi="Calibri" w:cs="Calibri"/>
          <w:kern w:val="0"/>
          <w:lang w:eastAsia="en-CA"/>
          <w14:ligatures w14:val="none"/>
        </w:rPr>
        <w:footnoteReference w:id="35"/>
      </w:r>
      <w:r w:rsidRPr="00C523C5">
        <w:rPr>
          <w:rFonts w:ascii="Calibri" w:eastAsia="Times New Roman" w:hAnsi="Calibri" w:cs="Calibri"/>
          <w:kern w:val="0"/>
          <w:lang w:eastAsia="en-CA"/>
          <w14:ligatures w14:val="none"/>
        </w:rPr>
        <w:t xml:space="preserve"> However, the main argument is not by process of logical reason and theory. It is through the (perceived) hard evidence history can provide on its existence. He explains that the long-observed connection between the appearance of signs and the subsequent events that take place are proof that divination exist.</w:t>
      </w:r>
      <w:r w:rsidR="00592D5C">
        <w:rPr>
          <w:rStyle w:val="FootnoteReference"/>
          <w:rFonts w:ascii="Calibri" w:eastAsia="Times New Roman" w:hAnsi="Calibri" w:cs="Calibri"/>
          <w:kern w:val="0"/>
          <w:lang w:eastAsia="en-CA"/>
          <w14:ligatures w14:val="none"/>
        </w:rPr>
        <w:footnoteReference w:id="36"/>
      </w:r>
      <w:r w:rsidRPr="00C523C5">
        <w:rPr>
          <w:rFonts w:ascii="Calibri" w:eastAsia="Times New Roman" w:hAnsi="Calibri" w:cs="Calibri"/>
          <w:kern w:val="0"/>
          <w:lang w:eastAsia="en-CA"/>
          <w14:ligatures w14:val="none"/>
        </w:rPr>
        <w:t xml:space="preserve"> He admits to being unable to provide an answer to Carneades’s line of questioning on how or why it works, but believes the hard evidence should be enough to satisfy any skeptic.</w:t>
      </w:r>
      <w:r w:rsidR="00CE43F5">
        <w:rPr>
          <w:rStyle w:val="FootnoteReference"/>
          <w:rFonts w:ascii="Calibri" w:eastAsia="Times New Roman" w:hAnsi="Calibri" w:cs="Calibri"/>
          <w:kern w:val="0"/>
          <w:lang w:eastAsia="en-CA"/>
          <w14:ligatures w14:val="none"/>
        </w:rPr>
        <w:footnoteReference w:id="37"/>
      </w:r>
      <w:r w:rsidRPr="00C523C5">
        <w:rPr>
          <w:rFonts w:ascii="Calibri" w:eastAsia="Times New Roman" w:hAnsi="Calibri" w:cs="Calibri"/>
          <w:kern w:val="0"/>
          <w:lang w:eastAsia="en-CA"/>
          <w14:ligatures w14:val="none"/>
        </w:rPr>
        <w:t xml:space="preserve"> His dialogue is mainly comprised of detailed examples of each type of divination as evidence of its existence, but other types of arguments exist as well. He appeals to the legacy of greater philosophical authority such as Plato, and notable characters in Roman history and creative literary works, including Cicero’s own works to legitimize his stance. At the conclusion of his dialogue, Quintus makes an abrupt disclaimer that he does not support superstition or fortune telling (Book 1, section 58).</w:t>
      </w:r>
      <w:r w:rsidR="002021CE">
        <w:rPr>
          <w:rStyle w:val="FootnoteReference"/>
          <w:rFonts w:ascii="Calibri" w:eastAsia="Times New Roman" w:hAnsi="Calibri" w:cs="Calibri"/>
          <w:kern w:val="0"/>
          <w:lang w:eastAsia="en-CA"/>
          <w14:ligatures w14:val="none"/>
        </w:rPr>
        <w:footnoteReference w:id="38"/>
      </w:r>
    </w:p>
    <w:p w14:paraId="24FA3AC3" w14:textId="7E9B1078" w:rsidR="00C523C5" w:rsidRPr="00C523C5" w:rsidRDefault="00C523C5" w:rsidP="00C523C5">
      <w:pPr>
        <w:spacing w:line="240" w:lineRule="auto"/>
        <w:ind w:firstLine="720"/>
        <w:rPr>
          <w:rFonts w:ascii="Calibri" w:eastAsia="Times New Roman" w:hAnsi="Calibri" w:cs="Calibri"/>
          <w:kern w:val="0"/>
          <w:lang w:eastAsia="en-CA"/>
          <w14:ligatures w14:val="none"/>
        </w:rPr>
      </w:pPr>
      <w:r w:rsidRPr="00C523C5">
        <w:rPr>
          <w:rFonts w:ascii="Calibri" w:eastAsia="Times New Roman" w:hAnsi="Calibri" w:cs="Calibri"/>
          <w:kern w:val="0"/>
          <w:lang w:eastAsia="en-CA"/>
          <w14:ligatures w14:val="none"/>
        </w:rPr>
        <w:lastRenderedPageBreak/>
        <w:t xml:space="preserve">While Book I </w:t>
      </w:r>
      <w:r w:rsidRPr="00C523C5">
        <w:rPr>
          <w:rFonts w:ascii="Calibri" w:eastAsia="Times New Roman" w:hAnsi="Calibri" w:cs="Calibri"/>
          <w:kern w:val="0"/>
          <w:lang w:eastAsia="en-CA"/>
          <w14:ligatures w14:val="none"/>
        </w:rPr>
        <w:t>strive</w:t>
      </w:r>
      <w:r>
        <w:rPr>
          <w:rFonts w:ascii="Calibri" w:eastAsia="Times New Roman" w:hAnsi="Calibri" w:cs="Calibri"/>
          <w:kern w:val="0"/>
          <w:lang w:eastAsia="en-CA"/>
          <w14:ligatures w14:val="none"/>
        </w:rPr>
        <w:t>s</w:t>
      </w:r>
      <w:r w:rsidRPr="00C523C5">
        <w:rPr>
          <w:rFonts w:ascii="Calibri" w:eastAsia="Times New Roman" w:hAnsi="Calibri" w:cs="Calibri"/>
          <w:kern w:val="0"/>
          <w:lang w:eastAsia="en-CA"/>
          <w14:ligatures w14:val="none"/>
        </w:rPr>
        <w:t xml:space="preserve"> to convince readers of Cicero's objectivity, book II relays a higher purpose. The purpose of this book is to lead others to preserve the Roman cultural and political standard and create more works for readers that have provided a positive response to his other philosophical works that incorporate Roman culture (book 2 section 2). Taking Quintus' arguments from Book 1, Marcus begins to examine the argument. He uses the new academy style of argument which is pretty harsh. There are some people who think he's trying to take down the stoics but he praises the stoics in the beginning for including Roman history. If he was truly trying to embarrass stoic thought, it was unlikely he would have use Roman history. Marcus's argument differs from Quintus in the sense that </w:t>
      </w:r>
      <w:r>
        <w:rPr>
          <w:rFonts w:ascii="Calibri" w:eastAsia="Times New Roman" w:hAnsi="Calibri" w:cs="Calibri"/>
          <w:kern w:val="0"/>
          <w:lang w:eastAsia="en-CA"/>
          <w14:ligatures w14:val="none"/>
        </w:rPr>
        <w:t>M</w:t>
      </w:r>
      <w:r w:rsidRPr="00C523C5">
        <w:rPr>
          <w:rFonts w:ascii="Calibri" w:eastAsia="Times New Roman" w:hAnsi="Calibri" w:cs="Calibri"/>
          <w:kern w:val="0"/>
          <w:lang w:eastAsia="en-CA"/>
          <w14:ligatures w14:val="none"/>
        </w:rPr>
        <w:t>arcus does not really provide any anti divination ideas of his own, rather, he attacks and critiques the ideas Quintus provides, using logical reasoning and natural philosophy. He tries to debunk the connection between signs and events, for example questioning why there would be a connection between entrails and one's fortune. He also criticizes the argument of fate and chance coexisting all at once. He argues that if there is fate, then there cannot be chance, since fate is predetermined. If things are fixed, then divination is useless since knowing the future cannot change anything and it would be psychologically harmful to know your future if it ends in pain and misfortune. The argument builds up to a natural conclusion that there are Gods, but there is no divination, therefore, divination cannot be used for the purpose of foretelling the future. However, since there can still be gods without divination, religious rites that involve divination should still be used, and anyone who disobeys should be executed (book 2, sec 33). This message is likely what Cicero wanted to achieve and reinforces this by adding Quintus' agreement in Book II that the Stoics have been too supportive of divination/superstitious behaviour (book 2, sec 48)</w:t>
      </w:r>
    </w:p>
    <w:p w14:paraId="2EAD23EE" w14:textId="77777777" w:rsidR="00C523C5" w:rsidRPr="00C523C5" w:rsidRDefault="00C523C5" w:rsidP="00C523C5">
      <w:pPr>
        <w:spacing w:line="240" w:lineRule="auto"/>
        <w:ind w:firstLine="720"/>
        <w:rPr>
          <w:rFonts w:ascii="Calibri" w:eastAsia="Times New Roman" w:hAnsi="Calibri" w:cs="Calibri"/>
          <w:kern w:val="0"/>
          <w:lang w:eastAsia="en-CA"/>
          <w14:ligatures w14:val="none"/>
        </w:rPr>
      </w:pPr>
      <w:r w:rsidRPr="00C523C5">
        <w:rPr>
          <w:rFonts w:ascii="Calibri" w:eastAsia="Times New Roman" w:hAnsi="Calibri" w:cs="Calibri"/>
          <w:kern w:val="0"/>
          <w:lang w:eastAsia="en-CA"/>
          <w14:ligatures w14:val="none"/>
        </w:rPr>
        <w:t>When forming the dialogue for each argument, Cicero appears to take into account of the distinct style and points of the Stoic and the New Academy arguments making it look as though it were a real conversation between a Stoic and a New Academic. The Stoic argument is presented in a passionate and emotionally driven way versus the New Academy argument that is cerebral and based on logic. The arguments are almost an inverse of one another, where the Stoics are able to provide evidence of (perceived) results within reasonable doubt while the New Academy are able to apply logic but do have hard proof on the lack of connection between the sign and the event. Where books 1 and II converge is their shared opinion on superstition. Both show a disapproval for it which perhaps makes this the most compelling evidence that DD has a political agenda. The disapproval of superstition most likely referred to astrology as all other divination methods covered were things that had existed for a while and the only new things was astrology. From a modern Western perspective that places more value on logic and science, it might seem like the New Academy arguments are stronger because it’s similar to how we view the world, however, in the Hellenistic era where the Platonic way of thinking is more pervasive, it is possible that people reading this back then may feel like the arguments are more neutral. The inconsistency in logical reasoning, i.e. believing in chance and fate at the same time. The conclusion of Book II is intentionally left open ended where Marcus specifies that the role of this book is to present the two sides and readers should make up their own mind.</w:t>
      </w:r>
    </w:p>
    <w:p w14:paraId="43483A2D" w14:textId="77777777" w:rsidR="00C523C5" w:rsidRPr="00C523C5" w:rsidRDefault="00C523C5" w:rsidP="00C523C5">
      <w:pPr>
        <w:spacing w:line="254" w:lineRule="auto"/>
        <w:ind w:firstLine="720"/>
        <w:rPr>
          <w:rFonts w:ascii="Calibri" w:eastAsia="Times New Roman" w:hAnsi="Calibri" w:cs="Calibri"/>
          <w:kern w:val="0"/>
          <w:lang w:eastAsia="en-CA"/>
          <w14:ligatures w14:val="none"/>
        </w:rPr>
      </w:pPr>
      <w:r w:rsidRPr="00C523C5">
        <w:rPr>
          <w:rFonts w:ascii="Calibri" w:eastAsia="Times New Roman" w:hAnsi="Calibri" w:cs="Calibri"/>
          <w:kern w:val="0"/>
          <w:lang w:eastAsia="en-CA"/>
          <w14:ligatures w14:val="none"/>
        </w:rPr>
        <w:t>As for whether Marcus presents the true views of Cicero, the answer appears inconclusive</w:t>
      </w:r>
    </w:p>
    <w:p w14:paraId="44ECAC96" w14:textId="77777777" w:rsidR="00C523C5" w:rsidRPr="00C523C5" w:rsidRDefault="00C523C5" w:rsidP="00C523C5">
      <w:pPr>
        <w:spacing w:line="254" w:lineRule="auto"/>
        <w:ind w:firstLine="720"/>
        <w:rPr>
          <w:rFonts w:ascii="Calibri" w:eastAsia="Times New Roman" w:hAnsi="Calibri" w:cs="Calibri"/>
          <w:kern w:val="0"/>
          <w:lang w:eastAsia="en-CA"/>
          <w14:ligatures w14:val="none"/>
        </w:rPr>
      </w:pPr>
      <w:r w:rsidRPr="00C523C5">
        <w:rPr>
          <w:rFonts w:ascii="Calibri" w:eastAsia="Times New Roman" w:hAnsi="Calibri" w:cs="Calibri"/>
          <w:kern w:val="0"/>
          <w:lang w:eastAsia="en-CA"/>
          <w14:ligatures w14:val="none"/>
        </w:rPr>
        <w:t>In conclusion, De Divinatione was written to reinforce pride in Roman culture and practices. There was a political component that warned his peers to preserve traditional practices and not to give into superstition for the wellbeing of the state, but at the same time produce a book that would instill personal pride to the Romans on their own history and cultural practices. The dialogue form enabled Cicero to clearly illustrate argument so that the reader can carefully weigh each side. He did also cleverly use this dialogue to allow Marcus and Quintus coming into the same conclusion about superstition. Means that he can ‘allow’ his reader to</w:t>
      </w:r>
    </w:p>
    <w:p w14:paraId="46A5C0F9" w14:textId="77777777" w:rsidR="00C523C5" w:rsidRPr="00C523C5" w:rsidRDefault="00C523C5" w:rsidP="00C523C5">
      <w:pPr>
        <w:spacing w:line="254" w:lineRule="auto"/>
        <w:ind w:firstLine="720"/>
        <w:rPr>
          <w:rFonts w:ascii="Calibri" w:eastAsia="Times New Roman" w:hAnsi="Calibri" w:cs="Calibri"/>
          <w:kern w:val="0"/>
          <w:lang w:eastAsia="en-CA"/>
          <w14:ligatures w14:val="none"/>
        </w:rPr>
      </w:pPr>
    </w:p>
    <w:p w14:paraId="5FE8D910" w14:textId="77777777" w:rsidR="00C523C5" w:rsidRPr="00C523C5" w:rsidRDefault="00C523C5" w:rsidP="00C523C5">
      <w:pPr>
        <w:spacing w:line="254" w:lineRule="auto"/>
        <w:ind w:firstLine="720"/>
        <w:rPr>
          <w:rFonts w:ascii="Calibri" w:eastAsia="Times New Roman" w:hAnsi="Calibri" w:cs="Calibri"/>
          <w:kern w:val="0"/>
          <w:lang w:eastAsia="en-CA"/>
          <w14:ligatures w14:val="none"/>
        </w:rPr>
      </w:pPr>
    </w:p>
    <w:p w14:paraId="02DC1508" w14:textId="77777777" w:rsidR="00C523C5" w:rsidRPr="00C523C5" w:rsidRDefault="00C523C5" w:rsidP="00C523C5">
      <w:pPr>
        <w:spacing w:line="254" w:lineRule="auto"/>
        <w:ind w:firstLine="720"/>
        <w:rPr>
          <w:rFonts w:ascii="Calibri" w:eastAsia="Times New Roman" w:hAnsi="Calibri" w:cs="Calibri"/>
          <w:kern w:val="0"/>
          <w:lang w:eastAsia="en-CA"/>
          <w14:ligatures w14:val="none"/>
        </w:rPr>
      </w:pPr>
    </w:p>
    <w:p w14:paraId="501F7BB1" w14:textId="77777777" w:rsidR="00C523C5" w:rsidRPr="00C523C5" w:rsidRDefault="00C523C5" w:rsidP="00C523C5">
      <w:pPr>
        <w:spacing w:line="254" w:lineRule="auto"/>
        <w:ind w:firstLine="720"/>
        <w:rPr>
          <w:rFonts w:ascii="Calibri" w:eastAsia="Times New Roman" w:hAnsi="Calibri" w:cs="Calibri"/>
          <w:kern w:val="0"/>
          <w:lang w:eastAsia="en-CA"/>
          <w14:ligatures w14:val="none"/>
        </w:rPr>
      </w:pPr>
    </w:p>
    <w:p w14:paraId="1C5471D7" w14:textId="77777777" w:rsidR="00C523C5" w:rsidRPr="00C523C5" w:rsidRDefault="00C523C5" w:rsidP="00C523C5">
      <w:pPr>
        <w:spacing w:line="240" w:lineRule="auto"/>
        <w:rPr>
          <w:rFonts w:ascii="Calibri" w:eastAsia="Times New Roman" w:hAnsi="Calibri" w:cs="Calibri"/>
          <w:kern w:val="0"/>
          <w:lang w:eastAsia="en-CA"/>
          <w14:ligatures w14:val="none"/>
        </w:rPr>
      </w:pPr>
      <w:r w:rsidRPr="00C523C5">
        <w:rPr>
          <w:rFonts w:ascii="Calibri" w:eastAsia="Times New Roman" w:hAnsi="Calibri" w:cs="Calibri"/>
          <w:kern w:val="0"/>
          <w:lang w:eastAsia="en-CA"/>
          <w14:ligatures w14:val="none"/>
        </w:rPr>
        <w:t>References:</w:t>
      </w:r>
    </w:p>
    <w:p w14:paraId="6EA00312" w14:textId="77777777" w:rsidR="00C523C5" w:rsidRPr="00C523C5" w:rsidRDefault="00C523C5" w:rsidP="00C523C5">
      <w:pPr>
        <w:spacing w:line="240" w:lineRule="auto"/>
        <w:rPr>
          <w:rFonts w:ascii="Calibri" w:eastAsia="Times New Roman" w:hAnsi="Calibri" w:cs="Calibri"/>
          <w:kern w:val="0"/>
          <w:lang w:eastAsia="en-CA"/>
          <w14:ligatures w14:val="none"/>
        </w:rPr>
      </w:pPr>
      <w:hyperlink r:id="rId7" w:tgtFrame="_blank" w:history="1">
        <w:r w:rsidRPr="00C523C5">
          <w:rPr>
            <w:rFonts w:ascii="Calibri" w:eastAsia="Times New Roman" w:hAnsi="Calibri" w:cs="Calibri"/>
            <w:color w:val="0563C1"/>
            <w:kern w:val="0"/>
            <w:u w:val="single"/>
            <w:lang w:eastAsia="en-CA"/>
            <w14:ligatures w14:val="none"/>
          </w:rPr>
          <w:t>https://www.gutenberg.org/files/1750/1750-h/1750-h.htm</w:t>
        </w:r>
      </w:hyperlink>
      <w:r w:rsidRPr="00C523C5">
        <w:rPr>
          <w:rFonts w:ascii="Calibri" w:eastAsia="Times New Roman" w:hAnsi="Calibri" w:cs="Calibri"/>
          <w:kern w:val="0"/>
          <w:lang w:eastAsia="en-CA"/>
          <w14:ligatures w14:val="none"/>
        </w:rPr>
        <w:t xml:space="preserve"> - Laws, by Plato, Translated by Benjamin Jowett, Book IV</w:t>
      </w:r>
    </w:p>
    <w:p w14:paraId="0BA2ABB3" w14:textId="77777777" w:rsidR="00C523C5" w:rsidRPr="00C523C5" w:rsidRDefault="00C523C5" w:rsidP="00C523C5">
      <w:pPr>
        <w:spacing w:line="240" w:lineRule="auto"/>
        <w:rPr>
          <w:rFonts w:ascii="Calibri" w:eastAsia="Times New Roman" w:hAnsi="Calibri" w:cs="Calibri"/>
          <w:kern w:val="0"/>
          <w:lang w:eastAsia="en-CA"/>
          <w14:ligatures w14:val="none"/>
        </w:rPr>
      </w:pPr>
      <w:r w:rsidRPr="00C523C5">
        <w:rPr>
          <w:rFonts w:ascii="Calibri" w:eastAsia="Times New Roman" w:hAnsi="Calibri" w:cs="Calibri"/>
          <w:kern w:val="0"/>
          <w:lang w:eastAsia="en-CA"/>
          <w14:ligatures w14:val="none"/>
        </w:rPr>
        <w:t> </w:t>
      </w:r>
    </w:p>
    <w:p w14:paraId="7AA1A3B4" w14:textId="77777777" w:rsidR="00C523C5" w:rsidRPr="00C523C5" w:rsidRDefault="00C523C5" w:rsidP="00C523C5">
      <w:pPr>
        <w:spacing w:line="240" w:lineRule="auto"/>
        <w:rPr>
          <w:rFonts w:ascii="Calibri" w:eastAsia="Times New Roman" w:hAnsi="Calibri" w:cs="Calibri"/>
          <w:kern w:val="0"/>
          <w:lang w:eastAsia="en-CA"/>
          <w14:ligatures w14:val="none"/>
        </w:rPr>
      </w:pPr>
      <w:r w:rsidRPr="00C523C5">
        <w:rPr>
          <w:rFonts w:ascii="Calibri" w:eastAsia="Times New Roman" w:hAnsi="Calibri" w:cs="Calibri"/>
          <w:kern w:val="0"/>
          <w:lang w:eastAsia="en-CA"/>
          <w14:ligatures w14:val="none"/>
        </w:rPr>
        <w:t xml:space="preserve">Schofield, Malcolm. Cicero For and Against Divination. Source: The Journal of Roman Studies, 1986, Vol 76 (1986), pp. 47-65. Published by Society for the Promotion of Roman Studies </w:t>
      </w:r>
      <w:hyperlink r:id="rId8" w:tgtFrame="_blank" w:history="1">
        <w:r w:rsidRPr="00C523C5">
          <w:rPr>
            <w:rFonts w:ascii="Calibri" w:eastAsia="Times New Roman" w:hAnsi="Calibri" w:cs="Calibri"/>
            <w:color w:val="0000FF"/>
            <w:kern w:val="0"/>
            <w:u w:val="single"/>
            <w:lang w:eastAsia="en-CA"/>
            <w14:ligatures w14:val="none"/>
          </w:rPr>
          <w:t>https://www.jstor.org/stable/300365</w:t>
        </w:r>
      </w:hyperlink>
    </w:p>
    <w:p w14:paraId="26121AA4" w14:textId="77777777" w:rsidR="00C523C5" w:rsidRPr="00C523C5" w:rsidRDefault="00C523C5" w:rsidP="00C523C5">
      <w:pPr>
        <w:spacing w:line="240" w:lineRule="auto"/>
        <w:rPr>
          <w:rFonts w:ascii="Calibri" w:eastAsia="Times New Roman" w:hAnsi="Calibri" w:cs="Calibri"/>
          <w:kern w:val="0"/>
          <w:lang w:eastAsia="en-CA"/>
          <w14:ligatures w14:val="none"/>
        </w:rPr>
      </w:pPr>
      <w:r w:rsidRPr="00C523C5">
        <w:rPr>
          <w:rFonts w:ascii="Calibri" w:eastAsia="Times New Roman" w:hAnsi="Calibri" w:cs="Calibri"/>
          <w:kern w:val="0"/>
          <w:lang w:eastAsia="en-CA"/>
          <w14:ligatures w14:val="none"/>
        </w:rPr>
        <w:t> </w:t>
      </w:r>
    </w:p>
    <w:p w14:paraId="1F94CEEF" w14:textId="77777777" w:rsidR="00C523C5" w:rsidRPr="00C523C5" w:rsidRDefault="00C523C5" w:rsidP="00C523C5">
      <w:pPr>
        <w:spacing w:line="240" w:lineRule="auto"/>
        <w:rPr>
          <w:rFonts w:ascii="Calibri" w:eastAsia="Times New Roman" w:hAnsi="Calibri" w:cs="Calibri"/>
          <w:kern w:val="0"/>
          <w:lang w:eastAsia="en-CA"/>
          <w14:ligatures w14:val="none"/>
        </w:rPr>
      </w:pPr>
      <w:r w:rsidRPr="00C523C5">
        <w:rPr>
          <w:rFonts w:ascii="Calibri" w:eastAsia="Times New Roman" w:hAnsi="Calibri" w:cs="Calibri"/>
          <w:kern w:val="0"/>
          <w:lang w:eastAsia="en-CA"/>
          <w14:ligatures w14:val="none"/>
        </w:rPr>
        <w:t xml:space="preserve">Beard, Mary. Cicero and Divination: The Formation of a Latin Discourse. Source: The Journal of Roman Studies , 1986, Vol. 76 (1986), pp. 33-46 Published by: Society for the Promotion of Roman Studies. </w:t>
      </w:r>
      <w:hyperlink r:id="rId9" w:tgtFrame="_blank" w:history="1">
        <w:r w:rsidRPr="00C523C5">
          <w:rPr>
            <w:rFonts w:ascii="Calibri" w:eastAsia="Times New Roman" w:hAnsi="Calibri" w:cs="Calibri"/>
            <w:color w:val="0563C1"/>
            <w:kern w:val="0"/>
            <w:u w:val="single"/>
            <w:lang w:eastAsia="en-CA"/>
            <w14:ligatures w14:val="none"/>
          </w:rPr>
          <w:t>https://www.jstor.org/stable/300364</w:t>
        </w:r>
      </w:hyperlink>
    </w:p>
    <w:p w14:paraId="2AD379FF" w14:textId="77777777" w:rsidR="00C523C5" w:rsidRPr="00C523C5" w:rsidRDefault="00C523C5" w:rsidP="00C523C5">
      <w:pPr>
        <w:spacing w:line="240" w:lineRule="auto"/>
        <w:rPr>
          <w:rFonts w:ascii="Calibri" w:eastAsia="Times New Roman" w:hAnsi="Calibri" w:cs="Calibri"/>
          <w:kern w:val="0"/>
          <w:lang w:eastAsia="en-CA"/>
          <w14:ligatures w14:val="none"/>
        </w:rPr>
      </w:pPr>
      <w:r w:rsidRPr="00C523C5">
        <w:rPr>
          <w:rFonts w:ascii="Calibri" w:eastAsia="Times New Roman" w:hAnsi="Calibri" w:cs="Calibri"/>
          <w:kern w:val="0"/>
          <w:lang w:eastAsia="en-CA"/>
          <w14:ligatures w14:val="none"/>
        </w:rPr>
        <w:t> </w:t>
      </w:r>
    </w:p>
    <w:p w14:paraId="0DFBF6F1" w14:textId="77777777" w:rsidR="00C523C5" w:rsidRPr="00C523C5" w:rsidRDefault="00C523C5" w:rsidP="00C523C5">
      <w:pPr>
        <w:spacing w:line="240" w:lineRule="auto"/>
        <w:rPr>
          <w:rFonts w:ascii="Calibri" w:eastAsia="Times New Roman" w:hAnsi="Calibri" w:cs="Calibri"/>
          <w:kern w:val="0"/>
          <w:lang w:eastAsia="en-CA"/>
          <w14:ligatures w14:val="none"/>
        </w:rPr>
      </w:pPr>
      <w:r w:rsidRPr="00C523C5">
        <w:rPr>
          <w:rFonts w:ascii="Calibri" w:eastAsia="Times New Roman" w:hAnsi="Calibri" w:cs="Calibri"/>
          <w:kern w:val="0"/>
          <w:lang w:eastAsia="en-CA"/>
          <w14:ligatures w14:val="none"/>
        </w:rPr>
        <w:t xml:space="preserve">Goar, Robert J. The Purpose of De Divinatione Author(s). Source: Transactions and Proceedings of the American Philological Association , 1968, Vol. 99 (1968), pp. 241-248 Published by: The Johns Hopkins University Press Stable URL: </w:t>
      </w:r>
      <w:hyperlink r:id="rId10" w:tgtFrame="_blank" w:history="1">
        <w:r w:rsidRPr="00C523C5">
          <w:rPr>
            <w:rFonts w:ascii="Calibri" w:eastAsia="Times New Roman" w:hAnsi="Calibri" w:cs="Calibri"/>
            <w:color w:val="0563C1"/>
            <w:kern w:val="0"/>
            <w:u w:val="single"/>
            <w:lang w:eastAsia="en-CA"/>
            <w14:ligatures w14:val="none"/>
          </w:rPr>
          <w:t>https://www.jstor.org/stable/2935842</w:t>
        </w:r>
      </w:hyperlink>
      <w:r w:rsidRPr="00C523C5">
        <w:rPr>
          <w:rFonts w:ascii="Calibri" w:eastAsia="Times New Roman" w:hAnsi="Calibri" w:cs="Calibri"/>
          <w:kern w:val="0"/>
          <w:lang w:eastAsia="en-CA"/>
          <w14:ligatures w14:val="none"/>
        </w:rPr>
        <w:t xml:space="preserve"> </w:t>
      </w:r>
    </w:p>
    <w:p w14:paraId="163D4416" w14:textId="77777777" w:rsidR="00C523C5" w:rsidRPr="00C523C5" w:rsidRDefault="00C523C5" w:rsidP="00C523C5">
      <w:pPr>
        <w:spacing w:line="240" w:lineRule="auto"/>
        <w:rPr>
          <w:rFonts w:ascii="Calibri" w:eastAsia="Times New Roman" w:hAnsi="Calibri" w:cs="Calibri"/>
          <w:kern w:val="0"/>
          <w:lang w:eastAsia="en-CA"/>
          <w14:ligatures w14:val="none"/>
        </w:rPr>
      </w:pPr>
      <w:r w:rsidRPr="00C523C5">
        <w:rPr>
          <w:rFonts w:ascii="Calibri" w:eastAsia="Times New Roman" w:hAnsi="Calibri" w:cs="Calibri"/>
          <w:kern w:val="0"/>
          <w:lang w:eastAsia="en-CA"/>
          <w14:ligatures w14:val="none"/>
        </w:rPr>
        <w:t>References:</w:t>
      </w:r>
    </w:p>
    <w:p w14:paraId="4769ACE0" w14:textId="77777777" w:rsidR="00C523C5" w:rsidRPr="00C523C5" w:rsidRDefault="00C523C5" w:rsidP="00C523C5">
      <w:pPr>
        <w:spacing w:line="240" w:lineRule="auto"/>
        <w:rPr>
          <w:rFonts w:ascii="Calibri" w:eastAsia="Times New Roman" w:hAnsi="Calibri" w:cs="Calibri"/>
          <w:kern w:val="0"/>
          <w:lang w:eastAsia="en-CA"/>
          <w14:ligatures w14:val="none"/>
        </w:rPr>
      </w:pPr>
      <w:hyperlink r:id="rId11" w:tgtFrame="_blank" w:history="1">
        <w:r w:rsidRPr="00C523C5">
          <w:rPr>
            <w:rFonts w:ascii="Calibri" w:eastAsia="Times New Roman" w:hAnsi="Calibri" w:cs="Calibri"/>
            <w:color w:val="0563C1"/>
            <w:kern w:val="0"/>
            <w:u w:val="single"/>
            <w:lang w:eastAsia="en-CA"/>
            <w14:ligatures w14:val="none"/>
          </w:rPr>
          <w:t>https://www.gutenberg.org/files/1750/1750-h/1750-h.htm</w:t>
        </w:r>
      </w:hyperlink>
      <w:r w:rsidRPr="00C523C5">
        <w:rPr>
          <w:rFonts w:ascii="Calibri" w:eastAsia="Times New Roman" w:hAnsi="Calibri" w:cs="Calibri"/>
          <w:kern w:val="0"/>
          <w:lang w:eastAsia="en-CA"/>
          <w14:ligatures w14:val="none"/>
        </w:rPr>
        <w:t xml:space="preserve"> - Laws, by Plato, Translated by Benjamin Jowett, Book IV</w:t>
      </w:r>
    </w:p>
    <w:p w14:paraId="3C19DFA6" w14:textId="77777777" w:rsidR="00C523C5" w:rsidRPr="00C523C5" w:rsidRDefault="00C523C5" w:rsidP="00C523C5">
      <w:pPr>
        <w:spacing w:line="240" w:lineRule="auto"/>
        <w:rPr>
          <w:rFonts w:ascii="Calibri" w:eastAsia="Times New Roman" w:hAnsi="Calibri" w:cs="Calibri"/>
          <w:kern w:val="0"/>
          <w:lang w:eastAsia="en-CA"/>
          <w14:ligatures w14:val="none"/>
        </w:rPr>
      </w:pPr>
      <w:r w:rsidRPr="00C523C5">
        <w:rPr>
          <w:rFonts w:ascii="Calibri" w:eastAsia="Times New Roman" w:hAnsi="Calibri" w:cs="Calibri"/>
          <w:kern w:val="0"/>
          <w:lang w:eastAsia="en-CA"/>
          <w14:ligatures w14:val="none"/>
        </w:rPr>
        <w:t> </w:t>
      </w:r>
    </w:p>
    <w:p w14:paraId="47A5A7B7" w14:textId="77777777" w:rsidR="00C523C5" w:rsidRPr="00C523C5" w:rsidRDefault="00C523C5" w:rsidP="00C523C5">
      <w:pPr>
        <w:spacing w:line="240" w:lineRule="auto"/>
        <w:rPr>
          <w:rFonts w:ascii="Calibri" w:eastAsia="Times New Roman" w:hAnsi="Calibri" w:cs="Calibri"/>
          <w:kern w:val="0"/>
          <w:lang w:eastAsia="en-CA"/>
          <w14:ligatures w14:val="none"/>
        </w:rPr>
      </w:pPr>
      <w:r w:rsidRPr="00C523C5">
        <w:rPr>
          <w:rFonts w:ascii="Calibri" w:eastAsia="Times New Roman" w:hAnsi="Calibri" w:cs="Calibri"/>
          <w:kern w:val="0"/>
          <w:shd w:val="clear" w:color="auto" w:fill="FFFF00"/>
          <w:lang w:eastAsia="en-CA"/>
          <w14:ligatures w14:val="none"/>
        </w:rPr>
        <w:t xml:space="preserve">Schofield, M. (1986) ‘Cicero For and Against Divination’, </w:t>
      </w:r>
      <w:r w:rsidRPr="00C523C5">
        <w:rPr>
          <w:rFonts w:ascii="Calibri" w:eastAsia="Times New Roman" w:hAnsi="Calibri" w:cs="Calibri"/>
          <w:i/>
          <w:iCs/>
          <w:kern w:val="0"/>
          <w:shd w:val="clear" w:color="auto" w:fill="FFFF00"/>
          <w:lang w:eastAsia="en-CA"/>
          <w14:ligatures w14:val="none"/>
        </w:rPr>
        <w:t>The Journal of Roman Studies</w:t>
      </w:r>
      <w:r w:rsidRPr="00C523C5">
        <w:rPr>
          <w:rFonts w:ascii="Calibri" w:eastAsia="Times New Roman" w:hAnsi="Calibri" w:cs="Calibri"/>
          <w:kern w:val="0"/>
          <w:shd w:val="clear" w:color="auto" w:fill="FFFF00"/>
          <w:lang w:eastAsia="en-CA"/>
          <w14:ligatures w14:val="none"/>
        </w:rPr>
        <w:t xml:space="preserve">, 1986, 76, pp. 47-65. Available at: </w:t>
      </w:r>
      <w:hyperlink r:id="rId12" w:tgtFrame="_blank" w:history="1">
        <w:r w:rsidRPr="00C523C5">
          <w:rPr>
            <w:rFonts w:ascii="Calibri" w:eastAsia="Times New Roman" w:hAnsi="Calibri" w:cs="Calibri"/>
            <w:color w:val="0563C1"/>
            <w:kern w:val="0"/>
            <w:u w:val="single"/>
            <w:shd w:val="clear" w:color="auto" w:fill="FFFF00"/>
            <w:lang w:eastAsia="en-CA"/>
            <w14:ligatures w14:val="none"/>
          </w:rPr>
          <w:t>https://www.jstor.org/stable/300365</w:t>
        </w:r>
      </w:hyperlink>
      <w:r w:rsidRPr="00C523C5">
        <w:rPr>
          <w:rFonts w:ascii="Calibri" w:eastAsia="Times New Roman" w:hAnsi="Calibri" w:cs="Calibri"/>
          <w:kern w:val="0"/>
          <w:shd w:val="clear" w:color="auto" w:fill="FFFF00"/>
          <w:lang w:eastAsia="en-CA"/>
          <w14:ligatures w14:val="none"/>
        </w:rPr>
        <w:t>  jstor format</w:t>
      </w:r>
    </w:p>
    <w:p w14:paraId="391FEB1A" w14:textId="77777777" w:rsidR="00C523C5" w:rsidRPr="00C523C5" w:rsidRDefault="00C523C5" w:rsidP="00C523C5">
      <w:pPr>
        <w:spacing w:line="240" w:lineRule="auto"/>
        <w:rPr>
          <w:rFonts w:ascii="Calibri" w:eastAsia="Times New Roman" w:hAnsi="Calibri" w:cs="Calibri"/>
          <w:kern w:val="0"/>
          <w:lang w:eastAsia="en-CA"/>
          <w14:ligatures w14:val="none"/>
        </w:rPr>
      </w:pPr>
      <w:r w:rsidRPr="00C523C5">
        <w:rPr>
          <w:rFonts w:ascii="Calibri" w:eastAsia="Times New Roman" w:hAnsi="Calibri" w:cs="Calibri"/>
          <w:kern w:val="0"/>
          <w:shd w:val="clear" w:color="auto" w:fill="FFFF00"/>
          <w:lang w:eastAsia="en-CA"/>
          <w14:ligatures w14:val="none"/>
        </w:rPr>
        <w:t xml:space="preserve">Beard, M. (1986) ‘Cicero and Divination’: The Formation of a Latin Discourse, </w:t>
      </w:r>
      <w:r w:rsidRPr="00C523C5">
        <w:rPr>
          <w:rFonts w:ascii="Calibri" w:eastAsia="Times New Roman" w:hAnsi="Calibri" w:cs="Calibri"/>
          <w:i/>
          <w:iCs/>
          <w:kern w:val="0"/>
          <w:shd w:val="clear" w:color="auto" w:fill="FFFF00"/>
          <w:lang w:eastAsia="en-CA"/>
          <w14:ligatures w14:val="none"/>
        </w:rPr>
        <w:t>The Journal of Roman Studies</w:t>
      </w:r>
      <w:r w:rsidRPr="00C523C5">
        <w:rPr>
          <w:rFonts w:ascii="Calibri" w:eastAsia="Times New Roman" w:hAnsi="Calibri" w:cs="Calibri"/>
          <w:kern w:val="0"/>
          <w:shd w:val="clear" w:color="auto" w:fill="FFFF00"/>
          <w:lang w:eastAsia="en-CA"/>
          <w14:ligatures w14:val="none"/>
        </w:rPr>
        <w:t xml:space="preserve">, 1986, 76, pp. 33-46. Available at: </w:t>
      </w:r>
      <w:hyperlink r:id="rId13" w:tgtFrame="_blank" w:history="1">
        <w:r w:rsidRPr="00C523C5">
          <w:rPr>
            <w:rFonts w:ascii="Calibri" w:eastAsia="Times New Roman" w:hAnsi="Calibri" w:cs="Calibri"/>
            <w:color w:val="0563C1"/>
            <w:kern w:val="0"/>
            <w:u w:val="single"/>
            <w:shd w:val="clear" w:color="auto" w:fill="FFFF00"/>
            <w:lang w:eastAsia="en-CA"/>
            <w14:ligatures w14:val="none"/>
          </w:rPr>
          <w:t>https://www.jstor.org/stable/300364</w:t>
        </w:r>
      </w:hyperlink>
      <w:r w:rsidRPr="00C523C5">
        <w:rPr>
          <w:rFonts w:ascii="Calibri" w:eastAsia="Times New Roman" w:hAnsi="Calibri" w:cs="Calibri"/>
          <w:kern w:val="0"/>
          <w:shd w:val="clear" w:color="auto" w:fill="FFFF00"/>
          <w:lang w:eastAsia="en-CA"/>
          <w14:ligatures w14:val="none"/>
        </w:rPr>
        <w:t xml:space="preserve"> </w:t>
      </w:r>
    </w:p>
    <w:p w14:paraId="188B1333" w14:textId="77777777" w:rsidR="00C523C5" w:rsidRPr="00C523C5" w:rsidRDefault="00C523C5" w:rsidP="00C523C5">
      <w:pPr>
        <w:spacing w:line="240" w:lineRule="auto"/>
        <w:rPr>
          <w:rFonts w:ascii="Calibri" w:eastAsia="Times New Roman" w:hAnsi="Calibri" w:cs="Calibri"/>
          <w:kern w:val="0"/>
          <w:lang w:eastAsia="en-CA"/>
          <w14:ligatures w14:val="none"/>
        </w:rPr>
      </w:pPr>
      <w:r w:rsidRPr="00C523C5">
        <w:rPr>
          <w:rFonts w:ascii="Calibri" w:eastAsia="Times New Roman" w:hAnsi="Calibri" w:cs="Calibri"/>
          <w:kern w:val="0"/>
          <w:shd w:val="clear" w:color="auto" w:fill="FFFF00"/>
          <w:lang w:eastAsia="en-CA"/>
          <w14:ligatures w14:val="none"/>
        </w:rPr>
        <w:t> </w:t>
      </w:r>
    </w:p>
    <w:p w14:paraId="2A6C3B55" w14:textId="77777777" w:rsidR="00C523C5" w:rsidRPr="00C523C5" w:rsidRDefault="00C523C5" w:rsidP="00C523C5">
      <w:pPr>
        <w:spacing w:line="240" w:lineRule="auto"/>
        <w:rPr>
          <w:rFonts w:ascii="Calibri" w:eastAsia="Times New Roman" w:hAnsi="Calibri" w:cs="Calibri"/>
          <w:kern w:val="0"/>
          <w:lang w:eastAsia="en-CA"/>
          <w14:ligatures w14:val="none"/>
        </w:rPr>
      </w:pPr>
      <w:r w:rsidRPr="00C523C5">
        <w:rPr>
          <w:rFonts w:ascii="Calibri" w:eastAsia="Times New Roman" w:hAnsi="Calibri" w:cs="Calibri"/>
          <w:kern w:val="0"/>
          <w:shd w:val="clear" w:color="auto" w:fill="FFFF00"/>
          <w:lang w:eastAsia="en-CA"/>
          <w14:ligatures w14:val="none"/>
        </w:rPr>
        <w:t xml:space="preserve">Goar, R.J. (1968) ‘The Purpose of De Divinatione’, </w:t>
      </w:r>
      <w:r w:rsidRPr="00C523C5">
        <w:rPr>
          <w:rFonts w:ascii="Calibri" w:eastAsia="Times New Roman" w:hAnsi="Calibri" w:cs="Calibri"/>
          <w:i/>
          <w:iCs/>
          <w:kern w:val="0"/>
          <w:shd w:val="clear" w:color="auto" w:fill="FFFF00"/>
          <w:lang w:eastAsia="en-CA"/>
          <w14:ligatures w14:val="none"/>
        </w:rPr>
        <w:t>Transactions and Proceedings of the American Philological Association</w:t>
      </w:r>
      <w:r w:rsidRPr="00C523C5">
        <w:rPr>
          <w:rFonts w:ascii="Calibri" w:eastAsia="Times New Roman" w:hAnsi="Calibri" w:cs="Calibri"/>
          <w:kern w:val="0"/>
          <w:shd w:val="clear" w:color="auto" w:fill="FFFF00"/>
          <w:lang w:eastAsia="en-CA"/>
          <w14:ligatures w14:val="none"/>
        </w:rPr>
        <w:t xml:space="preserve">, 99, pp. 241-248. Available at: </w:t>
      </w:r>
      <w:hyperlink r:id="rId14" w:tgtFrame="_blank" w:history="1">
        <w:r w:rsidRPr="00C523C5">
          <w:rPr>
            <w:rFonts w:ascii="Calibri" w:eastAsia="Times New Roman" w:hAnsi="Calibri" w:cs="Calibri"/>
            <w:color w:val="0563C1"/>
            <w:kern w:val="0"/>
            <w:u w:val="single"/>
            <w:shd w:val="clear" w:color="auto" w:fill="FFFF00"/>
            <w:lang w:eastAsia="en-CA"/>
            <w14:ligatures w14:val="none"/>
          </w:rPr>
          <w:t>https://www.jstor.org/stable/2935842</w:t>
        </w:r>
      </w:hyperlink>
    </w:p>
    <w:p w14:paraId="152D0160" w14:textId="77777777" w:rsidR="00C523C5" w:rsidRPr="00C523C5" w:rsidRDefault="00C523C5" w:rsidP="00C523C5">
      <w:pPr>
        <w:spacing w:line="240" w:lineRule="auto"/>
        <w:rPr>
          <w:rFonts w:ascii="Calibri" w:eastAsia="Times New Roman" w:hAnsi="Calibri" w:cs="Calibri"/>
          <w:kern w:val="0"/>
          <w:lang w:eastAsia="en-CA"/>
          <w14:ligatures w14:val="none"/>
        </w:rPr>
      </w:pPr>
      <w:r w:rsidRPr="00C523C5">
        <w:rPr>
          <w:rFonts w:ascii="Calibri" w:eastAsia="Times New Roman" w:hAnsi="Calibri" w:cs="Calibri"/>
          <w:kern w:val="0"/>
          <w:lang w:eastAsia="en-CA"/>
          <w14:ligatures w14:val="none"/>
        </w:rPr>
        <w:t> </w:t>
      </w:r>
    </w:p>
    <w:p w14:paraId="7A9A7D03" w14:textId="77777777" w:rsidR="00C523C5" w:rsidRPr="00C523C5" w:rsidRDefault="00C523C5" w:rsidP="00C523C5">
      <w:pPr>
        <w:spacing w:line="240" w:lineRule="auto"/>
        <w:rPr>
          <w:rFonts w:ascii="Calibri" w:eastAsia="Times New Roman" w:hAnsi="Calibri" w:cs="Calibri"/>
          <w:kern w:val="0"/>
          <w:lang w:eastAsia="en-CA"/>
          <w14:ligatures w14:val="none"/>
        </w:rPr>
      </w:pPr>
      <w:r w:rsidRPr="00C523C5">
        <w:rPr>
          <w:rFonts w:ascii="Calibri" w:eastAsia="Times New Roman" w:hAnsi="Calibri" w:cs="Calibri"/>
          <w:kern w:val="0"/>
          <w:lang w:eastAsia="en-CA"/>
          <w14:ligatures w14:val="none"/>
        </w:rPr>
        <w:t>Cicero. On Old Age. On Friendship. On Divination. Translated by W. A. Falconer. Loeb Classical Library 154. Cambridge, MA: Harvard University Press, 1923.</w:t>
      </w:r>
    </w:p>
    <w:p w14:paraId="13BAE4B0" w14:textId="77777777" w:rsidR="00C523C5" w:rsidRPr="00C523C5" w:rsidRDefault="00C523C5" w:rsidP="00C523C5">
      <w:pPr>
        <w:spacing w:line="240" w:lineRule="auto"/>
        <w:rPr>
          <w:rFonts w:ascii="Calibri" w:eastAsia="Times New Roman" w:hAnsi="Calibri" w:cs="Calibri"/>
          <w:kern w:val="0"/>
          <w:lang w:eastAsia="en-CA"/>
          <w14:ligatures w14:val="none"/>
        </w:rPr>
      </w:pPr>
      <w:r w:rsidRPr="00C523C5">
        <w:rPr>
          <w:rFonts w:ascii="Calibri" w:eastAsia="Times New Roman" w:hAnsi="Calibri" w:cs="Calibri"/>
          <w:kern w:val="0"/>
          <w:lang w:eastAsia="en-CA"/>
          <w14:ligatures w14:val="none"/>
        </w:rPr>
        <w:t> </w:t>
      </w:r>
    </w:p>
    <w:p w14:paraId="03E3EC83" w14:textId="77777777" w:rsidR="00C523C5" w:rsidRPr="00C523C5" w:rsidRDefault="00C523C5" w:rsidP="00C523C5">
      <w:pPr>
        <w:spacing w:line="240" w:lineRule="auto"/>
        <w:rPr>
          <w:rFonts w:ascii="Calibri" w:eastAsia="Times New Roman" w:hAnsi="Calibri" w:cs="Calibri"/>
          <w:kern w:val="0"/>
          <w:lang w:eastAsia="en-CA"/>
          <w14:ligatures w14:val="none"/>
        </w:rPr>
      </w:pPr>
      <w:r w:rsidRPr="00C523C5">
        <w:rPr>
          <w:rFonts w:ascii="Calibri" w:eastAsia="Times New Roman" w:hAnsi="Calibri" w:cs="Calibri"/>
          <w:kern w:val="0"/>
          <w:lang w:eastAsia="en-CA"/>
          <w14:ligatures w14:val="none"/>
        </w:rPr>
        <w:lastRenderedPageBreak/>
        <w:t xml:space="preserve">Campion, N. (2008) </w:t>
      </w:r>
      <w:r w:rsidRPr="00C523C5">
        <w:rPr>
          <w:rFonts w:ascii="Calibri" w:eastAsia="Times New Roman" w:hAnsi="Calibri" w:cs="Calibri"/>
          <w:i/>
          <w:iCs/>
          <w:kern w:val="0"/>
          <w:lang w:eastAsia="en-CA"/>
          <w14:ligatures w14:val="none"/>
        </w:rPr>
        <w:t>A History of Western Astrology: Volume 1 The Ancient World</w:t>
      </w:r>
      <w:r w:rsidRPr="00C523C5">
        <w:rPr>
          <w:rFonts w:ascii="Calibri" w:eastAsia="Times New Roman" w:hAnsi="Calibri" w:cs="Calibri"/>
          <w:kern w:val="0"/>
          <w:lang w:eastAsia="en-CA"/>
          <w14:ligatures w14:val="none"/>
        </w:rPr>
        <w:t>. Bloomsbury Publishing Plc.</w:t>
      </w:r>
    </w:p>
    <w:p w14:paraId="59F51662" w14:textId="77777777" w:rsidR="00C523C5" w:rsidRPr="00C523C5" w:rsidRDefault="00C523C5" w:rsidP="00C523C5">
      <w:pPr>
        <w:spacing w:line="240" w:lineRule="auto"/>
        <w:rPr>
          <w:rFonts w:ascii="Calibri" w:eastAsia="Times New Roman" w:hAnsi="Calibri" w:cs="Calibri"/>
          <w:kern w:val="0"/>
          <w:lang w:eastAsia="en-CA"/>
          <w14:ligatures w14:val="none"/>
        </w:rPr>
      </w:pPr>
      <w:r w:rsidRPr="00C523C5">
        <w:rPr>
          <w:rFonts w:ascii="Calibri" w:eastAsia="Times New Roman" w:hAnsi="Calibri" w:cs="Calibri"/>
          <w:kern w:val="0"/>
          <w:lang w:eastAsia="en-CA"/>
          <w14:ligatures w14:val="none"/>
        </w:rPr>
        <w:t xml:space="preserve">Barton, T. (1994) </w:t>
      </w:r>
      <w:r w:rsidRPr="00C523C5">
        <w:rPr>
          <w:rFonts w:ascii="Calibri" w:eastAsia="Times New Roman" w:hAnsi="Calibri" w:cs="Calibri"/>
          <w:i/>
          <w:iCs/>
          <w:kern w:val="0"/>
          <w:lang w:eastAsia="en-CA"/>
          <w14:ligatures w14:val="none"/>
        </w:rPr>
        <w:t>Ancient Astrology</w:t>
      </w:r>
      <w:r w:rsidRPr="00C523C5">
        <w:rPr>
          <w:rFonts w:ascii="Calibri" w:eastAsia="Times New Roman" w:hAnsi="Calibri" w:cs="Calibri"/>
          <w:kern w:val="0"/>
          <w:lang w:eastAsia="en-CA"/>
          <w14:ligatures w14:val="none"/>
        </w:rPr>
        <w:t>. Routledge.</w:t>
      </w:r>
    </w:p>
    <w:p w14:paraId="2A68A1AB" w14:textId="77777777" w:rsidR="00C523C5" w:rsidRPr="00C523C5" w:rsidRDefault="00C523C5" w:rsidP="00C523C5">
      <w:pPr>
        <w:spacing w:line="240" w:lineRule="auto"/>
        <w:rPr>
          <w:rFonts w:ascii="Calibri" w:eastAsia="Times New Roman" w:hAnsi="Calibri" w:cs="Calibri"/>
          <w:kern w:val="0"/>
          <w:lang w:eastAsia="en-CA"/>
          <w14:ligatures w14:val="none"/>
        </w:rPr>
      </w:pPr>
      <w:r w:rsidRPr="00C523C5">
        <w:rPr>
          <w:rFonts w:ascii="Calibri" w:eastAsia="Times New Roman" w:hAnsi="Calibri" w:cs="Calibri"/>
          <w:kern w:val="0"/>
          <w:lang w:eastAsia="en-CA"/>
          <w14:ligatures w14:val="none"/>
        </w:rPr>
        <w:t xml:space="preserve">Cicero, M, </w:t>
      </w:r>
      <w:r w:rsidRPr="00C523C5">
        <w:rPr>
          <w:rFonts w:ascii="Calibri" w:eastAsia="Times New Roman" w:hAnsi="Calibri" w:cs="Calibri"/>
          <w:i/>
          <w:iCs/>
          <w:kern w:val="0"/>
          <w:lang w:eastAsia="en-CA"/>
          <w14:ligatures w14:val="none"/>
        </w:rPr>
        <w:t>On Old Age. On Friendship. On Divination.</w:t>
      </w:r>
      <w:r w:rsidRPr="00C523C5">
        <w:rPr>
          <w:rFonts w:ascii="Calibri" w:eastAsia="Times New Roman" w:hAnsi="Calibri" w:cs="Calibri"/>
          <w:kern w:val="0"/>
          <w:lang w:eastAsia="en-CA"/>
          <w14:ligatures w14:val="none"/>
        </w:rPr>
        <w:t xml:space="preserve"> Translated by Falconer, W.A.. Loeb Classical Library 154 (Cambridge, MA: Harvard University Press, 1923), pp. 214-539</w:t>
      </w:r>
    </w:p>
    <w:p w14:paraId="0B0EDE76" w14:textId="77777777" w:rsidR="00C523C5" w:rsidRPr="00C523C5" w:rsidRDefault="00C523C5" w:rsidP="00C523C5">
      <w:pPr>
        <w:spacing w:line="240" w:lineRule="auto"/>
        <w:rPr>
          <w:rFonts w:ascii="Calibri" w:eastAsia="Times New Roman" w:hAnsi="Calibri" w:cs="Calibri"/>
          <w:kern w:val="0"/>
          <w:lang w:eastAsia="en-CA"/>
          <w14:ligatures w14:val="none"/>
        </w:rPr>
      </w:pPr>
      <w:r w:rsidRPr="00C523C5">
        <w:rPr>
          <w:rFonts w:ascii="Calibri" w:eastAsia="Times New Roman" w:hAnsi="Calibri" w:cs="Calibri"/>
          <w:kern w:val="0"/>
          <w:lang w:eastAsia="en-CA"/>
          <w14:ligatures w14:val="none"/>
        </w:rPr>
        <w:t> </w:t>
      </w:r>
    </w:p>
    <w:p w14:paraId="54791754" w14:textId="77777777" w:rsidR="00C523C5" w:rsidRPr="00C523C5" w:rsidRDefault="00C523C5" w:rsidP="00C523C5">
      <w:pPr>
        <w:spacing w:line="240" w:lineRule="auto"/>
        <w:rPr>
          <w:rFonts w:ascii="Calibri" w:eastAsia="Times New Roman" w:hAnsi="Calibri" w:cs="Calibri"/>
          <w:kern w:val="0"/>
          <w:lang w:eastAsia="en-CA"/>
          <w14:ligatures w14:val="none"/>
        </w:rPr>
      </w:pPr>
      <w:r w:rsidRPr="00C523C5">
        <w:rPr>
          <w:rFonts w:ascii="Calibri" w:eastAsia="Times New Roman" w:hAnsi="Calibri" w:cs="Calibri"/>
          <w:kern w:val="0"/>
          <w:lang w:eastAsia="en-CA"/>
          <w14:ligatures w14:val="none"/>
        </w:rPr>
        <w:t> </w:t>
      </w:r>
    </w:p>
    <w:p w14:paraId="4480CFC7" w14:textId="77777777" w:rsidR="00C523C5" w:rsidRPr="00C523C5" w:rsidRDefault="00C523C5" w:rsidP="00C523C5">
      <w:pPr>
        <w:spacing w:line="240" w:lineRule="auto"/>
        <w:rPr>
          <w:rFonts w:ascii="Calibri" w:eastAsia="Times New Roman" w:hAnsi="Calibri" w:cs="Calibri"/>
          <w:kern w:val="0"/>
          <w:lang w:eastAsia="en-CA"/>
          <w14:ligatures w14:val="none"/>
        </w:rPr>
      </w:pPr>
      <w:r w:rsidRPr="00C523C5">
        <w:rPr>
          <w:rFonts w:ascii="Calibri" w:eastAsia="Times New Roman" w:hAnsi="Calibri" w:cs="Calibri"/>
          <w:kern w:val="0"/>
          <w:lang w:eastAsia="en-CA"/>
          <w14:ligatures w14:val="none"/>
        </w:rPr>
        <w:t> </w:t>
      </w:r>
    </w:p>
    <w:p w14:paraId="1CAFCC1A" w14:textId="77777777" w:rsidR="00C523C5" w:rsidRPr="00C523C5" w:rsidRDefault="00C523C5" w:rsidP="00C523C5">
      <w:pPr>
        <w:spacing w:line="240" w:lineRule="auto"/>
        <w:rPr>
          <w:rFonts w:ascii="Calibri" w:eastAsia="Times New Roman" w:hAnsi="Calibri" w:cs="Calibri"/>
          <w:kern w:val="0"/>
          <w:lang w:eastAsia="en-CA"/>
          <w14:ligatures w14:val="none"/>
        </w:rPr>
      </w:pPr>
      <w:r w:rsidRPr="00C523C5">
        <w:rPr>
          <w:rFonts w:ascii="Calibri" w:eastAsia="Times New Roman" w:hAnsi="Calibri" w:cs="Calibri"/>
          <w:kern w:val="0"/>
          <w:lang w:eastAsia="en-CA"/>
          <w14:ligatures w14:val="none"/>
        </w:rPr>
        <w:t> </w:t>
      </w:r>
    </w:p>
    <w:p w14:paraId="1F35CDE0" w14:textId="77777777" w:rsidR="00C523C5" w:rsidRPr="00C523C5" w:rsidRDefault="00C523C5" w:rsidP="00C523C5">
      <w:pPr>
        <w:spacing w:line="240" w:lineRule="auto"/>
        <w:rPr>
          <w:rFonts w:ascii="Calibri" w:eastAsia="Times New Roman" w:hAnsi="Calibri" w:cs="Calibri"/>
          <w:kern w:val="0"/>
          <w:lang w:eastAsia="en-CA"/>
          <w14:ligatures w14:val="none"/>
        </w:rPr>
      </w:pPr>
      <w:r w:rsidRPr="00C523C5">
        <w:rPr>
          <w:rFonts w:ascii="Calibri" w:eastAsia="Times New Roman" w:hAnsi="Calibri" w:cs="Calibri"/>
          <w:kern w:val="0"/>
          <w:lang w:eastAsia="en-CA"/>
          <w14:ligatures w14:val="none"/>
        </w:rPr>
        <w:t> </w:t>
      </w:r>
    </w:p>
    <w:p w14:paraId="6E27C857" w14:textId="77777777" w:rsidR="00C523C5" w:rsidRPr="00C523C5" w:rsidRDefault="00C523C5" w:rsidP="00C523C5">
      <w:pPr>
        <w:spacing w:line="240" w:lineRule="auto"/>
        <w:rPr>
          <w:rFonts w:ascii="Calibri" w:eastAsia="Times New Roman" w:hAnsi="Calibri" w:cs="Calibri"/>
          <w:kern w:val="0"/>
          <w:lang w:eastAsia="en-CA"/>
          <w14:ligatures w14:val="none"/>
        </w:rPr>
      </w:pPr>
      <w:r w:rsidRPr="00C523C5">
        <w:rPr>
          <w:rFonts w:ascii="Calibri" w:eastAsia="Times New Roman" w:hAnsi="Calibri" w:cs="Calibri"/>
          <w:kern w:val="0"/>
          <w:lang w:eastAsia="en-CA"/>
          <w14:ligatures w14:val="none"/>
        </w:rPr>
        <w:t> </w:t>
      </w:r>
    </w:p>
    <w:p w14:paraId="073D93C4" w14:textId="77777777" w:rsidR="00C523C5" w:rsidRPr="00C523C5" w:rsidRDefault="00C523C5" w:rsidP="00C523C5">
      <w:pPr>
        <w:spacing w:line="240" w:lineRule="auto"/>
        <w:rPr>
          <w:rFonts w:ascii="Calibri" w:eastAsia="Times New Roman" w:hAnsi="Calibri" w:cs="Calibri"/>
          <w:kern w:val="0"/>
          <w:lang w:eastAsia="en-CA"/>
          <w14:ligatures w14:val="none"/>
        </w:rPr>
      </w:pPr>
      <w:r w:rsidRPr="00C523C5">
        <w:rPr>
          <w:rFonts w:ascii="Calibri" w:eastAsia="Times New Roman" w:hAnsi="Calibri" w:cs="Calibri"/>
          <w:kern w:val="0"/>
          <w:lang w:eastAsia="en-CA"/>
          <w14:ligatures w14:val="none"/>
        </w:rPr>
        <w:t> </w:t>
      </w:r>
    </w:p>
    <w:p w14:paraId="605A77E1" w14:textId="77777777" w:rsidR="00C523C5" w:rsidRPr="00C523C5" w:rsidRDefault="00C523C5" w:rsidP="00C523C5">
      <w:pPr>
        <w:spacing w:line="240" w:lineRule="auto"/>
        <w:rPr>
          <w:rFonts w:ascii="Calibri" w:eastAsia="Times New Roman" w:hAnsi="Calibri" w:cs="Calibri"/>
          <w:kern w:val="0"/>
          <w:lang w:eastAsia="en-CA"/>
          <w14:ligatures w14:val="none"/>
        </w:rPr>
      </w:pPr>
      <w:r w:rsidRPr="00C523C5">
        <w:rPr>
          <w:rFonts w:ascii="Calibri" w:eastAsia="Times New Roman" w:hAnsi="Calibri" w:cs="Calibri"/>
          <w:kern w:val="0"/>
          <w:lang w:eastAsia="en-CA"/>
          <w14:ligatures w14:val="none"/>
        </w:rPr>
        <w:t> </w:t>
      </w:r>
    </w:p>
    <w:p w14:paraId="09B5DCFE" w14:textId="77777777" w:rsidR="00C523C5" w:rsidRPr="00C523C5" w:rsidRDefault="00C523C5" w:rsidP="00C523C5">
      <w:pPr>
        <w:spacing w:line="240" w:lineRule="auto"/>
        <w:rPr>
          <w:rFonts w:ascii="Calibri" w:eastAsia="Times New Roman" w:hAnsi="Calibri" w:cs="Calibri"/>
          <w:kern w:val="0"/>
          <w:lang w:eastAsia="en-CA"/>
          <w14:ligatures w14:val="none"/>
        </w:rPr>
      </w:pPr>
      <w:r w:rsidRPr="00C523C5">
        <w:rPr>
          <w:rFonts w:ascii="Calibri" w:eastAsia="Times New Roman" w:hAnsi="Calibri" w:cs="Calibri"/>
          <w:kern w:val="0"/>
          <w:lang w:eastAsia="en-CA"/>
          <w14:ligatures w14:val="none"/>
        </w:rPr>
        <w:t> </w:t>
      </w:r>
    </w:p>
    <w:p w14:paraId="4635477B" w14:textId="1DD3BCAA" w:rsidR="00C523C5" w:rsidRPr="00C523C5" w:rsidRDefault="00C523C5" w:rsidP="00C523C5">
      <w:pPr>
        <w:spacing w:line="240" w:lineRule="auto"/>
        <w:rPr>
          <w:rFonts w:ascii="Calibri" w:eastAsia="Times New Roman" w:hAnsi="Calibri" w:cs="Calibri"/>
          <w:kern w:val="0"/>
          <w:lang w:eastAsia="en-CA"/>
          <w14:ligatures w14:val="none"/>
        </w:rPr>
      </w:pPr>
      <w:r w:rsidRPr="00C523C5">
        <w:rPr>
          <w:rFonts w:ascii="Calibri" w:eastAsia="Times New Roman" w:hAnsi="Calibri" w:cs="Calibri"/>
          <w:kern w:val="0"/>
          <w:lang w:eastAsia="en-CA"/>
          <w14:ligatures w14:val="none"/>
        </w:rPr>
        <w:t> </w:t>
      </w:r>
    </w:p>
    <w:p w14:paraId="671AA2E3" w14:textId="77777777" w:rsidR="00230C30" w:rsidRDefault="00230C30"/>
    <w:sectPr w:rsidR="00230C3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D847C3" w14:textId="77777777" w:rsidR="0041761F" w:rsidRDefault="0041761F" w:rsidP="00C523C5">
      <w:pPr>
        <w:spacing w:after="0" w:line="240" w:lineRule="auto"/>
      </w:pPr>
      <w:r>
        <w:separator/>
      </w:r>
    </w:p>
  </w:endnote>
  <w:endnote w:type="continuationSeparator" w:id="0">
    <w:p w14:paraId="12FD3D68" w14:textId="77777777" w:rsidR="0041761F" w:rsidRDefault="0041761F" w:rsidP="00C523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E1A7DE" w14:textId="77777777" w:rsidR="0041761F" w:rsidRDefault="0041761F" w:rsidP="00C523C5">
      <w:pPr>
        <w:spacing w:after="0" w:line="240" w:lineRule="auto"/>
      </w:pPr>
      <w:r>
        <w:separator/>
      </w:r>
    </w:p>
  </w:footnote>
  <w:footnote w:type="continuationSeparator" w:id="0">
    <w:p w14:paraId="07B6F076" w14:textId="77777777" w:rsidR="0041761F" w:rsidRDefault="0041761F" w:rsidP="00C523C5">
      <w:pPr>
        <w:spacing w:after="0" w:line="240" w:lineRule="auto"/>
      </w:pPr>
      <w:r>
        <w:continuationSeparator/>
      </w:r>
    </w:p>
  </w:footnote>
  <w:footnote w:id="1">
    <w:p w14:paraId="2509AC10" w14:textId="746632C0" w:rsidR="00C523C5" w:rsidRDefault="00C523C5">
      <w:pPr>
        <w:pStyle w:val="FootnoteText"/>
      </w:pPr>
      <w:r>
        <w:rPr>
          <w:rStyle w:val="FootnoteReference"/>
        </w:rPr>
        <w:footnoteRef/>
      </w:r>
      <w:r>
        <w:t xml:space="preserve"> Loeb webpage</w:t>
      </w:r>
    </w:p>
  </w:footnote>
  <w:footnote w:id="2">
    <w:p w14:paraId="410A5143" w14:textId="57B92DD3" w:rsidR="00C523C5" w:rsidRDefault="00C523C5">
      <w:pPr>
        <w:pStyle w:val="FootnoteText"/>
      </w:pPr>
      <w:r>
        <w:rPr>
          <w:rStyle w:val="FootnoteReference"/>
        </w:rPr>
        <w:footnoteRef/>
      </w:r>
      <w:r>
        <w:t xml:space="preserve"> Flowers 105</w:t>
      </w:r>
    </w:p>
  </w:footnote>
  <w:footnote w:id="3">
    <w:p w14:paraId="3DBA6030" w14:textId="761D75A1" w:rsidR="00C523C5" w:rsidRDefault="00C523C5">
      <w:pPr>
        <w:pStyle w:val="FootnoteText"/>
      </w:pPr>
      <w:r>
        <w:rPr>
          <w:rStyle w:val="FootnoteReference"/>
        </w:rPr>
        <w:footnoteRef/>
      </w:r>
      <w:r>
        <w:t xml:space="preserve"> Campion 196</w:t>
      </w:r>
    </w:p>
  </w:footnote>
  <w:footnote w:id="4">
    <w:p w14:paraId="40958441" w14:textId="148DCEDB" w:rsidR="00C523C5" w:rsidRDefault="00C523C5">
      <w:pPr>
        <w:pStyle w:val="FootnoteText"/>
      </w:pPr>
      <w:r>
        <w:rPr>
          <w:rStyle w:val="FootnoteReference"/>
        </w:rPr>
        <w:footnoteRef/>
      </w:r>
      <w:r>
        <w:t xml:space="preserve"> Barton 34</w:t>
      </w:r>
    </w:p>
  </w:footnote>
  <w:footnote w:id="5">
    <w:p w14:paraId="059EF3E3" w14:textId="0B96BEE7" w:rsidR="005D024A" w:rsidRDefault="005D024A">
      <w:pPr>
        <w:pStyle w:val="FootnoteText"/>
      </w:pPr>
      <w:r>
        <w:rPr>
          <w:rStyle w:val="FootnoteReference"/>
        </w:rPr>
        <w:footnoteRef/>
      </w:r>
      <w:r>
        <w:t xml:space="preserve"> Campion 187</w:t>
      </w:r>
    </w:p>
  </w:footnote>
  <w:footnote w:id="6">
    <w:p w14:paraId="0B283ECC" w14:textId="23604849" w:rsidR="00455D92" w:rsidRDefault="00455D92">
      <w:pPr>
        <w:pStyle w:val="FootnoteText"/>
      </w:pPr>
      <w:r>
        <w:rPr>
          <w:rStyle w:val="FootnoteReference"/>
        </w:rPr>
        <w:footnoteRef/>
      </w:r>
      <w:r>
        <w:t xml:space="preserve"> Campion 196</w:t>
      </w:r>
    </w:p>
  </w:footnote>
  <w:footnote w:id="7">
    <w:p w14:paraId="0C2BA60B" w14:textId="34BDF20C" w:rsidR="00455D92" w:rsidRDefault="00455D92">
      <w:pPr>
        <w:pStyle w:val="FootnoteText"/>
      </w:pPr>
      <w:r>
        <w:rPr>
          <w:rStyle w:val="FootnoteReference"/>
        </w:rPr>
        <w:footnoteRef/>
      </w:r>
      <w:r>
        <w:t xml:space="preserve"> Beard 44</w:t>
      </w:r>
    </w:p>
  </w:footnote>
  <w:footnote w:id="8">
    <w:p w14:paraId="6C633382" w14:textId="33235096" w:rsidR="00455D92" w:rsidRDefault="00455D92">
      <w:pPr>
        <w:pStyle w:val="FootnoteText"/>
      </w:pPr>
      <w:r>
        <w:rPr>
          <w:rStyle w:val="FootnoteReference"/>
        </w:rPr>
        <w:footnoteRef/>
      </w:r>
      <w:r>
        <w:t xml:space="preserve"> Goar 245</w:t>
      </w:r>
    </w:p>
  </w:footnote>
  <w:footnote w:id="9">
    <w:p w14:paraId="29DF3C64" w14:textId="4EBE5018" w:rsidR="00E155ED" w:rsidRDefault="00E155ED">
      <w:pPr>
        <w:pStyle w:val="FootnoteText"/>
      </w:pPr>
      <w:r>
        <w:rPr>
          <w:rStyle w:val="FootnoteReference"/>
        </w:rPr>
        <w:footnoteRef/>
      </w:r>
      <w:r>
        <w:t xml:space="preserve"> Beard 36</w:t>
      </w:r>
    </w:p>
  </w:footnote>
  <w:footnote w:id="10">
    <w:p w14:paraId="10217E50" w14:textId="1F7A38EE" w:rsidR="00DF0312" w:rsidRDefault="00DF0312">
      <w:pPr>
        <w:pStyle w:val="FootnoteText"/>
      </w:pPr>
      <w:r>
        <w:rPr>
          <w:rStyle w:val="FootnoteReference"/>
        </w:rPr>
        <w:footnoteRef/>
      </w:r>
      <w:r>
        <w:t xml:space="preserve"> Beard 37</w:t>
      </w:r>
    </w:p>
  </w:footnote>
  <w:footnote w:id="11">
    <w:p w14:paraId="663A2EB3" w14:textId="2D24BDFB" w:rsidR="00DF0312" w:rsidRDefault="00DF0312">
      <w:pPr>
        <w:pStyle w:val="FootnoteText"/>
      </w:pPr>
      <w:r>
        <w:rPr>
          <w:rStyle w:val="FootnoteReference"/>
        </w:rPr>
        <w:footnoteRef/>
      </w:r>
      <w:r>
        <w:t xml:space="preserve"> Barton 38</w:t>
      </w:r>
    </w:p>
  </w:footnote>
  <w:footnote w:id="12">
    <w:p w14:paraId="05095F68" w14:textId="01AD950F" w:rsidR="00DF0312" w:rsidRDefault="00DF0312">
      <w:pPr>
        <w:pStyle w:val="FootnoteText"/>
      </w:pPr>
      <w:r>
        <w:rPr>
          <w:rStyle w:val="FootnoteReference"/>
        </w:rPr>
        <w:footnoteRef/>
      </w:r>
      <w:r>
        <w:t xml:space="preserve"> Barton 38</w:t>
      </w:r>
    </w:p>
  </w:footnote>
  <w:footnote w:id="13">
    <w:p w14:paraId="42FBC19B" w14:textId="441E7576" w:rsidR="00ED7294" w:rsidRDefault="00ED7294">
      <w:pPr>
        <w:pStyle w:val="FootnoteText"/>
      </w:pPr>
      <w:r>
        <w:rPr>
          <w:rStyle w:val="FootnoteReference"/>
        </w:rPr>
        <w:footnoteRef/>
      </w:r>
      <w:r>
        <w:t xml:space="preserve"> Barton 33, 39</w:t>
      </w:r>
    </w:p>
  </w:footnote>
  <w:footnote w:id="14">
    <w:p w14:paraId="1431EF63" w14:textId="245F1AE3" w:rsidR="00ED7294" w:rsidRDefault="00ED7294">
      <w:pPr>
        <w:pStyle w:val="FootnoteText"/>
      </w:pPr>
      <w:r>
        <w:rPr>
          <w:rStyle w:val="FootnoteReference"/>
        </w:rPr>
        <w:footnoteRef/>
      </w:r>
      <w:r>
        <w:t xml:space="preserve"> Barton 32</w:t>
      </w:r>
    </w:p>
  </w:footnote>
  <w:footnote w:id="15">
    <w:p w14:paraId="769BD1D6" w14:textId="14264362" w:rsidR="00ED7294" w:rsidRDefault="00ED7294">
      <w:pPr>
        <w:pStyle w:val="FootnoteText"/>
      </w:pPr>
      <w:r>
        <w:rPr>
          <w:rStyle w:val="FootnoteReference"/>
        </w:rPr>
        <w:footnoteRef/>
      </w:r>
      <w:r>
        <w:t xml:space="preserve"> Barton 34</w:t>
      </w:r>
    </w:p>
  </w:footnote>
  <w:footnote w:id="16">
    <w:p w14:paraId="39896836" w14:textId="4D3D6DE7" w:rsidR="00ED7294" w:rsidRDefault="00ED7294">
      <w:pPr>
        <w:pStyle w:val="FootnoteText"/>
      </w:pPr>
      <w:r>
        <w:rPr>
          <w:rStyle w:val="FootnoteReference"/>
        </w:rPr>
        <w:footnoteRef/>
      </w:r>
      <w:r>
        <w:t xml:space="preserve"> Campion 187</w:t>
      </w:r>
    </w:p>
  </w:footnote>
  <w:footnote w:id="17">
    <w:p w14:paraId="688B90F4" w14:textId="0A02FC43" w:rsidR="00A8308B" w:rsidRDefault="00A8308B">
      <w:pPr>
        <w:pStyle w:val="FootnoteText"/>
      </w:pPr>
      <w:r>
        <w:rPr>
          <w:rStyle w:val="FootnoteReference"/>
        </w:rPr>
        <w:footnoteRef/>
      </w:r>
      <w:r>
        <w:t xml:space="preserve"> Campion 199</w:t>
      </w:r>
    </w:p>
  </w:footnote>
  <w:footnote w:id="18">
    <w:p w14:paraId="6F3ED642" w14:textId="0796998B" w:rsidR="00BA6B47" w:rsidRDefault="00BA6B47">
      <w:pPr>
        <w:pStyle w:val="FootnoteText"/>
      </w:pPr>
      <w:r>
        <w:rPr>
          <w:rStyle w:val="FootnoteReference"/>
        </w:rPr>
        <w:footnoteRef/>
      </w:r>
      <w:r>
        <w:t xml:space="preserve"> Book I</w:t>
      </w:r>
    </w:p>
  </w:footnote>
  <w:footnote w:id="19">
    <w:p w14:paraId="692F8CA8" w14:textId="782888F2" w:rsidR="00316B3A" w:rsidRDefault="00316B3A">
      <w:pPr>
        <w:pStyle w:val="FootnoteText"/>
      </w:pPr>
      <w:r>
        <w:rPr>
          <w:rStyle w:val="FootnoteReference"/>
        </w:rPr>
        <w:footnoteRef/>
      </w:r>
      <w:r>
        <w:t xml:space="preserve"> Book I</w:t>
      </w:r>
      <w:r w:rsidR="00E44E0E">
        <w:t xml:space="preserve"> campion 177</w:t>
      </w:r>
    </w:p>
  </w:footnote>
  <w:footnote w:id="20">
    <w:p w14:paraId="087AEE46" w14:textId="23409BE6" w:rsidR="00110A67" w:rsidRDefault="00110A67">
      <w:pPr>
        <w:pStyle w:val="FootnoteText"/>
      </w:pPr>
      <w:r>
        <w:rPr>
          <w:rStyle w:val="FootnoteReference"/>
        </w:rPr>
        <w:footnoteRef/>
      </w:r>
      <w:r>
        <w:t xml:space="preserve"> Book </w:t>
      </w:r>
      <w:r w:rsidR="00CF48C3">
        <w:t>I</w:t>
      </w:r>
    </w:p>
  </w:footnote>
  <w:footnote w:id="21">
    <w:p w14:paraId="51F6FC74" w14:textId="3552B164" w:rsidR="009A01CD" w:rsidRDefault="00F0429E">
      <w:pPr>
        <w:pStyle w:val="FootnoteText"/>
      </w:pPr>
      <w:r>
        <w:rPr>
          <w:rStyle w:val="FootnoteReference"/>
        </w:rPr>
        <w:footnoteRef/>
      </w:r>
      <w:r>
        <w:t xml:space="preserve"> </w:t>
      </w:r>
      <w:r w:rsidR="002D3C80">
        <w:t>Campion</w:t>
      </w:r>
      <w:r w:rsidR="009A01CD">
        <w:t xml:space="preserve"> 187</w:t>
      </w:r>
    </w:p>
  </w:footnote>
  <w:footnote w:id="22">
    <w:p w14:paraId="0D393A4C" w14:textId="69F1FFC1" w:rsidR="009A01CD" w:rsidRDefault="009A01CD">
      <w:pPr>
        <w:pStyle w:val="FootnoteText"/>
      </w:pPr>
      <w:r>
        <w:rPr>
          <w:rStyle w:val="FootnoteReference"/>
        </w:rPr>
        <w:footnoteRef/>
      </w:r>
      <w:r>
        <w:t xml:space="preserve"> Beard 44</w:t>
      </w:r>
    </w:p>
  </w:footnote>
  <w:footnote w:id="23">
    <w:p w14:paraId="12D9C1AE" w14:textId="0746631F" w:rsidR="00A11C81" w:rsidRDefault="00A11C81">
      <w:pPr>
        <w:pStyle w:val="FootnoteText"/>
      </w:pPr>
      <w:r>
        <w:rPr>
          <w:rStyle w:val="FootnoteReference"/>
        </w:rPr>
        <w:footnoteRef/>
      </w:r>
      <w:r>
        <w:t xml:space="preserve"> </w:t>
      </w:r>
      <w:r w:rsidR="003D22A4">
        <w:t>Book II superstitious practices</w:t>
      </w:r>
    </w:p>
  </w:footnote>
  <w:footnote w:id="24">
    <w:p w14:paraId="4BB55465" w14:textId="7D5EFBFA" w:rsidR="003D22A4" w:rsidRDefault="003D22A4">
      <w:pPr>
        <w:pStyle w:val="FootnoteText"/>
      </w:pPr>
      <w:r>
        <w:rPr>
          <w:rStyle w:val="FootnoteReference"/>
        </w:rPr>
        <w:footnoteRef/>
      </w:r>
      <w:r>
        <w:t xml:space="preserve"> </w:t>
      </w:r>
      <w:r w:rsidR="00E14833">
        <w:t>Book II last paragraph</w:t>
      </w:r>
    </w:p>
  </w:footnote>
  <w:footnote w:id="25">
    <w:p w14:paraId="6C287A15" w14:textId="652A60DA" w:rsidR="003C4995" w:rsidRDefault="003C4995">
      <w:pPr>
        <w:pStyle w:val="FootnoteText"/>
      </w:pPr>
      <w:r>
        <w:rPr>
          <w:rStyle w:val="FootnoteReference"/>
        </w:rPr>
        <w:footnoteRef/>
      </w:r>
      <w:r>
        <w:t xml:space="preserve"> Book I sec 5</w:t>
      </w:r>
      <w:r w:rsidR="00C85B79">
        <w:t xml:space="preserve"> chance</w:t>
      </w:r>
    </w:p>
  </w:footnote>
  <w:footnote w:id="26">
    <w:p w14:paraId="270B38A4" w14:textId="17F6D919" w:rsidR="00F90F0A" w:rsidRDefault="00F90F0A">
      <w:pPr>
        <w:pStyle w:val="FootnoteText"/>
      </w:pPr>
      <w:r>
        <w:rPr>
          <w:rStyle w:val="FootnoteReference"/>
        </w:rPr>
        <w:footnoteRef/>
      </w:r>
      <w:r>
        <w:t xml:space="preserve"> Book I</w:t>
      </w:r>
    </w:p>
  </w:footnote>
  <w:footnote w:id="27">
    <w:p w14:paraId="59D02ACE" w14:textId="518F164C" w:rsidR="00F90F0A" w:rsidRDefault="00F90F0A">
      <w:pPr>
        <w:pStyle w:val="FootnoteText"/>
      </w:pPr>
      <w:r>
        <w:rPr>
          <w:rStyle w:val="FootnoteReference"/>
        </w:rPr>
        <w:footnoteRef/>
      </w:r>
      <w:r>
        <w:t xml:space="preserve"> Campion 185</w:t>
      </w:r>
    </w:p>
  </w:footnote>
  <w:footnote w:id="28">
    <w:p w14:paraId="7B9BCA2C" w14:textId="4755DD3A" w:rsidR="00F90F0A" w:rsidRDefault="00F90F0A">
      <w:pPr>
        <w:pStyle w:val="FootnoteText"/>
      </w:pPr>
      <w:r>
        <w:rPr>
          <w:rStyle w:val="FootnoteReference"/>
        </w:rPr>
        <w:footnoteRef/>
      </w:r>
      <w:r>
        <w:t xml:space="preserve"> Campion 185</w:t>
      </w:r>
    </w:p>
  </w:footnote>
  <w:footnote w:id="29">
    <w:p w14:paraId="500792E9" w14:textId="7E4632D7" w:rsidR="005D7A09" w:rsidRDefault="005D7A09">
      <w:pPr>
        <w:pStyle w:val="FootnoteText"/>
      </w:pPr>
      <w:r>
        <w:rPr>
          <w:rStyle w:val="FootnoteReference"/>
        </w:rPr>
        <w:footnoteRef/>
      </w:r>
      <w:r>
        <w:t xml:space="preserve"> Campion 186</w:t>
      </w:r>
    </w:p>
  </w:footnote>
  <w:footnote w:id="30">
    <w:p w14:paraId="41F7F8F9" w14:textId="75094E03" w:rsidR="000E2252" w:rsidRDefault="000E2252">
      <w:pPr>
        <w:pStyle w:val="FootnoteText"/>
      </w:pPr>
      <w:r>
        <w:rPr>
          <w:rStyle w:val="FootnoteReference"/>
        </w:rPr>
        <w:footnoteRef/>
      </w:r>
      <w:r>
        <w:t xml:space="preserve"> </w:t>
      </w:r>
      <w:r w:rsidR="00A71EA5">
        <w:t>Goar 243</w:t>
      </w:r>
    </w:p>
  </w:footnote>
  <w:footnote w:id="31">
    <w:p w14:paraId="60DA6C0C" w14:textId="62159E4C" w:rsidR="00A71EA5" w:rsidRDefault="00A71EA5">
      <w:pPr>
        <w:pStyle w:val="FootnoteText"/>
      </w:pPr>
      <w:r>
        <w:rPr>
          <w:rStyle w:val="FootnoteReference"/>
        </w:rPr>
        <w:footnoteRef/>
      </w:r>
      <w:r>
        <w:t xml:space="preserve"> Campion 186</w:t>
      </w:r>
    </w:p>
  </w:footnote>
  <w:footnote w:id="32">
    <w:p w14:paraId="1FA61935" w14:textId="6138C10E" w:rsidR="00FD4304" w:rsidRDefault="004236E9">
      <w:pPr>
        <w:pStyle w:val="FootnoteText"/>
      </w:pPr>
      <w:r>
        <w:rPr>
          <w:rStyle w:val="FootnoteReference"/>
        </w:rPr>
        <w:footnoteRef/>
      </w:r>
      <w:r>
        <w:t xml:space="preserve"> </w:t>
      </w:r>
      <w:r w:rsidR="00FD4304">
        <w:t>Campion 186</w:t>
      </w:r>
    </w:p>
  </w:footnote>
  <w:footnote w:id="33">
    <w:p w14:paraId="2791B492" w14:textId="56BF45B4" w:rsidR="00FD4304" w:rsidRDefault="00FD4304">
      <w:pPr>
        <w:pStyle w:val="FootnoteText"/>
      </w:pPr>
      <w:r>
        <w:rPr>
          <w:rStyle w:val="FootnoteReference"/>
        </w:rPr>
        <w:footnoteRef/>
      </w:r>
      <w:r>
        <w:t xml:space="preserve"> Campion 186</w:t>
      </w:r>
    </w:p>
  </w:footnote>
  <w:footnote w:id="34">
    <w:p w14:paraId="0D17BDF7" w14:textId="187B5BF4" w:rsidR="00A50921" w:rsidRDefault="00A50921">
      <w:pPr>
        <w:pStyle w:val="FootnoteText"/>
      </w:pPr>
      <w:r>
        <w:rPr>
          <w:rStyle w:val="FootnoteReference"/>
        </w:rPr>
        <w:footnoteRef/>
      </w:r>
      <w:r>
        <w:t xml:space="preserve"> </w:t>
      </w:r>
      <w:r w:rsidR="001526CC">
        <w:t xml:space="preserve">Book II </w:t>
      </w:r>
      <w:r w:rsidR="00DD4BD7">
        <w:t>marcus calls out</w:t>
      </w:r>
      <w:r w:rsidR="00AA1D11">
        <w:t xml:space="preserve"> change</w:t>
      </w:r>
    </w:p>
  </w:footnote>
  <w:footnote w:id="35">
    <w:p w14:paraId="5DD93549" w14:textId="4F836F5D" w:rsidR="00793EE6" w:rsidRDefault="00793EE6">
      <w:pPr>
        <w:pStyle w:val="FootnoteText"/>
      </w:pPr>
      <w:r>
        <w:rPr>
          <w:rStyle w:val="FootnoteReference"/>
        </w:rPr>
        <w:footnoteRef/>
      </w:r>
      <w:r>
        <w:t xml:space="preserve"> Book I sec </w:t>
      </w:r>
      <w:r w:rsidR="00AA1D11">
        <w:t>3</w:t>
      </w:r>
      <w:r>
        <w:t>8</w:t>
      </w:r>
    </w:p>
  </w:footnote>
  <w:footnote w:id="36">
    <w:p w14:paraId="129E8D82" w14:textId="5DF034DC" w:rsidR="00592D5C" w:rsidRDefault="00592D5C">
      <w:pPr>
        <w:pStyle w:val="FootnoteText"/>
      </w:pPr>
      <w:r>
        <w:rPr>
          <w:rStyle w:val="FootnoteReference"/>
        </w:rPr>
        <w:footnoteRef/>
      </w:r>
      <w:r>
        <w:t xml:space="preserve"> Book I sec 6</w:t>
      </w:r>
    </w:p>
  </w:footnote>
  <w:footnote w:id="37">
    <w:p w14:paraId="1FD4FDF8" w14:textId="1E1BC09F" w:rsidR="00CE43F5" w:rsidRDefault="00CE43F5">
      <w:pPr>
        <w:pStyle w:val="FootnoteText"/>
      </w:pPr>
      <w:r>
        <w:rPr>
          <w:rStyle w:val="FootnoteReference"/>
        </w:rPr>
        <w:footnoteRef/>
      </w:r>
      <w:r>
        <w:t xml:space="preserve"> Book 1 sec 7</w:t>
      </w:r>
    </w:p>
  </w:footnote>
  <w:footnote w:id="38">
    <w:p w14:paraId="3C106513" w14:textId="61E7EE33" w:rsidR="002021CE" w:rsidRPr="002021CE" w:rsidRDefault="002021CE">
      <w:pPr>
        <w:pStyle w:val="FootnoteText"/>
      </w:pPr>
      <w:r>
        <w:rPr>
          <w:rStyle w:val="FootnoteReference"/>
        </w:rPr>
        <w:footnoteRef/>
      </w:r>
      <w:r>
        <w:t xml:space="preserve"> Book 1 section 38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3C5"/>
    <w:rsid w:val="000E2252"/>
    <w:rsid w:val="000F5248"/>
    <w:rsid w:val="00110A67"/>
    <w:rsid w:val="001526CC"/>
    <w:rsid w:val="001558D0"/>
    <w:rsid w:val="00182ABD"/>
    <w:rsid w:val="002021CE"/>
    <w:rsid w:val="00230C30"/>
    <w:rsid w:val="002D3C80"/>
    <w:rsid w:val="002F5A7B"/>
    <w:rsid w:val="00316B3A"/>
    <w:rsid w:val="003C4995"/>
    <w:rsid w:val="003D22A4"/>
    <w:rsid w:val="0041761F"/>
    <w:rsid w:val="004236E9"/>
    <w:rsid w:val="00455D92"/>
    <w:rsid w:val="00592D5C"/>
    <w:rsid w:val="005D024A"/>
    <w:rsid w:val="005D7A09"/>
    <w:rsid w:val="00793EE6"/>
    <w:rsid w:val="00800FBC"/>
    <w:rsid w:val="008A40E7"/>
    <w:rsid w:val="008B75BA"/>
    <w:rsid w:val="009A01CD"/>
    <w:rsid w:val="00A11C81"/>
    <w:rsid w:val="00A50921"/>
    <w:rsid w:val="00A71EA5"/>
    <w:rsid w:val="00A8308B"/>
    <w:rsid w:val="00AA1D11"/>
    <w:rsid w:val="00B47CB4"/>
    <w:rsid w:val="00BA6B47"/>
    <w:rsid w:val="00C523C5"/>
    <w:rsid w:val="00C85B79"/>
    <w:rsid w:val="00CE43F5"/>
    <w:rsid w:val="00CF48C3"/>
    <w:rsid w:val="00DD4BD7"/>
    <w:rsid w:val="00DF0312"/>
    <w:rsid w:val="00E14833"/>
    <w:rsid w:val="00E155ED"/>
    <w:rsid w:val="00E44E0E"/>
    <w:rsid w:val="00ED7294"/>
    <w:rsid w:val="00F0429E"/>
    <w:rsid w:val="00F32B41"/>
    <w:rsid w:val="00F756B7"/>
    <w:rsid w:val="00F90F0A"/>
    <w:rsid w:val="00FD430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4E858"/>
  <w15:chartTrackingRefBased/>
  <w15:docId w15:val="{D7E931CC-B1EC-4614-BDEA-16E2C1835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523C5"/>
    <w:rPr>
      <w:color w:val="0000FF"/>
      <w:u w:val="single"/>
    </w:rPr>
  </w:style>
  <w:style w:type="paragraph" w:styleId="NormalWeb">
    <w:name w:val="Normal (Web)"/>
    <w:basedOn w:val="Normal"/>
    <w:uiPriority w:val="99"/>
    <w:semiHidden/>
    <w:unhideWhenUsed/>
    <w:rsid w:val="00C523C5"/>
    <w:pPr>
      <w:spacing w:before="100" w:beforeAutospacing="1" w:after="100" w:afterAutospacing="1" w:line="240" w:lineRule="auto"/>
    </w:pPr>
    <w:rPr>
      <w:rFonts w:ascii="Times New Roman" w:eastAsia="Times New Roman" w:hAnsi="Times New Roman" w:cs="Times New Roman"/>
      <w:kern w:val="0"/>
      <w:sz w:val="24"/>
      <w:szCs w:val="24"/>
      <w:lang w:eastAsia="en-CA"/>
      <w14:ligatures w14:val="none"/>
    </w:rPr>
  </w:style>
  <w:style w:type="paragraph" w:styleId="FootnoteText">
    <w:name w:val="footnote text"/>
    <w:basedOn w:val="Normal"/>
    <w:link w:val="FootnoteTextChar"/>
    <w:uiPriority w:val="99"/>
    <w:semiHidden/>
    <w:unhideWhenUsed/>
    <w:rsid w:val="00C523C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523C5"/>
    <w:rPr>
      <w:sz w:val="20"/>
      <w:szCs w:val="20"/>
    </w:rPr>
  </w:style>
  <w:style w:type="character" w:styleId="FootnoteReference">
    <w:name w:val="footnote reference"/>
    <w:basedOn w:val="DefaultParagraphFont"/>
    <w:uiPriority w:val="99"/>
    <w:semiHidden/>
    <w:unhideWhenUsed/>
    <w:rsid w:val="00C523C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9310035">
      <w:bodyDiv w:val="1"/>
      <w:marLeft w:val="0"/>
      <w:marRight w:val="0"/>
      <w:marTop w:val="0"/>
      <w:marBottom w:val="0"/>
      <w:divBdr>
        <w:top w:val="none" w:sz="0" w:space="0" w:color="auto"/>
        <w:left w:val="none" w:sz="0" w:space="0" w:color="auto"/>
        <w:bottom w:val="none" w:sz="0" w:space="0" w:color="auto"/>
        <w:right w:val="none" w:sz="0" w:space="0" w:color="auto"/>
      </w:divBdr>
      <w:divsChild>
        <w:div w:id="1447847579">
          <w:marLeft w:val="0"/>
          <w:marRight w:val="0"/>
          <w:marTop w:val="0"/>
          <w:marBottom w:val="0"/>
          <w:divBdr>
            <w:top w:val="none" w:sz="0" w:space="0" w:color="auto"/>
            <w:left w:val="none" w:sz="0" w:space="0" w:color="auto"/>
            <w:bottom w:val="none" w:sz="0" w:space="0" w:color="auto"/>
            <w:right w:val="none" w:sz="0" w:space="0" w:color="auto"/>
          </w:divBdr>
          <w:divsChild>
            <w:div w:id="209697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300365" TargetMode="External"/><Relationship Id="rId13" Type="http://schemas.openxmlformats.org/officeDocument/2006/relationships/hyperlink" Target="https://www.jstor.org/stable/300364" TargetMode="External"/><Relationship Id="rId3" Type="http://schemas.openxmlformats.org/officeDocument/2006/relationships/settings" Target="settings.xml"/><Relationship Id="rId7" Type="http://schemas.openxmlformats.org/officeDocument/2006/relationships/hyperlink" Target="https://www.gutenberg.org/files/1750/1750-h/1750-h.htm" TargetMode="External"/><Relationship Id="rId12" Type="http://schemas.openxmlformats.org/officeDocument/2006/relationships/hyperlink" Target="https://www.jstor.org/stable/300365"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utenberg.org/files/1750/1750-h/1750-h.ht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jstor.org/stable/2935842" TargetMode="External"/><Relationship Id="rId4" Type="http://schemas.openxmlformats.org/officeDocument/2006/relationships/webSettings" Target="webSettings.xml"/><Relationship Id="rId9" Type="http://schemas.openxmlformats.org/officeDocument/2006/relationships/hyperlink" Target="https://www.jstor.org/stable/300364" TargetMode="External"/><Relationship Id="rId14" Type="http://schemas.openxmlformats.org/officeDocument/2006/relationships/hyperlink" Target="https://www.jstor.org/stable/29358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B73447-A942-4438-BD79-063943E9C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322</TotalTime>
  <Pages>7</Pages>
  <Words>3034</Words>
  <Characters>17298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Madeline Cheng</dc:creator>
  <cp:keywords/>
  <dc:description/>
  <cp:lastModifiedBy>Madeline Cheng</cp:lastModifiedBy>
  <cp:revision>39</cp:revision>
  <dcterms:created xsi:type="dcterms:W3CDTF">2024-03-08T21:00:00Z</dcterms:created>
  <dcterms:modified xsi:type="dcterms:W3CDTF">2024-03-09T02:26:00Z</dcterms:modified>
</cp:coreProperties>
</file>