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47304" w:rsidRDefault="00000000">
      <w:pPr>
        <w:jc w:val="center"/>
        <w:rPr>
          <w:rFonts w:ascii="Times New Roman Bold" w:hAnsi="Times New Roman Bold" w:cs="Times New Roman Bold" w:hint="eastAsia"/>
          <w:b/>
          <w:bCs/>
          <w:sz w:val="28"/>
          <w:szCs w:val="28"/>
        </w:rPr>
      </w:pPr>
      <w:r>
        <w:rPr>
          <w:rFonts w:ascii="Times New Roman Bold" w:hAnsi="Times New Roman Bold" w:cs="Times New Roman Bold"/>
          <w:b/>
          <w:bCs/>
          <w:sz w:val="28"/>
          <w:szCs w:val="28"/>
        </w:rPr>
        <w:t>Improving Employee Engagement: Key Evaluations in China Securities Co., Ltd.'s Priority Area of Human Resource Management</w:t>
      </w:r>
    </w:p>
    <w:p w:rsidR="00847304" w:rsidRDefault="00847304">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sz w:val="24"/>
          <w:szCs w:val="24"/>
        </w:rPr>
      </w:pPr>
    </w:p>
    <w:p w:rsidR="006C69CF" w:rsidRDefault="006C69CF">
      <w:pPr>
        <w:spacing w:line="360" w:lineRule="auto"/>
        <w:outlineLvl w:val="2"/>
        <w:rPr>
          <w:rFonts w:ascii="Times New Roman Regular" w:hAnsi="Times New Roman Regular" w:cs="Times New Roman Regular" w:hint="eastAsia"/>
          <w:sz w:val="24"/>
          <w:szCs w:val="24"/>
        </w:rPr>
      </w:pPr>
    </w:p>
    <w:p w:rsidR="006C69CF" w:rsidRPr="006C69CF" w:rsidRDefault="006C69CF">
      <w:pPr>
        <w:spacing w:line="360" w:lineRule="auto"/>
        <w:outlineLvl w:val="2"/>
        <w:rPr>
          <w:rFonts w:ascii="Times New Roman Regular" w:hAnsi="Times New Roman Regular" w:cs="Times New Roman Regular" w:hint="eastAsia"/>
          <w:sz w:val="28"/>
          <w:szCs w:val="28"/>
        </w:rPr>
        <w:sectPr w:rsidR="006C69CF" w:rsidRPr="006C69CF">
          <w:pgSz w:w="11906" w:h="16838"/>
          <w:pgMar w:top="1440" w:right="1800" w:bottom="1440" w:left="1800" w:header="851" w:footer="992" w:gutter="0"/>
          <w:cols w:space="425"/>
          <w:docGrid w:type="lines" w:linePitch="312"/>
        </w:sectPr>
      </w:pPr>
      <w:r w:rsidRPr="006C69CF">
        <w:rPr>
          <w:rFonts w:ascii="Times New Roman Regular" w:hAnsi="Times New Roman Regular" w:cs="Times New Roman Regular"/>
          <w:sz w:val="28"/>
          <w:szCs w:val="28"/>
        </w:rPr>
        <w:t>Name</w:t>
      </w:r>
      <w:r>
        <w:rPr>
          <w:rFonts w:ascii="Times New Roman Regular" w:hAnsi="Times New Roman Regular" w:cs="Times New Roman Regular"/>
          <w:sz w:val="28"/>
          <w:szCs w:val="28"/>
        </w:rPr>
        <w:t xml:space="preserve"> </w:t>
      </w:r>
      <w:r w:rsidRPr="006C69CF">
        <w:rPr>
          <w:rFonts w:ascii="Times New Roman Regular" w:hAnsi="Times New Roman Regular" w:cs="Times New Roman Regular"/>
          <w:sz w:val="28"/>
          <w:szCs w:val="28"/>
        </w:rPr>
        <w:t>:</w:t>
      </w:r>
      <w:r>
        <w:rPr>
          <w:rFonts w:ascii="Times New Roman Regular" w:hAnsi="Times New Roman Regular" w:cs="Times New Roman Regular"/>
          <w:sz w:val="28"/>
          <w:szCs w:val="28"/>
        </w:rPr>
        <w:t xml:space="preserve"> </w:t>
      </w:r>
      <w:r w:rsidRPr="006C69CF">
        <w:rPr>
          <w:rFonts w:ascii="Times New Roman Regular" w:hAnsi="Times New Roman Regular" w:cs="Times New Roman Regular"/>
          <w:sz w:val="28"/>
          <w:szCs w:val="28"/>
        </w:rPr>
        <w:t xml:space="preserve">Huang </w:t>
      </w:r>
      <w:proofErr w:type="spellStart"/>
      <w:r w:rsidRPr="006C69CF">
        <w:rPr>
          <w:rFonts w:ascii="Times New Roman Regular" w:hAnsi="Times New Roman Regular" w:cs="Times New Roman Regular"/>
          <w:sz w:val="28"/>
          <w:szCs w:val="28"/>
        </w:rPr>
        <w:t>Dongxue</w:t>
      </w:r>
      <w:proofErr w:type="spellEnd"/>
      <w:r w:rsidRPr="006C69CF">
        <w:rPr>
          <w:rFonts w:ascii="Times New Roman Regular" w:hAnsi="Times New Roman Regular" w:cs="Times New Roman Regular"/>
          <w:sz w:val="28"/>
          <w:szCs w:val="28"/>
        </w:rPr>
        <w:cr/>
        <w:t>Student number</w:t>
      </w:r>
      <w:r>
        <w:rPr>
          <w:rFonts w:ascii="Times New Roman Regular" w:hAnsi="Times New Roman Regular" w:cs="Times New Roman Regular"/>
          <w:sz w:val="28"/>
          <w:szCs w:val="28"/>
        </w:rPr>
        <w:t xml:space="preserve"> </w:t>
      </w:r>
      <w:r w:rsidRPr="006C69CF">
        <w:rPr>
          <w:rFonts w:ascii="Times New Roman Regular" w:hAnsi="Times New Roman Regular" w:cs="Times New Roman Regular"/>
          <w:sz w:val="28"/>
          <w:szCs w:val="28"/>
        </w:rPr>
        <w:t>:</w:t>
      </w:r>
      <w:r>
        <w:rPr>
          <w:rFonts w:ascii="Times New Roman Regular" w:hAnsi="Times New Roman Regular" w:cs="Times New Roman Regular"/>
          <w:sz w:val="28"/>
          <w:szCs w:val="28"/>
        </w:rPr>
        <w:t xml:space="preserve"> </w:t>
      </w:r>
      <w:r w:rsidRPr="006C69CF">
        <w:rPr>
          <w:rFonts w:ascii="Times New Roman Regular" w:hAnsi="Times New Roman Regular" w:cs="Times New Roman Regular"/>
          <w:sz w:val="28"/>
          <w:szCs w:val="28"/>
        </w:rPr>
        <w:t>2229180</w:t>
      </w:r>
      <w:r w:rsidRPr="006C69CF">
        <w:rPr>
          <w:rFonts w:ascii="Times New Roman Regular" w:hAnsi="Times New Roman Regular" w:cs="Times New Roman Regular"/>
          <w:sz w:val="28"/>
          <w:szCs w:val="28"/>
        </w:rPr>
        <w:cr/>
        <w:t>Module code</w:t>
      </w:r>
      <w:r>
        <w:rPr>
          <w:rFonts w:ascii="Times New Roman Regular" w:hAnsi="Times New Roman Regular" w:cs="Times New Roman Regular"/>
          <w:sz w:val="28"/>
          <w:szCs w:val="28"/>
        </w:rPr>
        <w:t xml:space="preserve"> </w:t>
      </w:r>
      <w:r w:rsidRPr="006C69CF">
        <w:rPr>
          <w:rFonts w:ascii="Times New Roman Regular" w:hAnsi="Times New Roman Regular" w:cs="Times New Roman Regular"/>
          <w:sz w:val="28"/>
          <w:szCs w:val="28"/>
        </w:rPr>
        <w:t>: BMMB7007</w:t>
      </w:r>
      <w:r w:rsidRPr="006C69CF">
        <w:rPr>
          <w:rFonts w:ascii="Times New Roman Regular" w:hAnsi="Times New Roman Regular" w:cs="Times New Roman Regular"/>
          <w:sz w:val="28"/>
          <w:szCs w:val="28"/>
        </w:rPr>
        <w:cr/>
        <w:t>Module name</w:t>
      </w:r>
      <w:r>
        <w:rPr>
          <w:rFonts w:ascii="Times New Roman Regular" w:hAnsi="Times New Roman Regular" w:cs="Times New Roman Regular"/>
          <w:sz w:val="28"/>
          <w:szCs w:val="28"/>
        </w:rPr>
        <w:t xml:space="preserve"> </w:t>
      </w:r>
      <w:r w:rsidRPr="006C69CF">
        <w:rPr>
          <w:rFonts w:ascii="Times New Roman Regular" w:hAnsi="Times New Roman Regular" w:cs="Times New Roman Regular"/>
          <w:sz w:val="28"/>
          <w:szCs w:val="28"/>
        </w:rPr>
        <w:t>: Human Resource Management</w:t>
      </w:r>
      <w:r w:rsidRPr="006C69CF">
        <w:rPr>
          <w:rFonts w:ascii="Times New Roman Regular" w:hAnsi="Times New Roman Regular" w:cs="Times New Roman Regular"/>
          <w:sz w:val="28"/>
          <w:szCs w:val="28"/>
        </w:rPr>
        <w:t xml:space="preserve"> </w:t>
      </w:r>
      <w:r w:rsidRPr="006C69CF">
        <w:rPr>
          <w:rFonts w:ascii="Times New Roman Regular" w:hAnsi="Times New Roman Regular" w:cs="Times New Roman Regular"/>
          <w:sz w:val="28"/>
          <w:szCs w:val="28"/>
        </w:rPr>
        <w:cr/>
      </w:r>
    </w:p>
    <w:p w:rsidR="00847304" w:rsidRDefault="00000000">
      <w:pPr>
        <w:spacing w:line="360" w:lineRule="auto"/>
        <w:rPr>
          <w:rFonts w:ascii="Times New Roman Bold" w:hAnsi="Times New Roman Bold" w:cs="Times New Roman Bold" w:hint="eastAsia"/>
          <w:b/>
          <w:bCs/>
          <w:sz w:val="28"/>
          <w:szCs w:val="28"/>
        </w:rPr>
      </w:pPr>
      <w:r>
        <w:rPr>
          <w:rFonts w:ascii="Times New Roman Bold" w:hAnsi="Times New Roman Bold" w:cs="Times New Roman Bold"/>
          <w:b/>
          <w:bCs/>
          <w:sz w:val="28"/>
          <w:szCs w:val="28"/>
        </w:rPr>
        <w:lastRenderedPageBreak/>
        <w:t>1.Introduction</w:t>
      </w:r>
    </w:p>
    <w:p w:rsidR="00847304" w:rsidRDefault="00847304">
      <w:pPr>
        <w:spacing w:line="360" w:lineRule="auto"/>
        <w:ind w:firstLineChars="200" w:firstLine="480"/>
        <w:rPr>
          <w:rFonts w:ascii="Times New Roman Regular" w:hAnsi="Times New Roman Regular" w:cs="Times New Roman Regular" w:hint="eastAsia"/>
          <w:sz w:val="24"/>
          <w:szCs w:val="24"/>
        </w:rPr>
      </w:pP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 xml:space="preserve">This report presents a critical evaluation of the priority areas of human resource management concerning employee engagement at China Securities Co., Ltd.. With its headquarters situated in Beijing and over three decades of history, China Securities is one of the oldest securities firms founded after the establishment of the new China. As a mature and sizeable organization,  China Securities Co., </w:t>
      </w:r>
      <w:proofErr w:type="spellStart"/>
      <w:r>
        <w:rPr>
          <w:rFonts w:ascii="Times New Roman Regular" w:hAnsi="Times New Roman Regular" w:cs="Times New Roman Regular"/>
          <w:sz w:val="24"/>
          <w:szCs w:val="24"/>
        </w:rPr>
        <w:t>Ltd.has</w:t>
      </w:r>
      <w:proofErr w:type="spellEnd"/>
      <w:r>
        <w:rPr>
          <w:rFonts w:ascii="Times New Roman Regular" w:hAnsi="Times New Roman Regular" w:cs="Times New Roman Regular"/>
          <w:sz w:val="24"/>
          <w:szCs w:val="24"/>
        </w:rPr>
        <w:t xml:space="preserve"> consistently been a leader in the adoption of innovative human resource management practices.</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Given the company's recognition of the impact of employee engagement on productivity and performance, it is not surprising that it has made employee engagement a priority area of its human resource management. This report aims to identify the current deficiencies in employee engagement at China Securities, their effect on the organization, and the advantages of enhancing employee engagement.</w:t>
      </w:r>
    </w:p>
    <w:p w:rsidR="00847304" w:rsidRDefault="00847304">
      <w:pPr>
        <w:spacing w:line="360" w:lineRule="auto"/>
        <w:rPr>
          <w:rFonts w:ascii="Times New Roman Regular" w:hAnsi="Times New Roman Regular" w:cs="Times New Roman Regular" w:hint="eastAsia"/>
          <w:sz w:val="24"/>
          <w:szCs w:val="24"/>
        </w:rPr>
      </w:pPr>
    </w:p>
    <w:p w:rsidR="00847304" w:rsidRDefault="00000000">
      <w:pPr>
        <w:spacing w:line="360" w:lineRule="auto"/>
        <w:rPr>
          <w:rFonts w:ascii="Times New Roman Bold" w:hAnsi="Times New Roman Bold" w:cs="Times New Roman Bold" w:hint="eastAsia"/>
          <w:b/>
          <w:bCs/>
          <w:sz w:val="28"/>
          <w:szCs w:val="28"/>
        </w:rPr>
      </w:pPr>
      <w:r>
        <w:rPr>
          <w:rFonts w:ascii="Times New Roman Bold" w:hAnsi="Times New Roman Bold" w:cs="Times New Roman Bold"/>
          <w:b/>
          <w:bCs/>
          <w:sz w:val="28"/>
          <w:szCs w:val="28"/>
        </w:rPr>
        <w:t>2.Organizational Overview</w:t>
      </w:r>
    </w:p>
    <w:p w:rsidR="00847304" w:rsidRDefault="00847304">
      <w:pPr>
        <w:spacing w:line="360" w:lineRule="auto"/>
        <w:ind w:firstLineChars="200" w:firstLine="480"/>
        <w:rPr>
          <w:rFonts w:ascii="Times New Roman Regular" w:hAnsi="Times New Roman Regular" w:cs="Times New Roman Regular" w:hint="eastAsia"/>
          <w:sz w:val="24"/>
          <w:szCs w:val="24"/>
        </w:rPr>
      </w:pP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China Securities Co., Ltd. is a securities company specializing in domestic securities brokerage, investment banking, investment research, and consulting services in China. With an average annual income of 8 billion yuan and nearly 10,000 employees, the company is divided into functional departments at the headquarters and 313 branches nationwide, based on business attributes.</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 xml:space="preserve">The human resources management department of China Securities Co., Ltd. is a first-level department that operates at the same level as other functional and business departments and manages the overall human resources management work of the company. Some of its responsibilities, such as personnel recruitment and employee benefits, are managed by the department, while other responsibilities are assigned to relevant positions in other business departments based on their specific needs. These responsibilities, however, are still required to report to and receive approval from the human resources department. Examples of such responsibilities include performance </w:t>
      </w:r>
      <w:r>
        <w:rPr>
          <w:rFonts w:ascii="Times New Roman Regular" w:hAnsi="Times New Roman Regular" w:cs="Times New Roman Regular"/>
          <w:sz w:val="24"/>
          <w:szCs w:val="24"/>
        </w:rPr>
        <w:lastRenderedPageBreak/>
        <w:t>evaluations and employee training.</w:t>
      </w:r>
    </w:p>
    <w:p w:rsidR="00847304" w:rsidRDefault="00847304">
      <w:pPr>
        <w:spacing w:line="360" w:lineRule="auto"/>
        <w:rPr>
          <w:rFonts w:ascii="Times New Roman Regular" w:hAnsi="Times New Roman Regular" w:cs="Times New Roman Regular" w:hint="eastAsia"/>
          <w:sz w:val="24"/>
          <w:szCs w:val="24"/>
        </w:rPr>
      </w:pPr>
    </w:p>
    <w:p w:rsidR="00847304" w:rsidRDefault="00000000">
      <w:pPr>
        <w:spacing w:line="360" w:lineRule="auto"/>
        <w:rPr>
          <w:rFonts w:ascii="Times New Roman Bold" w:hAnsi="Times New Roman Bold" w:cs="Times New Roman Bold" w:hint="eastAsia"/>
          <w:b/>
          <w:bCs/>
          <w:sz w:val="28"/>
          <w:szCs w:val="28"/>
        </w:rPr>
      </w:pPr>
      <w:r>
        <w:rPr>
          <w:rFonts w:ascii="Times New Roman Bold" w:hAnsi="Times New Roman Bold" w:cs="Times New Roman Bold"/>
          <w:b/>
          <w:bCs/>
          <w:sz w:val="28"/>
          <w:szCs w:val="28"/>
        </w:rPr>
        <w:t>3. Main Discussion:</w:t>
      </w:r>
    </w:p>
    <w:p w:rsidR="00847304" w:rsidRDefault="00847304">
      <w:pPr>
        <w:spacing w:line="360" w:lineRule="auto"/>
        <w:ind w:firstLineChars="200" w:firstLine="480"/>
        <w:rPr>
          <w:rFonts w:ascii="Times New Roman Regular" w:hAnsi="Times New Roman Regular" w:cs="Times New Roman Regular" w:hint="eastAsia"/>
          <w:sz w:val="24"/>
          <w:szCs w:val="24"/>
        </w:rPr>
      </w:pP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Employee engagement is a critical aspect of human resource management that plays a vital role in shaping the overall success of an organization. At China Securities Co., Ltd., employee engagement has been recognized as a top priority area, reflecting the company's commitment to enhancing employee satisfaction and performance. However, despite the company's efforts to improve employee engagement, there are still several deficiencies that need to be addressed.</w:t>
      </w:r>
    </w:p>
    <w:p w:rsidR="00847304" w:rsidRDefault="00847304">
      <w:pPr>
        <w:spacing w:line="360" w:lineRule="auto"/>
        <w:rPr>
          <w:rFonts w:ascii="Times New Roman Regular" w:hAnsi="Times New Roman Regular" w:cs="Times New Roman Regular" w:hint="eastAsia"/>
          <w:sz w:val="24"/>
          <w:szCs w:val="24"/>
        </w:rPr>
      </w:pPr>
    </w:p>
    <w:p w:rsidR="00847304" w:rsidRDefault="00000000">
      <w:pPr>
        <w:spacing w:line="360" w:lineRule="auto"/>
        <w:rPr>
          <w:rFonts w:ascii="Times New Roman Bold" w:hAnsi="Times New Roman Bold" w:cs="Times New Roman Bold" w:hint="eastAsia"/>
          <w:b/>
          <w:bCs/>
          <w:sz w:val="24"/>
          <w:szCs w:val="24"/>
        </w:rPr>
      </w:pPr>
      <w:r>
        <w:rPr>
          <w:rFonts w:ascii="Times New Roman Bold" w:hAnsi="Times New Roman Bold" w:cs="Times New Roman Bold"/>
          <w:b/>
          <w:bCs/>
          <w:sz w:val="24"/>
          <w:szCs w:val="24"/>
        </w:rPr>
        <w:t>3.1 Employees lack enthusiasm for their work</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On the one hand, each employee is burdened with a heavy workload that requires a significant amount of time and effort. Overtime work is a norm, and employees often feel physically exhausted and under pressure. On the other hand, since work content does not always translate into performance conversion, employees' hard work does not always result in quick or direct results, leading to low levels of job satisfaction and reduced work enthusiasm. The heavy workload and long working hours, coupled with the absence of tangible recognition and achievement, can lead to employees feeling overwhelmed and disengaged. This not only impacts their work output but also contributes to a negative work culture, making it challenging to attract and retain top talent.</w:t>
      </w:r>
    </w:p>
    <w:p w:rsidR="00847304" w:rsidRDefault="00000000">
      <w:pPr>
        <w:spacing w:line="360" w:lineRule="auto"/>
        <w:rPr>
          <w:rFonts w:ascii="Times New Roman Bold" w:hAnsi="Times New Roman Bold" w:cs="Times New Roman Bold" w:hint="eastAsia"/>
          <w:b/>
          <w:bCs/>
          <w:sz w:val="24"/>
          <w:szCs w:val="24"/>
        </w:rPr>
      </w:pPr>
      <w:r>
        <w:rPr>
          <w:rFonts w:ascii="Times New Roman Bold" w:hAnsi="Times New Roman Bold" w:cs="Times New Roman Bold"/>
          <w:b/>
          <w:bCs/>
          <w:sz w:val="24"/>
          <w:szCs w:val="24"/>
        </w:rPr>
        <w:t>3.2 Employees lack creativity in their work</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Most of their time is spent focusing on their own tasks, without knowledge of other departments' work or the company's strategy. This lack of information and communication limits employees' ability to innovate and create in their work. This is a significant concern for China Securities as it hinders the organization's growth and development.</w:t>
      </w:r>
    </w:p>
    <w:p w:rsidR="00847304" w:rsidRDefault="00847304">
      <w:pPr>
        <w:spacing w:line="360" w:lineRule="auto"/>
        <w:rPr>
          <w:rFonts w:ascii="Times New Roman Bold" w:hAnsi="Times New Roman Bold" w:cs="Times New Roman Bold" w:hint="eastAsia"/>
          <w:b/>
          <w:bCs/>
          <w:sz w:val="24"/>
          <w:szCs w:val="24"/>
        </w:rPr>
      </w:pPr>
    </w:p>
    <w:p w:rsidR="00847304" w:rsidRDefault="00000000">
      <w:pPr>
        <w:spacing w:line="360" w:lineRule="auto"/>
        <w:rPr>
          <w:rFonts w:ascii="Times New Roman Bold" w:hAnsi="Times New Roman Bold" w:cs="Times New Roman Bold" w:hint="eastAsia"/>
          <w:b/>
          <w:bCs/>
          <w:sz w:val="24"/>
          <w:szCs w:val="24"/>
        </w:rPr>
      </w:pPr>
      <w:r>
        <w:rPr>
          <w:rFonts w:ascii="Times New Roman Bold" w:hAnsi="Times New Roman Bold" w:cs="Times New Roman Bold"/>
          <w:b/>
          <w:bCs/>
          <w:sz w:val="24"/>
          <w:szCs w:val="24"/>
        </w:rPr>
        <w:lastRenderedPageBreak/>
        <w:t>3.3 Inadequate Training</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The inadequacy of training programs at China Securities has significant implications for employee engagement and organizational success. Without continuous learning opportunities, employees are less likely to remain engaged, motivated, and committed to their work. This is particularly relevant in the financial services industry, where changes in regulations, technologies, and market conditions can occur rapidly.</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Moreover, the lack of training can result in skill gaps, limiting the company's ability to compete effectively and deliver high-quality services to its customers. Employees who feel unsupported and undervalued in their professional development may become disengaged, leading to low morale, high staff turnover rates, and reduced productivity levels.</w:t>
      </w:r>
    </w:p>
    <w:p w:rsidR="00847304" w:rsidRDefault="00000000">
      <w:pPr>
        <w:spacing w:line="360" w:lineRule="auto"/>
        <w:rPr>
          <w:rFonts w:ascii="Times New Roman Bold" w:hAnsi="Times New Roman Bold" w:cs="Times New Roman Bold" w:hint="eastAsia"/>
          <w:b/>
          <w:bCs/>
          <w:sz w:val="24"/>
          <w:szCs w:val="24"/>
        </w:rPr>
      </w:pPr>
      <w:r>
        <w:rPr>
          <w:rFonts w:ascii="Times New Roman Bold" w:hAnsi="Times New Roman Bold" w:cs="Times New Roman Bold"/>
          <w:b/>
          <w:bCs/>
          <w:sz w:val="24"/>
          <w:szCs w:val="24"/>
        </w:rPr>
        <w:t>3.4 Negative Impact on the Organization</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The negative impact of poor employee engagement extends beyond the effects on employee morale and work satisfaction. The lack of passion and creativity among employees also leads to reduced innovation, which can hinder the company's ability to remain competitive in a constantly evolving market. With competitors constantly innovating and introducing new products and services, an engaged and creative workforce is essential for the company to stay ahead of the competition. The pressure on employees can also lead to burnout, affecting their physical and mental health, leading to absenteeism, and lower productivity levels. This, in turn, can negatively affect the company's overall performance and bottom line.</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High staff turnover rates can result in the loss of valuable talent, disrupting the continuity of work and damaging team morale. Replacing employees is also costly, as it involves recruiting, hiring, and training new staff, all of which require time and resources. Additionally, high staff turnover rates can negatively impact customer experiences, leading to reduced customer satisfaction and damaging the company's reputation. This can have severe long-term implications for the company's growth and profitability, making it essential to prioritize employee engagement to mitigate such risks.</w:t>
      </w:r>
    </w:p>
    <w:p w:rsidR="00847304" w:rsidRDefault="00000000">
      <w:pPr>
        <w:spacing w:line="360" w:lineRule="auto"/>
        <w:rPr>
          <w:rFonts w:ascii="Times New Roman Bold" w:hAnsi="Times New Roman Bold" w:cs="Times New Roman Bold" w:hint="eastAsia"/>
          <w:b/>
          <w:bCs/>
          <w:sz w:val="24"/>
          <w:szCs w:val="24"/>
        </w:rPr>
      </w:pPr>
      <w:r>
        <w:rPr>
          <w:rFonts w:ascii="Times New Roman Bold" w:hAnsi="Times New Roman Bold" w:cs="Times New Roman Bold"/>
          <w:b/>
          <w:bCs/>
          <w:sz w:val="24"/>
          <w:szCs w:val="24"/>
        </w:rPr>
        <w:t>3.5 Benefits of Improving Employee Engagement</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lastRenderedPageBreak/>
        <w:t>Improving employee engagement at China Securities would result in numerous benefits for the organization, including:</w:t>
      </w:r>
    </w:p>
    <w:p w:rsidR="00847304" w:rsidRDefault="00000000">
      <w:pPr>
        <w:spacing w:line="360" w:lineRule="auto"/>
        <w:ind w:firstLineChars="200" w:firstLine="480"/>
        <w:rPr>
          <w:rFonts w:ascii="Times New Roman Regular" w:hAnsi="Times New Roman Regular" w:cs="Times New Roman Regular" w:hint="eastAsia"/>
          <w:sz w:val="24"/>
          <w:szCs w:val="24"/>
        </w:rPr>
      </w:pPr>
      <w:proofErr w:type="spellStart"/>
      <w:r>
        <w:rPr>
          <w:rFonts w:ascii="Times New Roman Regular" w:hAnsi="Times New Roman Regular" w:cs="Times New Roman Regular"/>
          <w:sz w:val="24"/>
          <w:szCs w:val="24"/>
        </w:rPr>
        <w:t>a.Improved</w:t>
      </w:r>
      <w:proofErr w:type="spellEnd"/>
      <w:r>
        <w:rPr>
          <w:rFonts w:ascii="Times New Roman Regular" w:hAnsi="Times New Roman Regular" w:cs="Times New Roman Regular"/>
          <w:sz w:val="24"/>
          <w:szCs w:val="24"/>
        </w:rPr>
        <w:t xml:space="preserve"> Productivity: Engaged employees tend to be more productive and efficient, resulting in increased output and profitability.</w:t>
      </w:r>
    </w:p>
    <w:p w:rsidR="00847304" w:rsidRDefault="00000000">
      <w:pPr>
        <w:spacing w:line="360" w:lineRule="auto"/>
        <w:ind w:firstLineChars="200" w:firstLine="480"/>
        <w:rPr>
          <w:rFonts w:ascii="Times New Roman Regular" w:hAnsi="Times New Roman Regular" w:cs="Times New Roman Regular" w:hint="eastAsia"/>
          <w:sz w:val="24"/>
          <w:szCs w:val="24"/>
        </w:rPr>
      </w:pPr>
      <w:proofErr w:type="spellStart"/>
      <w:r>
        <w:rPr>
          <w:rFonts w:ascii="Times New Roman Regular" w:hAnsi="Times New Roman Regular" w:cs="Times New Roman Regular"/>
          <w:sz w:val="24"/>
          <w:szCs w:val="24"/>
        </w:rPr>
        <w:t>b.Enhanced</w:t>
      </w:r>
      <w:proofErr w:type="spellEnd"/>
      <w:r>
        <w:rPr>
          <w:rFonts w:ascii="Times New Roman Regular" w:hAnsi="Times New Roman Regular" w:cs="Times New Roman Regular"/>
          <w:sz w:val="24"/>
          <w:szCs w:val="24"/>
        </w:rPr>
        <w:t xml:space="preserve"> Customer Satisfaction: Engaged employees are more likely to provide quality customer service, leading to increased customer satisfaction and retention.</w:t>
      </w:r>
    </w:p>
    <w:p w:rsidR="00847304" w:rsidRDefault="00000000">
      <w:pPr>
        <w:spacing w:line="360" w:lineRule="auto"/>
        <w:ind w:firstLineChars="200" w:firstLine="480"/>
        <w:rPr>
          <w:rFonts w:ascii="Times New Roman Regular" w:hAnsi="Times New Roman Regular" w:cs="Times New Roman Regular" w:hint="eastAsia"/>
          <w:sz w:val="24"/>
          <w:szCs w:val="24"/>
        </w:rPr>
      </w:pPr>
      <w:proofErr w:type="spellStart"/>
      <w:r>
        <w:rPr>
          <w:rFonts w:ascii="Times New Roman Regular" w:hAnsi="Times New Roman Regular" w:cs="Times New Roman Regular"/>
          <w:sz w:val="24"/>
          <w:szCs w:val="24"/>
        </w:rPr>
        <w:t>c.Positive</w:t>
      </w:r>
      <w:proofErr w:type="spellEnd"/>
      <w:r>
        <w:rPr>
          <w:rFonts w:ascii="Times New Roman Regular" w:hAnsi="Times New Roman Regular" w:cs="Times New Roman Regular"/>
          <w:sz w:val="24"/>
          <w:szCs w:val="24"/>
        </w:rPr>
        <w:t xml:space="preserve"> Organizational Culture: Improving employee engagement fosters a positive organizational culture, where employees are committed, motivated, and aligned with the company's vision and values.</w:t>
      </w:r>
    </w:p>
    <w:p w:rsidR="00847304" w:rsidRDefault="00000000">
      <w:pPr>
        <w:spacing w:line="360" w:lineRule="auto"/>
        <w:ind w:firstLineChars="200" w:firstLine="480"/>
        <w:rPr>
          <w:rFonts w:ascii="Times New Roman Regular" w:hAnsi="Times New Roman Regular" w:cs="Times New Roman Regular" w:hint="eastAsia"/>
          <w:sz w:val="24"/>
          <w:szCs w:val="24"/>
        </w:rPr>
      </w:pPr>
      <w:proofErr w:type="spellStart"/>
      <w:r>
        <w:rPr>
          <w:rFonts w:ascii="Times New Roman Regular" w:hAnsi="Times New Roman Regular" w:cs="Times New Roman Regular"/>
          <w:sz w:val="24"/>
          <w:szCs w:val="24"/>
        </w:rPr>
        <w:t>d.Reduced</w:t>
      </w:r>
      <w:proofErr w:type="spellEnd"/>
      <w:r>
        <w:rPr>
          <w:rFonts w:ascii="Times New Roman Regular" w:hAnsi="Times New Roman Regular" w:cs="Times New Roman Regular"/>
          <w:sz w:val="24"/>
          <w:szCs w:val="24"/>
        </w:rPr>
        <w:t xml:space="preserve"> Employee Turnover: Engaged employees are more likely to stay with the company, reducing employee turnover rates and associated costs.</w:t>
      </w:r>
    </w:p>
    <w:p w:rsidR="00847304" w:rsidRDefault="00847304">
      <w:pPr>
        <w:spacing w:line="360" w:lineRule="auto"/>
        <w:rPr>
          <w:rFonts w:ascii="Times New Roman Regular" w:hAnsi="Times New Roman Regular" w:cs="Times New Roman Regular" w:hint="eastAsia"/>
          <w:sz w:val="24"/>
          <w:szCs w:val="24"/>
        </w:rPr>
      </w:pPr>
    </w:p>
    <w:p w:rsidR="00847304" w:rsidRDefault="00000000">
      <w:pPr>
        <w:spacing w:line="360" w:lineRule="auto"/>
        <w:rPr>
          <w:rFonts w:ascii="Times New Roman Bold" w:hAnsi="Times New Roman Bold" w:cs="Times New Roman Bold" w:hint="eastAsia"/>
          <w:b/>
          <w:bCs/>
          <w:sz w:val="28"/>
          <w:szCs w:val="28"/>
        </w:rPr>
      </w:pPr>
      <w:r>
        <w:rPr>
          <w:rFonts w:ascii="Times New Roman Bold" w:hAnsi="Times New Roman Bold" w:cs="Times New Roman Bold"/>
          <w:b/>
          <w:bCs/>
          <w:sz w:val="28"/>
          <w:szCs w:val="28"/>
        </w:rPr>
        <w:t>4. Conclusions</w:t>
      </w:r>
    </w:p>
    <w:p w:rsidR="00847304" w:rsidRDefault="00847304">
      <w:pPr>
        <w:spacing w:line="360" w:lineRule="auto"/>
        <w:rPr>
          <w:rFonts w:ascii="Times New Roman Regular" w:hAnsi="Times New Roman Regular" w:cs="Times New Roman Regular" w:hint="eastAsia"/>
          <w:sz w:val="24"/>
          <w:szCs w:val="24"/>
        </w:rPr>
      </w:pPr>
    </w:p>
    <w:p w:rsidR="00847304" w:rsidRDefault="006C69CF" w:rsidP="006C69CF">
      <w:pPr>
        <w:spacing w:line="360" w:lineRule="auto"/>
        <w:ind w:firstLineChars="200" w:firstLine="480"/>
        <w:rPr>
          <w:rFonts w:ascii="Times New Roman Regular" w:hAnsi="Times New Roman Regular" w:cs="Times New Roman Regular" w:hint="eastAsia"/>
          <w:sz w:val="24"/>
          <w:szCs w:val="24"/>
        </w:rPr>
      </w:pPr>
      <w:r w:rsidRPr="006C69CF">
        <w:rPr>
          <w:rFonts w:ascii="Times New Roman Regular" w:hAnsi="Times New Roman Regular" w:cs="Times New Roman Regular"/>
          <w:sz w:val="24"/>
          <w:szCs w:val="24"/>
        </w:rPr>
        <w:t xml:space="preserve">In summary, improving employee engagement is crucial for China Securities to improve its company's production and operation capabilities, profitability, market competitiveness, and the long-term sustainable development of the overall organization in the future. It has already affected many aspects of the company's production efficiency, work atmosphere, operating costs, and customer satisfaction. Chinese securities companies urgently need to improve employee engagement to improve the adverse impact of existing deficiencies on the company and employees. Currently, there are many shortcomings that China Securities needs to improve. Firstly, it is necessary to improve the work enthusiasm of employees, maintain their professional dedication, cultivate their work skills, reduce their work difficulty, reduce their work intensity, reduce their overtime, and make them happy to work. Secondly, China Securities needs to encourage employees' innovative spirit, improve their creativity in their work, make them dare to innovate in their work, and be willing to innovate in their work, thereby improving their sense of achievement in their work. Thirdly, China Securities needs to improve employees' communication, listen more to their voices and demands, and </w:t>
      </w:r>
      <w:r w:rsidRPr="006C69CF">
        <w:rPr>
          <w:rFonts w:ascii="Times New Roman Regular" w:hAnsi="Times New Roman Regular" w:cs="Times New Roman Regular"/>
          <w:sz w:val="24"/>
          <w:szCs w:val="24"/>
        </w:rPr>
        <w:lastRenderedPageBreak/>
        <w:t>enhance their sense of value at work. China Securities UK has improved these shortcomings, enabling employees to maintain a dedicated work attitude for a long time, love their own work, respond to work with a proactive attitude, do not slack off on work, do not delay, have a sense of responsibility and mission, and enable employees to continuously improve and exercise their own self-discipline</w:t>
      </w:r>
      <w:r w:rsidRPr="006C69CF">
        <w:rPr>
          <w:rFonts w:ascii="Times New Roman Regular" w:hAnsi="Times New Roman Regular" w:cs="Times New Roman Regular"/>
          <w:sz w:val="24"/>
          <w:szCs w:val="24"/>
        </w:rPr>
        <w:t xml:space="preserve"> </w:t>
      </w:r>
      <w:r w:rsidRPr="006C69CF">
        <w:rPr>
          <w:rFonts w:ascii="Times New Roman Regular" w:hAnsi="Times New Roman Regular" w:cs="Times New Roman Regular"/>
          <w:sz w:val="24"/>
          <w:szCs w:val="24"/>
        </w:rPr>
        <w:t>, and management abilities in their work. Through the improvement of employee engagement, employees can give more positive evaluations to the company in front of customers and others.</w:t>
      </w:r>
      <w:r w:rsidRPr="006C69CF">
        <w:t xml:space="preserve"> </w:t>
      </w:r>
      <w:r w:rsidRPr="006C69CF">
        <w:rPr>
          <w:rFonts w:ascii="Times New Roman Regular" w:hAnsi="Times New Roman Regular" w:cs="Times New Roman Regular"/>
          <w:sz w:val="24"/>
          <w:szCs w:val="24"/>
        </w:rPr>
        <w:t>Enable employees to be willing to work in the company for a long time, have a sense of mission to the work, have a high sense of belonging to the company, be willing to work together with the company, be willing to grow together with the company, and seek long-term development.</w:t>
      </w:r>
    </w:p>
    <w:p w:rsidR="00847304" w:rsidRDefault="00847304">
      <w:pPr>
        <w:spacing w:line="360" w:lineRule="auto"/>
        <w:rPr>
          <w:rFonts w:ascii="Times New Roman Regular" w:hAnsi="Times New Roman Regular" w:cs="Times New Roman Regular" w:hint="eastAsia"/>
          <w:sz w:val="24"/>
          <w:szCs w:val="24"/>
        </w:rPr>
      </w:pPr>
    </w:p>
    <w:p w:rsidR="00847304" w:rsidRDefault="00000000">
      <w:pPr>
        <w:spacing w:line="360" w:lineRule="auto"/>
        <w:rPr>
          <w:rFonts w:ascii="Times New Roman Bold" w:hAnsi="Times New Roman Bold" w:cs="Times New Roman Bold" w:hint="eastAsia"/>
          <w:b/>
          <w:bCs/>
          <w:sz w:val="28"/>
          <w:szCs w:val="28"/>
        </w:rPr>
      </w:pPr>
      <w:r>
        <w:rPr>
          <w:rFonts w:ascii="Times New Roman Bold" w:hAnsi="Times New Roman Bold" w:cs="Times New Roman Bold"/>
          <w:b/>
          <w:bCs/>
          <w:sz w:val="28"/>
          <w:szCs w:val="28"/>
        </w:rPr>
        <w:t>5.Suggestions</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China Securities faces several challenges in improving employee engagement. Firstly, the company's communication channels with employees need improvement, particularly in terms of transparency and consistency. This is crucial as open communication channels facilitate a sense of belonging and trust, and employees who feel heard and valued are more likely to remain engaged and committed to their work. To address the current challenges faced by China Securities and enhance employee engagement, the following strategies are recommended:</w:t>
      </w:r>
    </w:p>
    <w:p w:rsidR="00847304" w:rsidRDefault="00847304">
      <w:pPr>
        <w:spacing w:line="360" w:lineRule="auto"/>
        <w:rPr>
          <w:rFonts w:ascii="Times New Roman Regular" w:hAnsi="Times New Roman Regular" w:cs="Times New Roman Regular" w:hint="eastAsia"/>
          <w:sz w:val="24"/>
          <w:szCs w:val="24"/>
        </w:rPr>
      </w:pPr>
    </w:p>
    <w:p w:rsidR="00847304" w:rsidRDefault="00000000">
      <w:pPr>
        <w:spacing w:line="360" w:lineRule="auto"/>
        <w:rPr>
          <w:rFonts w:ascii="Times New Roman Bold" w:hAnsi="Times New Roman Bold" w:cs="Times New Roman Bold" w:hint="eastAsia"/>
          <w:b/>
          <w:bCs/>
          <w:sz w:val="24"/>
          <w:szCs w:val="24"/>
        </w:rPr>
      </w:pPr>
      <w:r>
        <w:rPr>
          <w:rFonts w:ascii="Times New Roman Bold" w:hAnsi="Times New Roman Bold" w:cs="Times New Roman Bold"/>
          <w:b/>
          <w:bCs/>
          <w:sz w:val="24"/>
          <w:szCs w:val="24"/>
        </w:rPr>
        <w:t>5.1. Improving Training Programs</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To further improve the training programs, China Securities can consider adopting a personalized approach to learning and development. This involves creating tailored training programs that cater to the unique needs of individual employees, taking into account their career aspirations, learning style, and current skillset. By offering personalized training and development opportunities, China Securities can demonstrate its commitment to supporting employees' career growth, which can increase employee engagement and loyalty.</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lastRenderedPageBreak/>
        <w:t>China Securities can leverage technology to enhance its training programs. The use of online training modules, e-learning platforms, and virtual simulations can provide employees with flexible and accessible learning opportunities. These platforms can also enable employees to learn at their own pace, reducing the pressure of strict deadlines and schedules. Technology can also facilitate the tracking and assessment of employee performance, enabling the company to identify areas of improvement and tailor training programs accordingly.</w:t>
      </w:r>
    </w:p>
    <w:p w:rsidR="00847304" w:rsidRDefault="00000000">
      <w:pPr>
        <w:spacing w:line="360" w:lineRule="auto"/>
        <w:ind w:firstLineChars="200" w:firstLine="480"/>
        <w:rPr>
          <w:rFonts w:ascii="Times New Roman Italic" w:hAnsi="Times New Roman Italic" w:cs="Times New Roman Italic" w:hint="eastAsia"/>
          <w:i/>
          <w:iCs/>
          <w:sz w:val="24"/>
          <w:szCs w:val="24"/>
        </w:rPr>
      </w:pPr>
      <w:r>
        <w:rPr>
          <w:rFonts w:ascii="Times New Roman Italic" w:hAnsi="Times New Roman Italic" w:cs="Times New Roman Italic"/>
          <w:i/>
          <w:iCs/>
          <w:sz w:val="24"/>
          <w:szCs w:val="24"/>
        </w:rPr>
        <w:t>5.1.1 Required resources and challenges</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In order to ensure the effective implementation of the training plan, multiple resource support is involved, which poses a great challenge to the ability of the human resources department. First of all, increasing the training of employees' vocational skills requires the company to provide more capital investment. These budgets include not only the cost of hiring lecturers, but also the cost of providing learning equipment and environment, as well as reducing the work costs brought about by employees participating in training. The budget and costs of this part require the application and coordination of the human resources department. Secondly, training involves many aspects, which involves more professional institutions and personnel. How to choose training institutions and lecturers with more professional content, clearer explanations, and better arrangements is a great test for the human resources department. Third, organizing relevant training requires arranging venues, coordinating time, communicating needs, preparing materials, caring for travel, accommodation, and so on, which is also a test of the organizational ability of the human resources department. Overall, the challenges involved are based within the department. Due to the scope of human resources management, there are relatively few insurmountable difficulties in implementation.</w:t>
      </w:r>
    </w:p>
    <w:p w:rsidR="00847304" w:rsidRDefault="00000000">
      <w:pPr>
        <w:spacing w:line="360" w:lineRule="auto"/>
        <w:rPr>
          <w:rFonts w:ascii="Times New Roman Bold" w:hAnsi="Times New Roman Bold" w:cs="Times New Roman Bold" w:hint="eastAsia"/>
          <w:b/>
          <w:bCs/>
          <w:sz w:val="24"/>
          <w:szCs w:val="24"/>
        </w:rPr>
      </w:pPr>
      <w:r>
        <w:rPr>
          <w:rFonts w:ascii="Times New Roman Bold" w:hAnsi="Times New Roman Bold" w:cs="Times New Roman Bold"/>
          <w:b/>
          <w:bCs/>
          <w:sz w:val="24"/>
          <w:szCs w:val="24"/>
        </w:rPr>
        <w:t>5.2. Improvement of Human Resource Functions</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 xml:space="preserve">To optimize the human resource functions, it is suggested to conduct regular and ad-hoc open discussions across departments and business units. These discussions can focus on identifying primary work tasks, work requirements, tasks that consume a lot of time, areas that require collaboration with other departments, and issues without </w:t>
      </w:r>
      <w:r>
        <w:rPr>
          <w:rFonts w:ascii="Times New Roman Regular" w:hAnsi="Times New Roman Regular" w:cs="Times New Roman Regular"/>
          <w:sz w:val="24"/>
          <w:szCs w:val="24"/>
        </w:rPr>
        <w:lastRenderedPageBreak/>
        <w:t>solutions. By organizing these discussions, the company can gain valuable insights into the work processes and identify areas that require improvement.</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The implementation of these discussions can lead to a more efficient and effective work environment. By identifying areas that require collaboration, the company can improve cross-departmental communication, leading to increased cooperation and understanding between departments. Additionally, these discussions can provide a platform for employees to express their concerns and difficulties, leading to a better understanding of their work and increasing their psychological identification with the company.</w:t>
      </w:r>
    </w:p>
    <w:p w:rsidR="00847304" w:rsidRDefault="00000000">
      <w:pPr>
        <w:spacing w:line="360" w:lineRule="auto"/>
        <w:ind w:firstLineChars="200" w:firstLine="480"/>
        <w:rPr>
          <w:rFonts w:ascii="Times New Roman Italic" w:hAnsi="Times New Roman Italic" w:cs="Times New Roman Italic" w:hint="eastAsia"/>
          <w:i/>
          <w:iCs/>
          <w:sz w:val="24"/>
          <w:szCs w:val="24"/>
        </w:rPr>
      </w:pPr>
      <w:r>
        <w:rPr>
          <w:rFonts w:ascii="Times New Roman Italic" w:hAnsi="Times New Roman Italic" w:cs="Times New Roman Italic"/>
          <w:i/>
          <w:iCs/>
          <w:sz w:val="24"/>
          <w:szCs w:val="24"/>
        </w:rPr>
        <w:t>5.2.1 Why this can improve engagement</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There are several reasons why organizing regular and ad-hoc open discussions can improve employee engagement. Firstly, these discussions provide an opportunity for employees to express their thoughts and concerns, thereby increasing their psychological identification and loyalty to the company. By feeling that their opinions are valued, employees are more likely to feel engaged and committed to the company.</w:t>
      </w:r>
    </w:p>
    <w:p w:rsidR="00847304" w:rsidRDefault="00000000">
      <w:p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Secondly, cross-departmental communication helps employees understand the status of other employees, leading to increased understanding and cooperation between departments. Through these discussions, employees can gain insights into the work processes of other departments, leading to increased collaboration and a more efficient work environment.</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Thirdly, these discussions can help identify knowledge gaps and skill shortages in employee work, which can help human resources departments target and arrange more effective and targeted training programs to improve employee work capabilities. By identifying areas that require improvement, the company can provide better work conditions, increase work efficiency, and reduce work pressure.</w:t>
      </w:r>
    </w:p>
    <w:p w:rsidR="00847304" w:rsidRDefault="00000000">
      <w:p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Fourthly, cross-departmental communication can stimulate employee creativity by exchanging opinions between different positions and personnel. By exposing employees to different perspectives, employees can generate new ideas and approaches, leading to innovation and improved work processes.</w:t>
      </w:r>
    </w:p>
    <w:p w:rsidR="00847304" w:rsidRDefault="00000000">
      <w:pPr>
        <w:spacing w:line="360" w:lineRule="auto"/>
        <w:ind w:firstLineChars="200" w:firstLine="480"/>
        <w:rPr>
          <w:rFonts w:ascii="Times New Roman Italic" w:hAnsi="Times New Roman Italic" w:cs="Times New Roman Italic" w:hint="eastAsia"/>
          <w:i/>
          <w:iCs/>
          <w:sz w:val="24"/>
          <w:szCs w:val="24"/>
        </w:rPr>
      </w:pPr>
      <w:r>
        <w:rPr>
          <w:rFonts w:ascii="Times New Roman Italic" w:hAnsi="Times New Roman Italic" w:cs="Times New Roman Italic"/>
          <w:i/>
          <w:iCs/>
          <w:sz w:val="24"/>
          <w:szCs w:val="24"/>
        </w:rPr>
        <w:t>5.2.2 Required resources and challenges</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lastRenderedPageBreak/>
        <w:t>To successfully implement these discussions, several resources and challenges need to be considered. Firstly, effective mobilization is required to convince departmental leaders and all departments to participate and attach importance to the discussion activities. Clear communication of the discussion format, content, purpose, and significance to all employees is also necessary to encourage participation from as many people as possible.</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 xml:space="preserve">During implementation, it is essential to ensure efficient execution, with a focus on guiding the direction of discussions and avoiding discussions of irrelevant content or the expression of negative emotions. Efficiency must also be maintained by ensuring all participants have a chance to speak while minimizing redundant discussions on similar topics. Also, efficient execution is </w:t>
      </w:r>
      <w:proofErr w:type="spellStart"/>
      <w:r>
        <w:rPr>
          <w:rFonts w:ascii="Times New Roman Regular" w:hAnsi="Times New Roman Regular" w:cs="Times New Roman Regular"/>
          <w:sz w:val="24"/>
          <w:szCs w:val="24"/>
        </w:rPr>
        <w:t>crutial</w:t>
      </w:r>
      <w:proofErr w:type="spellEnd"/>
      <w:r>
        <w:rPr>
          <w:rFonts w:ascii="Times New Roman Regular" w:hAnsi="Times New Roman Regular" w:cs="Times New Roman Regular"/>
          <w:sz w:val="24"/>
          <w:szCs w:val="24"/>
        </w:rPr>
        <w:t xml:space="preserve"> to guide the discussion direction and prevent irrelevant or negative topics from affecting the discussions. Efficiency should be considered to balance everyone's speaking time while reducing repeated issues. Proper follow-up is crucial, including collecting, analyzing, and summarizing core issues for solution. Coordination among relevant departments and personnel to explore solutions, and coordination and follow-up with various departments to ensure the execution of the solution is also essential.</w:t>
      </w:r>
    </w:p>
    <w:p w:rsidR="00847304" w:rsidRDefault="00000000">
      <w:pPr>
        <w:spacing w:line="360" w:lineRule="auto"/>
        <w:ind w:firstLineChars="200" w:firstLine="480"/>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Furthermore, challenges such as resistance to change, lack of participation, and negative emotions affecting discussions need to be addressed. By carefully considering these resources and challenges, companies can successfully implement these discussions and improve employee engagement and work efficiency.</w:t>
      </w:r>
    </w:p>
    <w:p w:rsidR="00847304" w:rsidRDefault="00847304">
      <w:pPr>
        <w:spacing w:line="360" w:lineRule="auto"/>
        <w:rPr>
          <w:rFonts w:ascii="Times New Roman Regular" w:hAnsi="Times New Roman Regular" w:cs="Times New Roman Regular" w:hint="eastAsia"/>
          <w:sz w:val="24"/>
          <w:szCs w:val="24"/>
        </w:rPr>
        <w:sectPr w:rsidR="00847304">
          <w:pgSz w:w="11906" w:h="16838"/>
          <w:pgMar w:top="1440" w:right="1800" w:bottom="1440" w:left="1800" w:header="851" w:footer="992" w:gutter="0"/>
          <w:cols w:space="425"/>
          <w:docGrid w:type="lines" w:linePitch="312"/>
        </w:sectPr>
      </w:pPr>
    </w:p>
    <w:p w:rsidR="00847304" w:rsidRDefault="00000000">
      <w:pPr>
        <w:spacing w:line="360" w:lineRule="auto"/>
        <w:jc w:val="center"/>
        <w:rPr>
          <w:rFonts w:ascii="Times New Roman Bold" w:hAnsi="Times New Roman Bold" w:cs="Times New Roman Bold" w:hint="eastAsia"/>
          <w:b/>
          <w:bCs/>
          <w:sz w:val="28"/>
          <w:szCs w:val="28"/>
        </w:rPr>
      </w:pPr>
      <w:r>
        <w:rPr>
          <w:rFonts w:ascii="Times New Roman Bold" w:hAnsi="Times New Roman Bold" w:cs="Times New Roman Bold"/>
          <w:b/>
          <w:bCs/>
          <w:sz w:val="28"/>
          <w:szCs w:val="28"/>
        </w:rPr>
        <w:lastRenderedPageBreak/>
        <w:t>Reference</w:t>
      </w:r>
    </w:p>
    <w:p w:rsidR="00847304" w:rsidRDefault="00847304">
      <w:pPr>
        <w:spacing w:line="360" w:lineRule="auto"/>
        <w:rPr>
          <w:rFonts w:ascii="Times New Roman Regular" w:hAnsi="Times New Roman Regular" w:cs="Times New Roman Regular" w:hint="eastAsia"/>
          <w:sz w:val="24"/>
          <w:szCs w:val="24"/>
        </w:rPr>
      </w:pPr>
    </w:p>
    <w:p w:rsidR="00847304" w:rsidRDefault="00000000">
      <w:pPr>
        <w:numPr>
          <w:ilvl w:val="0"/>
          <w:numId w:val="1"/>
        </w:numPr>
        <w:spacing w:line="360" w:lineRule="auto"/>
        <w:rPr>
          <w:rFonts w:ascii="Times New Roman Regular" w:hAnsi="Times New Roman Regular" w:cs="Times New Roman Regular" w:hint="eastAsia"/>
          <w:sz w:val="24"/>
          <w:szCs w:val="24"/>
        </w:rPr>
      </w:pPr>
      <w:proofErr w:type="spellStart"/>
      <w:r>
        <w:rPr>
          <w:rFonts w:ascii="Times New Roman Regular" w:hAnsi="Times New Roman Regular" w:cs="Times New Roman Regular"/>
          <w:sz w:val="24"/>
          <w:szCs w:val="24"/>
        </w:rPr>
        <w:t>Thackray</w:t>
      </w:r>
      <w:proofErr w:type="spellEnd"/>
      <w:r>
        <w:rPr>
          <w:rFonts w:ascii="Times New Roman Regular" w:hAnsi="Times New Roman Regular" w:cs="Times New Roman Regular"/>
          <w:sz w:val="24"/>
          <w:szCs w:val="24"/>
        </w:rPr>
        <w:t xml:space="preserve"> J. The Gallup Q12[J]. Gallup Management Journal, 2005: 1-3.</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 xml:space="preserve">Hewitt A. 2012 Trends in global employee Engagement[J]. Aon Corporation, available at: https://www. </w:t>
      </w:r>
      <w:proofErr w:type="spellStart"/>
      <w:r>
        <w:rPr>
          <w:rFonts w:ascii="Times New Roman Regular" w:hAnsi="Times New Roman Regular" w:cs="Times New Roman Regular"/>
          <w:sz w:val="24"/>
          <w:szCs w:val="24"/>
        </w:rPr>
        <w:t>sigmoidcurve</w:t>
      </w:r>
      <w:proofErr w:type="spellEnd"/>
      <w:r>
        <w:rPr>
          <w:rFonts w:ascii="Times New Roman Regular" w:hAnsi="Times New Roman Regular" w:cs="Times New Roman Regular"/>
          <w:sz w:val="24"/>
          <w:szCs w:val="24"/>
        </w:rPr>
        <w:t>. com/assets/Uploads/2015-trends-inglobal-employee-engagement-sigmoid-connect. pdf (accessed February 7, 2020), 2012.</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Markos S, Sridevi M S. Employee engagement: The key to improving performance[J]. International journal of business and management, 2010, 5(12): 89.</w:t>
      </w:r>
    </w:p>
    <w:p w:rsidR="00847304" w:rsidRDefault="00000000">
      <w:pPr>
        <w:numPr>
          <w:ilvl w:val="0"/>
          <w:numId w:val="1"/>
        </w:numPr>
        <w:spacing w:line="360" w:lineRule="auto"/>
        <w:rPr>
          <w:rFonts w:ascii="Times New Roman Regular" w:hAnsi="Times New Roman Regular" w:cs="Times New Roman Regular" w:hint="eastAsia"/>
          <w:sz w:val="24"/>
          <w:szCs w:val="24"/>
        </w:rPr>
      </w:pPr>
      <w:proofErr w:type="spellStart"/>
      <w:r>
        <w:rPr>
          <w:rFonts w:ascii="Times New Roman Regular" w:hAnsi="Times New Roman Regular" w:cs="Times New Roman Regular"/>
          <w:sz w:val="24"/>
          <w:szCs w:val="24"/>
        </w:rPr>
        <w:t>Gustomo</w:t>
      </w:r>
      <w:proofErr w:type="spellEnd"/>
      <w:r>
        <w:rPr>
          <w:rFonts w:ascii="Times New Roman Regular" w:hAnsi="Times New Roman Regular" w:cs="Times New Roman Regular"/>
          <w:sz w:val="24"/>
          <w:szCs w:val="24"/>
        </w:rPr>
        <w:t xml:space="preserve"> A. Proposal to improve employee engagement in PT </w:t>
      </w:r>
      <w:proofErr w:type="spellStart"/>
      <w:r>
        <w:rPr>
          <w:rFonts w:ascii="Times New Roman Regular" w:hAnsi="Times New Roman Regular" w:cs="Times New Roman Regular"/>
          <w:sz w:val="24"/>
          <w:szCs w:val="24"/>
        </w:rPr>
        <w:t>Maju</w:t>
      </w:r>
      <w:proofErr w:type="spellEnd"/>
      <w:r>
        <w:rPr>
          <w:rFonts w:ascii="Times New Roman Regular" w:hAnsi="Times New Roman Regular" w:cs="Times New Roman Regular"/>
          <w:sz w:val="24"/>
          <w:szCs w:val="24"/>
        </w:rPr>
        <w:t xml:space="preserve"> Sentosa by AON Hewitt model and Mercer model[J]. Procedia-social and behavioral sciences, 2015, 169: 363-370.</w:t>
      </w:r>
    </w:p>
    <w:p w:rsidR="00847304" w:rsidRDefault="00000000">
      <w:pPr>
        <w:numPr>
          <w:ilvl w:val="0"/>
          <w:numId w:val="1"/>
        </w:numPr>
        <w:spacing w:line="360" w:lineRule="auto"/>
        <w:rPr>
          <w:rFonts w:ascii="Times New Roman Regular" w:hAnsi="Times New Roman Regular" w:cs="Times New Roman Regular" w:hint="eastAsia"/>
          <w:sz w:val="24"/>
          <w:szCs w:val="24"/>
        </w:rPr>
      </w:pPr>
      <w:proofErr w:type="spellStart"/>
      <w:r>
        <w:rPr>
          <w:rFonts w:ascii="Times New Roman Regular" w:hAnsi="Times New Roman Regular" w:cs="Times New Roman Regular"/>
          <w:sz w:val="24"/>
          <w:szCs w:val="24"/>
        </w:rPr>
        <w:t>Bedarkar</w:t>
      </w:r>
      <w:proofErr w:type="spellEnd"/>
      <w:r>
        <w:rPr>
          <w:rFonts w:ascii="Times New Roman Regular" w:hAnsi="Times New Roman Regular" w:cs="Times New Roman Regular"/>
          <w:sz w:val="24"/>
          <w:szCs w:val="24"/>
        </w:rPr>
        <w:t xml:space="preserve"> M, Pandita D. A study on the drivers of employee engagement impacting employee performance[J]. Procedia-Social and Behavioral Sciences, 2014, 133: 106-115.</w:t>
      </w:r>
    </w:p>
    <w:p w:rsidR="00847304" w:rsidRDefault="00000000">
      <w:pPr>
        <w:numPr>
          <w:ilvl w:val="0"/>
          <w:numId w:val="1"/>
        </w:numPr>
        <w:spacing w:line="360" w:lineRule="auto"/>
        <w:rPr>
          <w:rFonts w:ascii="Times New Roman Regular" w:hAnsi="Times New Roman Regular" w:cs="Times New Roman Regular" w:hint="eastAsia"/>
          <w:sz w:val="24"/>
          <w:szCs w:val="24"/>
        </w:rPr>
      </w:pPr>
      <w:proofErr w:type="spellStart"/>
      <w:r>
        <w:rPr>
          <w:rFonts w:ascii="Times New Roman Regular" w:hAnsi="Times New Roman Regular" w:cs="Times New Roman Regular"/>
          <w:sz w:val="24"/>
          <w:szCs w:val="24"/>
        </w:rPr>
        <w:t>Bhuvanaiah</w:t>
      </w:r>
      <w:proofErr w:type="spellEnd"/>
      <w:r>
        <w:rPr>
          <w:rFonts w:ascii="Times New Roman Regular" w:hAnsi="Times New Roman Regular" w:cs="Times New Roman Regular"/>
          <w:sz w:val="24"/>
          <w:szCs w:val="24"/>
        </w:rPr>
        <w:t xml:space="preserve"> T, Raya R P. Employee engagement: Key to organizational success[J]. SCMS journal of Indian Management, 2014, 11(4): 61.</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Antony M R. Paradigm shift in employee engagement–A critical analysis on the drivers of employee engagement[J]. International Journal of Information, Business and Management, 2018, 10(2): 32-46.</w:t>
      </w:r>
    </w:p>
    <w:p w:rsidR="00847304" w:rsidRDefault="00000000">
      <w:pPr>
        <w:numPr>
          <w:ilvl w:val="0"/>
          <w:numId w:val="1"/>
        </w:numPr>
        <w:spacing w:line="360" w:lineRule="auto"/>
        <w:rPr>
          <w:rFonts w:ascii="Times New Roman Regular" w:hAnsi="Times New Roman Regular" w:cs="Times New Roman Regular" w:hint="eastAsia"/>
          <w:sz w:val="24"/>
          <w:szCs w:val="24"/>
        </w:rPr>
      </w:pPr>
      <w:proofErr w:type="spellStart"/>
      <w:r>
        <w:rPr>
          <w:rFonts w:ascii="Times New Roman Regular" w:hAnsi="Times New Roman Regular" w:cs="Times New Roman Regular"/>
          <w:sz w:val="24"/>
          <w:szCs w:val="24"/>
        </w:rPr>
        <w:t>Oktanofa</w:t>
      </w:r>
      <w:proofErr w:type="spellEnd"/>
      <w:r>
        <w:rPr>
          <w:rFonts w:ascii="Times New Roman Regular" w:hAnsi="Times New Roman Regular" w:cs="Times New Roman Regular"/>
          <w:sz w:val="24"/>
          <w:szCs w:val="24"/>
        </w:rPr>
        <w:t xml:space="preserve"> A K, </w:t>
      </w:r>
      <w:proofErr w:type="spellStart"/>
      <w:r>
        <w:rPr>
          <w:rFonts w:ascii="Times New Roman Regular" w:hAnsi="Times New Roman Regular" w:cs="Times New Roman Regular"/>
          <w:sz w:val="24"/>
          <w:szCs w:val="24"/>
        </w:rPr>
        <w:t>Arliawan</w:t>
      </w:r>
      <w:proofErr w:type="spellEnd"/>
      <w:r>
        <w:rPr>
          <w:rFonts w:ascii="Times New Roman Regular" w:hAnsi="Times New Roman Regular" w:cs="Times New Roman Regular"/>
          <w:sz w:val="24"/>
          <w:szCs w:val="24"/>
        </w:rPr>
        <w:t xml:space="preserve"> F A, </w:t>
      </w:r>
      <w:proofErr w:type="spellStart"/>
      <w:r>
        <w:rPr>
          <w:rFonts w:ascii="Times New Roman Regular" w:hAnsi="Times New Roman Regular" w:cs="Times New Roman Regular"/>
          <w:sz w:val="24"/>
          <w:szCs w:val="24"/>
        </w:rPr>
        <w:t>Gustomo</w:t>
      </w:r>
      <w:proofErr w:type="spellEnd"/>
      <w:r>
        <w:rPr>
          <w:rFonts w:ascii="Times New Roman Regular" w:hAnsi="Times New Roman Regular" w:cs="Times New Roman Regular"/>
          <w:sz w:val="24"/>
          <w:szCs w:val="24"/>
        </w:rPr>
        <w:t xml:space="preserve"> A. Measuring and Improving Employee Engagement (A Study in PT. </w:t>
      </w:r>
      <w:proofErr w:type="spellStart"/>
      <w:r>
        <w:rPr>
          <w:rFonts w:ascii="Times New Roman Regular" w:hAnsi="Times New Roman Regular" w:cs="Times New Roman Regular"/>
          <w:sz w:val="24"/>
          <w:szCs w:val="24"/>
        </w:rPr>
        <w:t>Svara</w:t>
      </w:r>
      <w:proofErr w:type="spellEnd"/>
      <w:r>
        <w:rPr>
          <w:rFonts w:ascii="Times New Roman Regular" w:hAnsi="Times New Roman Regular" w:cs="Times New Roman Regular"/>
          <w:sz w:val="24"/>
          <w:szCs w:val="24"/>
        </w:rPr>
        <w:t xml:space="preserve"> </w:t>
      </w:r>
      <w:proofErr w:type="spellStart"/>
      <w:r>
        <w:rPr>
          <w:rFonts w:ascii="Times New Roman Regular" w:hAnsi="Times New Roman Regular" w:cs="Times New Roman Regular"/>
          <w:sz w:val="24"/>
          <w:szCs w:val="24"/>
        </w:rPr>
        <w:t>Inovasi</w:t>
      </w:r>
      <w:proofErr w:type="spellEnd"/>
      <w:r>
        <w:rPr>
          <w:rFonts w:ascii="Times New Roman Regular" w:hAnsi="Times New Roman Regular" w:cs="Times New Roman Regular"/>
          <w:sz w:val="24"/>
          <w:szCs w:val="24"/>
        </w:rPr>
        <w:t xml:space="preserve"> Indonesia)[J]. IPTEK Journal of Proceedings Series, 2022 (1): 425-431.</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Vale F. A Measurement of Employee Engagement Using the Gallup Q12 Workplace Audit[D]. Dublin, National College of Ireland, 2011.</w:t>
      </w:r>
    </w:p>
    <w:p w:rsidR="00847304" w:rsidRDefault="00000000">
      <w:pPr>
        <w:numPr>
          <w:ilvl w:val="0"/>
          <w:numId w:val="1"/>
        </w:numPr>
        <w:spacing w:line="360" w:lineRule="auto"/>
        <w:rPr>
          <w:rFonts w:ascii="Times New Roman Regular" w:hAnsi="Times New Roman Regular" w:cs="Times New Roman Regular" w:hint="eastAsia"/>
          <w:sz w:val="24"/>
          <w:szCs w:val="24"/>
        </w:rPr>
      </w:pPr>
      <w:proofErr w:type="spellStart"/>
      <w:r>
        <w:rPr>
          <w:rFonts w:ascii="Times New Roman Regular" w:hAnsi="Times New Roman Regular" w:cs="Times New Roman Regular"/>
          <w:sz w:val="24"/>
          <w:szCs w:val="24"/>
        </w:rPr>
        <w:t>Prenderville</w:t>
      </w:r>
      <w:proofErr w:type="spellEnd"/>
      <w:r>
        <w:rPr>
          <w:rFonts w:ascii="Times New Roman Regular" w:hAnsi="Times New Roman Regular" w:cs="Times New Roman Regular"/>
          <w:sz w:val="24"/>
          <w:szCs w:val="24"/>
        </w:rPr>
        <w:t xml:space="preserve"> S. A MEASUREMENT OF THE LEVEL OF EMPLOYEE ENGAGEMENT USING GALLUP’S Q12 QUESTIONNAIRE IN AN IRISH FINANCIAL INSTITUTON CURRENTLY UNDERGOING SUBSTANTIAL ORGANISATIONAL CHANGE[D]. Dublin, National College of Ireland, 2011.</w:t>
      </w:r>
    </w:p>
    <w:p w:rsidR="00847304" w:rsidRDefault="00000000">
      <w:pPr>
        <w:numPr>
          <w:ilvl w:val="0"/>
          <w:numId w:val="1"/>
        </w:numPr>
        <w:spacing w:line="360" w:lineRule="auto"/>
        <w:rPr>
          <w:rFonts w:ascii="Times New Roman Regular" w:hAnsi="Times New Roman Regular" w:cs="Times New Roman Regular" w:hint="eastAsia"/>
          <w:sz w:val="24"/>
          <w:szCs w:val="24"/>
        </w:rPr>
      </w:pPr>
      <w:proofErr w:type="spellStart"/>
      <w:r>
        <w:rPr>
          <w:rFonts w:ascii="Times New Roman Regular" w:hAnsi="Times New Roman Regular" w:cs="Times New Roman Regular"/>
          <w:sz w:val="24"/>
          <w:szCs w:val="24"/>
        </w:rPr>
        <w:t>Havenga</w:t>
      </w:r>
      <w:proofErr w:type="spellEnd"/>
      <w:r>
        <w:rPr>
          <w:rFonts w:ascii="Times New Roman Regular" w:hAnsi="Times New Roman Regular" w:cs="Times New Roman Regular"/>
          <w:sz w:val="24"/>
          <w:szCs w:val="24"/>
        </w:rPr>
        <w:t xml:space="preserve"> W, Brand C, Visagie J. Revisiting the validity and reliability of the Gallup </w:t>
      </w:r>
      <w:r>
        <w:rPr>
          <w:rFonts w:ascii="Times New Roman Regular" w:hAnsi="Times New Roman Regular" w:cs="Times New Roman Regular"/>
          <w:sz w:val="24"/>
          <w:szCs w:val="24"/>
        </w:rPr>
        <w:lastRenderedPageBreak/>
        <w:t>workplace audit in a South African petrochemical company[J]. Journal of Social Sciences, 2013, 37(1): 69-79.</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Medlin B, Green Jr K. The relationship among goal setting, optimism, and engagement: The impact on employee performance[C]//Allied Academies International Conference. Academy of Organizational Culture, Communications and Conflict. Proceedings. Jordan Whitney Enterprises, Inc, 2008, 13(1): 51.</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Gupta N, Sharma V. Exploring employee engagement—A way to better business performance[J]. Global Business Review, 2016, 17(3_suppl): 45S-63S.</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Dutta H, Sharma S. Employee engagement in Indian banking sector: A review of the literature[C]//International Conference on Management and Information Systems. 2016: 184-192.</w:t>
      </w:r>
    </w:p>
    <w:p w:rsidR="00847304" w:rsidRDefault="00000000">
      <w:pPr>
        <w:numPr>
          <w:ilvl w:val="0"/>
          <w:numId w:val="1"/>
        </w:numPr>
        <w:spacing w:line="360" w:lineRule="auto"/>
        <w:rPr>
          <w:rFonts w:ascii="Times New Roman Regular" w:hAnsi="Times New Roman Regular" w:cs="Times New Roman Regular" w:hint="eastAsia"/>
          <w:sz w:val="24"/>
          <w:szCs w:val="24"/>
        </w:rPr>
      </w:pPr>
      <w:proofErr w:type="spellStart"/>
      <w:r>
        <w:rPr>
          <w:rFonts w:ascii="Times New Roman Regular" w:hAnsi="Times New Roman Regular" w:cs="Times New Roman Regular"/>
          <w:sz w:val="24"/>
          <w:szCs w:val="24"/>
        </w:rPr>
        <w:t>Iddagoda</w:t>
      </w:r>
      <w:proofErr w:type="spellEnd"/>
      <w:r>
        <w:rPr>
          <w:rFonts w:ascii="Times New Roman Regular" w:hAnsi="Times New Roman Regular" w:cs="Times New Roman Regular"/>
          <w:sz w:val="24"/>
          <w:szCs w:val="24"/>
        </w:rPr>
        <w:t xml:space="preserve"> A, </w:t>
      </w:r>
      <w:proofErr w:type="spellStart"/>
      <w:r>
        <w:rPr>
          <w:rFonts w:ascii="Times New Roman Regular" w:hAnsi="Times New Roman Regular" w:cs="Times New Roman Regular"/>
          <w:sz w:val="24"/>
          <w:szCs w:val="24"/>
        </w:rPr>
        <w:t>Opatha</w:t>
      </w:r>
      <w:proofErr w:type="spellEnd"/>
      <w:r>
        <w:rPr>
          <w:rFonts w:ascii="Times New Roman Regular" w:hAnsi="Times New Roman Regular" w:cs="Times New Roman Regular"/>
          <w:sz w:val="24"/>
          <w:szCs w:val="24"/>
        </w:rPr>
        <w:t xml:space="preserve"> H </w:t>
      </w:r>
      <w:proofErr w:type="spellStart"/>
      <w:r>
        <w:rPr>
          <w:rFonts w:ascii="Times New Roman Regular" w:hAnsi="Times New Roman Regular" w:cs="Times New Roman Regular"/>
          <w:sz w:val="24"/>
          <w:szCs w:val="24"/>
        </w:rPr>
        <w:t>H</w:t>
      </w:r>
      <w:proofErr w:type="spellEnd"/>
      <w:r>
        <w:rPr>
          <w:rFonts w:ascii="Times New Roman Regular" w:hAnsi="Times New Roman Regular" w:cs="Times New Roman Regular"/>
          <w:sz w:val="24"/>
          <w:szCs w:val="24"/>
        </w:rPr>
        <w:t xml:space="preserve"> D N P, </w:t>
      </w:r>
      <w:proofErr w:type="spellStart"/>
      <w:r>
        <w:rPr>
          <w:rFonts w:ascii="Times New Roman Regular" w:hAnsi="Times New Roman Regular" w:cs="Times New Roman Regular"/>
          <w:sz w:val="24"/>
          <w:szCs w:val="24"/>
        </w:rPr>
        <w:t>Gunawardana</w:t>
      </w:r>
      <w:proofErr w:type="spellEnd"/>
      <w:r>
        <w:rPr>
          <w:rFonts w:ascii="Times New Roman Regular" w:hAnsi="Times New Roman Regular" w:cs="Times New Roman Regular"/>
          <w:sz w:val="24"/>
          <w:szCs w:val="24"/>
        </w:rPr>
        <w:t xml:space="preserve"> K. Towards a Conceptualization and an Operationalization of the Construct of Employee Engagement[J]. International Business Research, 2016, 9(2).</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Welch M. The evolution of the employee engagement concept: communication implications[J]. Corporate Communications: An International Journal, 2011, 16(4): 328-346.</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Huang Y, Ma Z, Meng Y. High‐performance work systems and employee engagement: empirical evidence from China[J]. Asia Pacific Journal of Human Resources, 2018, 56(3): 341-359.</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Hui Z, Xiang Z, Han J. Employee engagement and personal performance in hotel service industry of China[C]//2009 6th International Conference on Service Systems and Service Management. IEEE, 2009: 710-715.</w:t>
      </w:r>
    </w:p>
    <w:p w:rsidR="00847304" w:rsidRDefault="00000000">
      <w:pPr>
        <w:numPr>
          <w:ilvl w:val="0"/>
          <w:numId w:val="1"/>
        </w:numPr>
        <w:spacing w:line="360" w:lineRule="auto"/>
        <w:rPr>
          <w:rFonts w:ascii="Times New Roman Regular" w:hAnsi="Times New Roman Regular" w:cs="Times New Roman Regular" w:hint="eastAsia"/>
          <w:sz w:val="24"/>
          <w:szCs w:val="24"/>
        </w:rPr>
      </w:pPr>
      <w:proofErr w:type="spellStart"/>
      <w:r>
        <w:rPr>
          <w:rFonts w:ascii="Times New Roman Regular" w:hAnsi="Times New Roman Regular" w:cs="Times New Roman Regular"/>
          <w:sz w:val="24"/>
          <w:szCs w:val="24"/>
        </w:rPr>
        <w:t>Xie</w:t>
      </w:r>
      <w:proofErr w:type="spellEnd"/>
      <w:r>
        <w:rPr>
          <w:rFonts w:ascii="Times New Roman Regular" w:hAnsi="Times New Roman Regular" w:cs="Times New Roman Regular"/>
          <w:sz w:val="24"/>
          <w:szCs w:val="24"/>
        </w:rPr>
        <w:t xml:space="preserve"> T, Shi Y, Zhou J. The adverse effect of materialism on employee engagement in China[J]. Journal of Chinese Human Resource Management, 2016.</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Wang C, Xu J, Zhang T C, et al. Effects of professional identity on turnover intention in China's hotel employees: The mediating role of employee engagement and job satisfaction[J]. Journal of Hospitality and Tourism Management, 2020, 45: 10-22.</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 xml:space="preserve">Farndale E, Hailey V H, </w:t>
      </w:r>
      <w:proofErr w:type="spellStart"/>
      <w:r>
        <w:rPr>
          <w:rFonts w:ascii="Times New Roman Regular" w:hAnsi="Times New Roman Regular" w:cs="Times New Roman Regular"/>
          <w:sz w:val="24"/>
          <w:szCs w:val="24"/>
        </w:rPr>
        <w:t>Kelliher</w:t>
      </w:r>
      <w:proofErr w:type="spellEnd"/>
      <w:r>
        <w:rPr>
          <w:rFonts w:ascii="Times New Roman Regular" w:hAnsi="Times New Roman Regular" w:cs="Times New Roman Regular"/>
          <w:sz w:val="24"/>
          <w:szCs w:val="24"/>
        </w:rPr>
        <w:t xml:space="preserve"> C, et al. A study of the link between Performance Management and Employee Engagement in Western multinational corporations </w:t>
      </w:r>
      <w:r>
        <w:rPr>
          <w:rFonts w:ascii="Times New Roman Regular" w:hAnsi="Times New Roman Regular" w:cs="Times New Roman Regular"/>
          <w:sz w:val="24"/>
          <w:szCs w:val="24"/>
        </w:rPr>
        <w:lastRenderedPageBreak/>
        <w:t>operating across India and China[J]. SHRM Foundation, 2011.</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Cooke F L, Cooper B, Bartram T, et al. Mapping the relationships between high-performance work systems, employee resilience and engagement: A study of the banking industry in China[J]. The International Journal of Human Resource Management, 2019, 30(8): 1239-1260.</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 xml:space="preserve">Ren C. Conceptualizing Employee Engagement in </w:t>
      </w:r>
      <w:proofErr w:type="spellStart"/>
      <w:r>
        <w:rPr>
          <w:rFonts w:ascii="Times New Roman Regular" w:hAnsi="Times New Roman Regular" w:cs="Times New Roman Regular"/>
          <w:sz w:val="24"/>
          <w:szCs w:val="24"/>
        </w:rPr>
        <w:t>China:“It’s</w:t>
      </w:r>
      <w:proofErr w:type="spellEnd"/>
      <w:r>
        <w:rPr>
          <w:rFonts w:ascii="Times New Roman Regular" w:hAnsi="Times New Roman Regular" w:cs="Times New Roman Regular"/>
          <w:sz w:val="24"/>
          <w:szCs w:val="24"/>
        </w:rPr>
        <w:t xml:space="preserve"> A State of Fit”[J]. Public Relations Journal, 2022, 15(2).</w:t>
      </w:r>
    </w:p>
    <w:p w:rsidR="00847304" w:rsidRDefault="00000000">
      <w:pPr>
        <w:numPr>
          <w:ilvl w:val="0"/>
          <w:numId w:val="1"/>
        </w:numPr>
        <w:spacing w:line="360" w:lineRule="auto"/>
        <w:rPr>
          <w:rFonts w:ascii="Times New Roman Regular" w:hAnsi="Times New Roman Regular" w:cs="Times New Roman Regular" w:hint="eastAsia"/>
          <w:sz w:val="24"/>
          <w:szCs w:val="24"/>
        </w:rPr>
      </w:pPr>
      <w:r>
        <w:rPr>
          <w:rFonts w:ascii="Times New Roman Regular" w:hAnsi="Times New Roman Regular" w:cs="Times New Roman Regular"/>
          <w:sz w:val="24"/>
          <w:szCs w:val="24"/>
        </w:rPr>
        <w:t>Chan X W, Ma C, Shang S, et al. The Scope and Nature of Employee Engagement in China[M]//HRM in the Global South: A Critical Perspective. Cham: Springer International Publishing, 2022: 191-215.</w:t>
      </w:r>
    </w:p>
    <w:sectPr w:rsidR="00847304">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A2B39" w:rsidRDefault="009A2B39" w:rsidP="006C69CF">
      <w:r>
        <w:separator/>
      </w:r>
    </w:p>
  </w:endnote>
  <w:endnote w:type="continuationSeparator" w:id="0">
    <w:p w:rsidR="009A2B39" w:rsidRDefault="009A2B39" w:rsidP="006C69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imes New Roman Bold">
    <w:panose1 w:val="02020803070505020304"/>
    <w:charset w:val="00"/>
    <w:family w:val="auto"/>
    <w:pitch w:val="default"/>
  </w:font>
  <w:font w:name="Times New Roman Regular">
    <w:altName w:val="Times New Roman"/>
    <w:charset w:val="00"/>
    <w:family w:val="auto"/>
    <w:pitch w:val="default"/>
  </w:font>
  <w:font w:name="Times New Roman Italic">
    <w:panose1 w:val="02020503050405090304"/>
    <w:charset w:val="00"/>
    <w:family w:val="auto"/>
    <w:pitch w:val="default"/>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A2B39" w:rsidRDefault="009A2B39" w:rsidP="006C69CF">
      <w:r>
        <w:separator/>
      </w:r>
    </w:p>
  </w:footnote>
  <w:footnote w:type="continuationSeparator" w:id="0">
    <w:p w:rsidR="009A2B39" w:rsidRDefault="009A2B39" w:rsidP="006C69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BB5B0D7"/>
    <w:multiLevelType w:val="singleLevel"/>
    <w:tmpl w:val="FBB5B0D7"/>
    <w:lvl w:ilvl="0">
      <w:start w:val="1"/>
      <w:numFmt w:val="decimal"/>
      <w:suff w:val="space"/>
      <w:lvlText w:val="[%1]"/>
      <w:lvlJc w:val="left"/>
    </w:lvl>
  </w:abstractNum>
  <w:num w:numId="1" w16cid:durableId="1175732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7F80"/>
    <w:rsid w:val="BFF5AF77"/>
    <w:rsid w:val="0006371B"/>
    <w:rsid w:val="000E79D3"/>
    <w:rsid w:val="001F43CD"/>
    <w:rsid w:val="004C5417"/>
    <w:rsid w:val="004E7755"/>
    <w:rsid w:val="006C69CF"/>
    <w:rsid w:val="00727F80"/>
    <w:rsid w:val="007C23D9"/>
    <w:rsid w:val="00847304"/>
    <w:rsid w:val="009A2B39"/>
    <w:rsid w:val="00AC36F8"/>
    <w:rsid w:val="00E335CE"/>
    <w:rsid w:val="00E851CD"/>
    <w:rsid w:val="00FA0462"/>
    <w:rsid w:val="7FE680C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C16C6F"/>
  <w15:docId w15:val="{47C069D4-D613-4D15-BB45-FE5DF0A60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pPr>
      <w:tabs>
        <w:tab w:val="center" w:pos="4153"/>
        <w:tab w:val="right" w:pos="8306"/>
      </w:tabs>
      <w:snapToGrid w:val="0"/>
      <w:jc w:val="left"/>
    </w:pPr>
    <w:rPr>
      <w:sz w:val="18"/>
      <w:szCs w:val="18"/>
    </w:rPr>
  </w:style>
  <w:style w:type="paragraph" w:styleId="a5">
    <w:name w:val="header"/>
    <w:basedOn w:val="a"/>
    <w:link w:val="a6"/>
    <w:uiPriority w:val="99"/>
    <w:unhideWhenUsed/>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Pr>
      <w:sz w:val="18"/>
      <w:szCs w:val="18"/>
    </w:rPr>
  </w:style>
  <w:style w:type="character" w:customStyle="1" w:styleId="a4">
    <w:name w:val="页脚 字符"/>
    <w:basedOn w:val="a0"/>
    <w:link w:val="a3"/>
    <w:uiPriority w:val="99"/>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12</Pages>
  <Words>3087</Words>
  <Characters>17601</Characters>
  <Application>Microsoft Office Word</Application>
  <DocSecurity>0</DocSecurity>
  <Lines>146</Lines>
  <Paragraphs>41</Paragraphs>
  <ScaleCrop>false</ScaleCrop>
  <Company/>
  <LinksUpToDate>false</LinksUpToDate>
  <CharactersWithSpaces>20647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huangdongxue@csc.com.cn</dc:creator>
  <cp:lastModifiedBy>huangdongxue@csc.com.cn</cp:lastModifiedBy>
  <cp:revision>2</cp:revision>
  <dcterms:created xsi:type="dcterms:W3CDTF">2023-03-30T11:44:00Z</dcterms:created>
  <dcterms:modified xsi:type="dcterms:W3CDTF">2023-03-30T11:44:00Z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34A3D359FBCB626AE47225647F7247B7_42</vt:lpwstr>
  </property>
</Properties>
</file>