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34F44" w14:textId="781B4537" w:rsidR="00572CEF" w:rsidRPr="008514AA" w:rsidRDefault="00572CEF" w:rsidP="00D84CBF">
      <w:pPr>
        <w:rPr>
          <w:b/>
          <w:bCs/>
          <w:sz w:val="32"/>
          <w:szCs w:val="32"/>
        </w:rPr>
      </w:pPr>
      <w:r w:rsidRPr="008514AA">
        <w:rPr>
          <w:b/>
          <w:bCs/>
          <w:sz w:val="32"/>
          <w:szCs w:val="32"/>
        </w:rPr>
        <w:t xml:space="preserve">Using an example of your choice discuss the issues that arise in the presentation of a site or collection which could be termed ‘difficult heritage’. </w:t>
      </w:r>
    </w:p>
    <w:p w14:paraId="222ED798" w14:textId="77777777" w:rsidR="008514AA" w:rsidRPr="008514AA" w:rsidRDefault="008514AA" w:rsidP="00D84CBF">
      <w:pPr>
        <w:rPr>
          <w:rFonts w:cstheme="minorHAnsi"/>
          <w:b/>
          <w:bCs/>
          <w:sz w:val="32"/>
          <w:szCs w:val="32"/>
          <w:u w:val="single"/>
        </w:rPr>
      </w:pPr>
    </w:p>
    <w:p w14:paraId="401FD627" w14:textId="7A11A6ED" w:rsidR="00572CEF" w:rsidRPr="008514AA" w:rsidRDefault="008514AA" w:rsidP="00D84CBF">
      <w:pPr>
        <w:rPr>
          <w:rFonts w:cstheme="minorHAnsi"/>
          <w:b/>
          <w:bCs/>
          <w:sz w:val="32"/>
          <w:szCs w:val="32"/>
          <w:u w:val="single"/>
        </w:rPr>
      </w:pPr>
      <w:r w:rsidRPr="008514AA">
        <w:rPr>
          <w:rFonts w:cstheme="minorHAnsi"/>
          <w:b/>
          <w:bCs/>
          <w:sz w:val="32"/>
          <w:szCs w:val="32"/>
          <w:u w:val="single"/>
        </w:rPr>
        <w:t>Introduction</w:t>
      </w:r>
    </w:p>
    <w:p w14:paraId="123DD899" w14:textId="167D2E69" w:rsidR="008514AA" w:rsidRPr="000B1B8E" w:rsidRDefault="000B1B8E" w:rsidP="00D84CBF">
      <w:pPr>
        <w:rPr>
          <w:rFonts w:cstheme="minorHAnsi"/>
          <w:sz w:val="28"/>
          <w:szCs w:val="28"/>
        </w:rPr>
      </w:pPr>
      <w:r>
        <w:rPr>
          <w:rFonts w:cstheme="minorHAnsi"/>
          <w:sz w:val="28"/>
          <w:szCs w:val="28"/>
        </w:rPr>
        <w:t>There are many issues that may arise when studying how a collection related to ‘difficult heritage’ is being presented.</w:t>
      </w:r>
      <w:r w:rsidR="006F16D6">
        <w:rPr>
          <w:rFonts w:cstheme="minorHAnsi"/>
          <w:sz w:val="28"/>
          <w:szCs w:val="28"/>
        </w:rPr>
        <w:t xml:space="preserve"> These issues can include how the collection is being represented and expressed, how the public engage with the collection and how preservation is affected by the collection. A case study that will be used is the National Holocaust Centre and Museum in Nottinghamshire. The Holocaust Centre </w:t>
      </w:r>
      <w:r w:rsidR="00774073">
        <w:rPr>
          <w:rFonts w:cstheme="minorHAnsi"/>
          <w:sz w:val="28"/>
          <w:szCs w:val="28"/>
        </w:rPr>
        <w:t>provides this statement about the collection they house, “</w:t>
      </w:r>
      <w:r w:rsidR="00774073" w:rsidRPr="00774073">
        <w:rPr>
          <w:rFonts w:cstheme="minorHAnsi"/>
          <w:sz w:val="28"/>
          <w:szCs w:val="28"/>
        </w:rPr>
        <w:t>Our statement of purpose is to provide a permanent memorial to the victims of the Holocaust; offer an understanding of the causes and events of the Holocaust through a range of age-appropriate exhibitions and survivor testimonies and to present programmes of learning, based on the Holocaust, that encourage personal responsibility and the promotion of fairness and justice but also challenge learners to take positive action</w:t>
      </w:r>
      <w:r w:rsidR="00774073">
        <w:rPr>
          <w:rFonts w:cstheme="minorHAnsi"/>
          <w:sz w:val="28"/>
          <w:szCs w:val="28"/>
        </w:rPr>
        <w:t xml:space="preserve">.” </w:t>
      </w:r>
      <w:sdt>
        <w:sdtPr>
          <w:rPr>
            <w:rFonts w:cstheme="minorHAnsi"/>
            <w:sz w:val="28"/>
            <w:szCs w:val="28"/>
          </w:rPr>
          <w:id w:val="-887481488"/>
          <w:citation/>
        </w:sdtPr>
        <w:sdtContent>
          <w:r w:rsidR="00774073">
            <w:rPr>
              <w:rFonts w:cstheme="minorHAnsi"/>
              <w:sz w:val="28"/>
              <w:szCs w:val="28"/>
            </w:rPr>
            <w:fldChar w:fldCharType="begin"/>
          </w:r>
          <w:r w:rsidR="00774073">
            <w:rPr>
              <w:rFonts w:cstheme="minorHAnsi"/>
              <w:sz w:val="28"/>
              <w:szCs w:val="28"/>
            </w:rPr>
            <w:instrText xml:space="preserve">CITATION Natwn4 \y  \l 2057 </w:instrText>
          </w:r>
          <w:r w:rsidR="00774073">
            <w:rPr>
              <w:rFonts w:cstheme="minorHAnsi"/>
              <w:sz w:val="28"/>
              <w:szCs w:val="28"/>
            </w:rPr>
            <w:fldChar w:fldCharType="separate"/>
          </w:r>
          <w:r w:rsidR="00774073" w:rsidRPr="00774073">
            <w:rPr>
              <w:rFonts w:cstheme="minorHAnsi"/>
              <w:noProof/>
              <w:sz w:val="28"/>
              <w:szCs w:val="28"/>
            </w:rPr>
            <w:t>(Museum)</w:t>
          </w:r>
          <w:r w:rsidR="00774073">
            <w:rPr>
              <w:rFonts w:cstheme="minorHAnsi"/>
              <w:sz w:val="28"/>
              <w:szCs w:val="28"/>
            </w:rPr>
            <w:fldChar w:fldCharType="end"/>
          </w:r>
        </w:sdtContent>
      </w:sdt>
      <w:r w:rsidR="00774073">
        <w:rPr>
          <w:rFonts w:cstheme="minorHAnsi"/>
          <w:sz w:val="28"/>
          <w:szCs w:val="28"/>
        </w:rPr>
        <w:t xml:space="preserve"> </w:t>
      </w:r>
      <w:r w:rsidR="00531066">
        <w:rPr>
          <w:rFonts w:cstheme="minorHAnsi"/>
          <w:sz w:val="28"/>
          <w:szCs w:val="28"/>
        </w:rPr>
        <w:t>The Holocaust Centre provides an excellent example of how a ‘difficult heritage’ such as the Holocaust may be presented in an educational environment designed to educate the public in a safe and expressive space</w:t>
      </w:r>
      <w:r w:rsidR="009F7E1B">
        <w:rPr>
          <w:rFonts w:cstheme="minorHAnsi"/>
          <w:sz w:val="28"/>
          <w:szCs w:val="28"/>
        </w:rPr>
        <w:t>.</w:t>
      </w:r>
      <w:r w:rsidR="007D40DF">
        <w:rPr>
          <w:rFonts w:cstheme="minorHAnsi"/>
          <w:sz w:val="28"/>
          <w:szCs w:val="28"/>
        </w:rPr>
        <w:t xml:space="preserve"> </w:t>
      </w:r>
      <w:r w:rsidR="009F7E1B">
        <w:rPr>
          <w:rFonts w:cstheme="minorHAnsi"/>
          <w:sz w:val="28"/>
          <w:szCs w:val="28"/>
        </w:rPr>
        <w:t xml:space="preserve">It is </w:t>
      </w:r>
      <w:r w:rsidR="007D40DF">
        <w:rPr>
          <w:rFonts w:cstheme="minorHAnsi"/>
          <w:sz w:val="28"/>
          <w:szCs w:val="28"/>
        </w:rPr>
        <w:t>also</w:t>
      </w:r>
      <w:r w:rsidR="009F7E1B">
        <w:rPr>
          <w:rFonts w:cstheme="minorHAnsi"/>
          <w:sz w:val="28"/>
          <w:szCs w:val="28"/>
        </w:rPr>
        <w:t xml:space="preserve"> an example of</w:t>
      </w:r>
      <w:r w:rsidR="007D40DF">
        <w:rPr>
          <w:rFonts w:cstheme="minorHAnsi"/>
          <w:sz w:val="28"/>
          <w:szCs w:val="28"/>
        </w:rPr>
        <w:t xml:space="preserve"> how issues can be raised about how a collection like this is presented.</w:t>
      </w:r>
    </w:p>
    <w:p w14:paraId="64322304" w14:textId="72763A06" w:rsidR="008514AA" w:rsidRPr="008514AA" w:rsidRDefault="008514AA" w:rsidP="00D84CBF">
      <w:pPr>
        <w:ind w:left="360"/>
        <w:rPr>
          <w:rFonts w:cstheme="minorHAnsi"/>
          <w:b/>
          <w:bCs/>
          <w:sz w:val="32"/>
          <w:szCs w:val="32"/>
          <w:u w:val="single"/>
        </w:rPr>
      </w:pPr>
    </w:p>
    <w:p w14:paraId="3C9CF5C3" w14:textId="2723D481" w:rsidR="008514AA" w:rsidRPr="008514AA" w:rsidRDefault="008514AA" w:rsidP="00D84CBF">
      <w:pPr>
        <w:rPr>
          <w:rFonts w:cstheme="minorHAnsi"/>
          <w:b/>
          <w:bCs/>
          <w:sz w:val="32"/>
          <w:szCs w:val="32"/>
          <w:u w:val="single"/>
        </w:rPr>
      </w:pPr>
      <w:r w:rsidRPr="008514AA">
        <w:rPr>
          <w:rFonts w:cstheme="minorHAnsi"/>
          <w:b/>
          <w:bCs/>
          <w:sz w:val="32"/>
          <w:szCs w:val="32"/>
          <w:u w:val="single"/>
        </w:rPr>
        <w:t>Representation &amp; Expression</w:t>
      </w:r>
    </w:p>
    <w:p w14:paraId="249C1D20" w14:textId="656F6FB3" w:rsidR="008514AA" w:rsidRDefault="00ED5593" w:rsidP="00D84CBF">
      <w:pPr>
        <w:rPr>
          <w:sz w:val="28"/>
          <w:szCs w:val="28"/>
        </w:rPr>
      </w:pPr>
      <w:r>
        <w:rPr>
          <w:rFonts w:cstheme="minorHAnsi"/>
          <w:sz w:val="28"/>
          <w:szCs w:val="28"/>
        </w:rPr>
        <w:t>The</w:t>
      </w:r>
      <w:r w:rsidR="00B456B0">
        <w:rPr>
          <w:rFonts w:cstheme="minorHAnsi"/>
          <w:sz w:val="28"/>
          <w:szCs w:val="28"/>
        </w:rPr>
        <w:t xml:space="preserve"> </w:t>
      </w:r>
      <w:r>
        <w:rPr>
          <w:rFonts w:cstheme="minorHAnsi"/>
          <w:sz w:val="28"/>
          <w:szCs w:val="28"/>
        </w:rPr>
        <w:t xml:space="preserve">representation of collections that are termed ‘difficult heritage’ is </w:t>
      </w:r>
      <w:r w:rsidR="006A671A">
        <w:rPr>
          <w:rFonts w:cstheme="minorHAnsi"/>
          <w:sz w:val="28"/>
          <w:szCs w:val="28"/>
        </w:rPr>
        <w:t>often used to portray the topic in a specific way that creates or conforms to a specific social or political order, “</w:t>
      </w:r>
      <w:r w:rsidR="006A671A" w:rsidRPr="006A671A">
        <w:rPr>
          <w:sz w:val="28"/>
          <w:szCs w:val="28"/>
        </w:rPr>
        <w:t>Through representation, museums construct social and political orders and values</w:t>
      </w:r>
      <w:r w:rsidR="006A671A">
        <w:rPr>
          <w:sz w:val="28"/>
          <w:szCs w:val="28"/>
        </w:rPr>
        <w:t xml:space="preserve">.” </w:t>
      </w:r>
      <w:sdt>
        <w:sdtPr>
          <w:rPr>
            <w:sz w:val="28"/>
            <w:szCs w:val="28"/>
          </w:rPr>
          <w:id w:val="1268811506"/>
          <w:citation/>
        </w:sdtPr>
        <w:sdtContent>
          <w:r w:rsidR="006A671A">
            <w:rPr>
              <w:sz w:val="28"/>
              <w:szCs w:val="28"/>
            </w:rPr>
            <w:fldChar w:fldCharType="begin"/>
          </w:r>
          <w:r w:rsidR="006A671A">
            <w:rPr>
              <w:sz w:val="28"/>
              <w:szCs w:val="28"/>
            </w:rPr>
            <w:instrText xml:space="preserve">CITATION Son18 \p 44 \l 2057 </w:instrText>
          </w:r>
          <w:r w:rsidR="006A671A">
            <w:rPr>
              <w:sz w:val="28"/>
              <w:szCs w:val="28"/>
            </w:rPr>
            <w:fldChar w:fldCharType="separate"/>
          </w:r>
          <w:r w:rsidR="006A671A" w:rsidRPr="006A671A">
            <w:rPr>
              <w:noProof/>
              <w:sz w:val="28"/>
              <w:szCs w:val="28"/>
            </w:rPr>
            <w:t>(Sontum Hannedatter, 2018, p. 44)</w:t>
          </w:r>
          <w:r w:rsidR="006A671A">
            <w:rPr>
              <w:sz w:val="28"/>
              <w:szCs w:val="28"/>
            </w:rPr>
            <w:fldChar w:fldCharType="end"/>
          </w:r>
        </w:sdtContent>
      </w:sdt>
      <w:r w:rsidR="006A671A">
        <w:rPr>
          <w:sz w:val="28"/>
          <w:szCs w:val="28"/>
        </w:rPr>
        <w:t xml:space="preserve"> </w:t>
      </w:r>
      <w:r w:rsidR="008A2716">
        <w:rPr>
          <w:sz w:val="28"/>
          <w:szCs w:val="28"/>
        </w:rPr>
        <w:t xml:space="preserve">The spaces that are built for these ‘difficult heritage’ collections are designed to represent and perhaps even manipulate it so that it presents the heritage in a particular to extract a certain reaction from the viewer. This representation style of creating a specific way for the public to receive information is </w:t>
      </w:r>
      <w:r w:rsidR="004B0940">
        <w:rPr>
          <w:sz w:val="28"/>
          <w:szCs w:val="28"/>
        </w:rPr>
        <w:t xml:space="preserve">shown in the case example of the Holocaust Centre </w:t>
      </w:r>
      <w:sdt>
        <w:sdtPr>
          <w:rPr>
            <w:sz w:val="28"/>
            <w:szCs w:val="28"/>
          </w:rPr>
          <w:id w:val="-1143425046"/>
          <w:citation/>
        </w:sdtPr>
        <w:sdtContent>
          <w:r w:rsidR="004B0940">
            <w:rPr>
              <w:sz w:val="28"/>
              <w:szCs w:val="28"/>
            </w:rPr>
            <w:fldChar w:fldCharType="begin"/>
          </w:r>
          <w:r w:rsidR="004B0940">
            <w:rPr>
              <w:sz w:val="28"/>
              <w:szCs w:val="28"/>
            </w:rPr>
            <w:instrText xml:space="preserve">CITATION Natwn \y  \l 2057 </w:instrText>
          </w:r>
          <w:r w:rsidR="004B0940">
            <w:rPr>
              <w:sz w:val="28"/>
              <w:szCs w:val="28"/>
            </w:rPr>
            <w:fldChar w:fldCharType="separate"/>
          </w:r>
          <w:r w:rsidR="004B0940" w:rsidRPr="004B0940">
            <w:rPr>
              <w:noProof/>
              <w:sz w:val="28"/>
              <w:szCs w:val="28"/>
            </w:rPr>
            <w:t>(Museum)</w:t>
          </w:r>
          <w:r w:rsidR="004B0940">
            <w:rPr>
              <w:sz w:val="28"/>
              <w:szCs w:val="28"/>
            </w:rPr>
            <w:fldChar w:fldCharType="end"/>
          </w:r>
        </w:sdtContent>
      </w:sdt>
      <w:r w:rsidR="004B0940">
        <w:rPr>
          <w:sz w:val="28"/>
          <w:szCs w:val="28"/>
        </w:rPr>
        <w:t xml:space="preserve"> which has a large collection containing vast quantities of photographs, literary and oral evidence </w:t>
      </w:r>
      <w:r w:rsidR="004B0940">
        <w:rPr>
          <w:sz w:val="28"/>
          <w:szCs w:val="28"/>
        </w:rPr>
        <w:lastRenderedPageBreak/>
        <w:t xml:space="preserve">that displays the experiences of an individual during the Holocaust. This representation focuses on how an individual would experience life during the Holocaust rather than detailing the event as a tragedy in its entirety. </w:t>
      </w:r>
    </w:p>
    <w:p w14:paraId="57649AC5" w14:textId="32B7512E" w:rsidR="00AF355F" w:rsidRDefault="003614BB" w:rsidP="00D84CBF">
      <w:pPr>
        <w:rPr>
          <w:sz w:val="28"/>
          <w:szCs w:val="28"/>
        </w:rPr>
      </w:pPr>
      <w:r>
        <w:rPr>
          <w:sz w:val="28"/>
          <w:szCs w:val="28"/>
        </w:rPr>
        <w:t>How a</w:t>
      </w:r>
      <w:r w:rsidR="00117AA1">
        <w:rPr>
          <w:sz w:val="28"/>
          <w:szCs w:val="28"/>
        </w:rPr>
        <w:t>n</w:t>
      </w:r>
      <w:r>
        <w:rPr>
          <w:sz w:val="28"/>
          <w:szCs w:val="28"/>
        </w:rPr>
        <w:t xml:space="preserve"> institute represents ‘difficult heritage’ </w:t>
      </w:r>
      <w:r w:rsidR="00EB2DCD">
        <w:rPr>
          <w:sz w:val="28"/>
          <w:szCs w:val="28"/>
        </w:rPr>
        <w:t xml:space="preserve">may become intwined with what can be described as ‘intangible heritage’. </w:t>
      </w:r>
      <w:r w:rsidR="003F1C30" w:rsidRPr="003F1C30">
        <w:rPr>
          <w:sz w:val="36"/>
          <w:szCs w:val="36"/>
        </w:rPr>
        <w:t>“</w:t>
      </w:r>
      <w:r w:rsidR="003F1C30" w:rsidRPr="003F1C30">
        <w:rPr>
          <w:sz w:val="28"/>
          <w:szCs w:val="28"/>
        </w:rPr>
        <w:t>UNESCO identified intangible cultural heritage at its 2003 convention as ‘practices, representations, expressions, knowledge, skills – as well as the instruments, objects, artefacts and cultural spaces associated therewith – that communities, groups and, in some cases, individuals recognise as part of their cultural heritage’</w:t>
      </w:r>
      <w:r w:rsidR="00117AA1">
        <w:rPr>
          <w:sz w:val="28"/>
          <w:szCs w:val="28"/>
        </w:rPr>
        <w:t>.</w:t>
      </w:r>
      <w:r w:rsidR="003F1C30">
        <w:rPr>
          <w:sz w:val="28"/>
          <w:szCs w:val="28"/>
        </w:rPr>
        <w:t>”</w:t>
      </w:r>
      <w:sdt>
        <w:sdtPr>
          <w:rPr>
            <w:sz w:val="28"/>
            <w:szCs w:val="28"/>
          </w:rPr>
          <w:id w:val="-28178177"/>
          <w:citation/>
        </w:sdtPr>
        <w:sdtContent>
          <w:r w:rsidR="003F1C30">
            <w:rPr>
              <w:sz w:val="28"/>
              <w:szCs w:val="28"/>
            </w:rPr>
            <w:fldChar w:fldCharType="begin"/>
          </w:r>
          <w:r w:rsidR="003F1C30">
            <w:rPr>
              <w:sz w:val="28"/>
              <w:szCs w:val="28"/>
            </w:rPr>
            <w:instrText xml:space="preserve">CITATION McC17 \p 53 \l 2057 </w:instrText>
          </w:r>
          <w:r w:rsidR="003F1C30">
            <w:rPr>
              <w:sz w:val="28"/>
              <w:szCs w:val="28"/>
            </w:rPr>
            <w:fldChar w:fldCharType="separate"/>
          </w:r>
          <w:r w:rsidR="003F1C30">
            <w:rPr>
              <w:noProof/>
              <w:sz w:val="28"/>
              <w:szCs w:val="28"/>
            </w:rPr>
            <w:t xml:space="preserve"> </w:t>
          </w:r>
          <w:r w:rsidR="003F1C30" w:rsidRPr="003F1C30">
            <w:rPr>
              <w:noProof/>
              <w:sz w:val="28"/>
              <w:szCs w:val="28"/>
            </w:rPr>
            <w:t>(McCarthy, 2017, p. 53)</w:t>
          </w:r>
          <w:r w:rsidR="003F1C30">
            <w:rPr>
              <w:sz w:val="28"/>
              <w:szCs w:val="28"/>
            </w:rPr>
            <w:fldChar w:fldCharType="end"/>
          </w:r>
        </w:sdtContent>
      </w:sdt>
      <w:r w:rsidR="00117AA1">
        <w:rPr>
          <w:sz w:val="28"/>
          <w:szCs w:val="28"/>
        </w:rPr>
        <w:t xml:space="preserve"> Intangible heritage becomes harder to identify with places like the Holocaust Centre </w:t>
      </w:r>
      <w:sdt>
        <w:sdtPr>
          <w:rPr>
            <w:sz w:val="28"/>
            <w:szCs w:val="28"/>
          </w:rPr>
          <w:id w:val="-544373241"/>
          <w:citation/>
        </w:sdtPr>
        <w:sdtContent>
          <w:r w:rsidR="00117AA1">
            <w:rPr>
              <w:sz w:val="28"/>
              <w:szCs w:val="28"/>
            </w:rPr>
            <w:fldChar w:fldCharType="begin"/>
          </w:r>
          <w:r w:rsidR="00117AA1">
            <w:rPr>
              <w:sz w:val="28"/>
              <w:szCs w:val="28"/>
            </w:rPr>
            <w:instrText xml:space="preserve"> CITATION Natwn \l 2057 </w:instrText>
          </w:r>
          <w:r w:rsidR="00117AA1">
            <w:rPr>
              <w:sz w:val="28"/>
              <w:szCs w:val="28"/>
            </w:rPr>
            <w:fldChar w:fldCharType="separate"/>
          </w:r>
          <w:r w:rsidR="00117AA1" w:rsidRPr="00117AA1">
            <w:rPr>
              <w:noProof/>
              <w:sz w:val="28"/>
              <w:szCs w:val="28"/>
            </w:rPr>
            <w:t>(Museum, unknown)</w:t>
          </w:r>
          <w:r w:rsidR="00117AA1">
            <w:rPr>
              <w:sz w:val="28"/>
              <w:szCs w:val="28"/>
            </w:rPr>
            <w:fldChar w:fldCharType="end"/>
          </w:r>
        </w:sdtContent>
      </w:sdt>
      <w:r w:rsidR="00117AA1">
        <w:rPr>
          <w:sz w:val="28"/>
          <w:szCs w:val="28"/>
        </w:rPr>
        <w:t xml:space="preserve"> where the ‘difficult heritage’ does not represent an aspect of every form of cultural heritage in a straight forward way. While the Holocaust may be part of cultural heritage in general through the topic of the Second World War, it has a far greater cultural significance to the </w:t>
      </w:r>
      <w:r w:rsidR="006747FB">
        <w:rPr>
          <w:sz w:val="28"/>
          <w:szCs w:val="28"/>
        </w:rPr>
        <w:t xml:space="preserve">Jewish community through these representations. Cultural significance to specific groups is also a factor that contributes to how the representation of a collection that is considered ‘difficult heritage’ may be altered or perceived differently by different groups of people. </w:t>
      </w:r>
      <w:r w:rsidR="00AF355F">
        <w:rPr>
          <w:sz w:val="28"/>
          <w:szCs w:val="28"/>
        </w:rPr>
        <w:t xml:space="preserve">As a result, a space must be designed to accommodate every different group that will be using the space.  </w:t>
      </w:r>
    </w:p>
    <w:p w14:paraId="3DB23118" w14:textId="5E4B334B" w:rsidR="00AF355F" w:rsidRPr="007122FF" w:rsidRDefault="00AF355F" w:rsidP="00D84CBF">
      <w:pPr>
        <w:rPr>
          <w:sz w:val="28"/>
          <w:szCs w:val="28"/>
        </w:rPr>
      </w:pPr>
      <w:r>
        <w:rPr>
          <w:sz w:val="28"/>
          <w:szCs w:val="28"/>
        </w:rPr>
        <w:t xml:space="preserve">Different demographics use spaces differently and may interpret information differently, one example of this is the difference between children and adults. </w:t>
      </w:r>
      <w:r w:rsidR="00F95C1A">
        <w:rPr>
          <w:sz w:val="28"/>
          <w:szCs w:val="28"/>
        </w:rPr>
        <w:t>“</w:t>
      </w:r>
      <w:r w:rsidR="00F95C1A" w:rsidRPr="00F95C1A">
        <w:rPr>
          <w:sz w:val="28"/>
          <w:szCs w:val="28"/>
        </w:rPr>
        <w:t>Informal learning environments may play a particularly important role in providing opportunities for children to learn about human-made artifacts and their functions.</w:t>
      </w:r>
      <w:r w:rsidR="00F95C1A">
        <w:rPr>
          <w:sz w:val="28"/>
          <w:szCs w:val="28"/>
        </w:rPr>
        <w:t>”</w:t>
      </w:r>
      <w:sdt>
        <w:sdtPr>
          <w:rPr>
            <w:sz w:val="28"/>
            <w:szCs w:val="28"/>
          </w:rPr>
          <w:id w:val="-1034040478"/>
          <w:citation/>
        </w:sdtPr>
        <w:sdtContent>
          <w:r w:rsidR="00F95C1A">
            <w:rPr>
              <w:sz w:val="28"/>
              <w:szCs w:val="28"/>
            </w:rPr>
            <w:fldChar w:fldCharType="begin"/>
          </w:r>
          <w:r w:rsidR="00F95C1A">
            <w:rPr>
              <w:sz w:val="28"/>
              <w:szCs w:val="28"/>
            </w:rPr>
            <w:instrText xml:space="preserve">CITATION Bra12 \p 124 \l 2057 </w:instrText>
          </w:r>
          <w:r w:rsidR="00F95C1A">
            <w:rPr>
              <w:sz w:val="28"/>
              <w:szCs w:val="28"/>
            </w:rPr>
            <w:fldChar w:fldCharType="separate"/>
          </w:r>
          <w:r w:rsidR="00F95C1A">
            <w:rPr>
              <w:noProof/>
              <w:sz w:val="28"/>
              <w:szCs w:val="28"/>
            </w:rPr>
            <w:t xml:space="preserve"> </w:t>
          </w:r>
          <w:r w:rsidR="00F95C1A" w:rsidRPr="00F95C1A">
            <w:rPr>
              <w:noProof/>
              <w:sz w:val="28"/>
              <w:szCs w:val="28"/>
            </w:rPr>
            <w:t>(Braswell, 2012, p. 124)</w:t>
          </w:r>
          <w:r w:rsidR="00F95C1A">
            <w:rPr>
              <w:sz w:val="28"/>
              <w:szCs w:val="28"/>
            </w:rPr>
            <w:fldChar w:fldCharType="end"/>
          </w:r>
        </w:sdtContent>
      </w:sdt>
      <w:r w:rsidR="00F95C1A">
        <w:rPr>
          <w:sz w:val="28"/>
          <w:szCs w:val="28"/>
        </w:rPr>
        <w:t xml:space="preserve"> ‘Difficult heritage’ collections make representing the collections in a suitable way for children more difficult, however ensuring that the space is suitable for all ages is necessary to allow each group to engage with the collection without always needing others to be directly involved. </w:t>
      </w:r>
      <w:r w:rsidR="007122FF">
        <w:rPr>
          <w:sz w:val="28"/>
          <w:szCs w:val="28"/>
        </w:rPr>
        <w:t>Braswell identified that “</w:t>
      </w:r>
      <w:r w:rsidR="007122FF" w:rsidRPr="007122FF">
        <w:rPr>
          <w:sz w:val="28"/>
          <w:szCs w:val="28"/>
        </w:rPr>
        <w:t>Children interacting alone with artifacts constituted the most commonly observed type of interaction, yet children also spent time engaged with adults and other children as they interacted with artifacts.</w:t>
      </w:r>
      <w:r w:rsidR="007122FF">
        <w:rPr>
          <w:sz w:val="28"/>
          <w:szCs w:val="28"/>
        </w:rPr>
        <w:t>”</w:t>
      </w:r>
      <w:sdt>
        <w:sdtPr>
          <w:rPr>
            <w:sz w:val="28"/>
            <w:szCs w:val="28"/>
          </w:rPr>
          <w:id w:val="-1290817842"/>
          <w:citation/>
        </w:sdtPr>
        <w:sdtContent>
          <w:r w:rsidR="007122FF">
            <w:rPr>
              <w:sz w:val="28"/>
              <w:szCs w:val="28"/>
            </w:rPr>
            <w:fldChar w:fldCharType="begin"/>
          </w:r>
          <w:r w:rsidR="007122FF">
            <w:rPr>
              <w:sz w:val="28"/>
              <w:szCs w:val="28"/>
            </w:rPr>
            <w:instrText xml:space="preserve">CITATION Bra12 \p 131 \l 2057 </w:instrText>
          </w:r>
          <w:r w:rsidR="007122FF">
            <w:rPr>
              <w:sz w:val="28"/>
              <w:szCs w:val="28"/>
            </w:rPr>
            <w:fldChar w:fldCharType="separate"/>
          </w:r>
          <w:r w:rsidR="007122FF">
            <w:rPr>
              <w:noProof/>
              <w:sz w:val="28"/>
              <w:szCs w:val="28"/>
            </w:rPr>
            <w:t xml:space="preserve"> </w:t>
          </w:r>
          <w:r w:rsidR="007122FF" w:rsidRPr="007122FF">
            <w:rPr>
              <w:noProof/>
              <w:sz w:val="28"/>
              <w:szCs w:val="28"/>
            </w:rPr>
            <w:t>(Braswell, 2012, p. 131)</w:t>
          </w:r>
          <w:r w:rsidR="007122FF">
            <w:rPr>
              <w:sz w:val="28"/>
              <w:szCs w:val="28"/>
            </w:rPr>
            <w:fldChar w:fldCharType="end"/>
          </w:r>
        </w:sdtContent>
      </w:sdt>
      <w:r w:rsidR="007122FF">
        <w:rPr>
          <w:sz w:val="28"/>
          <w:szCs w:val="28"/>
        </w:rPr>
        <w:t xml:space="preserve"> This demonstrates how even within demographics the way people interact with a collection can change and be altered within the space itself. </w:t>
      </w:r>
      <w:r w:rsidR="00CA198D">
        <w:rPr>
          <w:sz w:val="28"/>
          <w:szCs w:val="28"/>
        </w:rPr>
        <w:t xml:space="preserve">Braswell </w:t>
      </w:r>
      <w:sdt>
        <w:sdtPr>
          <w:rPr>
            <w:sz w:val="28"/>
            <w:szCs w:val="28"/>
          </w:rPr>
          <w:id w:val="-1360277498"/>
          <w:citation/>
        </w:sdtPr>
        <w:sdtContent>
          <w:r w:rsidR="00CA198D">
            <w:rPr>
              <w:sz w:val="28"/>
              <w:szCs w:val="28"/>
            </w:rPr>
            <w:fldChar w:fldCharType="begin"/>
          </w:r>
          <w:r w:rsidR="00CA198D">
            <w:rPr>
              <w:sz w:val="28"/>
              <w:szCs w:val="28"/>
            </w:rPr>
            <w:instrText xml:space="preserve">CITATION Bra12 \n  \l 2057 </w:instrText>
          </w:r>
          <w:r w:rsidR="00CA198D">
            <w:rPr>
              <w:sz w:val="28"/>
              <w:szCs w:val="28"/>
            </w:rPr>
            <w:fldChar w:fldCharType="separate"/>
          </w:r>
          <w:r w:rsidR="00CA198D" w:rsidRPr="00CA198D">
            <w:rPr>
              <w:noProof/>
              <w:sz w:val="28"/>
              <w:szCs w:val="28"/>
            </w:rPr>
            <w:t>(2012)</w:t>
          </w:r>
          <w:r w:rsidR="00CA198D">
            <w:rPr>
              <w:sz w:val="28"/>
              <w:szCs w:val="28"/>
            </w:rPr>
            <w:fldChar w:fldCharType="end"/>
          </w:r>
        </w:sdtContent>
      </w:sdt>
      <w:r w:rsidR="00CA198D">
        <w:rPr>
          <w:sz w:val="28"/>
          <w:szCs w:val="28"/>
        </w:rPr>
        <w:t xml:space="preserve"> also makes the observation that in a space of informal learning such as a museum there are many things </w:t>
      </w:r>
      <w:r w:rsidR="00CA198D">
        <w:rPr>
          <w:sz w:val="28"/>
          <w:szCs w:val="28"/>
        </w:rPr>
        <w:lastRenderedPageBreak/>
        <w:t xml:space="preserve">that are being taught that are not limited to the topic of the collection. These can include social interactions or experiences within the space.  </w:t>
      </w:r>
    </w:p>
    <w:p w14:paraId="77CDD561" w14:textId="33105AFE" w:rsidR="008514AA" w:rsidRDefault="009C64FE" w:rsidP="00D84CBF">
      <w:pPr>
        <w:rPr>
          <w:rFonts w:cstheme="minorHAnsi"/>
          <w:sz w:val="28"/>
          <w:szCs w:val="28"/>
        </w:rPr>
      </w:pPr>
      <w:r>
        <w:rPr>
          <w:rFonts w:cstheme="minorHAnsi"/>
          <w:sz w:val="28"/>
          <w:szCs w:val="28"/>
        </w:rPr>
        <w:t>“</w:t>
      </w:r>
      <w:r w:rsidRPr="009C64FE">
        <w:rPr>
          <w:sz w:val="28"/>
          <w:szCs w:val="28"/>
        </w:rPr>
        <w:t>Exhibit design should also focus on affording multiple ways for visitors with diverse interests and perspectives to engage meaningfully with artifacts and with one another at an exhibit.</w:t>
      </w:r>
      <w:r>
        <w:rPr>
          <w:sz w:val="28"/>
          <w:szCs w:val="28"/>
        </w:rPr>
        <w:t>”</w:t>
      </w:r>
      <w:sdt>
        <w:sdtPr>
          <w:rPr>
            <w:sz w:val="28"/>
            <w:szCs w:val="28"/>
          </w:rPr>
          <w:id w:val="-1097400046"/>
          <w:citation/>
        </w:sdtPr>
        <w:sdtContent>
          <w:r>
            <w:rPr>
              <w:sz w:val="28"/>
              <w:szCs w:val="28"/>
            </w:rPr>
            <w:fldChar w:fldCharType="begin"/>
          </w:r>
          <w:r>
            <w:rPr>
              <w:sz w:val="28"/>
              <w:szCs w:val="28"/>
            </w:rPr>
            <w:instrText xml:space="preserve">CITATION Bra12 \p 133 \l 2057 </w:instrText>
          </w:r>
          <w:r>
            <w:rPr>
              <w:sz w:val="28"/>
              <w:szCs w:val="28"/>
            </w:rPr>
            <w:fldChar w:fldCharType="separate"/>
          </w:r>
          <w:r>
            <w:rPr>
              <w:noProof/>
              <w:sz w:val="28"/>
              <w:szCs w:val="28"/>
            </w:rPr>
            <w:t xml:space="preserve"> </w:t>
          </w:r>
          <w:r w:rsidRPr="009C64FE">
            <w:rPr>
              <w:noProof/>
              <w:sz w:val="28"/>
              <w:szCs w:val="28"/>
            </w:rPr>
            <w:t>(Braswell, 2012, p. 133)</w:t>
          </w:r>
          <w:r>
            <w:rPr>
              <w:sz w:val="28"/>
              <w:szCs w:val="28"/>
            </w:rPr>
            <w:fldChar w:fldCharType="end"/>
          </w:r>
        </w:sdtContent>
      </w:sdt>
      <w:r>
        <w:rPr>
          <w:rFonts w:cstheme="minorHAnsi"/>
          <w:sz w:val="28"/>
          <w:szCs w:val="28"/>
        </w:rPr>
        <w:t xml:space="preserve"> </w:t>
      </w:r>
    </w:p>
    <w:p w14:paraId="157F8BEE" w14:textId="1DA95CCB" w:rsidR="00936D4F" w:rsidRDefault="00936D4F" w:rsidP="00D84CBF">
      <w:pPr>
        <w:rPr>
          <w:sz w:val="28"/>
          <w:szCs w:val="28"/>
        </w:rPr>
      </w:pPr>
      <w:r>
        <w:rPr>
          <w:rFonts w:cstheme="minorHAnsi"/>
          <w:sz w:val="28"/>
          <w:szCs w:val="28"/>
        </w:rPr>
        <w:t>When using the case study of the Holocaust Centre</w:t>
      </w:r>
      <w:sdt>
        <w:sdtPr>
          <w:rPr>
            <w:rFonts w:cstheme="minorHAnsi"/>
            <w:sz w:val="28"/>
            <w:szCs w:val="28"/>
          </w:rPr>
          <w:id w:val="1660502621"/>
          <w:citation/>
        </w:sdtPr>
        <w:sdtContent>
          <w:r>
            <w:rPr>
              <w:rFonts w:cstheme="minorHAnsi"/>
              <w:sz w:val="28"/>
              <w:szCs w:val="28"/>
            </w:rPr>
            <w:fldChar w:fldCharType="begin"/>
          </w:r>
          <w:r>
            <w:rPr>
              <w:rFonts w:cstheme="minorHAnsi"/>
              <w:sz w:val="28"/>
              <w:szCs w:val="28"/>
            </w:rPr>
            <w:instrText xml:space="preserve">CITATION Natwn \y  \l 2057 </w:instrText>
          </w:r>
          <w:r>
            <w:rPr>
              <w:rFonts w:cstheme="minorHAnsi"/>
              <w:sz w:val="28"/>
              <w:szCs w:val="28"/>
            </w:rPr>
            <w:fldChar w:fldCharType="separate"/>
          </w:r>
          <w:r>
            <w:rPr>
              <w:rFonts w:cstheme="minorHAnsi"/>
              <w:noProof/>
              <w:sz w:val="28"/>
              <w:szCs w:val="28"/>
            </w:rPr>
            <w:t xml:space="preserve"> </w:t>
          </w:r>
          <w:r w:rsidRPr="00936D4F">
            <w:rPr>
              <w:rFonts w:cstheme="minorHAnsi"/>
              <w:noProof/>
              <w:sz w:val="28"/>
              <w:szCs w:val="28"/>
            </w:rPr>
            <w:t>(Museum)</w:t>
          </w:r>
          <w:r>
            <w:rPr>
              <w:rFonts w:cstheme="minorHAnsi"/>
              <w:sz w:val="28"/>
              <w:szCs w:val="28"/>
            </w:rPr>
            <w:fldChar w:fldCharType="end"/>
          </w:r>
        </w:sdtContent>
      </w:sdt>
      <w:r>
        <w:rPr>
          <w:rFonts w:cstheme="minorHAnsi"/>
          <w:sz w:val="28"/>
          <w:szCs w:val="28"/>
        </w:rPr>
        <w:t xml:space="preserve"> </w:t>
      </w:r>
      <w:r w:rsidR="00565E3A">
        <w:rPr>
          <w:rFonts w:cstheme="minorHAnsi"/>
          <w:sz w:val="28"/>
          <w:szCs w:val="28"/>
        </w:rPr>
        <w:t xml:space="preserve">when studying ‘difficult heritage’, </w:t>
      </w:r>
      <w:r w:rsidR="00137E3D">
        <w:rPr>
          <w:rFonts w:cstheme="minorHAnsi"/>
          <w:sz w:val="28"/>
          <w:szCs w:val="28"/>
        </w:rPr>
        <w:t xml:space="preserve">there is an aspect of representation that should be considered </w:t>
      </w:r>
      <w:r w:rsidR="00565E3A">
        <w:rPr>
          <w:rFonts w:cstheme="minorHAnsi"/>
          <w:sz w:val="28"/>
          <w:szCs w:val="28"/>
        </w:rPr>
        <w:t>is the location of the collection. The Holocaust Centre is based in Nottinghamshire</w:t>
      </w:r>
      <w:r w:rsidR="00492CFD">
        <w:rPr>
          <w:rFonts w:cstheme="minorHAnsi"/>
          <w:sz w:val="28"/>
          <w:szCs w:val="28"/>
        </w:rPr>
        <w:t>, England</w:t>
      </w:r>
      <w:r w:rsidR="000227C3">
        <w:rPr>
          <w:rFonts w:cstheme="minorHAnsi"/>
          <w:sz w:val="28"/>
          <w:szCs w:val="28"/>
        </w:rPr>
        <w:t xml:space="preserve">, spaces of ‘difficult heritage’ are often placed in the context of the original site which the Holocaust Centre is not. Representing a topic relating to ‘difficult heritage’ in a space separate to the original site </w:t>
      </w:r>
      <w:r w:rsidR="006A06DF">
        <w:rPr>
          <w:rFonts w:cstheme="minorHAnsi"/>
          <w:sz w:val="28"/>
          <w:szCs w:val="28"/>
        </w:rPr>
        <w:t xml:space="preserve">presents a challenge in that there becomes the new problem of recreating the original site and how that site would make an individual experience the collection. </w:t>
      </w:r>
      <w:r w:rsidR="00BA4612">
        <w:rPr>
          <w:rFonts w:cstheme="minorHAnsi"/>
          <w:sz w:val="28"/>
          <w:szCs w:val="28"/>
        </w:rPr>
        <w:t xml:space="preserve">Although, </w:t>
      </w:r>
      <w:r w:rsidR="00A707E2">
        <w:rPr>
          <w:rFonts w:cstheme="minorHAnsi"/>
          <w:sz w:val="28"/>
          <w:szCs w:val="28"/>
        </w:rPr>
        <w:t xml:space="preserve">Gelderblom and Burstrom </w:t>
      </w:r>
      <w:sdt>
        <w:sdtPr>
          <w:rPr>
            <w:rFonts w:cstheme="minorHAnsi"/>
            <w:sz w:val="28"/>
            <w:szCs w:val="28"/>
          </w:rPr>
          <w:id w:val="700674609"/>
          <w:citation/>
        </w:sdtPr>
        <w:sdtContent>
          <w:r w:rsidR="00A707E2">
            <w:rPr>
              <w:rFonts w:cstheme="minorHAnsi"/>
              <w:sz w:val="28"/>
              <w:szCs w:val="28"/>
            </w:rPr>
            <w:fldChar w:fldCharType="begin"/>
          </w:r>
          <w:r w:rsidR="00A707E2">
            <w:rPr>
              <w:rFonts w:cstheme="minorHAnsi"/>
              <w:sz w:val="28"/>
              <w:szCs w:val="28"/>
            </w:rPr>
            <w:instrText xml:space="preserve">CITATION Bur11 \n  \l 2057 </w:instrText>
          </w:r>
          <w:r w:rsidR="00A707E2">
            <w:rPr>
              <w:rFonts w:cstheme="minorHAnsi"/>
              <w:sz w:val="28"/>
              <w:szCs w:val="28"/>
            </w:rPr>
            <w:fldChar w:fldCharType="separate"/>
          </w:r>
          <w:r w:rsidR="00A707E2" w:rsidRPr="00A707E2">
            <w:rPr>
              <w:rFonts w:cstheme="minorHAnsi"/>
              <w:noProof/>
              <w:sz w:val="28"/>
              <w:szCs w:val="28"/>
            </w:rPr>
            <w:t>(2011)</w:t>
          </w:r>
          <w:r w:rsidR="00A707E2">
            <w:rPr>
              <w:rFonts w:cstheme="minorHAnsi"/>
              <w:sz w:val="28"/>
              <w:szCs w:val="28"/>
            </w:rPr>
            <w:fldChar w:fldCharType="end"/>
          </w:r>
        </w:sdtContent>
      </w:sdt>
      <w:r w:rsidR="00A707E2">
        <w:rPr>
          <w:rFonts w:cstheme="minorHAnsi"/>
          <w:sz w:val="28"/>
          <w:szCs w:val="28"/>
        </w:rPr>
        <w:t xml:space="preserve"> discuss how original sites present difficulty themselves with how ‘difficult heritage’ is represented. </w:t>
      </w:r>
      <w:r w:rsidR="00BA4612">
        <w:rPr>
          <w:rFonts w:cstheme="minorHAnsi"/>
          <w:sz w:val="28"/>
          <w:szCs w:val="28"/>
        </w:rPr>
        <w:t>In some instances</w:t>
      </w:r>
      <w:r w:rsidR="006829EC">
        <w:rPr>
          <w:rFonts w:cstheme="minorHAnsi"/>
          <w:sz w:val="28"/>
          <w:szCs w:val="28"/>
        </w:rPr>
        <w:t>,</w:t>
      </w:r>
      <w:r w:rsidR="00BA4612">
        <w:rPr>
          <w:rFonts w:cstheme="minorHAnsi"/>
          <w:sz w:val="28"/>
          <w:szCs w:val="28"/>
        </w:rPr>
        <w:t xml:space="preserve"> </w:t>
      </w:r>
      <w:r w:rsidR="006829EC">
        <w:rPr>
          <w:rFonts w:cstheme="minorHAnsi"/>
          <w:sz w:val="28"/>
          <w:szCs w:val="28"/>
        </w:rPr>
        <w:t>a site may become to entwined with the ‘difficult heritage’ in a manner that makes representing a collection more difficult. “</w:t>
      </w:r>
      <w:r w:rsidR="006829EC" w:rsidRPr="006829EC">
        <w:rPr>
          <w:sz w:val="28"/>
          <w:szCs w:val="28"/>
        </w:rPr>
        <w:t>An obvious example of sites that are historically important but heavily burdened by their past are those connected with the Holocaust.</w:t>
      </w:r>
      <w:r w:rsidR="006829EC">
        <w:rPr>
          <w:sz w:val="28"/>
          <w:szCs w:val="28"/>
        </w:rPr>
        <w:t>”</w:t>
      </w:r>
      <w:sdt>
        <w:sdtPr>
          <w:rPr>
            <w:sz w:val="28"/>
            <w:szCs w:val="28"/>
          </w:rPr>
          <w:id w:val="-413089298"/>
          <w:citation/>
        </w:sdtPr>
        <w:sdtContent>
          <w:r w:rsidR="006829EC">
            <w:rPr>
              <w:sz w:val="28"/>
              <w:szCs w:val="28"/>
            </w:rPr>
            <w:fldChar w:fldCharType="begin"/>
          </w:r>
          <w:r w:rsidR="006829EC">
            <w:rPr>
              <w:sz w:val="28"/>
              <w:szCs w:val="28"/>
            </w:rPr>
            <w:instrText xml:space="preserve">CITATION Bur11 \p 267 \l 2057 </w:instrText>
          </w:r>
          <w:r w:rsidR="006829EC">
            <w:rPr>
              <w:sz w:val="28"/>
              <w:szCs w:val="28"/>
            </w:rPr>
            <w:fldChar w:fldCharType="separate"/>
          </w:r>
          <w:r w:rsidR="006829EC">
            <w:rPr>
              <w:noProof/>
              <w:sz w:val="28"/>
              <w:szCs w:val="28"/>
            </w:rPr>
            <w:t xml:space="preserve"> </w:t>
          </w:r>
          <w:r w:rsidR="006829EC" w:rsidRPr="006829EC">
            <w:rPr>
              <w:noProof/>
              <w:sz w:val="28"/>
              <w:szCs w:val="28"/>
            </w:rPr>
            <w:t>(Burstro¨m &amp; Gelderblom, 2011, p. 267)</w:t>
          </w:r>
          <w:r w:rsidR="006829EC">
            <w:rPr>
              <w:sz w:val="28"/>
              <w:szCs w:val="28"/>
            </w:rPr>
            <w:fldChar w:fldCharType="end"/>
          </w:r>
        </w:sdtContent>
      </w:sdt>
      <w:r w:rsidR="006829EC">
        <w:rPr>
          <w:sz w:val="28"/>
          <w:szCs w:val="28"/>
        </w:rPr>
        <w:t xml:space="preserve">  </w:t>
      </w:r>
      <w:r w:rsidR="007911BC">
        <w:rPr>
          <w:sz w:val="28"/>
          <w:szCs w:val="28"/>
        </w:rPr>
        <w:t xml:space="preserve">When a site is so heavily entwined it is possible that said burden creates expectation and </w:t>
      </w:r>
      <w:r w:rsidR="000C5617">
        <w:rPr>
          <w:sz w:val="28"/>
          <w:szCs w:val="28"/>
        </w:rPr>
        <w:t xml:space="preserve">restricts how a collection may be represented, with a restriction in space and how the site may be altered to accommodate becoming a heritage site. </w:t>
      </w:r>
    </w:p>
    <w:p w14:paraId="774309B9" w14:textId="0195D01C" w:rsidR="007911BC" w:rsidRDefault="007911BC" w:rsidP="00D84CBF">
      <w:pPr>
        <w:rPr>
          <w:rFonts w:cstheme="minorHAnsi"/>
          <w:sz w:val="28"/>
          <w:szCs w:val="28"/>
        </w:rPr>
      </w:pPr>
      <w:r>
        <w:rPr>
          <w:rFonts w:cstheme="minorHAnsi"/>
          <w:sz w:val="28"/>
          <w:szCs w:val="28"/>
        </w:rPr>
        <w:t xml:space="preserve">Representation of collections involved with ‘difficult heritage’ can create problems </w:t>
      </w:r>
      <w:r w:rsidR="00C5199A">
        <w:rPr>
          <w:rFonts w:cstheme="minorHAnsi"/>
          <w:sz w:val="28"/>
          <w:szCs w:val="28"/>
        </w:rPr>
        <w:t xml:space="preserve">when issues such as location, differences in demographic and cultural significance. Though these problems </w:t>
      </w:r>
      <w:r w:rsidR="00837EF4">
        <w:rPr>
          <w:rFonts w:cstheme="minorHAnsi"/>
          <w:sz w:val="28"/>
          <w:szCs w:val="28"/>
        </w:rPr>
        <w:t xml:space="preserve">can cause issues, there are ways to resolve them and create a space that accurately represents the ‘difficult heritage’. However, many repercussions may come as a result of misrepresentation, as such there can be a long process that includes local involvement in the discussion of how a part of ‘difficult heritage’ may be represented. </w:t>
      </w:r>
    </w:p>
    <w:p w14:paraId="3D8ECBA2" w14:textId="77777777" w:rsidR="00936D4F" w:rsidRPr="009C64FE" w:rsidRDefault="00936D4F" w:rsidP="00D84CBF">
      <w:pPr>
        <w:ind w:left="360"/>
        <w:rPr>
          <w:rFonts w:cstheme="minorHAnsi"/>
          <w:sz w:val="28"/>
          <w:szCs w:val="28"/>
        </w:rPr>
      </w:pPr>
    </w:p>
    <w:p w14:paraId="78720F7D" w14:textId="5B84B2C2" w:rsidR="008514AA" w:rsidRPr="008514AA" w:rsidRDefault="008514AA" w:rsidP="00D84CBF">
      <w:pPr>
        <w:rPr>
          <w:rFonts w:cstheme="minorHAnsi"/>
          <w:b/>
          <w:bCs/>
          <w:sz w:val="32"/>
          <w:szCs w:val="32"/>
          <w:u w:val="single"/>
        </w:rPr>
      </w:pPr>
      <w:r w:rsidRPr="008514AA">
        <w:rPr>
          <w:rFonts w:cstheme="minorHAnsi"/>
          <w:b/>
          <w:bCs/>
          <w:sz w:val="32"/>
          <w:szCs w:val="32"/>
          <w:u w:val="single"/>
        </w:rPr>
        <w:t>Engagement &amp; Reception</w:t>
      </w:r>
    </w:p>
    <w:p w14:paraId="052167FE" w14:textId="3044734B" w:rsidR="00121441" w:rsidRDefault="008514AA" w:rsidP="00D84CBF">
      <w:pPr>
        <w:rPr>
          <w:sz w:val="28"/>
          <w:szCs w:val="28"/>
        </w:rPr>
      </w:pPr>
      <w:r w:rsidRPr="00D71994">
        <w:rPr>
          <w:rFonts w:cstheme="minorHAnsi"/>
          <w:sz w:val="28"/>
          <w:szCs w:val="28"/>
        </w:rPr>
        <w:t xml:space="preserve">Engaging the public with areas of ‘difficult heritage’ has particularly challenging obstacles to manage. With topics of ‘difficult heritage’ such as the case study </w:t>
      </w:r>
      <w:r w:rsidRPr="00D71994">
        <w:rPr>
          <w:rFonts w:cstheme="minorHAnsi"/>
          <w:sz w:val="28"/>
          <w:szCs w:val="28"/>
        </w:rPr>
        <w:lastRenderedPageBreak/>
        <w:t xml:space="preserve">of the </w:t>
      </w:r>
      <w:r w:rsidR="00AB0685">
        <w:rPr>
          <w:rFonts w:cstheme="minorHAnsi"/>
          <w:sz w:val="28"/>
          <w:szCs w:val="28"/>
        </w:rPr>
        <w:t xml:space="preserve">National Holocaust Centre &amp; Museum there is an inability to determine how a visitor may interpret the space. Bareither discusses how the </w:t>
      </w:r>
      <w:r w:rsidR="002E4846">
        <w:rPr>
          <w:rFonts w:cstheme="minorHAnsi"/>
          <w:sz w:val="28"/>
          <w:szCs w:val="28"/>
        </w:rPr>
        <w:t>creator of the Memorial to the Murdered Jews of Europe when making the space “</w:t>
      </w:r>
      <w:r w:rsidR="002E4846" w:rsidRPr="002E4846">
        <w:rPr>
          <w:sz w:val="28"/>
          <w:szCs w:val="28"/>
        </w:rPr>
        <w:t xml:space="preserve">did not want to determine how visitors feel at the place. In fact, he was very much aware that: ‘People are going to picnic in the field. Children will play tag in the field. There will be fashion models </w:t>
      </w:r>
      <w:r w:rsidR="00EB0721" w:rsidRPr="002E4846">
        <w:rPr>
          <w:sz w:val="28"/>
          <w:szCs w:val="28"/>
        </w:rPr>
        <w:t>modelling</w:t>
      </w:r>
      <w:r w:rsidR="002E4846" w:rsidRPr="002E4846">
        <w:rPr>
          <w:sz w:val="28"/>
          <w:szCs w:val="28"/>
        </w:rPr>
        <w:t xml:space="preserve"> there and films will be shot there. I can easily imagine some spy shoot ‘em ups ending in the field. What can I say? It’s not a sacred place.’</w:t>
      </w:r>
      <w:r w:rsidR="002E4846">
        <w:rPr>
          <w:sz w:val="28"/>
          <w:szCs w:val="28"/>
        </w:rPr>
        <w:t xml:space="preserve">” </w:t>
      </w:r>
      <w:sdt>
        <w:sdtPr>
          <w:rPr>
            <w:sz w:val="28"/>
            <w:szCs w:val="28"/>
          </w:rPr>
          <w:id w:val="136003913"/>
          <w:citation/>
        </w:sdtPr>
        <w:sdtContent>
          <w:r w:rsidR="002E4846">
            <w:rPr>
              <w:sz w:val="28"/>
              <w:szCs w:val="28"/>
            </w:rPr>
            <w:fldChar w:fldCharType="begin"/>
          </w:r>
          <w:r w:rsidR="002E4846">
            <w:rPr>
              <w:sz w:val="28"/>
              <w:szCs w:val="28"/>
            </w:rPr>
            <w:instrText xml:space="preserve">CITATION Bar21 \p 58 \n  \l 2057 </w:instrText>
          </w:r>
          <w:r w:rsidR="002E4846">
            <w:rPr>
              <w:sz w:val="28"/>
              <w:szCs w:val="28"/>
            </w:rPr>
            <w:fldChar w:fldCharType="separate"/>
          </w:r>
          <w:r w:rsidR="002E4846" w:rsidRPr="002E4846">
            <w:rPr>
              <w:noProof/>
              <w:sz w:val="28"/>
              <w:szCs w:val="28"/>
            </w:rPr>
            <w:t>(2021, p. 58)</w:t>
          </w:r>
          <w:r w:rsidR="002E4846">
            <w:rPr>
              <w:sz w:val="28"/>
              <w:szCs w:val="28"/>
            </w:rPr>
            <w:fldChar w:fldCharType="end"/>
          </w:r>
        </w:sdtContent>
      </w:sdt>
      <w:r w:rsidR="002E4846">
        <w:rPr>
          <w:sz w:val="28"/>
          <w:szCs w:val="28"/>
        </w:rPr>
        <w:t xml:space="preserve"> </w:t>
      </w:r>
      <w:r w:rsidR="005368AC">
        <w:rPr>
          <w:sz w:val="28"/>
          <w:szCs w:val="28"/>
        </w:rPr>
        <w:t xml:space="preserve">The use of a created space that is designed around an aspect of ‘difficult heritage’ </w:t>
      </w:r>
      <w:r w:rsidR="002E7109">
        <w:rPr>
          <w:sz w:val="28"/>
          <w:szCs w:val="28"/>
        </w:rPr>
        <w:t xml:space="preserve">such as this, is an unpredictable phenomenon that although there </w:t>
      </w:r>
      <w:r w:rsidR="00EF38BE">
        <w:rPr>
          <w:sz w:val="28"/>
          <w:szCs w:val="28"/>
        </w:rPr>
        <w:t xml:space="preserve">are ways to </w:t>
      </w:r>
      <w:r w:rsidR="00420ADA">
        <w:rPr>
          <w:sz w:val="28"/>
          <w:szCs w:val="28"/>
        </w:rPr>
        <w:t xml:space="preserve">attempt to accommodate every different kind of audience that may view the space. </w:t>
      </w:r>
      <w:r w:rsidR="00121441">
        <w:rPr>
          <w:sz w:val="28"/>
          <w:szCs w:val="28"/>
        </w:rPr>
        <w:t xml:space="preserve"> </w:t>
      </w:r>
    </w:p>
    <w:p w14:paraId="41B04530" w14:textId="77777777" w:rsidR="00FC57D5" w:rsidRDefault="00FC57D5" w:rsidP="00D84CBF">
      <w:pPr>
        <w:ind w:left="360"/>
        <w:rPr>
          <w:sz w:val="28"/>
          <w:szCs w:val="28"/>
        </w:rPr>
      </w:pPr>
    </w:p>
    <w:p w14:paraId="0CCA9ABD" w14:textId="268E3698" w:rsidR="008514AA" w:rsidRDefault="00FC57D5" w:rsidP="00D84CBF">
      <w:pPr>
        <w:rPr>
          <w:sz w:val="28"/>
          <w:szCs w:val="28"/>
        </w:rPr>
      </w:pPr>
      <w:r>
        <w:rPr>
          <w:sz w:val="28"/>
          <w:szCs w:val="28"/>
        </w:rPr>
        <w:t xml:space="preserve">‘Difficult heritage’ spaces in the digital age create new problems when discussing engagement and reception of the space. The digital era has led to public engagement changing with the development of things like the ‘selfie’ </w:t>
      </w:r>
      <w:r w:rsidR="006079A5">
        <w:rPr>
          <w:sz w:val="28"/>
          <w:szCs w:val="28"/>
        </w:rPr>
        <w:t>or other such forms of “digital self-representation” as Bareither</w:t>
      </w:r>
      <w:sdt>
        <w:sdtPr>
          <w:rPr>
            <w:sz w:val="28"/>
            <w:szCs w:val="28"/>
          </w:rPr>
          <w:id w:val="138234355"/>
          <w:citation/>
        </w:sdtPr>
        <w:sdtContent>
          <w:r w:rsidR="006079A5">
            <w:rPr>
              <w:sz w:val="28"/>
              <w:szCs w:val="28"/>
            </w:rPr>
            <w:fldChar w:fldCharType="begin"/>
          </w:r>
          <w:r w:rsidR="006079A5">
            <w:rPr>
              <w:sz w:val="28"/>
              <w:szCs w:val="28"/>
            </w:rPr>
            <w:instrText xml:space="preserve">CITATION Bar21 \p 59 \n  \l 2057 </w:instrText>
          </w:r>
          <w:r w:rsidR="006079A5">
            <w:rPr>
              <w:sz w:val="28"/>
              <w:szCs w:val="28"/>
            </w:rPr>
            <w:fldChar w:fldCharType="separate"/>
          </w:r>
          <w:r w:rsidR="006079A5">
            <w:rPr>
              <w:noProof/>
              <w:sz w:val="28"/>
              <w:szCs w:val="28"/>
            </w:rPr>
            <w:t xml:space="preserve"> </w:t>
          </w:r>
          <w:r w:rsidR="006079A5" w:rsidRPr="006079A5">
            <w:rPr>
              <w:noProof/>
              <w:sz w:val="28"/>
              <w:szCs w:val="28"/>
            </w:rPr>
            <w:t>(2021, p. 59)</w:t>
          </w:r>
          <w:r w:rsidR="006079A5">
            <w:rPr>
              <w:sz w:val="28"/>
              <w:szCs w:val="28"/>
            </w:rPr>
            <w:fldChar w:fldCharType="end"/>
          </w:r>
        </w:sdtContent>
      </w:sdt>
      <w:r w:rsidR="005368AC">
        <w:rPr>
          <w:sz w:val="28"/>
          <w:szCs w:val="28"/>
        </w:rPr>
        <w:t xml:space="preserve"> </w:t>
      </w:r>
      <w:r w:rsidR="006079A5">
        <w:rPr>
          <w:sz w:val="28"/>
          <w:szCs w:val="28"/>
        </w:rPr>
        <w:t xml:space="preserve">names it.  </w:t>
      </w:r>
      <w:r w:rsidR="006204EC">
        <w:rPr>
          <w:sz w:val="28"/>
          <w:szCs w:val="28"/>
        </w:rPr>
        <w:t>For some members of the public engaging with an exhibit rarely goes beyond the act of casually v</w:t>
      </w:r>
      <w:r w:rsidR="001643E2">
        <w:rPr>
          <w:sz w:val="28"/>
          <w:szCs w:val="28"/>
        </w:rPr>
        <w:t xml:space="preserve">iewing and then taking pictures to later be posted onto social media. The challenges of this become trying to engage those members of the public better and how to create meaningful spaces that </w:t>
      </w:r>
      <w:r w:rsidR="005348EB">
        <w:rPr>
          <w:sz w:val="28"/>
          <w:szCs w:val="28"/>
        </w:rPr>
        <w:t xml:space="preserve">engage without having to restrict </w:t>
      </w:r>
      <w:r w:rsidR="00E13638">
        <w:rPr>
          <w:sz w:val="28"/>
          <w:szCs w:val="28"/>
        </w:rPr>
        <w:t xml:space="preserve">what is allowed to be done within the exhibit, like the ability to take photos. Bareither develops on the concept of ‘digital self-representation’ </w:t>
      </w:r>
      <w:r w:rsidR="006F1AB6">
        <w:rPr>
          <w:sz w:val="28"/>
          <w:szCs w:val="28"/>
        </w:rPr>
        <w:t>not only effects the individual but the others who are engaging with the exhibit, “</w:t>
      </w:r>
      <w:r w:rsidR="006F1AB6" w:rsidRPr="006F1AB6">
        <w:rPr>
          <w:sz w:val="28"/>
          <w:szCs w:val="28"/>
        </w:rPr>
        <w:t>many observers and visitors are critical about digital self</w:t>
      </w:r>
      <w:r w:rsidR="006F1AB6">
        <w:rPr>
          <w:sz w:val="28"/>
          <w:szCs w:val="28"/>
        </w:rPr>
        <w:t>-</w:t>
      </w:r>
      <w:r w:rsidR="006F1AB6" w:rsidRPr="006F1AB6">
        <w:rPr>
          <w:sz w:val="28"/>
          <w:szCs w:val="28"/>
        </w:rPr>
        <w:t>representations and how their criticism connects to questions of emotional indifference in the context of Holocaust remembrance</w:t>
      </w:r>
      <w:r w:rsidR="006F1AB6">
        <w:rPr>
          <w:sz w:val="28"/>
          <w:szCs w:val="28"/>
        </w:rPr>
        <w:t>”</w:t>
      </w:r>
      <w:sdt>
        <w:sdtPr>
          <w:rPr>
            <w:sz w:val="28"/>
            <w:szCs w:val="28"/>
          </w:rPr>
          <w:id w:val="1757395961"/>
          <w:citation/>
        </w:sdtPr>
        <w:sdtContent>
          <w:r w:rsidR="006F1AB6">
            <w:rPr>
              <w:sz w:val="28"/>
              <w:szCs w:val="28"/>
            </w:rPr>
            <w:fldChar w:fldCharType="begin"/>
          </w:r>
          <w:r w:rsidR="006F1AB6">
            <w:rPr>
              <w:sz w:val="28"/>
              <w:szCs w:val="28"/>
            </w:rPr>
            <w:instrText xml:space="preserve">CITATION Bar21 \p 59 \n  \l 2057 </w:instrText>
          </w:r>
          <w:r w:rsidR="006F1AB6">
            <w:rPr>
              <w:sz w:val="28"/>
              <w:szCs w:val="28"/>
            </w:rPr>
            <w:fldChar w:fldCharType="separate"/>
          </w:r>
          <w:r w:rsidR="006F1AB6">
            <w:rPr>
              <w:noProof/>
              <w:sz w:val="28"/>
              <w:szCs w:val="28"/>
            </w:rPr>
            <w:t xml:space="preserve"> </w:t>
          </w:r>
          <w:r w:rsidR="006F1AB6" w:rsidRPr="006F1AB6">
            <w:rPr>
              <w:noProof/>
              <w:sz w:val="28"/>
              <w:szCs w:val="28"/>
            </w:rPr>
            <w:t>(2021, p. 59)</w:t>
          </w:r>
          <w:r w:rsidR="006F1AB6">
            <w:rPr>
              <w:sz w:val="28"/>
              <w:szCs w:val="28"/>
            </w:rPr>
            <w:fldChar w:fldCharType="end"/>
          </w:r>
        </w:sdtContent>
      </w:sdt>
      <w:r w:rsidR="005C5592">
        <w:rPr>
          <w:sz w:val="28"/>
          <w:szCs w:val="28"/>
        </w:rPr>
        <w:t xml:space="preserve">. </w:t>
      </w:r>
      <w:r w:rsidR="0057610A">
        <w:rPr>
          <w:sz w:val="28"/>
          <w:szCs w:val="28"/>
        </w:rPr>
        <w:t>It is</w:t>
      </w:r>
      <w:r w:rsidR="00DC4D24">
        <w:rPr>
          <w:sz w:val="28"/>
          <w:szCs w:val="28"/>
        </w:rPr>
        <w:t xml:space="preserve">, for exhibits and collections of ‘difficult heritage’ such as the Holocaust centre, often that there is a goal for an exhibit to create an emotional response from the public. </w:t>
      </w:r>
      <w:r w:rsidR="00FE684C">
        <w:rPr>
          <w:sz w:val="28"/>
          <w:szCs w:val="28"/>
        </w:rPr>
        <w:t xml:space="preserve">Although the achievement of the emotional response and how it is expressed may not be something that members of the public would be receptive to. Considering the nature of ‘difficult heritage’ emotional responses are likely to be extreme or may be interpreted as intensely private emotions. </w:t>
      </w:r>
    </w:p>
    <w:p w14:paraId="1A4BF9F9" w14:textId="77777777" w:rsidR="00D84CBF" w:rsidRDefault="002D2ADA" w:rsidP="00D84CBF">
      <w:pPr>
        <w:rPr>
          <w:sz w:val="28"/>
          <w:szCs w:val="28"/>
        </w:rPr>
      </w:pPr>
      <w:r>
        <w:rPr>
          <w:sz w:val="28"/>
          <w:szCs w:val="28"/>
        </w:rPr>
        <w:t xml:space="preserve">Another aspect of public engagement that </w:t>
      </w:r>
      <w:r w:rsidR="009949E1">
        <w:rPr>
          <w:sz w:val="28"/>
          <w:szCs w:val="28"/>
        </w:rPr>
        <w:t>is essential across all exhibits and collections is accessibility. This becomes even more essential when discussing in context with ‘difficult heritage’ like the Holocaust Centre</w:t>
      </w:r>
      <w:sdt>
        <w:sdtPr>
          <w:rPr>
            <w:sz w:val="28"/>
            <w:szCs w:val="28"/>
          </w:rPr>
          <w:id w:val="84350245"/>
          <w:citation/>
        </w:sdtPr>
        <w:sdtContent>
          <w:r w:rsidR="009949E1">
            <w:rPr>
              <w:sz w:val="28"/>
              <w:szCs w:val="28"/>
            </w:rPr>
            <w:fldChar w:fldCharType="begin"/>
          </w:r>
          <w:r w:rsidR="009949E1">
            <w:rPr>
              <w:sz w:val="28"/>
              <w:szCs w:val="28"/>
            </w:rPr>
            <w:instrText xml:space="preserve">CITATION Natwn \y  \l 2057 </w:instrText>
          </w:r>
          <w:r w:rsidR="009949E1">
            <w:rPr>
              <w:sz w:val="28"/>
              <w:szCs w:val="28"/>
            </w:rPr>
            <w:fldChar w:fldCharType="separate"/>
          </w:r>
          <w:r w:rsidR="009949E1">
            <w:rPr>
              <w:noProof/>
              <w:sz w:val="28"/>
              <w:szCs w:val="28"/>
            </w:rPr>
            <w:t xml:space="preserve"> </w:t>
          </w:r>
          <w:r w:rsidR="009949E1" w:rsidRPr="009949E1">
            <w:rPr>
              <w:noProof/>
              <w:sz w:val="28"/>
              <w:szCs w:val="28"/>
            </w:rPr>
            <w:t>(Museum)</w:t>
          </w:r>
          <w:r w:rsidR="009949E1">
            <w:rPr>
              <w:sz w:val="28"/>
              <w:szCs w:val="28"/>
            </w:rPr>
            <w:fldChar w:fldCharType="end"/>
          </w:r>
        </w:sdtContent>
      </w:sdt>
      <w:r w:rsidR="009949E1">
        <w:rPr>
          <w:sz w:val="28"/>
          <w:szCs w:val="28"/>
        </w:rPr>
        <w:t xml:space="preserve">. The accessibility of a ‘difficult heritage’ exhibit creates a new challenge with how it </w:t>
      </w:r>
      <w:r w:rsidR="009949E1">
        <w:rPr>
          <w:sz w:val="28"/>
          <w:szCs w:val="28"/>
        </w:rPr>
        <w:lastRenderedPageBreak/>
        <w:t xml:space="preserve">can be appropriate and received by different audiences such as children. </w:t>
      </w:r>
      <w:r w:rsidR="00044F26">
        <w:rPr>
          <w:sz w:val="28"/>
          <w:szCs w:val="28"/>
        </w:rPr>
        <w:t>Children often experience a deeper involvement with an exhibit when they are accompanied by adults that have knowledge of the exhibit and the objects within it, “</w:t>
      </w:r>
      <w:r w:rsidR="00044F26" w:rsidRPr="00044F26">
        <w:rPr>
          <w:sz w:val="28"/>
          <w:szCs w:val="28"/>
        </w:rPr>
        <w:t>children learn about the “intentional affordances,” or intended functions, of artifacts during interactions with others. In particular, more experienced others (such as adults) often will demonstrate or explain intended uses for artifacts, allowing children to understand these intentional affordances.</w:t>
      </w:r>
      <w:r w:rsidR="00044F26">
        <w:rPr>
          <w:sz w:val="28"/>
          <w:szCs w:val="28"/>
        </w:rPr>
        <w:t>”</w:t>
      </w:r>
      <w:sdt>
        <w:sdtPr>
          <w:rPr>
            <w:sz w:val="28"/>
            <w:szCs w:val="28"/>
          </w:rPr>
          <w:id w:val="-1385401412"/>
          <w:citation/>
        </w:sdtPr>
        <w:sdtContent>
          <w:r w:rsidR="00044F26">
            <w:rPr>
              <w:sz w:val="28"/>
              <w:szCs w:val="28"/>
            </w:rPr>
            <w:fldChar w:fldCharType="begin"/>
          </w:r>
          <w:r w:rsidR="00044F26">
            <w:rPr>
              <w:sz w:val="28"/>
              <w:szCs w:val="28"/>
            </w:rPr>
            <w:instrText xml:space="preserve">CITATION Bra12 \p 124 \l 2057 </w:instrText>
          </w:r>
          <w:r w:rsidR="00044F26">
            <w:rPr>
              <w:sz w:val="28"/>
              <w:szCs w:val="28"/>
            </w:rPr>
            <w:fldChar w:fldCharType="separate"/>
          </w:r>
          <w:r w:rsidR="00044F26">
            <w:rPr>
              <w:noProof/>
              <w:sz w:val="28"/>
              <w:szCs w:val="28"/>
            </w:rPr>
            <w:t xml:space="preserve"> </w:t>
          </w:r>
          <w:r w:rsidR="00044F26" w:rsidRPr="00044F26">
            <w:rPr>
              <w:noProof/>
              <w:sz w:val="28"/>
              <w:szCs w:val="28"/>
            </w:rPr>
            <w:t>(Braswell, 2012, p. 124)</w:t>
          </w:r>
          <w:r w:rsidR="00044F26">
            <w:rPr>
              <w:sz w:val="28"/>
              <w:szCs w:val="28"/>
            </w:rPr>
            <w:fldChar w:fldCharType="end"/>
          </w:r>
        </w:sdtContent>
      </w:sdt>
      <w:r w:rsidR="00CF211F">
        <w:rPr>
          <w:sz w:val="28"/>
          <w:szCs w:val="28"/>
        </w:rPr>
        <w:t xml:space="preserve"> As Braswell explains, there is an assumption made that children will be accompanied by adults who have suitable background knowledge and are willing to pass that knowledge onto the children. This may become less likely in cases of ‘difficult heritage’ with adults becoming less likely to want to explain,</w:t>
      </w:r>
      <w:r w:rsidR="00112472">
        <w:rPr>
          <w:sz w:val="28"/>
          <w:szCs w:val="28"/>
        </w:rPr>
        <w:t xml:space="preserve"> which can become increasingly more likely in cases such as the Holocaust Centre </w:t>
      </w:r>
      <w:sdt>
        <w:sdtPr>
          <w:rPr>
            <w:sz w:val="28"/>
            <w:szCs w:val="28"/>
          </w:rPr>
          <w:id w:val="-1360891611"/>
          <w:citation/>
        </w:sdtPr>
        <w:sdtContent>
          <w:r w:rsidR="00112472">
            <w:rPr>
              <w:sz w:val="28"/>
              <w:szCs w:val="28"/>
            </w:rPr>
            <w:fldChar w:fldCharType="begin"/>
          </w:r>
          <w:r w:rsidR="00112472">
            <w:rPr>
              <w:sz w:val="28"/>
              <w:szCs w:val="28"/>
            </w:rPr>
            <w:instrText xml:space="preserve">CITATION Natwn \y  \l 2057 </w:instrText>
          </w:r>
          <w:r w:rsidR="00112472">
            <w:rPr>
              <w:sz w:val="28"/>
              <w:szCs w:val="28"/>
            </w:rPr>
            <w:fldChar w:fldCharType="separate"/>
          </w:r>
          <w:r w:rsidR="00112472" w:rsidRPr="00112472">
            <w:rPr>
              <w:noProof/>
              <w:sz w:val="28"/>
              <w:szCs w:val="28"/>
            </w:rPr>
            <w:t>(Museum)</w:t>
          </w:r>
          <w:r w:rsidR="00112472">
            <w:rPr>
              <w:sz w:val="28"/>
              <w:szCs w:val="28"/>
            </w:rPr>
            <w:fldChar w:fldCharType="end"/>
          </w:r>
        </w:sdtContent>
      </w:sdt>
      <w:r w:rsidR="00112472">
        <w:rPr>
          <w:sz w:val="28"/>
          <w:szCs w:val="28"/>
        </w:rPr>
        <w:t xml:space="preserve"> where the history surrounds the nature of death in the context of genocide. </w:t>
      </w:r>
      <w:r w:rsidR="00FC75F6">
        <w:rPr>
          <w:sz w:val="28"/>
          <w:szCs w:val="28"/>
        </w:rPr>
        <w:t>Although alongside this there is the idea that there is the “</w:t>
      </w:r>
      <w:r w:rsidR="00FC75F6" w:rsidRPr="00FC75F6">
        <w:rPr>
          <w:sz w:val="28"/>
          <w:szCs w:val="28"/>
        </w:rPr>
        <w:t>potential for museums to serve as locations for the navigation of perennial questions of identity and belonging</w:t>
      </w:r>
      <w:r w:rsidR="00FC75F6">
        <w:rPr>
          <w:sz w:val="28"/>
          <w:szCs w:val="28"/>
        </w:rPr>
        <w:t>”</w:t>
      </w:r>
      <w:sdt>
        <w:sdtPr>
          <w:rPr>
            <w:sz w:val="28"/>
            <w:szCs w:val="28"/>
          </w:rPr>
          <w:id w:val="899491440"/>
          <w:citation/>
        </w:sdtPr>
        <w:sdtContent>
          <w:r w:rsidR="00FC75F6">
            <w:rPr>
              <w:sz w:val="28"/>
              <w:szCs w:val="28"/>
            </w:rPr>
            <w:fldChar w:fldCharType="begin"/>
          </w:r>
          <w:r w:rsidR="00FC75F6">
            <w:rPr>
              <w:sz w:val="28"/>
              <w:szCs w:val="28"/>
            </w:rPr>
            <w:instrText xml:space="preserve">CITATION Son18 \p 44 \l 2057 </w:instrText>
          </w:r>
          <w:r w:rsidR="00FC75F6">
            <w:rPr>
              <w:sz w:val="28"/>
              <w:szCs w:val="28"/>
            </w:rPr>
            <w:fldChar w:fldCharType="separate"/>
          </w:r>
          <w:r w:rsidR="00FC75F6">
            <w:rPr>
              <w:noProof/>
              <w:sz w:val="28"/>
              <w:szCs w:val="28"/>
            </w:rPr>
            <w:t xml:space="preserve"> </w:t>
          </w:r>
          <w:r w:rsidR="00FC75F6" w:rsidRPr="00FC75F6">
            <w:rPr>
              <w:noProof/>
              <w:sz w:val="28"/>
              <w:szCs w:val="28"/>
            </w:rPr>
            <w:t>(Sontum Hannedatter, 2018, p. 44)</w:t>
          </w:r>
          <w:r w:rsidR="00FC75F6">
            <w:rPr>
              <w:sz w:val="28"/>
              <w:szCs w:val="28"/>
            </w:rPr>
            <w:fldChar w:fldCharType="end"/>
          </w:r>
        </w:sdtContent>
      </w:sdt>
      <w:r w:rsidR="00FC75F6">
        <w:rPr>
          <w:sz w:val="28"/>
          <w:szCs w:val="28"/>
        </w:rPr>
        <w:t xml:space="preserve">, </w:t>
      </w:r>
      <w:r w:rsidR="00D216F7">
        <w:rPr>
          <w:sz w:val="28"/>
          <w:szCs w:val="28"/>
        </w:rPr>
        <w:t>making these spaces the exact kind of place that these discussions should take place, providing necessary material to ease and aid the conversation whether that be</w:t>
      </w:r>
      <w:r w:rsidR="00D84CBF">
        <w:rPr>
          <w:sz w:val="28"/>
          <w:szCs w:val="28"/>
        </w:rPr>
        <w:t xml:space="preserve"> </w:t>
      </w:r>
      <w:r w:rsidR="00D216F7">
        <w:rPr>
          <w:sz w:val="28"/>
          <w:szCs w:val="28"/>
        </w:rPr>
        <w:t xml:space="preserve">between adults and children or just adults. </w:t>
      </w:r>
    </w:p>
    <w:p w14:paraId="5BC68917" w14:textId="0EBD96B9" w:rsidR="00D216F7" w:rsidRDefault="00D216F7" w:rsidP="00D84CBF">
      <w:pPr>
        <w:rPr>
          <w:sz w:val="28"/>
          <w:szCs w:val="28"/>
        </w:rPr>
      </w:pPr>
      <w:r>
        <w:rPr>
          <w:sz w:val="28"/>
          <w:szCs w:val="28"/>
        </w:rPr>
        <w:t>Engagement is, in museum contexts, often perceived as a directed concept. Sontum states “</w:t>
      </w:r>
      <w:r w:rsidRPr="00D216F7">
        <w:rPr>
          <w:sz w:val="28"/>
          <w:szCs w:val="28"/>
        </w:rPr>
        <w:t>museums are not, and cannot be, apolitical, objective or “neutral” spaces</w:t>
      </w:r>
      <w:r>
        <w:rPr>
          <w:sz w:val="28"/>
          <w:szCs w:val="28"/>
        </w:rPr>
        <w:t>”</w:t>
      </w:r>
      <w:sdt>
        <w:sdtPr>
          <w:rPr>
            <w:sz w:val="28"/>
            <w:szCs w:val="28"/>
          </w:rPr>
          <w:id w:val="-1310476380"/>
          <w:citation/>
        </w:sdtPr>
        <w:sdtContent>
          <w:r>
            <w:rPr>
              <w:sz w:val="28"/>
              <w:szCs w:val="28"/>
            </w:rPr>
            <w:fldChar w:fldCharType="begin"/>
          </w:r>
          <w:r>
            <w:rPr>
              <w:sz w:val="28"/>
              <w:szCs w:val="28"/>
            </w:rPr>
            <w:instrText xml:space="preserve">CITATION Son18 \p 44 \n  \l 2057 </w:instrText>
          </w:r>
          <w:r>
            <w:rPr>
              <w:sz w:val="28"/>
              <w:szCs w:val="28"/>
            </w:rPr>
            <w:fldChar w:fldCharType="separate"/>
          </w:r>
          <w:r>
            <w:rPr>
              <w:noProof/>
              <w:sz w:val="28"/>
              <w:szCs w:val="28"/>
            </w:rPr>
            <w:t xml:space="preserve"> </w:t>
          </w:r>
          <w:r w:rsidRPr="00D216F7">
            <w:rPr>
              <w:noProof/>
              <w:sz w:val="28"/>
              <w:szCs w:val="28"/>
            </w:rPr>
            <w:t>(2018, p. 44)</w:t>
          </w:r>
          <w:r>
            <w:rPr>
              <w:sz w:val="28"/>
              <w:szCs w:val="28"/>
            </w:rPr>
            <w:fldChar w:fldCharType="end"/>
          </w:r>
        </w:sdtContent>
      </w:sdt>
      <w:r>
        <w:rPr>
          <w:sz w:val="28"/>
          <w:szCs w:val="28"/>
        </w:rPr>
        <w:t xml:space="preserve">. </w:t>
      </w:r>
      <w:r w:rsidR="007561B8">
        <w:rPr>
          <w:sz w:val="28"/>
          <w:szCs w:val="28"/>
        </w:rPr>
        <w:t xml:space="preserve">Spaces that seek to engage the public with ‘difficult heritage’ are certainly no exception to this rule. The Holocaust Centre </w:t>
      </w:r>
      <w:sdt>
        <w:sdtPr>
          <w:rPr>
            <w:sz w:val="28"/>
            <w:szCs w:val="28"/>
          </w:rPr>
          <w:id w:val="-1030721602"/>
          <w:citation/>
        </w:sdtPr>
        <w:sdtContent>
          <w:r w:rsidR="007561B8">
            <w:rPr>
              <w:sz w:val="28"/>
              <w:szCs w:val="28"/>
            </w:rPr>
            <w:fldChar w:fldCharType="begin"/>
          </w:r>
          <w:r w:rsidR="007561B8">
            <w:rPr>
              <w:sz w:val="28"/>
              <w:szCs w:val="28"/>
            </w:rPr>
            <w:instrText xml:space="preserve">CITATION Natwn \y  \l 2057 </w:instrText>
          </w:r>
          <w:r w:rsidR="007561B8">
            <w:rPr>
              <w:sz w:val="28"/>
              <w:szCs w:val="28"/>
            </w:rPr>
            <w:fldChar w:fldCharType="separate"/>
          </w:r>
          <w:r w:rsidR="007561B8" w:rsidRPr="007561B8">
            <w:rPr>
              <w:noProof/>
              <w:sz w:val="28"/>
              <w:szCs w:val="28"/>
            </w:rPr>
            <w:t>(Museum)</w:t>
          </w:r>
          <w:r w:rsidR="007561B8">
            <w:rPr>
              <w:sz w:val="28"/>
              <w:szCs w:val="28"/>
            </w:rPr>
            <w:fldChar w:fldCharType="end"/>
          </w:r>
        </w:sdtContent>
      </w:sdt>
      <w:r w:rsidR="007561B8">
        <w:rPr>
          <w:sz w:val="28"/>
          <w:szCs w:val="28"/>
        </w:rPr>
        <w:t>is an example of how collections may be constructed to make the engaging audience experience a carefully designed space to make them feel empathy in a certain way for certain people</w:t>
      </w:r>
      <w:r w:rsidR="00E61B7C">
        <w:rPr>
          <w:sz w:val="28"/>
          <w:szCs w:val="28"/>
        </w:rPr>
        <w:t>, with examples of photographs and oral testimonies</w:t>
      </w:r>
      <w:r w:rsidR="007561B8">
        <w:rPr>
          <w:sz w:val="28"/>
          <w:szCs w:val="28"/>
        </w:rPr>
        <w:t xml:space="preserve">. Here there is an emphasis placed upon the individual to make the public experience the history on the same level which in turn creates a shared sense of that individual’s experiences. </w:t>
      </w:r>
    </w:p>
    <w:p w14:paraId="268E03DA" w14:textId="1D2047EF" w:rsidR="0002389E" w:rsidRPr="00D71994" w:rsidRDefault="0002389E" w:rsidP="00D84CBF">
      <w:pPr>
        <w:rPr>
          <w:rFonts w:cstheme="minorHAnsi"/>
          <w:sz w:val="28"/>
          <w:szCs w:val="28"/>
        </w:rPr>
      </w:pPr>
      <w:r>
        <w:rPr>
          <w:sz w:val="28"/>
          <w:szCs w:val="28"/>
        </w:rPr>
        <w:t xml:space="preserve">The reception of a space and how the public engages with a space </w:t>
      </w:r>
      <w:r w:rsidR="00CC69E7">
        <w:rPr>
          <w:sz w:val="28"/>
          <w:szCs w:val="28"/>
        </w:rPr>
        <w:t>are a particularly important thing to consider in spaces where topics of ‘difficult heritage’ are discussed. As a result</w:t>
      </w:r>
      <w:r w:rsidR="00DF77AC">
        <w:rPr>
          <w:sz w:val="28"/>
          <w:szCs w:val="28"/>
        </w:rPr>
        <w:t>,</w:t>
      </w:r>
      <w:r w:rsidR="00CC69E7">
        <w:rPr>
          <w:sz w:val="28"/>
          <w:szCs w:val="28"/>
        </w:rPr>
        <w:t xml:space="preserve"> these spaces are most often designed in a way that enhances this, although how the public does engage with a specific is not always how the creators intended and in ways that are unexpected. </w:t>
      </w:r>
    </w:p>
    <w:p w14:paraId="1787C706" w14:textId="4EEAEF25" w:rsidR="008514AA" w:rsidRPr="008514AA" w:rsidRDefault="008514AA" w:rsidP="00D84CBF">
      <w:pPr>
        <w:ind w:left="360"/>
        <w:rPr>
          <w:rFonts w:cstheme="minorHAnsi"/>
          <w:b/>
          <w:bCs/>
          <w:sz w:val="32"/>
          <w:szCs w:val="32"/>
          <w:u w:val="single"/>
        </w:rPr>
      </w:pPr>
    </w:p>
    <w:p w14:paraId="25E54099" w14:textId="0FA88C4F" w:rsidR="008514AA" w:rsidRPr="008514AA" w:rsidRDefault="008514AA" w:rsidP="00D84CBF">
      <w:pPr>
        <w:rPr>
          <w:rFonts w:cstheme="minorHAnsi"/>
          <w:b/>
          <w:bCs/>
          <w:sz w:val="32"/>
          <w:szCs w:val="32"/>
          <w:u w:val="single"/>
        </w:rPr>
      </w:pPr>
      <w:r w:rsidRPr="008514AA">
        <w:rPr>
          <w:rFonts w:cstheme="minorHAnsi"/>
          <w:b/>
          <w:bCs/>
          <w:sz w:val="32"/>
          <w:szCs w:val="32"/>
          <w:u w:val="single"/>
        </w:rPr>
        <w:lastRenderedPageBreak/>
        <w:t>Preservation</w:t>
      </w:r>
    </w:p>
    <w:p w14:paraId="71419D43" w14:textId="777663F5" w:rsidR="009259F3" w:rsidRDefault="00DF77AC" w:rsidP="00D84CBF">
      <w:pPr>
        <w:rPr>
          <w:rFonts w:cstheme="minorHAnsi"/>
          <w:sz w:val="28"/>
          <w:szCs w:val="28"/>
        </w:rPr>
      </w:pPr>
      <w:r w:rsidRPr="00DF77AC">
        <w:rPr>
          <w:rFonts w:cstheme="minorHAnsi"/>
          <w:sz w:val="28"/>
          <w:szCs w:val="28"/>
        </w:rPr>
        <w:t xml:space="preserve">‘Difficult heritage’ </w:t>
      </w:r>
      <w:r>
        <w:rPr>
          <w:rFonts w:cstheme="minorHAnsi"/>
          <w:sz w:val="28"/>
          <w:szCs w:val="28"/>
        </w:rPr>
        <w:t xml:space="preserve">presents further issues when discussing preservation. Items that build collections </w:t>
      </w:r>
      <w:r w:rsidR="00C04EF0">
        <w:rPr>
          <w:rFonts w:cstheme="minorHAnsi"/>
          <w:sz w:val="28"/>
          <w:szCs w:val="28"/>
        </w:rPr>
        <w:t>of the ‘difficult heritage’ nature are often highly sort after commodities by private collectors. As a result, the amount available to be placed into collections that are viewed by the public such as the Holocaust Centre</w:t>
      </w:r>
      <w:sdt>
        <w:sdtPr>
          <w:rPr>
            <w:rFonts w:cstheme="minorHAnsi"/>
            <w:sz w:val="28"/>
            <w:szCs w:val="28"/>
          </w:rPr>
          <w:id w:val="-259294558"/>
          <w:citation/>
        </w:sdtPr>
        <w:sdtContent>
          <w:r w:rsidR="00C04EF0">
            <w:rPr>
              <w:rFonts w:cstheme="minorHAnsi"/>
              <w:sz w:val="28"/>
              <w:szCs w:val="28"/>
            </w:rPr>
            <w:fldChar w:fldCharType="begin"/>
          </w:r>
          <w:r w:rsidR="00C04EF0">
            <w:rPr>
              <w:rFonts w:cstheme="minorHAnsi"/>
              <w:sz w:val="28"/>
              <w:szCs w:val="28"/>
            </w:rPr>
            <w:instrText xml:space="preserve">CITATION Natwn \y  \l 2057 </w:instrText>
          </w:r>
          <w:r w:rsidR="00C04EF0">
            <w:rPr>
              <w:rFonts w:cstheme="minorHAnsi"/>
              <w:sz w:val="28"/>
              <w:szCs w:val="28"/>
            </w:rPr>
            <w:fldChar w:fldCharType="separate"/>
          </w:r>
          <w:r w:rsidR="00C04EF0">
            <w:rPr>
              <w:rFonts w:cstheme="minorHAnsi"/>
              <w:noProof/>
              <w:sz w:val="28"/>
              <w:szCs w:val="28"/>
            </w:rPr>
            <w:t xml:space="preserve"> </w:t>
          </w:r>
          <w:r w:rsidR="00C04EF0" w:rsidRPr="00C04EF0">
            <w:rPr>
              <w:rFonts w:cstheme="minorHAnsi"/>
              <w:noProof/>
              <w:sz w:val="28"/>
              <w:szCs w:val="28"/>
            </w:rPr>
            <w:t>(Museum)</w:t>
          </w:r>
          <w:r w:rsidR="00C04EF0">
            <w:rPr>
              <w:rFonts w:cstheme="minorHAnsi"/>
              <w:sz w:val="28"/>
              <w:szCs w:val="28"/>
            </w:rPr>
            <w:fldChar w:fldCharType="end"/>
          </w:r>
        </w:sdtContent>
      </w:sdt>
      <w:r w:rsidR="00774519">
        <w:rPr>
          <w:rFonts w:cstheme="minorHAnsi"/>
          <w:sz w:val="28"/>
          <w:szCs w:val="28"/>
        </w:rPr>
        <w:t xml:space="preserve"> often decreases over time</w:t>
      </w:r>
      <w:r w:rsidR="00C04EF0">
        <w:rPr>
          <w:rFonts w:cstheme="minorHAnsi"/>
          <w:sz w:val="28"/>
          <w:szCs w:val="28"/>
        </w:rPr>
        <w:t>.</w:t>
      </w:r>
    </w:p>
    <w:p w14:paraId="501B6859" w14:textId="5AA97870" w:rsidR="008514AA" w:rsidRDefault="003C2831" w:rsidP="00D84CBF">
      <w:pPr>
        <w:rPr>
          <w:sz w:val="28"/>
          <w:szCs w:val="28"/>
        </w:rPr>
      </w:pPr>
      <w:r>
        <w:rPr>
          <w:rFonts w:cstheme="minorHAnsi"/>
          <w:sz w:val="28"/>
          <w:szCs w:val="28"/>
        </w:rPr>
        <w:t xml:space="preserve">“Yet, </w:t>
      </w:r>
      <w:r w:rsidRPr="003C2831">
        <w:rPr>
          <w:sz w:val="28"/>
          <w:szCs w:val="28"/>
        </w:rPr>
        <w:t>loss of archaeological knowledge also occurs on an arguably far wider scale through the non-reporting and subsequent sale of legitimately discovered archaeological material, especially in countries such as the U.K. where there is no legal obligation to report certain classes of finds.</w:t>
      </w:r>
      <w:r>
        <w:rPr>
          <w:sz w:val="28"/>
          <w:szCs w:val="28"/>
        </w:rPr>
        <w:t>”</w:t>
      </w:r>
      <w:sdt>
        <w:sdtPr>
          <w:rPr>
            <w:sz w:val="28"/>
            <w:szCs w:val="28"/>
          </w:rPr>
          <w:id w:val="45802464"/>
          <w:citation/>
        </w:sdtPr>
        <w:sdtContent>
          <w:r>
            <w:rPr>
              <w:sz w:val="28"/>
              <w:szCs w:val="28"/>
            </w:rPr>
            <w:fldChar w:fldCharType="begin"/>
          </w:r>
          <w:r>
            <w:rPr>
              <w:sz w:val="28"/>
              <w:szCs w:val="28"/>
            </w:rPr>
            <w:instrText xml:space="preserve">CITATION Dau17 \p 785 \l 2057 </w:instrText>
          </w:r>
          <w:r>
            <w:rPr>
              <w:sz w:val="28"/>
              <w:szCs w:val="28"/>
            </w:rPr>
            <w:fldChar w:fldCharType="separate"/>
          </w:r>
          <w:r>
            <w:rPr>
              <w:noProof/>
              <w:sz w:val="28"/>
              <w:szCs w:val="28"/>
            </w:rPr>
            <w:t xml:space="preserve"> </w:t>
          </w:r>
          <w:r w:rsidRPr="003C2831">
            <w:rPr>
              <w:noProof/>
              <w:sz w:val="28"/>
              <w:szCs w:val="28"/>
            </w:rPr>
            <w:t>(Daubney, 2017, p. 785)</w:t>
          </w:r>
          <w:r>
            <w:rPr>
              <w:sz w:val="28"/>
              <w:szCs w:val="28"/>
            </w:rPr>
            <w:fldChar w:fldCharType="end"/>
          </w:r>
        </w:sdtContent>
      </w:sdt>
      <w:r w:rsidR="009259F3">
        <w:rPr>
          <w:sz w:val="28"/>
          <w:szCs w:val="28"/>
        </w:rPr>
        <w:t xml:space="preserve"> </w:t>
      </w:r>
    </w:p>
    <w:p w14:paraId="327E3C7A" w14:textId="5BD6D2D8" w:rsidR="009259F3" w:rsidRDefault="00620BA4" w:rsidP="00D84CBF">
      <w:pPr>
        <w:rPr>
          <w:rFonts w:cstheme="minorHAnsi"/>
          <w:sz w:val="28"/>
          <w:szCs w:val="28"/>
        </w:rPr>
      </w:pPr>
      <w:r>
        <w:rPr>
          <w:rFonts w:cstheme="minorHAnsi"/>
          <w:sz w:val="28"/>
          <w:szCs w:val="28"/>
        </w:rPr>
        <w:t xml:space="preserve">The subject of ‘difficult heritage’ </w:t>
      </w:r>
      <w:r w:rsidR="00447325">
        <w:rPr>
          <w:rFonts w:cstheme="minorHAnsi"/>
          <w:sz w:val="28"/>
          <w:szCs w:val="28"/>
        </w:rPr>
        <w:t xml:space="preserve">has a tendency to make the artefacts even more desirable. The demand in private trade for such objects is high and presents the possibility of causing the representation of the history to the public to become incomplete. The private trade of ‘difficult heritage’ also has the potential, especially using the context of the Holocaust Centre </w:t>
      </w:r>
      <w:sdt>
        <w:sdtPr>
          <w:rPr>
            <w:rFonts w:cstheme="minorHAnsi"/>
            <w:sz w:val="28"/>
            <w:szCs w:val="28"/>
          </w:rPr>
          <w:id w:val="-1842457946"/>
          <w:citation/>
        </w:sdtPr>
        <w:sdtContent>
          <w:r w:rsidR="00447325">
            <w:rPr>
              <w:rFonts w:cstheme="minorHAnsi"/>
              <w:sz w:val="28"/>
              <w:szCs w:val="28"/>
            </w:rPr>
            <w:fldChar w:fldCharType="begin"/>
          </w:r>
          <w:r w:rsidR="00447325">
            <w:rPr>
              <w:rFonts w:cstheme="minorHAnsi"/>
              <w:sz w:val="28"/>
              <w:szCs w:val="28"/>
            </w:rPr>
            <w:instrText xml:space="preserve">CITATION Natwn \y  \l 2057 </w:instrText>
          </w:r>
          <w:r w:rsidR="00447325">
            <w:rPr>
              <w:rFonts w:cstheme="minorHAnsi"/>
              <w:sz w:val="28"/>
              <w:szCs w:val="28"/>
            </w:rPr>
            <w:fldChar w:fldCharType="separate"/>
          </w:r>
          <w:r w:rsidR="00447325" w:rsidRPr="00447325">
            <w:rPr>
              <w:rFonts w:cstheme="minorHAnsi"/>
              <w:noProof/>
              <w:sz w:val="28"/>
              <w:szCs w:val="28"/>
            </w:rPr>
            <w:t>(Museum)</w:t>
          </w:r>
          <w:r w:rsidR="00447325">
            <w:rPr>
              <w:rFonts w:cstheme="minorHAnsi"/>
              <w:sz w:val="28"/>
              <w:szCs w:val="28"/>
            </w:rPr>
            <w:fldChar w:fldCharType="end"/>
          </w:r>
        </w:sdtContent>
      </w:sdt>
      <w:r w:rsidR="00447325">
        <w:rPr>
          <w:rFonts w:cstheme="minorHAnsi"/>
          <w:sz w:val="28"/>
          <w:szCs w:val="28"/>
        </w:rPr>
        <w:t xml:space="preserve">, to </w:t>
      </w:r>
      <w:r w:rsidR="00040D3E">
        <w:rPr>
          <w:rFonts w:cstheme="minorHAnsi"/>
          <w:sz w:val="28"/>
          <w:szCs w:val="28"/>
        </w:rPr>
        <w:t>cause problems with family connections and true ownership of objects. This issue could extend further, in that artefacts in the private trade are not as likely to receive the necessary preservation in order to ensure the survival of the object. In many cases related to the type of collections that are found within the Holocaust Centre</w:t>
      </w:r>
      <w:r w:rsidR="00416876">
        <w:rPr>
          <w:rFonts w:cstheme="minorHAnsi"/>
          <w:sz w:val="28"/>
          <w:szCs w:val="28"/>
        </w:rPr>
        <w:t xml:space="preserve">, the kind of objects are often made of very perishable materials such as paper, that require specialist attention. </w:t>
      </w:r>
    </w:p>
    <w:p w14:paraId="28A1CD81" w14:textId="1C54C237" w:rsidR="00180DE7" w:rsidRPr="00180DE7" w:rsidRDefault="0089070E" w:rsidP="00D84CBF">
      <w:pPr>
        <w:rPr>
          <w:rFonts w:cstheme="minorHAnsi"/>
          <w:sz w:val="28"/>
          <w:szCs w:val="28"/>
          <w:shd w:val="clear" w:color="auto" w:fill="F0F1EF"/>
        </w:rPr>
      </w:pPr>
      <w:r>
        <w:rPr>
          <w:rFonts w:cstheme="minorHAnsi"/>
          <w:sz w:val="28"/>
          <w:szCs w:val="28"/>
        </w:rPr>
        <w:t xml:space="preserve">The preservation of a history is often a motivating factor for a museum to create a collection in the first place. This is especially prevalent within the ‘difficult heritage’ context. </w:t>
      </w:r>
      <w:r w:rsidR="00633E4B">
        <w:rPr>
          <w:rFonts w:cstheme="minorHAnsi"/>
          <w:sz w:val="28"/>
          <w:szCs w:val="28"/>
        </w:rPr>
        <w:t xml:space="preserve">Using the Holocaust Centre </w:t>
      </w:r>
      <w:sdt>
        <w:sdtPr>
          <w:rPr>
            <w:rFonts w:cstheme="minorHAnsi"/>
            <w:sz w:val="28"/>
            <w:szCs w:val="28"/>
          </w:rPr>
          <w:id w:val="1367098771"/>
          <w:citation/>
        </w:sdtPr>
        <w:sdtContent>
          <w:r w:rsidR="00633E4B">
            <w:rPr>
              <w:rFonts w:cstheme="minorHAnsi"/>
              <w:sz w:val="28"/>
              <w:szCs w:val="28"/>
            </w:rPr>
            <w:fldChar w:fldCharType="begin"/>
          </w:r>
          <w:r w:rsidR="00633E4B">
            <w:rPr>
              <w:rFonts w:cstheme="minorHAnsi"/>
              <w:sz w:val="28"/>
              <w:szCs w:val="28"/>
            </w:rPr>
            <w:instrText xml:space="preserve">CITATION Natwn \y  \l 2057 </w:instrText>
          </w:r>
          <w:r w:rsidR="00633E4B">
            <w:rPr>
              <w:rFonts w:cstheme="minorHAnsi"/>
              <w:sz w:val="28"/>
              <w:szCs w:val="28"/>
            </w:rPr>
            <w:fldChar w:fldCharType="separate"/>
          </w:r>
          <w:r w:rsidR="00633E4B" w:rsidRPr="00633E4B">
            <w:rPr>
              <w:rFonts w:cstheme="minorHAnsi"/>
              <w:noProof/>
              <w:sz w:val="28"/>
              <w:szCs w:val="28"/>
            </w:rPr>
            <w:t>(Museum)</w:t>
          </w:r>
          <w:r w:rsidR="00633E4B">
            <w:rPr>
              <w:rFonts w:cstheme="minorHAnsi"/>
              <w:sz w:val="28"/>
              <w:szCs w:val="28"/>
            </w:rPr>
            <w:fldChar w:fldCharType="end"/>
          </w:r>
        </w:sdtContent>
      </w:sdt>
      <w:r w:rsidR="00633E4B">
        <w:rPr>
          <w:rFonts w:cstheme="minorHAnsi"/>
          <w:sz w:val="28"/>
          <w:szCs w:val="28"/>
        </w:rPr>
        <w:t xml:space="preserve">as an example, the objects within the collection are from an era of conflict and as such they are often damaged or delicate when they are given to the collection in the first place. An example of this is the Westerbork Addressed Paper </w:t>
      </w:r>
      <w:sdt>
        <w:sdtPr>
          <w:rPr>
            <w:rFonts w:cstheme="minorHAnsi"/>
            <w:sz w:val="28"/>
            <w:szCs w:val="28"/>
          </w:rPr>
          <w:id w:val="-998575644"/>
          <w:citation/>
        </w:sdtPr>
        <w:sdtContent>
          <w:r w:rsidR="00633E4B">
            <w:rPr>
              <w:rFonts w:cstheme="minorHAnsi"/>
              <w:sz w:val="28"/>
              <w:szCs w:val="28"/>
            </w:rPr>
            <w:fldChar w:fldCharType="begin"/>
          </w:r>
          <w:r w:rsidR="00217897">
            <w:rPr>
              <w:rFonts w:cstheme="minorHAnsi"/>
              <w:sz w:val="28"/>
              <w:szCs w:val="28"/>
            </w:rPr>
            <w:instrText xml:space="preserve">CITATION Unkwn2 \l 2057 </w:instrText>
          </w:r>
          <w:r w:rsidR="00633E4B">
            <w:rPr>
              <w:rFonts w:cstheme="minorHAnsi"/>
              <w:sz w:val="28"/>
              <w:szCs w:val="28"/>
            </w:rPr>
            <w:fldChar w:fldCharType="separate"/>
          </w:r>
          <w:r w:rsidR="00217897" w:rsidRPr="00217897">
            <w:rPr>
              <w:rFonts w:cstheme="minorHAnsi"/>
              <w:noProof/>
              <w:sz w:val="28"/>
              <w:szCs w:val="28"/>
            </w:rPr>
            <w:t>(Museum, unkown)</w:t>
          </w:r>
          <w:r w:rsidR="00633E4B">
            <w:rPr>
              <w:rFonts w:cstheme="minorHAnsi"/>
              <w:sz w:val="28"/>
              <w:szCs w:val="28"/>
            </w:rPr>
            <w:fldChar w:fldCharType="end"/>
          </w:r>
        </w:sdtContent>
      </w:sdt>
      <w:r w:rsidR="00180DE7">
        <w:rPr>
          <w:rFonts w:cstheme="minorHAnsi"/>
          <w:sz w:val="28"/>
          <w:szCs w:val="28"/>
        </w:rPr>
        <w:t>, “</w:t>
      </w:r>
      <w:r w:rsidR="00180DE7" w:rsidRPr="00180DE7">
        <w:rPr>
          <w:rFonts w:cstheme="minorHAnsi"/>
          <w:sz w:val="28"/>
          <w:szCs w:val="28"/>
        </w:rPr>
        <w:t>This piece of paper was sent to Jopie Vedder, at an Amsterdam address. The paper is one of six documents donated together, the documents contain a letter to Jopie Vedder from her partner, a Jewish man who had been arrested by the Nazi regime and held in Westerbork, and letters from his relative.</w:t>
      </w:r>
      <w:r w:rsidR="00180DE7" w:rsidRPr="00180DE7">
        <w:rPr>
          <w:rFonts w:cstheme="minorHAnsi"/>
          <w:sz w:val="28"/>
          <w:szCs w:val="28"/>
        </w:rPr>
        <w:t xml:space="preserve">” </w:t>
      </w:r>
      <w:sdt>
        <w:sdtPr>
          <w:rPr>
            <w:rFonts w:cstheme="minorHAnsi"/>
            <w:sz w:val="28"/>
            <w:szCs w:val="28"/>
          </w:rPr>
          <w:id w:val="-331691889"/>
          <w:citation/>
        </w:sdtPr>
        <w:sdtContent>
          <w:r w:rsidR="00180DE7" w:rsidRPr="00180DE7">
            <w:rPr>
              <w:rFonts w:cstheme="minorHAnsi"/>
              <w:sz w:val="28"/>
              <w:szCs w:val="28"/>
            </w:rPr>
            <w:fldChar w:fldCharType="begin"/>
          </w:r>
          <w:r w:rsidR="00217897">
            <w:rPr>
              <w:rFonts w:cstheme="minorHAnsi"/>
              <w:sz w:val="28"/>
              <w:szCs w:val="28"/>
            </w:rPr>
            <w:instrText xml:space="preserve">CITATION Unkwn2 \l 2057 </w:instrText>
          </w:r>
          <w:r w:rsidR="00180DE7" w:rsidRPr="00180DE7">
            <w:rPr>
              <w:rFonts w:cstheme="minorHAnsi"/>
              <w:sz w:val="28"/>
              <w:szCs w:val="28"/>
            </w:rPr>
            <w:fldChar w:fldCharType="separate"/>
          </w:r>
          <w:r w:rsidR="00217897" w:rsidRPr="00217897">
            <w:rPr>
              <w:rFonts w:cstheme="minorHAnsi"/>
              <w:noProof/>
              <w:sz w:val="28"/>
              <w:szCs w:val="28"/>
            </w:rPr>
            <w:t>(Museum, unkown)</w:t>
          </w:r>
          <w:r w:rsidR="00180DE7" w:rsidRPr="00180DE7">
            <w:rPr>
              <w:rFonts w:cstheme="minorHAnsi"/>
              <w:sz w:val="28"/>
              <w:szCs w:val="28"/>
            </w:rPr>
            <w:fldChar w:fldCharType="end"/>
          </w:r>
        </w:sdtContent>
      </w:sdt>
      <w:r w:rsidR="00180DE7" w:rsidRPr="00180DE7">
        <w:rPr>
          <w:rFonts w:cstheme="minorHAnsi"/>
          <w:sz w:val="28"/>
          <w:szCs w:val="28"/>
        </w:rPr>
        <w:t>.</w:t>
      </w:r>
      <w:r w:rsidR="00180DE7">
        <w:rPr>
          <w:rFonts w:cstheme="minorHAnsi"/>
          <w:sz w:val="28"/>
          <w:szCs w:val="28"/>
          <w:shd w:val="clear" w:color="auto" w:fill="F0F1EF"/>
        </w:rPr>
        <w:t xml:space="preserve"> </w:t>
      </w:r>
      <w:r w:rsidR="00180DE7" w:rsidRPr="00180DE7">
        <w:rPr>
          <w:rFonts w:cstheme="minorHAnsi"/>
          <w:sz w:val="28"/>
          <w:szCs w:val="28"/>
        </w:rPr>
        <w:t>As can</w:t>
      </w:r>
      <w:r w:rsidR="00180DE7">
        <w:rPr>
          <w:rFonts w:cstheme="minorHAnsi"/>
          <w:sz w:val="28"/>
          <w:szCs w:val="28"/>
        </w:rPr>
        <w:t xml:space="preserve"> be seen in Figure 1, this document has some damages that have occurred at some point during its existence. Preservation is a necessary step</w:t>
      </w:r>
      <w:r w:rsidR="008D2AD7">
        <w:rPr>
          <w:rFonts w:cstheme="minorHAnsi"/>
          <w:sz w:val="28"/>
          <w:szCs w:val="28"/>
        </w:rPr>
        <w:t xml:space="preserve"> in this case, to make sure </w:t>
      </w:r>
      <w:r w:rsidR="00017B2B">
        <w:rPr>
          <w:rFonts w:cstheme="minorHAnsi"/>
          <w:sz w:val="28"/>
          <w:szCs w:val="28"/>
        </w:rPr>
        <w:t xml:space="preserve">this document does not receive further damages. </w:t>
      </w:r>
    </w:p>
    <w:p w14:paraId="041BD2BE" w14:textId="77777777" w:rsidR="00180DE7" w:rsidRDefault="00180DE7" w:rsidP="00D84CBF">
      <w:pPr>
        <w:keepNext/>
        <w:ind w:left="360"/>
      </w:pPr>
      <w:r>
        <w:rPr>
          <w:noProof/>
        </w:rPr>
        <w:lastRenderedPageBreak/>
        <w:drawing>
          <wp:inline distT="0" distB="0" distL="0" distR="0" wp14:anchorId="605D86B1" wp14:editId="710B7B4D">
            <wp:extent cx="3802380" cy="3329940"/>
            <wp:effectExtent l="0" t="0" r="7620" b="381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02380" cy="3329940"/>
                    </a:xfrm>
                    <a:prstGeom prst="rect">
                      <a:avLst/>
                    </a:prstGeom>
                    <a:noFill/>
                    <a:ln>
                      <a:noFill/>
                    </a:ln>
                  </pic:spPr>
                </pic:pic>
              </a:graphicData>
            </a:graphic>
          </wp:inline>
        </w:drawing>
      </w:r>
    </w:p>
    <w:p w14:paraId="1053FE0A" w14:textId="7EDCDA5B" w:rsidR="008514AA" w:rsidRPr="008514AA" w:rsidRDefault="00180DE7" w:rsidP="00D84CBF">
      <w:pPr>
        <w:pStyle w:val="Caption"/>
        <w:rPr>
          <w:rFonts w:cstheme="minorHAnsi"/>
          <w:b/>
          <w:bCs/>
          <w:sz w:val="32"/>
          <w:szCs w:val="32"/>
          <w:u w:val="single"/>
        </w:rPr>
      </w:pPr>
      <w:r>
        <w:t xml:space="preserve">Figure </w:t>
      </w:r>
      <w:fldSimple w:instr=" SEQ Figure \* ARABIC ">
        <w:r>
          <w:rPr>
            <w:noProof/>
          </w:rPr>
          <w:t>1</w:t>
        </w:r>
      </w:fldSimple>
      <w:r>
        <w:t xml:space="preserve">- Westerbork </w:t>
      </w:r>
      <w:r w:rsidR="00EB0721">
        <w:t>Addressed</w:t>
      </w:r>
      <w:r>
        <w:t xml:space="preserve"> Paper, Source: </w:t>
      </w:r>
      <w:r w:rsidRPr="008518F8">
        <w:t>https://www.holocaust.org.uk/addressed-paper-westerbork</w:t>
      </w:r>
    </w:p>
    <w:p w14:paraId="12E64F9A" w14:textId="77777777" w:rsidR="005746A5" w:rsidRDefault="00356FC6" w:rsidP="00D84CBF">
      <w:pPr>
        <w:rPr>
          <w:sz w:val="28"/>
          <w:szCs w:val="28"/>
        </w:rPr>
      </w:pPr>
      <w:r>
        <w:rPr>
          <w:rFonts w:cstheme="minorHAnsi"/>
          <w:sz w:val="28"/>
          <w:szCs w:val="28"/>
        </w:rPr>
        <w:t>Essential preservation becomes even more prevalent when discussing the collection of documents, especially in the immediate years following the event such as objects from the Holocaust. “</w:t>
      </w:r>
      <w:r w:rsidRPr="00356FC6">
        <w:rPr>
          <w:sz w:val="28"/>
          <w:szCs w:val="28"/>
        </w:rPr>
        <w:t>Early research often took what might be termed an object-centric view of the past, and this in part stimulated a greater interest in owning artefacts</w:t>
      </w:r>
      <w:r>
        <w:rPr>
          <w:sz w:val="28"/>
          <w:szCs w:val="28"/>
        </w:rPr>
        <w:t xml:space="preserve">.” </w:t>
      </w:r>
      <w:sdt>
        <w:sdtPr>
          <w:rPr>
            <w:sz w:val="28"/>
            <w:szCs w:val="28"/>
          </w:rPr>
          <w:id w:val="1384749951"/>
          <w:citation/>
        </w:sdtPr>
        <w:sdtContent>
          <w:r>
            <w:rPr>
              <w:sz w:val="28"/>
              <w:szCs w:val="28"/>
            </w:rPr>
            <w:fldChar w:fldCharType="begin"/>
          </w:r>
          <w:r>
            <w:rPr>
              <w:sz w:val="28"/>
              <w:szCs w:val="28"/>
            </w:rPr>
            <w:instrText xml:space="preserve">CITATION Dau17 \p 786 \l 2057 </w:instrText>
          </w:r>
          <w:r>
            <w:rPr>
              <w:sz w:val="28"/>
              <w:szCs w:val="28"/>
            </w:rPr>
            <w:fldChar w:fldCharType="separate"/>
          </w:r>
          <w:r w:rsidRPr="00356FC6">
            <w:rPr>
              <w:noProof/>
              <w:sz w:val="28"/>
              <w:szCs w:val="28"/>
            </w:rPr>
            <w:t>(Daubney, 2017, p. 786)</w:t>
          </w:r>
          <w:r>
            <w:rPr>
              <w:sz w:val="28"/>
              <w:szCs w:val="28"/>
            </w:rPr>
            <w:fldChar w:fldCharType="end"/>
          </w:r>
        </w:sdtContent>
      </w:sdt>
      <w:r>
        <w:rPr>
          <w:sz w:val="28"/>
          <w:szCs w:val="28"/>
        </w:rPr>
        <w:t xml:space="preserve"> </w:t>
      </w:r>
    </w:p>
    <w:p w14:paraId="5B747F61" w14:textId="77777777" w:rsidR="006A6C32" w:rsidRDefault="005746A5" w:rsidP="00D84CBF">
      <w:pPr>
        <w:rPr>
          <w:sz w:val="28"/>
          <w:szCs w:val="28"/>
        </w:rPr>
      </w:pPr>
      <w:r>
        <w:rPr>
          <w:rFonts w:cstheme="minorHAnsi"/>
          <w:sz w:val="28"/>
          <w:szCs w:val="28"/>
        </w:rPr>
        <w:t xml:space="preserve">In cases of ‘difficult heritage’ objects, as discussed before, are of high demand among private collectors and during the immediate years following the event artefacts may be easier to find and more enter the circulation of private ownership. </w:t>
      </w:r>
      <w:r>
        <w:rPr>
          <w:sz w:val="28"/>
          <w:szCs w:val="28"/>
        </w:rPr>
        <w:t>The risk of an object becoming damaged while in private ownership is high, however it is not a certainty and as private collectors cannot be written of entirely as dangers to the preservation of artefacts.</w:t>
      </w:r>
      <w:r w:rsidR="00217897">
        <w:rPr>
          <w:sz w:val="28"/>
          <w:szCs w:val="28"/>
        </w:rPr>
        <w:t xml:space="preserve"> In the case of the Holocaust Centre </w:t>
      </w:r>
      <w:sdt>
        <w:sdtPr>
          <w:rPr>
            <w:sz w:val="28"/>
            <w:szCs w:val="28"/>
          </w:rPr>
          <w:id w:val="-2073417922"/>
          <w:citation/>
        </w:sdtPr>
        <w:sdtContent>
          <w:r w:rsidR="00217897">
            <w:rPr>
              <w:sz w:val="28"/>
              <w:szCs w:val="28"/>
            </w:rPr>
            <w:fldChar w:fldCharType="begin"/>
          </w:r>
          <w:r w:rsidR="00217897">
            <w:rPr>
              <w:sz w:val="28"/>
              <w:szCs w:val="28"/>
            </w:rPr>
            <w:instrText xml:space="preserve">CITATION Natwn \y  \l 2057 </w:instrText>
          </w:r>
          <w:r w:rsidR="00217897">
            <w:rPr>
              <w:sz w:val="28"/>
              <w:szCs w:val="28"/>
            </w:rPr>
            <w:fldChar w:fldCharType="separate"/>
          </w:r>
          <w:r w:rsidR="00217897" w:rsidRPr="00217897">
            <w:rPr>
              <w:noProof/>
              <w:sz w:val="28"/>
              <w:szCs w:val="28"/>
            </w:rPr>
            <w:t>(Museum)</w:t>
          </w:r>
          <w:r w:rsidR="00217897">
            <w:rPr>
              <w:sz w:val="28"/>
              <w:szCs w:val="28"/>
            </w:rPr>
            <w:fldChar w:fldCharType="end"/>
          </w:r>
        </w:sdtContent>
      </w:sdt>
      <w:r w:rsidR="00217897">
        <w:rPr>
          <w:sz w:val="28"/>
          <w:szCs w:val="28"/>
        </w:rPr>
        <w:t xml:space="preserve">, there are ways that an object may still end up within the collection despite being owned by a private owner. The Centre </w:t>
      </w:r>
      <w:sdt>
        <w:sdtPr>
          <w:rPr>
            <w:sz w:val="28"/>
            <w:szCs w:val="28"/>
          </w:rPr>
          <w:id w:val="-1186197811"/>
          <w:citation/>
        </w:sdtPr>
        <w:sdtContent>
          <w:r w:rsidR="00217897">
            <w:rPr>
              <w:sz w:val="28"/>
              <w:szCs w:val="28"/>
            </w:rPr>
            <w:fldChar w:fldCharType="begin"/>
          </w:r>
          <w:r w:rsidR="00217897">
            <w:rPr>
              <w:sz w:val="28"/>
              <w:szCs w:val="28"/>
            </w:rPr>
            <w:instrText xml:space="preserve">CITATION Natwn \y  \l 2057 </w:instrText>
          </w:r>
          <w:r w:rsidR="00217897">
            <w:rPr>
              <w:sz w:val="28"/>
              <w:szCs w:val="28"/>
            </w:rPr>
            <w:fldChar w:fldCharType="separate"/>
          </w:r>
          <w:r w:rsidR="00217897" w:rsidRPr="00217897">
            <w:rPr>
              <w:noProof/>
              <w:sz w:val="28"/>
              <w:szCs w:val="28"/>
            </w:rPr>
            <w:t>(Museum)</w:t>
          </w:r>
          <w:r w:rsidR="00217897">
            <w:rPr>
              <w:sz w:val="28"/>
              <w:szCs w:val="28"/>
            </w:rPr>
            <w:fldChar w:fldCharType="end"/>
          </w:r>
        </w:sdtContent>
      </w:sdt>
      <w:r w:rsidR="00217897">
        <w:rPr>
          <w:sz w:val="28"/>
          <w:szCs w:val="28"/>
        </w:rPr>
        <w:t xml:space="preserve">, provides a service in which an individual may donate objects to the collection in their will, this allows personal possessions to be left to an organisation that will preserve them rather than being lost or passed to family members that may not secure the survival of the object. </w:t>
      </w:r>
    </w:p>
    <w:p w14:paraId="4E8691B9" w14:textId="64819D18" w:rsidR="005746A5" w:rsidRPr="006A6C32" w:rsidRDefault="00217897" w:rsidP="00D84CBF">
      <w:pPr>
        <w:rPr>
          <w:sz w:val="28"/>
          <w:szCs w:val="28"/>
        </w:rPr>
      </w:pPr>
      <w:r>
        <w:rPr>
          <w:sz w:val="28"/>
          <w:szCs w:val="28"/>
        </w:rPr>
        <w:t>“</w:t>
      </w:r>
      <w:r w:rsidRPr="00217897">
        <w:rPr>
          <w:rFonts w:cstheme="minorHAnsi"/>
          <w:sz w:val="28"/>
          <w:szCs w:val="28"/>
        </w:rPr>
        <w:t>Through a legacy to The National Holocaust Centre and Museum in your will you can pass on their story enabling more people to learn from the Holocaust and helping to ensure that those who were murdered, and those who survived but were forever changed, are not forgotten.</w:t>
      </w:r>
      <w:r>
        <w:rPr>
          <w:rFonts w:cstheme="minorHAnsi"/>
          <w:sz w:val="28"/>
          <w:szCs w:val="28"/>
        </w:rPr>
        <w:t xml:space="preserve">” </w:t>
      </w:r>
      <w:sdt>
        <w:sdtPr>
          <w:rPr>
            <w:rFonts w:cstheme="minorHAnsi"/>
            <w:sz w:val="28"/>
            <w:szCs w:val="28"/>
          </w:rPr>
          <w:id w:val="671454824"/>
          <w:citation/>
        </w:sdtPr>
        <w:sdtContent>
          <w:r>
            <w:rPr>
              <w:rFonts w:cstheme="minorHAnsi"/>
              <w:sz w:val="28"/>
              <w:szCs w:val="28"/>
            </w:rPr>
            <w:fldChar w:fldCharType="begin"/>
          </w:r>
          <w:r>
            <w:rPr>
              <w:rFonts w:cstheme="minorHAnsi"/>
              <w:sz w:val="28"/>
              <w:szCs w:val="28"/>
            </w:rPr>
            <w:instrText xml:space="preserve"> CITATION Natwn1 \l 2057 </w:instrText>
          </w:r>
          <w:r>
            <w:rPr>
              <w:rFonts w:cstheme="minorHAnsi"/>
              <w:sz w:val="28"/>
              <w:szCs w:val="28"/>
            </w:rPr>
            <w:fldChar w:fldCharType="separate"/>
          </w:r>
          <w:r w:rsidRPr="00217897">
            <w:rPr>
              <w:rFonts w:cstheme="minorHAnsi"/>
              <w:noProof/>
              <w:sz w:val="28"/>
              <w:szCs w:val="28"/>
            </w:rPr>
            <w:t>(Museum, unknown)</w:t>
          </w:r>
          <w:r>
            <w:rPr>
              <w:rFonts w:cstheme="minorHAnsi"/>
              <w:sz w:val="28"/>
              <w:szCs w:val="28"/>
            </w:rPr>
            <w:fldChar w:fldCharType="end"/>
          </w:r>
        </w:sdtContent>
      </w:sdt>
    </w:p>
    <w:p w14:paraId="767CC6A4" w14:textId="0AAA6BBD" w:rsidR="00017B2B" w:rsidRPr="00903530" w:rsidRDefault="00903530" w:rsidP="00D84CBF">
      <w:pPr>
        <w:rPr>
          <w:rFonts w:cstheme="minorHAnsi"/>
          <w:sz w:val="28"/>
          <w:szCs w:val="28"/>
        </w:rPr>
      </w:pPr>
      <w:r>
        <w:rPr>
          <w:rFonts w:cstheme="minorHAnsi"/>
          <w:sz w:val="28"/>
          <w:szCs w:val="28"/>
        </w:rPr>
        <w:lastRenderedPageBreak/>
        <w:t xml:space="preserve">Preservation is a noble goal for any instate to undertake. This is especially true within the ‘difficult heritage’ sector, where private collectors and circumstantial damages pose an even bigger risk. Demand for objects by private collectors can make certain types of objects for a collection increasingly harder to find with the passage of time, which coupled with little to no professional preservation performed on the objects can lead to very few objects surviving and those that do may require extensive preservation work to be carried out. </w:t>
      </w:r>
    </w:p>
    <w:p w14:paraId="6A2ABA06" w14:textId="77777777" w:rsidR="00017B2B" w:rsidRDefault="00017B2B" w:rsidP="00D84CBF">
      <w:pPr>
        <w:ind w:left="360"/>
        <w:rPr>
          <w:rFonts w:cstheme="minorHAnsi"/>
          <w:b/>
          <w:bCs/>
          <w:sz w:val="32"/>
          <w:szCs w:val="32"/>
          <w:u w:val="single"/>
        </w:rPr>
      </w:pPr>
    </w:p>
    <w:p w14:paraId="61273A23" w14:textId="2BDD76FE" w:rsidR="008514AA" w:rsidRPr="008514AA" w:rsidRDefault="008514AA" w:rsidP="00D84CBF">
      <w:pPr>
        <w:rPr>
          <w:rFonts w:cstheme="minorHAnsi"/>
          <w:b/>
          <w:bCs/>
          <w:sz w:val="32"/>
          <w:szCs w:val="32"/>
          <w:u w:val="single"/>
        </w:rPr>
      </w:pPr>
      <w:r w:rsidRPr="008514AA">
        <w:rPr>
          <w:rFonts w:cstheme="minorHAnsi"/>
          <w:b/>
          <w:bCs/>
          <w:sz w:val="32"/>
          <w:szCs w:val="32"/>
          <w:u w:val="single"/>
        </w:rPr>
        <w:t xml:space="preserve">Conclusion </w:t>
      </w:r>
    </w:p>
    <w:p w14:paraId="3D8D7EA3" w14:textId="121E316F" w:rsidR="000178E6" w:rsidRDefault="00D84CBF" w:rsidP="00D84CBF">
      <w:pPr>
        <w:rPr>
          <w:sz w:val="28"/>
          <w:szCs w:val="28"/>
        </w:rPr>
      </w:pPr>
      <w:r>
        <w:rPr>
          <w:sz w:val="28"/>
          <w:szCs w:val="28"/>
        </w:rPr>
        <w:t>‘Difficult heritage’ collections can present various challenges when trying to present the collection in an appropriate manner. As discussed</w:t>
      </w:r>
      <w:r w:rsidR="0094731E">
        <w:rPr>
          <w:sz w:val="28"/>
          <w:szCs w:val="28"/>
        </w:rPr>
        <w:t>,</w:t>
      </w:r>
      <w:r>
        <w:rPr>
          <w:sz w:val="28"/>
          <w:szCs w:val="28"/>
        </w:rPr>
        <w:t xml:space="preserve"> these include how the collections is represented, how the public engage with the collection and </w:t>
      </w:r>
      <w:r w:rsidR="0094731E">
        <w:rPr>
          <w:sz w:val="28"/>
          <w:szCs w:val="28"/>
        </w:rPr>
        <w:t>the methods of preservation that are required to maintain the collection. Collections that fall under the ‘difficult heritage’ topic are often under scrutiny from the public and a</w:t>
      </w:r>
      <w:r w:rsidR="00E57BC2">
        <w:rPr>
          <w:sz w:val="28"/>
          <w:szCs w:val="28"/>
        </w:rPr>
        <w:t>s a result they are typically designed very carefully with many different demographi</w:t>
      </w:r>
      <w:r w:rsidR="0010616C">
        <w:rPr>
          <w:sz w:val="28"/>
          <w:szCs w:val="28"/>
        </w:rPr>
        <w:t xml:space="preserve">cs </w:t>
      </w:r>
      <w:r w:rsidR="00E57BC2">
        <w:rPr>
          <w:sz w:val="28"/>
          <w:szCs w:val="28"/>
        </w:rPr>
        <w:t xml:space="preserve">of visitors as recipients of the </w:t>
      </w:r>
      <w:r w:rsidR="00065BD7">
        <w:rPr>
          <w:sz w:val="28"/>
          <w:szCs w:val="28"/>
        </w:rPr>
        <w:t xml:space="preserve">information available. </w:t>
      </w:r>
      <w:r w:rsidR="00E325A1">
        <w:rPr>
          <w:sz w:val="28"/>
          <w:szCs w:val="28"/>
        </w:rPr>
        <w:t>The case study of the Holocaust Centre makes the statement about why the founders decided to open the centre, “</w:t>
      </w:r>
      <w:r w:rsidR="00E325A1" w:rsidRPr="00E325A1">
        <w:rPr>
          <w:sz w:val="28"/>
          <w:szCs w:val="28"/>
        </w:rPr>
        <w:t>the Holocaust had to be taught, discussed and understood by all. They were especially keen to see this done correctly for students learning about the Holocaust at school.</w:t>
      </w:r>
      <w:r w:rsidR="00E325A1">
        <w:rPr>
          <w:sz w:val="28"/>
          <w:szCs w:val="28"/>
        </w:rPr>
        <w:t>”</w:t>
      </w:r>
      <w:sdt>
        <w:sdtPr>
          <w:rPr>
            <w:sz w:val="28"/>
            <w:szCs w:val="28"/>
          </w:rPr>
          <w:id w:val="1556816486"/>
          <w:citation/>
        </w:sdtPr>
        <w:sdtContent>
          <w:r w:rsidR="00E325A1">
            <w:rPr>
              <w:sz w:val="28"/>
              <w:szCs w:val="28"/>
            </w:rPr>
            <w:fldChar w:fldCharType="begin"/>
          </w:r>
          <w:r w:rsidR="00E325A1">
            <w:rPr>
              <w:sz w:val="28"/>
              <w:szCs w:val="28"/>
            </w:rPr>
            <w:instrText xml:space="preserve"> CITATION Natwn4 \l 2057 </w:instrText>
          </w:r>
          <w:r w:rsidR="00E325A1">
            <w:rPr>
              <w:sz w:val="28"/>
              <w:szCs w:val="28"/>
            </w:rPr>
            <w:fldChar w:fldCharType="separate"/>
          </w:r>
          <w:r w:rsidR="00E325A1">
            <w:rPr>
              <w:noProof/>
              <w:sz w:val="28"/>
              <w:szCs w:val="28"/>
            </w:rPr>
            <w:t xml:space="preserve"> </w:t>
          </w:r>
          <w:r w:rsidR="00E325A1" w:rsidRPr="00E325A1">
            <w:rPr>
              <w:noProof/>
              <w:sz w:val="28"/>
              <w:szCs w:val="28"/>
            </w:rPr>
            <w:t>(Museum, unknown)</w:t>
          </w:r>
          <w:r w:rsidR="00E325A1">
            <w:rPr>
              <w:sz w:val="28"/>
              <w:szCs w:val="28"/>
            </w:rPr>
            <w:fldChar w:fldCharType="end"/>
          </w:r>
        </w:sdtContent>
      </w:sdt>
      <w:r w:rsidR="002230E4">
        <w:rPr>
          <w:sz w:val="28"/>
          <w:szCs w:val="28"/>
        </w:rPr>
        <w:t xml:space="preserve"> These collections are designed to educate and to create spaces to discuss the ‘difficult heritage’ that they house</w:t>
      </w:r>
      <w:r w:rsidR="00531066">
        <w:rPr>
          <w:sz w:val="28"/>
          <w:szCs w:val="28"/>
        </w:rPr>
        <w:t xml:space="preserve">. It is likely in these spaces that an issue will be found with the presentation of the collection no matter how many times a space is altered to fix a different issue. </w:t>
      </w:r>
    </w:p>
    <w:p w14:paraId="2B5B2AE5" w14:textId="6389562D" w:rsidR="00332B7A" w:rsidRDefault="00332B7A" w:rsidP="00D84CBF">
      <w:pPr>
        <w:rPr>
          <w:sz w:val="28"/>
          <w:szCs w:val="28"/>
        </w:rPr>
      </w:pPr>
    </w:p>
    <w:sdt>
      <w:sdtPr>
        <w:id w:val="-7202052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3DD91FD" w14:textId="35A73430" w:rsidR="00332B7A" w:rsidRDefault="00332B7A">
          <w:pPr>
            <w:pStyle w:val="Heading1"/>
          </w:pPr>
          <w:r>
            <w:t>Bibliography</w:t>
          </w:r>
        </w:p>
        <w:sdt>
          <w:sdtPr>
            <w:id w:val="111145805"/>
            <w:bibliography/>
          </w:sdtPr>
          <w:sdtContent>
            <w:p w14:paraId="70EBA003" w14:textId="77777777" w:rsidR="00332B7A" w:rsidRDefault="00332B7A" w:rsidP="00332B7A">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Bareither, C., 2021. Difficult heritage and digital media: ‘selfie culture’and emotional practices at the Memorial to the Murdered Jews of Europe. </w:t>
              </w:r>
              <w:r>
                <w:rPr>
                  <w:i/>
                  <w:iCs/>
                  <w:noProof/>
                  <w:lang w:val="en-US"/>
                </w:rPr>
                <w:t xml:space="preserve">International Journal of Heritage Studies , </w:t>
              </w:r>
              <w:r>
                <w:rPr>
                  <w:noProof/>
                  <w:lang w:val="en-US"/>
                </w:rPr>
                <w:t>27(1), pp. 57-72.</w:t>
              </w:r>
            </w:p>
            <w:p w14:paraId="1A668B47" w14:textId="77777777" w:rsidR="00332B7A" w:rsidRDefault="00332B7A" w:rsidP="00332B7A">
              <w:pPr>
                <w:pStyle w:val="Bibliography"/>
                <w:rPr>
                  <w:noProof/>
                  <w:lang w:val="en-US"/>
                </w:rPr>
              </w:pPr>
              <w:r>
                <w:rPr>
                  <w:noProof/>
                  <w:lang w:val="en-US"/>
                </w:rPr>
                <w:t xml:space="preserve">Braswell, G., 2012. Variations in Children's and Adults' Engagement with Museum Artefacts. </w:t>
              </w:r>
              <w:r>
                <w:rPr>
                  <w:i/>
                  <w:iCs/>
                  <w:noProof/>
                  <w:lang w:val="en-US"/>
                </w:rPr>
                <w:t xml:space="preserve">Visitor Studies, </w:t>
              </w:r>
              <w:r>
                <w:rPr>
                  <w:noProof/>
                  <w:lang w:val="en-US"/>
                </w:rPr>
                <w:t>15(2), pp. 123-135.</w:t>
              </w:r>
            </w:p>
            <w:p w14:paraId="6AF9E3C1" w14:textId="77777777" w:rsidR="00332B7A" w:rsidRDefault="00332B7A" w:rsidP="00332B7A">
              <w:pPr>
                <w:pStyle w:val="Bibliography"/>
                <w:rPr>
                  <w:noProof/>
                  <w:lang w:val="en-US"/>
                </w:rPr>
              </w:pPr>
              <w:r>
                <w:rPr>
                  <w:noProof/>
                  <w:lang w:val="en-US"/>
                </w:rPr>
                <w:t xml:space="preserve">Burstro¨m, M. &amp; Gelderblom, B., 2011. Dealing with difficult heritage: The case of Bu¨ ckeberg, site of the Third Reich Harvest Festival. </w:t>
              </w:r>
              <w:r>
                <w:rPr>
                  <w:i/>
                  <w:iCs/>
                  <w:noProof/>
                  <w:lang w:val="en-US"/>
                </w:rPr>
                <w:t xml:space="preserve">Journal of Social Archaeology, </w:t>
              </w:r>
              <w:r>
                <w:rPr>
                  <w:noProof/>
                  <w:lang w:val="en-US"/>
                </w:rPr>
                <w:t>11(3), pp. 266-282.</w:t>
              </w:r>
            </w:p>
            <w:p w14:paraId="0FA34F76" w14:textId="77777777" w:rsidR="00332B7A" w:rsidRDefault="00332B7A" w:rsidP="00332B7A">
              <w:pPr>
                <w:pStyle w:val="Bibliography"/>
                <w:rPr>
                  <w:noProof/>
                  <w:lang w:val="en-US"/>
                </w:rPr>
              </w:pPr>
              <w:r>
                <w:rPr>
                  <w:noProof/>
                  <w:lang w:val="en-US"/>
                </w:rPr>
                <w:lastRenderedPageBreak/>
                <w:t xml:space="preserve">Daubney, A., 2017. Floating culture: the unrecorded antiquities of England and Wales. </w:t>
              </w:r>
              <w:r>
                <w:rPr>
                  <w:i/>
                  <w:iCs/>
                  <w:noProof/>
                  <w:lang w:val="en-US"/>
                </w:rPr>
                <w:t xml:space="preserve">International Journal of Heritage Studies , </w:t>
              </w:r>
              <w:r>
                <w:rPr>
                  <w:noProof/>
                  <w:lang w:val="en-US"/>
                </w:rPr>
                <w:t>23(9), pp. 785-799.</w:t>
              </w:r>
            </w:p>
            <w:p w14:paraId="072C2E86" w14:textId="77777777" w:rsidR="00332B7A" w:rsidRDefault="00332B7A" w:rsidP="00332B7A">
              <w:pPr>
                <w:pStyle w:val="Bibliography"/>
                <w:rPr>
                  <w:noProof/>
                  <w:lang w:val="en-US"/>
                </w:rPr>
              </w:pPr>
              <w:r>
                <w:rPr>
                  <w:noProof/>
                  <w:lang w:val="en-US"/>
                </w:rPr>
                <w:t xml:space="preserve">McCarthy, C., 2017. Incidental heritage: difficult intangible heritages as collateral damage. </w:t>
              </w:r>
              <w:r>
                <w:rPr>
                  <w:i/>
                  <w:iCs/>
                  <w:noProof/>
                  <w:lang w:val="en-US"/>
                </w:rPr>
                <w:t xml:space="preserve">International Journal of Heritage Studies, </w:t>
              </w:r>
              <w:r>
                <w:rPr>
                  <w:noProof/>
                  <w:lang w:val="en-US"/>
                </w:rPr>
                <w:t>23(1), pp. 52-64.</w:t>
              </w:r>
            </w:p>
            <w:p w14:paraId="45017730" w14:textId="77777777" w:rsidR="00332B7A" w:rsidRDefault="00332B7A" w:rsidP="00332B7A">
              <w:pPr>
                <w:pStyle w:val="Bibliography"/>
                <w:rPr>
                  <w:noProof/>
                  <w:lang w:val="en-US"/>
                </w:rPr>
              </w:pPr>
              <w:r>
                <w:rPr>
                  <w:noProof/>
                  <w:lang w:val="en-US"/>
                </w:rPr>
                <w:t xml:space="preserve">Museum, N. H. C. &amp;., unknown. </w:t>
              </w:r>
              <w:r>
                <w:rPr>
                  <w:i/>
                  <w:iCs/>
                  <w:noProof/>
                  <w:lang w:val="en-US"/>
                </w:rPr>
                <w:t xml:space="preserve">Collections. </w:t>
              </w:r>
              <w:r>
                <w:rPr>
                  <w:noProof/>
                  <w:lang w:val="en-US"/>
                </w:rPr>
                <w:t xml:space="preserve">[Online] </w:t>
              </w:r>
              <w:r>
                <w:rPr>
                  <w:noProof/>
                  <w:lang w:val="en-US"/>
                </w:rPr>
                <w:br/>
                <w:t xml:space="preserve">Available at: </w:t>
              </w:r>
              <w:r>
                <w:rPr>
                  <w:noProof/>
                  <w:u w:val="single"/>
                  <w:lang w:val="en-US"/>
                </w:rPr>
                <w:t>https://www.holocaust.org.uk/collections</w:t>
              </w:r>
              <w:r>
                <w:rPr>
                  <w:noProof/>
                  <w:lang w:val="en-US"/>
                </w:rPr>
                <w:br/>
                <w:t>[Accessed 2 October 2021].</w:t>
              </w:r>
            </w:p>
            <w:p w14:paraId="6446423A" w14:textId="77777777" w:rsidR="00332B7A" w:rsidRDefault="00332B7A" w:rsidP="00332B7A">
              <w:pPr>
                <w:pStyle w:val="Bibliography"/>
                <w:rPr>
                  <w:noProof/>
                  <w:lang w:val="en-US"/>
                </w:rPr>
              </w:pPr>
              <w:r>
                <w:rPr>
                  <w:noProof/>
                  <w:lang w:val="en-US"/>
                </w:rPr>
                <w:t xml:space="preserve">Museum, N. H. C. &amp;., unknown. </w:t>
              </w:r>
              <w:r>
                <w:rPr>
                  <w:i/>
                  <w:iCs/>
                  <w:noProof/>
                  <w:lang w:val="en-US"/>
                </w:rPr>
                <w:t xml:space="preserve">Leaving a gift in your will. </w:t>
              </w:r>
              <w:r>
                <w:rPr>
                  <w:noProof/>
                  <w:lang w:val="en-US"/>
                </w:rPr>
                <w:t xml:space="preserve">[Online] </w:t>
              </w:r>
              <w:r>
                <w:rPr>
                  <w:noProof/>
                  <w:lang w:val="en-US"/>
                </w:rPr>
                <w:br/>
                <w:t xml:space="preserve">Available at: </w:t>
              </w:r>
              <w:r>
                <w:rPr>
                  <w:noProof/>
                  <w:u w:val="single"/>
                  <w:lang w:val="en-US"/>
                </w:rPr>
                <w:t>https://www.holocaust.org.uk/legacy</w:t>
              </w:r>
              <w:r>
                <w:rPr>
                  <w:noProof/>
                  <w:lang w:val="en-US"/>
                </w:rPr>
                <w:br/>
                <w:t>[Accessed 5 October 2021].</w:t>
              </w:r>
            </w:p>
            <w:p w14:paraId="7667AA72" w14:textId="77777777" w:rsidR="00332B7A" w:rsidRDefault="00332B7A" w:rsidP="00332B7A">
              <w:pPr>
                <w:pStyle w:val="Bibliography"/>
                <w:rPr>
                  <w:noProof/>
                  <w:lang w:val="en-US"/>
                </w:rPr>
              </w:pPr>
              <w:r>
                <w:rPr>
                  <w:noProof/>
                  <w:lang w:val="en-US"/>
                </w:rPr>
                <w:t xml:space="preserve">Museum, N. H. C. &amp;., unknown. </w:t>
              </w:r>
              <w:r>
                <w:rPr>
                  <w:i/>
                  <w:iCs/>
                  <w:noProof/>
                  <w:lang w:val="en-US"/>
                </w:rPr>
                <w:t xml:space="preserve">Our History. </w:t>
              </w:r>
              <w:r>
                <w:rPr>
                  <w:noProof/>
                  <w:lang w:val="en-US"/>
                </w:rPr>
                <w:t xml:space="preserve">[Online] </w:t>
              </w:r>
              <w:r>
                <w:rPr>
                  <w:noProof/>
                  <w:lang w:val="en-US"/>
                </w:rPr>
                <w:br/>
                <w:t xml:space="preserve">Available at: </w:t>
              </w:r>
              <w:r>
                <w:rPr>
                  <w:noProof/>
                  <w:u w:val="single"/>
                  <w:lang w:val="en-US"/>
                </w:rPr>
                <w:t>https://www.holocaust.org.uk/our-history</w:t>
              </w:r>
              <w:r>
                <w:rPr>
                  <w:noProof/>
                  <w:lang w:val="en-US"/>
                </w:rPr>
                <w:br/>
                <w:t>[Accessed 7 October 2021].</w:t>
              </w:r>
            </w:p>
            <w:p w14:paraId="0202CF87" w14:textId="77777777" w:rsidR="00332B7A" w:rsidRDefault="00332B7A" w:rsidP="00332B7A">
              <w:pPr>
                <w:pStyle w:val="Bibliography"/>
                <w:rPr>
                  <w:noProof/>
                  <w:lang w:val="en-US"/>
                </w:rPr>
              </w:pPr>
              <w:r>
                <w:rPr>
                  <w:noProof/>
                  <w:lang w:val="en-US"/>
                </w:rPr>
                <w:t xml:space="preserve">Museum, N. H. C. &amp;., unkown. </w:t>
              </w:r>
              <w:r>
                <w:rPr>
                  <w:i/>
                  <w:iCs/>
                  <w:noProof/>
                  <w:lang w:val="en-US"/>
                </w:rPr>
                <w:t xml:space="preserve">Adressed Paper -Westerbork. </w:t>
              </w:r>
              <w:r>
                <w:rPr>
                  <w:noProof/>
                  <w:lang w:val="en-US"/>
                </w:rPr>
                <w:t xml:space="preserve">[Online] </w:t>
              </w:r>
              <w:r>
                <w:rPr>
                  <w:noProof/>
                  <w:lang w:val="en-US"/>
                </w:rPr>
                <w:br/>
                <w:t xml:space="preserve">Available at: </w:t>
              </w:r>
              <w:r>
                <w:rPr>
                  <w:noProof/>
                  <w:u w:val="single"/>
                  <w:lang w:val="en-US"/>
                </w:rPr>
                <w:t>https://www.holocaust.org.uk/addressed-paper-westerbork</w:t>
              </w:r>
              <w:r>
                <w:rPr>
                  <w:noProof/>
                  <w:lang w:val="en-US"/>
                </w:rPr>
                <w:br/>
                <w:t>[Accessed 5 October 2021].</w:t>
              </w:r>
            </w:p>
            <w:p w14:paraId="40E0281D" w14:textId="77777777" w:rsidR="00332B7A" w:rsidRDefault="00332B7A" w:rsidP="00332B7A">
              <w:pPr>
                <w:pStyle w:val="Bibliography"/>
                <w:rPr>
                  <w:noProof/>
                  <w:lang w:val="en-US"/>
                </w:rPr>
              </w:pPr>
              <w:r>
                <w:rPr>
                  <w:noProof/>
                  <w:lang w:val="en-US"/>
                </w:rPr>
                <w:t xml:space="preserve">Sontum Hannedatter, K., 2018. The co-production of difference? Exploring urban youths’ negotiations of identity in meeting with difficult heritage of human classification. </w:t>
              </w:r>
              <w:r>
                <w:rPr>
                  <w:i/>
                  <w:iCs/>
                  <w:noProof/>
                  <w:lang w:val="en-US"/>
                </w:rPr>
                <w:t xml:space="preserve">Museums &amp; Social Issues, </w:t>
              </w:r>
              <w:r>
                <w:rPr>
                  <w:noProof/>
                  <w:lang w:val="en-US"/>
                </w:rPr>
                <w:t>13(2), pp. 43-57.</w:t>
              </w:r>
            </w:p>
            <w:p w14:paraId="06366B0F" w14:textId="370AD557" w:rsidR="00332B7A" w:rsidRDefault="00332B7A" w:rsidP="00332B7A">
              <w:r>
                <w:rPr>
                  <w:b/>
                  <w:bCs/>
                  <w:noProof/>
                </w:rPr>
                <w:fldChar w:fldCharType="end"/>
              </w:r>
            </w:p>
          </w:sdtContent>
        </w:sdt>
      </w:sdtContent>
    </w:sdt>
    <w:p w14:paraId="26BBE506" w14:textId="77777777" w:rsidR="00332B7A" w:rsidRPr="00D84CBF" w:rsidRDefault="00332B7A" w:rsidP="00D84CBF">
      <w:pPr>
        <w:rPr>
          <w:sz w:val="28"/>
          <w:szCs w:val="28"/>
        </w:rPr>
      </w:pPr>
    </w:p>
    <w:sectPr w:rsidR="00332B7A" w:rsidRPr="00D84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8D5463"/>
    <w:multiLevelType w:val="hybridMultilevel"/>
    <w:tmpl w:val="368C2B80"/>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CEF"/>
    <w:rsid w:val="000178E6"/>
    <w:rsid w:val="00017B2B"/>
    <w:rsid w:val="000227C3"/>
    <w:rsid w:val="0002389E"/>
    <w:rsid w:val="00040D3E"/>
    <w:rsid w:val="00044F26"/>
    <w:rsid w:val="00065BD7"/>
    <w:rsid w:val="000B1B8E"/>
    <w:rsid w:val="000C5617"/>
    <w:rsid w:val="0010616C"/>
    <w:rsid w:val="00112472"/>
    <w:rsid w:val="00117AA1"/>
    <w:rsid w:val="00121441"/>
    <w:rsid w:val="00137E3D"/>
    <w:rsid w:val="0015275A"/>
    <w:rsid w:val="001643E2"/>
    <w:rsid w:val="00180DE7"/>
    <w:rsid w:val="00217897"/>
    <w:rsid w:val="002230E4"/>
    <w:rsid w:val="002B2F1F"/>
    <w:rsid w:val="002D2ADA"/>
    <w:rsid w:val="002E4846"/>
    <w:rsid w:val="002E7109"/>
    <w:rsid w:val="00332B7A"/>
    <w:rsid w:val="00356FC6"/>
    <w:rsid w:val="003614BB"/>
    <w:rsid w:val="003615E2"/>
    <w:rsid w:val="003C2831"/>
    <w:rsid w:val="003F1C30"/>
    <w:rsid w:val="00416876"/>
    <w:rsid w:val="00420ADA"/>
    <w:rsid w:val="00447325"/>
    <w:rsid w:val="00492CFD"/>
    <w:rsid w:val="004B0940"/>
    <w:rsid w:val="00531066"/>
    <w:rsid w:val="005348EB"/>
    <w:rsid w:val="005368AC"/>
    <w:rsid w:val="00565E3A"/>
    <w:rsid w:val="00572CEF"/>
    <w:rsid w:val="005746A5"/>
    <w:rsid w:val="0057610A"/>
    <w:rsid w:val="005C5592"/>
    <w:rsid w:val="006079A5"/>
    <w:rsid w:val="006204EC"/>
    <w:rsid w:val="00620BA4"/>
    <w:rsid w:val="00633E4B"/>
    <w:rsid w:val="006747FB"/>
    <w:rsid w:val="006829EC"/>
    <w:rsid w:val="006A06DF"/>
    <w:rsid w:val="006A671A"/>
    <w:rsid w:val="006A6C32"/>
    <w:rsid w:val="006F16D6"/>
    <w:rsid w:val="006F1AB6"/>
    <w:rsid w:val="007122FF"/>
    <w:rsid w:val="007561B8"/>
    <w:rsid w:val="00774073"/>
    <w:rsid w:val="00774519"/>
    <w:rsid w:val="007911BC"/>
    <w:rsid w:val="007D40DF"/>
    <w:rsid w:val="00837EF4"/>
    <w:rsid w:val="008514AA"/>
    <w:rsid w:val="0089070E"/>
    <w:rsid w:val="008A2716"/>
    <w:rsid w:val="008D2AD7"/>
    <w:rsid w:val="00903530"/>
    <w:rsid w:val="009259F3"/>
    <w:rsid w:val="00936D4F"/>
    <w:rsid w:val="0094731E"/>
    <w:rsid w:val="009949E1"/>
    <w:rsid w:val="009C64FE"/>
    <w:rsid w:val="009F7E1B"/>
    <w:rsid w:val="00A707E2"/>
    <w:rsid w:val="00AB0685"/>
    <w:rsid w:val="00AF355F"/>
    <w:rsid w:val="00B0764E"/>
    <w:rsid w:val="00B137AB"/>
    <w:rsid w:val="00B456B0"/>
    <w:rsid w:val="00B63F0B"/>
    <w:rsid w:val="00B93018"/>
    <w:rsid w:val="00BA4612"/>
    <w:rsid w:val="00C04EF0"/>
    <w:rsid w:val="00C430DE"/>
    <w:rsid w:val="00C5199A"/>
    <w:rsid w:val="00CA198D"/>
    <w:rsid w:val="00CC69E7"/>
    <w:rsid w:val="00CF211F"/>
    <w:rsid w:val="00D1369A"/>
    <w:rsid w:val="00D216F7"/>
    <w:rsid w:val="00D71994"/>
    <w:rsid w:val="00D84CBF"/>
    <w:rsid w:val="00DC4D24"/>
    <w:rsid w:val="00DC6D23"/>
    <w:rsid w:val="00DF77AC"/>
    <w:rsid w:val="00E13638"/>
    <w:rsid w:val="00E325A1"/>
    <w:rsid w:val="00E57BC2"/>
    <w:rsid w:val="00E61B7C"/>
    <w:rsid w:val="00EA5885"/>
    <w:rsid w:val="00EB0721"/>
    <w:rsid w:val="00EB2DCD"/>
    <w:rsid w:val="00ED5593"/>
    <w:rsid w:val="00EF38BE"/>
    <w:rsid w:val="00F95C1A"/>
    <w:rsid w:val="00FC57D5"/>
    <w:rsid w:val="00FC75F6"/>
    <w:rsid w:val="00FE6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F5B39"/>
  <w15:chartTrackingRefBased/>
  <w15:docId w15:val="{25DEAA46-7069-4F05-9DA6-57524028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B7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572CEF"/>
    <w:pPr>
      <w:spacing w:after="0" w:line="240" w:lineRule="atLeast"/>
      <w:ind w:left="720"/>
      <w:contextualSpacing/>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8514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4AA"/>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180DE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32B7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2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2081">
      <w:bodyDiv w:val="1"/>
      <w:marLeft w:val="0"/>
      <w:marRight w:val="0"/>
      <w:marTop w:val="0"/>
      <w:marBottom w:val="0"/>
      <w:divBdr>
        <w:top w:val="none" w:sz="0" w:space="0" w:color="auto"/>
        <w:left w:val="none" w:sz="0" w:space="0" w:color="auto"/>
        <w:bottom w:val="none" w:sz="0" w:space="0" w:color="auto"/>
        <w:right w:val="none" w:sz="0" w:space="0" w:color="auto"/>
      </w:divBdr>
    </w:div>
    <w:div w:id="33309298">
      <w:bodyDiv w:val="1"/>
      <w:marLeft w:val="0"/>
      <w:marRight w:val="0"/>
      <w:marTop w:val="0"/>
      <w:marBottom w:val="0"/>
      <w:divBdr>
        <w:top w:val="none" w:sz="0" w:space="0" w:color="auto"/>
        <w:left w:val="none" w:sz="0" w:space="0" w:color="auto"/>
        <w:bottom w:val="none" w:sz="0" w:space="0" w:color="auto"/>
        <w:right w:val="none" w:sz="0" w:space="0" w:color="auto"/>
      </w:divBdr>
    </w:div>
    <w:div w:id="85031589">
      <w:bodyDiv w:val="1"/>
      <w:marLeft w:val="0"/>
      <w:marRight w:val="0"/>
      <w:marTop w:val="0"/>
      <w:marBottom w:val="0"/>
      <w:divBdr>
        <w:top w:val="none" w:sz="0" w:space="0" w:color="auto"/>
        <w:left w:val="none" w:sz="0" w:space="0" w:color="auto"/>
        <w:bottom w:val="none" w:sz="0" w:space="0" w:color="auto"/>
        <w:right w:val="none" w:sz="0" w:space="0" w:color="auto"/>
      </w:divBdr>
    </w:div>
    <w:div w:id="97943496">
      <w:bodyDiv w:val="1"/>
      <w:marLeft w:val="0"/>
      <w:marRight w:val="0"/>
      <w:marTop w:val="0"/>
      <w:marBottom w:val="0"/>
      <w:divBdr>
        <w:top w:val="none" w:sz="0" w:space="0" w:color="auto"/>
        <w:left w:val="none" w:sz="0" w:space="0" w:color="auto"/>
        <w:bottom w:val="none" w:sz="0" w:space="0" w:color="auto"/>
        <w:right w:val="none" w:sz="0" w:space="0" w:color="auto"/>
      </w:divBdr>
    </w:div>
    <w:div w:id="104035063">
      <w:bodyDiv w:val="1"/>
      <w:marLeft w:val="0"/>
      <w:marRight w:val="0"/>
      <w:marTop w:val="0"/>
      <w:marBottom w:val="0"/>
      <w:divBdr>
        <w:top w:val="none" w:sz="0" w:space="0" w:color="auto"/>
        <w:left w:val="none" w:sz="0" w:space="0" w:color="auto"/>
        <w:bottom w:val="none" w:sz="0" w:space="0" w:color="auto"/>
        <w:right w:val="none" w:sz="0" w:space="0" w:color="auto"/>
      </w:divBdr>
    </w:div>
    <w:div w:id="118181669">
      <w:bodyDiv w:val="1"/>
      <w:marLeft w:val="0"/>
      <w:marRight w:val="0"/>
      <w:marTop w:val="0"/>
      <w:marBottom w:val="0"/>
      <w:divBdr>
        <w:top w:val="none" w:sz="0" w:space="0" w:color="auto"/>
        <w:left w:val="none" w:sz="0" w:space="0" w:color="auto"/>
        <w:bottom w:val="none" w:sz="0" w:space="0" w:color="auto"/>
        <w:right w:val="none" w:sz="0" w:space="0" w:color="auto"/>
      </w:divBdr>
    </w:div>
    <w:div w:id="157430518">
      <w:bodyDiv w:val="1"/>
      <w:marLeft w:val="0"/>
      <w:marRight w:val="0"/>
      <w:marTop w:val="0"/>
      <w:marBottom w:val="0"/>
      <w:divBdr>
        <w:top w:val="none" w:sz="0" w:space="0" w:color="auto"/>
        <w:left w:val="none" w:sz="0" w:space="0" w:color="auto"/>
        <w:bottom w:val="none" w:sz="0" w:space="0" w:color="auto"/>
        <w:right w:val="none" w:sz="0" w:space="0" w:color="auto"/>
      </w:divBdr>
    </w:div>
    <w:div w:id="192887813">
      <w:bodyDiv w:val="1"/>
      <w:marLeft w:val="0"/>
      <w:marRight w:val="0"/>
      <w:marTop w:val="0"/>
      <w:marBottom w:val="0"/>
      <w:divBdr>
        <w:top w:val="none" w:sz="0" w:space="0" w:color="auto"/>
        <w:left w:val="none" w:sz="0" w:space="0" w:color="auto"/>
        <w:bottom w:val="none" w:sz="0" w:space="0" w:color="auto"/>
        <w:right w:val="none" w:sz="0" w:space="0" w:color="auto"/>
      </w:divBdr>
    </w:div>
    <w:div w:id="206916787">
      <w:bodyDiv w:val="1"/>
      <w:marLeft w:val="0"/>
      <w:marRight w:val="0"/>
      <w:marTop w:val="0"/>
      <w:marBottom w:val="0"/>
      <w:divBdr>
        <w:top w:val="none" w:sz="0" w:space="0" w:color="auto"/>
        <w:left w:val="none" w:sz="0" w:space="0" w:color="auto"/>
        <w:bottom w:val="none" w:sz="0" w:space="0" w:color="auto"/>
        <w:right w:val="none" w:sz="0" w:space="0" w:color="auto"/>
      </w:divBdr>
    </w:div>
    <w:div w:id="209610311">
      <w:bodyDiv w:val="1"/>
      <w:marLeft w:val="0"/>
      <w:marRight w:val="0"/>
      <w:marTop w:val="0"/>
      <w:marBottom w:val="0"/>
      <w:divBdr>
        <w:top w:val="none" w:sz="0" w:space="0" w:color="auto"/>
        <w:left w:val="none" w:sz="0" w:space="0" w:color="auto"/>
        <w:bottom w:val="none" w:sz="0" w:space="0" w:color="auto"/>
        <w:right w:val="none" w:sz="0" w:space="0" w:color="auto"/>
      </w:divBdr>
    </w:div>
    <w:div w:id="280841900">
      <w:bodyDiv w:val="1"/>
      <w:marLeft w:val="0"/>
      <w:marRight w:val="0"/>
      <w:marTop w:val="0"/>
      <w:marBottom w:val="0"/>
      <w:divBdr>
        <w:top w:val="none" w:sz="0" w:space="0" w:color="auto"/>
        <w:left w:val="none" w:sz="0" w:space="0" w:color="auto"/>
        <w:bottom w:val="none" w:sz="0" w:space="0" w:color="auto"/>
        <w:right w:val="none" w:sz="0" w:space="0" w:color="auto"/>
      </w:divBdr>
    </w:div>
    <w:div w:id="292102552">
      <w:bodyDiv w:val="1"/>
      <w:marLeft w:val="0"/>
      <w:marRight w:val="0"/>
      <w:marTop w:val="0"/>
      <w:marBottom w:val="0"/>
      <w:divBdr>
        <w:top w:val="none" w:sz="0" w:space="0" w:color="auto"/>
        <w:left w:val="none" w:sz="0" w:space="0" w:color="auto"/>
        <w:bottom w:val="none" w:sz="0" w:space="0" w:color="auto"/>
        <w:right w:val="none" w:sz="0" w:space="0" w:color="auto"/>
      </w:divBdr>
    </w:div>
    <w:div w:id="296617111">
      <w:bodyDiv w:val="1"/>
      <w:marLeft w:val="0"/>
      <w:marRight w:val="0"/>
      <w:marTop w:val="0"/>
      <w:marBottom w:val="0"/>
      <w:divBdr>
        <w:top w:val="none" w:sz="0" w:space="0" w:color="auto"/>
        <w:left w:val="none" w:sz="0" w:space="0" w:color="auto"/>
        <w:bottom w:val="none" w:sz="0" w:space="0" w:color="auto"/>
        <w:right w:val="none" w:sz="0" w:space="0" w:color="auto"/>
      </w:divBdr>
    </w:div>
    <w:div w:id="328753242">
      <w:bodyDiv w:val="1"/>
      <w:marLeft w:val="0"/>
      <w:marRight w:val="0"/>
      <w:marTop w:val="0"/>
      <w:marBottom w:val="0"/>
      <w:divBdr>
        <w:top w:val="none" w:sz="0" w:space="0" w:color="auto"/>
        <w:left w:val="none" w:sz="0" w:space="0" w:color="auto"/>
        <w:bottom w:val="none" w:sz="0" w:space="0" w:color="auto"/>
        <w:right w:val="none" w:sz="0" w:space="0" w:color="auto"/>
      </w:divBdr>
    </w:div>
    <w:div w:id="388114262">
      <w:bodyDiv w:val="1"/>
      <w:marLeft w:val="0"/>
      <w:marRight w:val="0"/>
      <w:marTop w:val="0"/>
      <w:marBottom w:val="0"/>
      <w:divBdr>
        <w:top w:val="none" w:sz="0" w:space="0" w:color="auto"/>
        <w:left w:val="none" w:sz="0" w:space="0" w:color="auto"/>
        <w:bottom w:val="none" w:sz="0" w:space="0" w:color="auto"/>
        <w:right w:val="none" w:sz="0" w:space="0" w:color="auto"/>
      </w:divBdr>
    </w:div>
    <w:div w:id="466432086">
      <w:bodyDiv w:val="1"/>
      <w:marLeft w:val="0"/>
      <w:marRight w:val="0"/>
      <w:marTop w:val="0"/>
      <w:marBottom w:val="0"/>
      <w:divBdr>
        <w:top w:val="none" w:sz="0" w:space="0" w:color="auto"/>
        <w:left w:val="none" w:sz="0" w:space="0" w:color="auto"/>
        <w:bottom w:val="none" w:sz="0" w:space="0" w:color="auto"/>
        <w:right w:val="none" w:sz="0" w:space="0" w:color="auto"/>
      </w:divBdr>
    </w:div>
    <w:div w:id="468323577">
      <w:bodyDiv w:val="1"/>
      <w:marLeft w:val="0"/>
      <w:marRight w:val="0"/>
      <w:marTop w:val="0"/>
      <w:marBottom w:val="0"/>
      <w:divBdr>
        <w:top w:val="none" w:sz="0" w:space="0" w:color="auto"/>
        <w:left w:val="none" w:sz="0" w:space="0" w:color="auto"/>
        <w:bottom w:val="none" w:sz="0" w:space="0" w:color="auto"/>
        <w:right w:val="none" w:sz="0" w:space="0" w:color="auto"/>
      </w:divBdr>
    </w:div>
    <w:div w:id="513497428">
      <w:bodyDiv w:val="1"/>
      <w:marLeft w:val="0"/>
      <w:marRight w:val="0"/>
      <w:marTop w:val="0"/>
      <w:marBottom w:val="0"/>
      <w:divBdr>
        <w:top w:val="none" w:sz="0" w:space="0" w:color="auto"/>
        <w:left w:val="none" w:sz="0" w:space="0" w:color="auto"/>
        <w:bottom w:val="none" w:sz="0" w:space="0" w:color="auto"/>
        <w:right w:val="none" w:sz="0" w:space="0" w:color="auto"/>
      </w:divBdr>
    </w:div>
    <w:div w:id="583026088">
      <w:bodyDiv w:val="1"/>
      <w:marLeft w:val="0"/>
      <w:marRight w:val="0"/>
      <w:marTop w:val="0"/>
      <w:marBottom w:val="0"/>
      <w:divBdr>
        <w:top w:val="none" w:sz="0" w:space="0" w:color="auto"/>
        <w:left w:val="none" w:sz="0" w:space="0" w:color="auto"/>
        <w:bottom w:val="none" w:sz="0" w:space="0" w:color="auto"/>
        <w:right w:val="none" w:sz="0" w:space="0" w:color="auto"/>
      </w:divBdr>
    </w:div>
    <w:div w:id="599801449">
      <w:bodyDiv w:val="1"/>
      <w:marLeft w:val="0"/>
      <w:marRight w:val="0"/>
      <w:marTop w:val="0"/>
      <w:marBottom w:val="0"/>
      <w:divBdr>
        <w:top w:val="none" w:sz="0" w:space="0" w:color="auto"/>
        <w:left w:val="none" w:sz="0" w:space="0" w:color="auto"/>
        <w:bottom w:val="none" w:sz="0" w:space="0" w:color="auto"/>
        <w:right w:val="none" w:sz="0" w:space="0" w:color="auto"/>
      </w:divBdr>
    </w:div>
    <w:div w:id="603879779">
      <w:bodyDiv w:val="1"/>
      <w:marLeft w:val="0"/>
      <w:marRight w:val="0"/>
      <w:marTop w:val="0"/>
      <w:marBottom w:val="0"/>
      <w:divBdr>
        <w:top w:val="none" w:sz="0" w:space="0" w:color="auto"/>
        <w:left w:val="none" w:sz="0" w:space="0" w:color="auto"/>
        <w:bottom w:val="none" w:sz="0" w:space="0" w:color="auto"/>
        <w:right w:val="none" w:sz="0" w:space="0" w:color="auto"/>
      </w:divBdr>
    </w:div>
    <w:div w:id="604386028">
      <w:bodyDiv w:val="1"/>
      <w:marLeft w:val="0"/>
      <w:marRight w:val="0"/>
      <w:marTop w:val="0"/>
      <w:marBottom w:val="0"/>
      <w:divBdr>
        <w:top w:val="none" w:sz="0" w:space="0" w:color="auto"/>
        <w:left w:val="none" w:sz="0" w:space="0" w:color="auto"/>
        <w:bottom w:val="none" w:sz="0" w:space="0" w:color="auto"/>
        <w:right w:val="none" w:sz="0" w:space="0" w:color="auto"/>
      </w:divBdr>
    </w:div>
    <w:div w:id="609778373">
      <w:bodyDiv w:val="1"/>
      <w:marLeft w:val="0"/>
      <w:marRight w:val="0"/>
      <w:marTop w:val="0"/>
      <w:marBottom w:val="0"/>
      <w:divBdr>
        <w:top w:val="none" w:sz="0" w:space="0" w:color="auto"/>
        <w:left w:val="none" w:sz="0" w:space="0" w:color="auto"/>
        <w:bottom w:val="none" w:sz="0" w:space="0" w:color="auto"/>
        <w:right w:val="none" w:sz="0" w:space="0" w:color="auto"/>
      </w:divBdr>
    </w:div>
    <w:div w:id="646203422">
      <w:bodyDiv w:val="1"/>
      <w:marLeft w:val="0"/>
      <w:marRight w:val="0"/>
      <w:marTop w:val="0"/>
      <w:marBottom w:val="0"/>
      <w:divBdr>
        <w:top w:val="none" w:sz="0" w:space="0" w:color="auto"/>
        <w:left w:val="none" w:sz="0" w:space="0" w:color="auto"/>
        <w:bottom w:val="none" w:sz="0" w:space="0" w:color="auto"/>
        <w:right w:val="none" w:sz="0" w:space="0" w:color="auto"/>
      </w:divBdr>
    </w:div>
    <w:div w:id="663821529">
      <w:bodyDiv w:val="1"/>
      <w:marLeft w:val="0"/>
      <w:marRight w:val="0"/>
      <w:marTop w:val="0"/>
      <w:marBottom w:val="0"/>
      <w:divBdr>
        <w:top w:val="none" w:sz="0" w:space="0" w:color="auto"/>
        <w:left w:val="none" w:sz="0" w:space="0" w:color="auto"/>
        <w:bottom w:val="none" w:sz="0" w:space="0" w:color="auto"/>
        <w:right w:val="none" w:sz="0" w:space="0" w:color="auto"/>
      </w:divBdr>
    </w:div>
    <w:div w:id="679238539">
      <w:bodyDiv w:val="1"/>
      <w:marLeft w:val="0"/>
      <w:marRight w:val="0"/>
      <w:marTop w:val="0"/>
      <w:marBottom w:val="0"/>
      <w:divBdr>
        <w:top w:val="none" w:sz="0" w:space="0" w:color="auto"/>
        <w:left w:val="none" w:sz="0" w:space="0" w:color="auto"/>
        <w:bottom w:val="none" w:sz="0" w:space="0" w:color="auto"/>
        <w:right w:val="none" w:sz="0" w:space="0" w:color="auto"/>
      </w:divBdr>
    </w:div>
    <w:div w:id="713165602">
      <w:bodyDiv w:val="1"/>
      <w:marLeft w:val="0"/>
      <w:marRight w:val="0"/>
      <w:marTop w:val="0"/>
      <w:marBottom w:val="0"/>
      <w:divBdr>
        <w:top w:val="none" w:sz="0" w:space="0" w:color="auto"/>
        <w:left w:val="none" w:sz="0" w:space="0" w:color="auto"/>
        <w:bottom w:val="none" w:sz="0" w:space="0" w:color="auto"/>
        <w:right w:val="none" w:sz="0" w:space="0" w:color="auto"/>
      </w:divBdr>
    </w:div>
    <w:div w:id="744495060">
      <w:bodyDiv w:val="1"/>
      <w:marLeft w:val="0"/>
      <w:marRight w:val="0"/>
      <w:marTop w:val="0"/>
      <w:marBottom w:val="0"/>
      <w:divBdr>
        <w:top w:val="none" w:sz="0" w:space="0" w:color="auto"/>
        <w:left w:val="none" w:sz="0" w:space="0" w:color="auto"/>
        <w:bottom w:val="none" w:sz="0" w:space="0" w:color="auto"/>
        <w:right w:val="none" w:sz="0" w:space="0" w:color="auto"/>
      </w:divBdr>
    </w:div>
    <w:div w:id="788863745">
      <w:bodyDiv w:val="1"/>
      <w:marLeft w:val="0"/>
      <w:marRight w:val="0"/>
      <w:marTop w:val="0"/>
      <w:marBottom w:val="0"/>
      <w:divBdr>
        <w:top w:val="none" w:sz="0" w:space="0" w:color="auto"/>
        <w:left w:val="none" w:sz="0" w:space="0" w:color="auto"/>
        <w:bottom w:val="none" w:sz="0" w:space="0" w:color="auto"/>
        <w:right w:val="none" w:sz="0" w:space="0" w:color="auto"/>
      </w:divBdr>
    </w:div>
    <w:div w:id="789400833">
      <w:bodyDiv w:val="1"/>
      <w:marLeft w:val="0"/>
      <w:marRight w:val="0"/>
      <w:marTop w:val="0"/>
      <w:marBottom w:val="0"/>
      <w:divBdr>
        <w:top w:val="none" w:sz="0" w:space="0" w:color="auto"/>
        <w:left w:val="none" w:sz="0" w:space="0" w:color="auto"/>
        <w:bottom w:val="none" w:sz="0" w:space="0" w:color="auto"/>
        <w:right w:val="none" w:sz="0" w:space="0" w:color="auto"/>
      </w:divBdr>
    </w:div>
    <w:div w:id="793986467">
      <w:bodyDiv w:val="1"/>
      <w:marLeft w:val="0"/>
      <w:marRight w:val="0"/>
      <w:marTop w:val="0"/>
      <w:marBottom w:val="0"/>
      <w:divBdr>
        <w:top w:val="none" w:sz="0" w:space="0" w:color="auto"/>
        <w:left w:val="none" w:sz="0" w:space="0" w:color="auto"/>
        <w:bottom w:val="none" w:sz="0" w:space="0" w:color="auto"/>
        <w:right w:val="none" w:sz="0" w:space="0" w:color="auto"/>
      </w:divBdr>
    </w:div>
    <w:div w:id="870802473">
      <w:bodyDiv w:val="1"/>
      <w:marLeft w:val="0"/>
      <w:marRight w:val="0"/>
      <w:marTop w:val="0"/>
      <w:marBottom w:val="0"/>
      <w:divBdr>
        <w:top w:val="none" w:sz="0" w:space="0" w:color="auto"/>
        <w:left w:val="none" w:sz="0" w:space="0" w:color="auto"/>
        <w:bottom w:val="none" w:sz="0" w:space="0" w:color="auto"/>
        <w:right w:val="none" w:sz="0" w:space="0" w:color="auto"/>
      </w:divBdr>
    </w:div>
    <w:div w:id="889151804">
      <w:bodyDiv w:val="1"/>
      <w:marLeft w:val="0"/>
      <w:marRight w:val="0"/>
      <w:marTop w:val="0"/>
      <w:marBottom w:val="0"/>
      <w:divBdr>
        <w:top w:val="none" w:sz="0" w:space="0" w:color="auto"/>
        <w:left w:val="none" w:sz="0" w:space="0" w:color="auto"/>
        <w:bottom w:val="none" w:sz="0" w:space="0" w:color="auto"/>
        <w:right w:val="none" w:sz="0" w:space="0" w:color="auto"/>
      </w:divBdr>
    </w:div>
    <w:div w:id="962347794">
      <w:bodyDiv w:val="1"/>
      <w:marLeft w:val="0"/>
      <w:marRight w:val="0"/>
      <w:marTop w:val="0"/>
      <w:marBottom w:val="0"/>
      <w:divBdr>
        <w:top w:val="none" w:sz="0" w:space="0" w:color="auto"/>
        <w:left w:val="none" w:sz="0" w:space="0" w:color="auto"/>
        <w:bottom w:val="none" w:sz="0" w:space="0" w:color="auto"/>
        <w:right w:val="none" w:sz="0" w:space="0" w:color="auto"/>
      </w:divBdr>
    </w:div>
    <w:div w:id="963271477">
      <w:bodyDiv w:val="1"/>
      <w:marLeft w:val="0"/>
      <w:marRight w:val="0"/>
      <w:marTop w:val="0"/>
      <w:marBottom w:val="0"/>
      <w:divBdr>
        <w:top w:val="none" w:sz="0" w:space="0" w:color="auto"/>
        <w:left w:val="none" w:sz="0" w:space="0" w:color="auto"/>
        <w:bottom w:val="none" w:sz="0" w:space="0" w:color="auto"/>
        <w:right w:val="none" w:sz="0" w:space="0" w:color="auto"/>
      </w:divBdr>
    </w:div>
    <w:div w:id="998927264">
      <w:bodyDiv w:val="1"/>
      <w:marLeft w:val="0"/>
      <w:marRight w:val="0"/>
      <w:marTop w:val="0"/>
      <w:marBottom w:val="0"/>
      <w:divBdr>
        <w:top w:val="none" w:sz="0" w:space="0" w:color="auto"/>
        <w:left w:val="none" w:sz="0" w:space="0" w:color="auto"/>
        <w:bottom w:val="none" w:sz="0" w:space="0" w:color="auto"/>
        <w:right w:val="none" w:sz="0" w:space="0" w:color="auto"/>
      </w:divBdr>
    </w:div>
    <w:div w:id="1053038419">
      <w:bodyDiv w:val="1"/>
      <w:marLeft w:val="0"/>
      <w:marRight w:val="0"/>
      <w:marTop w:val="0"/>
      <w:marBottom w:val="0"/>
      <w:divBdr>
        <w:top w:val="none" w:sz="0" w:space="0" w:color="auto"/>
        <w:left w:val="none" w:sz="0" w:space="0" w:color="auto"/>
        <w:bottom w:val="none" w:sz="0" w:space="0" w:color="auto"/>
        <w:right w:val="none" w:sz="0" w:space="0" w:color="auto"/>
      </w:divBdr>
    </w:div>
    <w:div w:id="1156653997">
      <w:bodyDiv w:val="1"/>
      <w:marLeft w:val="0"/>
      <w:marRight w:val="0"/>
      <w:marTop w:val="0"/>
      <w:marBottom w:val="0"/>
      <w:divBdr>
        <w:top w:val="none" w:sz="0" w:space="0" w:color="auto"/>
        <w:left w:val="none" w:sz="0" w:space="0" w:color="auto"/>
        <w:bottom w:val="none" w:sz="0" w:space="0" w:color="auto"/>
        <w:right w:val="none" w:sz="0" w:space="0" w:color="auto"/>
      </w:divBdr>
    </w:div>
    <w:div w:id="1158377438">
      <w:bodyDiv w:val="1"/>
      <w:marLeft w:val="0"/>
      <w:marRight w:val="0"/>
      <w:marTop w:val="0"/>
      <w:marBottom w:val="0"/>
      <w:divBdr>
        <w:top w:val="none" w:sz="0" w:space="0" w:color="auto"/>
        <w:left w:val="none" w:sz="0" w:space="0" w:color="auto"/>
        <w:bottom w:val="none" w:sz="0" w:space="0" w:color="auto"/>
        <w:right w:val="none" w:sz="0" w:space="0" w:color="auto"/>
      </w:divBdr>
    </w:div>
    <w:div w:id="1189179385">
      <w:bodyDiv w:val="1"/>
      <w:marLeft w:val="0"/>
      <w:marRight w:val="0"/>
      <w:marTop w:val="0"/>
      <w:marBottom w:val="0"/>
      <w:divBdr>
        <w:top w:val="none" w:sz="0" w:space="0" w:color="auto"/>
        <w:left w:val="none" w:sz="0" w:space="0" w:color="auto"/>
        <w:bottom w:val="none" w:sz="0" w:space="0" w:color="auto"/>
        <w:right w:val="none" w:sz="0" w:space="0" w:color="auto"/>
      </w:divBdr>
    </w:div>
    <w:div w:id="1384796691">
      <w:bodyDiv w:val="1"/>
      <w:marLeft w:val="0"/>
      <w:marRight w:val="0"/>
      <w:marTop w:val="0"/>
      <w:marBottom w:val="0"/>
      <w:divBdr>
        <w:top w:val="none" w:sz="0" w:space="0" w:color="auto"/>
        <w:left w:val="none" w:sz="0" w:space="0" w:color="auto"/>
        <w:bottom w:val="none" w:sz="0" w:space="0" w:color="auto"/>
        <w:right w:val="none" w:sz="0" w:space="0" w:color="auto"/>
      </w:divBdr>
    </w:div>
    <w:div w:id="1412386969">
      <w:bodyDiv w:val="1"/>
      <w:marLeft w:val="0"/>
      <w:marRight w:val="0"/>
      <w:marTop w:val="0"/>
      <w:marBottom w:val="0"/>
      <w:divBdr>
        <w:top w:val="none" w:sz="0" w:space="0" w:color="auto"/>
        <w:left w:val="none" w:sz="0" w:space="0" w:color="auto"/>
        <w:bottom w:val="none" w:sz="0" w:space="0" w:color="auto"/>
        <w:right w:val="none" w:sz="0" w:space="0" w:color="auto"/>
      </w:divBdr>
    </w:div>
    <w:div w:id="1448936316">
      <w:bodyDiv w:val="1"/>
      <w:marLeft w:val="0"/>
      <w:marRight w:val="0"/>
      <w:marTop w:val="0"/>
      <w:marBottom w:val="0"/>
      <w:divBdr>
        <w:top w:val="none" w:sz="0" w:space="0" w:color="auto"/>
        <w:left w:val="none" w:sz="0" w:space="0" w:color="auto"/>
        <w:bottom w:val="none" w:sz="0" w:space="0" w:color="auto"/>
        <w:right w:val="none" w:sz="0" w:space="0" w:color="auto"/>
      </w:divBdr>
    </w:div>
    <w:div w:id="1459102910">
      <w:bodyDiv w:val="1"/>
      <w:marLeft w:val="0"/>
      <w:marRight w:val="0"/>
      <w:marTop w:val="0"/>
      <w:marBottom w:val="0"/>
      <w:divBdr>
        <w:top w:val="none" w:sz="0" w:space="0" w:color="auto"/>
        <w:left w:val="none" w:sz="0" w:space="0" w:color="auto"/>
        <w:bottom w:val="none" w:sz="0" w:space="0" w:color="auto"/>
        <w:right w:val="none" w:sz="0" w:space="0" w:color="auto"/>
      </w:divBdr>
    </w:div>
    <w:div w:id="1580401325">
      <w:bodyDiv w:val="1"/>
      <w:marLeft w:val="0"/>
      <w:marRight w:val="0"/>
      <w:marTop w:val="0"/>
      <w:marBottom w:val="0"/>
      <w:divBdr>
        <w:top w:val="none" w:sz="0" w:space="0" w:color="auto"/>
        <w:left w:val="none" w:sz="0" w:space="0" w:color="auto"/>
        <w:bottom w:val="none" w:sz="0" w:space="0" w:color="auto"/>
        <w:right w:val="none" w:sz="0" w:space="0" w:color="auto"/>
      </w:divBdr>
    </w:div>
    <w:div w:id="1645815109">
      <w:bodyDiv w:val="1"/>
      <w:marLeft w:val="0"/>
      <w:marRight w:val="0"/>
      <w:marTop w:val="0"/>
      <w:marBottom w:val="0"/>
      <w:divBdr>
        <w:top w:val="none" w:sz="0" w:space="0" w:color="auto"/>
        <w:left w:val="none" w:sz="0" w:space="0" w:color="auto"/>
        <w:bottom w:val="none" w:sz="0" w:space="0" w:color="auto"/>
        <w:right w:val="none" w:sz="0" w:space="0" w:color="auto"/>
      </w:divBdr>
    </w:div>
    <w:div w:id="1649701755">
      <w:bodyDiv w:val="1"/>
      <w:marLeft w:val="0"/>
      <w:marRight w:val="0"/>
      <w:marTop w:val="0"/>
      <w:marBottom w:val="0"/>
      <w:divBdr>
        <w:top w:val="none" w:sz="0" w:space="0" w:color="auto"/>
        <w:left w:val="none" w:sz="0" w:space="0" w:color="auto"/>
        <w:bottom w:val="none" w:sz="0" w:space="0" w:color="auto"/>
        <w:right w:val="none" w:sz="0" w:space="0" w:color="auto"/>
      </w:divBdr>
    </w:div>
    <w:div w:id="1655066187">
      <w:bodyDiv w:val="1"/>
      <w:marLeft w:val="0"/>
      <w:marRight w:val="0"/>
      <w:marTop w:val="0"/>
      <w:marBottom w:val="0"/>
      <w:divBdr>
        <w:top w:val="none" w:sz="0" w:space="0" w:color="auto"/>
        <w:left w:val="none" w:sz="0" w:space="0" w:color="auto"/>
        <w:bottom w:val="none" w:sz="0" w:space="0" w:color="auto"/>
        <w:right w:val="none" w:sz="0" w:space="0" w:color="auto"/>
      </w:divBdr>
    </w:div>
    <w:div w:id="1657763369">
      <w:bodyDiv w:val="1"/>
      <w:marLeft w:val="0"/>
      <w:marRight w:val="0"/>
      <w:marTop w:val="0"/>
      <w:marBottom w:val="0"/>
      <w:divBdr>
        <w:top w:val="none" w:sz="0" w:space="0" w:color="auto"/>
        <w:left w:val="none" w:sz="0" w:space="0" w:color="auto"/>
        <w:bottom w:val="none" w:sz="0" w:space="0" w:color="auto"/>
        <w:right w:val="none" w:sz="0" w:space="0" w:color="auto"/>
      </w:divBdr>
    </w:div>
    <w:div w:id="1741051320">
      <w:bodyDiv w:val="1"/>
      <w:marLeft w:val="0"/>
      <w:marRight w:val="0"/>
      <w:marTop w:val="0"/>
      <w:marBottom w:val="0"/>
      <w:divBdr>
        <w:top w:val="none" w:sz="0" w:space="0" w:color="auto"/>
        <w:left w:val="none" w:sz="0" w:space="0" w:color="auto"/>
        <w:bottom w:val="none" w:sz="0" w:space="0" w:color="auto"/>
        <w:right w:val="none" w:sz="0" w:space="0" w:color="auto"/>
      </w:divBdr>
    </w:div>
    <w:div w:id="1770199857">
      <w:bodyDiv w:val="1"/>
      <w:marLeft w:val="0"/>
      <w:marRight w:val="0"/>
      <w:marTop w:val="0"/>
      <w:marBottom w:val="0"/>
      <w:divBdr>
        <w:top w:val="none" w:sz="0" w:space="0" w:color="auto"/>
        <w:left w:val="none" w:sz="0" w:space="0" w:color="auto"/>
        <w:bottom w:val="none" w:sz="0" w:space="0" w:color="auto"/>
        <w:right w:val="none" w:sz="0" w:space="0" w:color="auto"/>
      </w:divBdr>
    </w:div>
    <w:div w:id="1792704137">
      <w:bodyDiv w:val="1"/>
      <w:marLeft w:val="0"/>
      <w:marRight w:val="0"/>
      <w:marTop w:val="0"/>
      <w:marBottom w:val="0"/>
      <w:divBdr>
        <w:top w:val="none" w:sz="0" w:space="0" w:color="auto"/>
        <w:left w:val="none" w:sz="0" w:space="0" w:color="auto"/>
        <w:bottom w:val="none" w:sz="0" w:space="0" w:color="auto"/>
        <w:right w:val="none" w:sz="0" w:space="0" w:color="auto"/>
      </w:divBdr>
    </w:div>
    <w:div w:id="1796369687">
      <w:bodyDiv w:val="1"/>
      <w:marLeft w:val="0"/>
      <w:marRight w:val="0"/>
      <w:marTop w:val="0"/>
      <w:marBottom w:val="0"/>
      <w:divBdr>
        <w:top w:val="none" w:sz="0" w:space="0" w:color="auto"/>
        <w:left w:val="none" w:sz="0" w:space="0" w:color="auto"/>
        <w:bottom w:val="none" w:sz="0" w:space="0" w:color="auto"/>
        <w:right w:val="none" w:sz="0" w:space="0" w:color="auto"/>
      </w:divBdr>
    </w:div>
    <w:div w:id="1811705386">
      <w:bodyDiv w:val="1"/>
      <w:marLeft w:val="0"/>
      <w:marRight w:val="0"/>
      <w:marTop w:val="0"/>
      <w:marBottom w:val="0"/>
      <w:divBdr>
        <w:top w:val="none" w:sz="0" w:space="0" w:color="auto"/>
        <w:left w:val="none" w:sz="0" w:space="0" w:color="auto"/>
        <w:bottom w:val="none" w:sz="0" w:space="0" w:color="auto"/>
        <w:right w:val="none" w:sz="0" w:space="0" w:color="auto"/>
      </w:divBdr>
    </w:div>
    <w:div w:id="1814175201">
      <w:bodyDiv w:val="1"/>
      <w:marLeft w:val="0"/>
      <w:marRight w:val="0"/>
      <w:marTop w:val="0"/>
      <w:marBottom w:val="0"/>
      <w:divBdr>
        <w:top w:val="none" w:sz="0" w:space="0" w:color="auto"/>
        <w:left w:val="none" w:sz="0" w:space="0" w:color="auto"/>
        <w:bottom w:val="none" w:sz="0" w:space="0" w:color="auto"/>
        <w:right w:val="none" w:sz="0" w:space="0" w:color="auto"/>
      </w:divBdr>
    </w:div>
    <w:div w:id="1847666238">
      <w:bodyDiv w:val="1"/>
      <w:marLeft w:val="0"/>
      <w:marRight w:val="0"/>
      <w:marTop w:val="0"/>
      <w:marBottom w:val="0"/>
      <w:divBdr>
        <w:top w:val="none" w:sz="0" w:space="0" w:color="auto"/>
        <w:left w:val="none" w:sz="0" w:space="0" w:color="auto"/>
        <w:bottom w:val="none" w:sz="0" w:space="0" w:color="auto"/>
        <w:right w:val="none" w:sz="0" w:space="0" w:color="auto"/>
      </w:divBdr>
    </w:div>
    <w:div w:id="1860318290">
      <w:bodyDiv w:val="1"/>
      <w:marLeft w:val="0"/>
      <w:marRight w:val="0"/>
      <w:marTop w:val="0"/>
      <w:marBottom w:val="0"/>
      <w:divBdr>
        <w:top w:val="none" w:sz="0" w:space="0" w:color="auto"/>
        <w:left w:val="none" w:sz="0" w:space="0" w:color="auto"/>
        <w:bottom w:val="none" w:sz="0" w:space="0" w:color="auto"/>
        <w:right w:val="none" w:sz="0" w:space="0" w:color="auto"/>
      </w:divBdr>
    </w:div>
    <w:div w:id="1870991297">
      <w:bodyDiv w:val="1"/>
      <w:marLeft w:val="0"/>
      <w:marRight w:val="0"/>
      <w:marTop w:val="0"/>
      <w:marBottom w:val="0"/>
      <w:divBdr>
        <w:top w:val="none" w:sz="0" w:space="0" w:color="auto"/>
        <w:left w:val="none" w:sz="0" w:space="0" w:color="auto"/>
        <w:bottom w:val="none" w:sz="0" w:space="0" w:color="auto"/>
        <w:right w:val="none" w:sz="0" w:space="0" w:color="auto"/>
      </w:divBdr>
    </w:div>
    <w:div w:id="1885869983">
      <w:bodyDiv w:val="1"/>
      <w:marLeft w:val="0"/>
      <w:marRight w:val="0"/>
      <w:marTop w:val="0"/>
      <w:marBottom w:val="0"/>
      <w:divBdr>
        <w:top w:val="none" w:sz="0" w:space="0" w:color="auto"/>
        <w:left w:val="none" w:sz="0" w:space="0" w:color="auto"/>
        <w:bottom w:val="none" w:sz="0" w:space="0" w:color="auto"/>
        <w:right w:val="none" w:sz="0" w:space="0" w:color="auto"/>
      </w:divBdr>
    </w:div>
    <w:div w:id="1889761443">
      <w:bodyDiv w:val="1"/>
      <w:marLeft w:val="0"/>
      <w:marRight w:val="0"/>
      <w:marTop w:val="0"/>
      <w:marBottom w:val="0"/>
      <w:divBdr>
        <w:top w:val="none" w:sz="0" w:space="0" w:color="auto"/>
        <w:left w:val="none" w:sz="0" w:space="0" w:color="auto"/>
        <w:bottom w:val="none" w:sz="0" w:space="0" w:color="auto"/>
        <w:right w:val="none" w:sz="0" w:space="0" w:color="auto"/>
      </w:divBdr>
    </w:div>
    <w:div w:id="1890847274">
      <w:bodyDiv w:val="1"/>
      <w:marLeft w:val="0"/>
      <w:marRight w:val="0"/>
      <w:marTop w:val="0"/>
      <w:marBottom w:val="0"/>
      <w:divBdr>
        <w:top w:val="none" w:sz="0" w:space="0" w:color="auto"/>
        <w:left w:val="none" w:sz="0" w:space="0" w:color="auto"/>
        <w:bottom w:val="none" w:sz="0" w:space="0" w:color="auto"/>
        <w:right w:val="none" w:sz="0" w:space="0" w:color="auto"/>
      </w:divBdr>
    </w:div>
    <w:div w:id="1910069852">
      <w:bodyDiv w:val="1"/>
      <w:marLeft w:val="0"/>
      <w:marRight w:val="0"/>
      <w:marTop w:val="0"/>
      <w:marBottom w:val="0"/>
      <w:divBdr>
        <w:top w:val="none" w:sz="0" w:space="0" w:color="auto"/>
        <w:left w:val="none" w:sz="0" w:space="0" w:color="auto"/>
        <w:bottom w:val="none" w:sz="0" w:space="0" w:color="auto"/>
        <w:right w:val="none" w:sz="0" w:space="0" w:color="auto"/>
      </w:divBdr>
    </w:div>
    <w:div w:id="1916548308">
      <w:bodyDiv w:val="1"/>
      <w:marLeft w:val="0"/>
      <w:marRight w:val="0"/>
      <w:marTop w:val="0"/>
      <w:marBottom w:val="0"/>
      <w:divBdr>
        <w:top w:val="none" w:sz="0" w:space="0" w:color="auto"/>
        <w:left w:val="none" w:sz="0" w:space="0" w:color="auto"/>
        <w:bottom w:val="none" w:sz="0" w:space="0" w:color="auto"/>
        <w:right w:val="none" w:sz="0" w:space="0" w:color="auto"/>
      </w:divBdr>
    </w:div>
    <w:div w:id="1981881021">
      <w:bodyDiv w:val="1"/>
      <w:marLeft w:val="0"/>
      <w:marRight w:val="0"/>
      <w:marTop w:val="0"/>
      <w:marBottom w:val="0"/>
      <w:divBdr>
        <w:top w:val="none" w:sz="0" w:space="0" w:color="auto"/>
        <w:left w:val="none" w:sz="0" w:space="0" w:color="auto"/>
        <w:bottom w:val="none" w:sz="0" w:space="0" w:color="auto"/>
        <w:right w:val="none" w:sz="0" w:space="0" w:color="auto"/>
      </w:divBdr>
    </w:div>
    <w:div w:id="2015380785">
      <w:bodyDiv w:val="1"/>
      <w:marLeft w:val="0"/>
      <w:marRight w:val="0"/>
      <w:marTop w:val="0"/>
      <w:marBottom w:val="0"/>
      <w:divBdr>
        <w:top w:val="none" w:sz="0" w:space="0" w:color="auto"/>
        <w:left w:val="none" w:sz="0" w:space="0" w:color="auto"/>
        <w:bottom w:val="none" w:sz="0" w:space="0" w:color="auto"/>
        <w:right w:val="none" w:sz="0" w:space="0" w:color="auto"/>
      </w:divBdr>
    </w:div>
    <w:div w:id="2031176729">
      <w:bodyDiv w:val="1"/>
      <w:marLeft w:val="0"/>
      <w:marRight w:val="0"/>
      <w:marTop w:val="0"/>
      <w:marBottom w:val="0"/>
      <w:divBdr>
        <w:top w:val="none" w:sz="0" w:space="0" w:color="auto"/>
        <w:left w:val="none" w:sz="0" w:space="0" w:color="auto"/>
        <w:bottom w:val="none" w:sz="0" w:space="0" w:color="auto"/>
        <w:right w:val="none" w:sz="0" w:space="0" w:color="auto"/>
      </w:divBdr>
    </w:div>
    <w:div w:id="2093699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Natwn</b:Tag>
    <b:SourceType>InternetSite</b:SourceType>
    <b:Guid>{6B9B89D2-5CF1-4EB4-8694-69124A596A90}</b:Guid>
    <b:Author>
      <b:Author>
        <b:NameList>
          <b:Person>
            <b:Last>Museum</b:Last>
            <b:First>National</b:First>
            <b:Middle>Holocaust Centre &amp;</b:Middle>
          </b:Person>
        </b:NameList>
      </b:Author>
    </b:Author>
    <b:Title>Collections</b:Title>
    <b:Year>unknown</b:Year>
    <b:YearAccessed>2021</b:YearAccessed>
    <b:MonthAccessed>October</b:MonthAccessed>
    <b:DayAccessed>2</b:DayAccessed>
    <b:URL>https://www.holocaust.org.uk/collections</b:URL>
    <b:RefOrder>3</b:RefOrder>
  </b:Source>
  <b:Source>
    <b:Tag>Bar21</b:Tag>
    <b:SourceType>JournalArticle</b:SourceType>
    <b:Guid>{7FFDE23A-0198-4ABF-A28A-B3A5FBA6023C}</b:Guid>
    <b:Title>Difficult heritage and digital media: ‘selfie culture’and emotional practices at the Memorial to the Murdered Jews of Europe</b:Title>
    <b:Year>2021</b:Year>
    <b:Author>
      <b:Author>
        <b:NameList>
          <b:Person>
            <b:Last>Bareither</b:Last>
            <b:First>Christoph</b:First>
          </b:Person>
        </b:NameList>
      </b:Author>
    </b:Author>
    <b:JournalName>International Journal of Heritage Studies </b:JournalName>
    <b:Pages>57-72</b:Pages>
    <b:Volume>27</b:Volume>
    <b:Issue>1</b:Issue>
    <b:RefOrder>7</b:RefOrder>
  </b:Source>
  <b:Source>
    <b:Tag>McC17</b:Tag>
    <b:SourceType>JournalArticle</b:SourceType>
    <b:Guid>{786D99ED-7B7A-4D93-9700-153B3CF131EF}</b:Guid>
    <b:Author>
      <b:Author>
        <b:NameList>
          <b:Person>
            <b:Last>McCarthy</b:Last>
            <b:First>Christine</b:First>
          </b:Person>
        </b:NameList>
      </b:Author>
    </b:Author>
    <b:Title>Incidental heritage: difficult intangible heritages as collateral damage</b:Title>
    <b:JournalName>International Journal of Heritage Studies</b:JournalName>
    <b:Year>2017</b:Year>
    <b:Pages>52-64</b:Pages>
    <b:Volume>23</b:Volume>
    <b:Issue>1</b:Issue>
    <b:RefOrder>4</b:RefOrder>
  </b:Source>
  <b:Source>
    <b:Tag>Son18</b:Tag>
    <b:SourceType>JournalArticle</b:SourceType>
    <b:Guid>{D4575042-296F-43AF-B9C4-C325DBEC975A}</b:Guid>
    <b:Author>
      <b:Author>
        <b:NameList>
          <b:Person>
            <b:Last>Sontum Hannedatter</b:Last>
            <b:First>Kaja</b:First>
          </b:Person>
        </b:NameList>
      </b:Author>
    </b:Author>
    <b:Title>The co-production of difference? Exploring urban youths’ negotiations of identity in meeting with difficult heritage of human classification</b:Title>
    <b:JournalName>Museums &amp; Social Issues</b:JournalName>
    <b:Year>2018</b:Year>
    <b:Pages>43-57</b:Pages>
    <b:Volume>13</b:Volume>
    <b:Issue>2</b:Issue>
    <b:RefOrder>2</b:RefOrder>
  </b:Source>
  <b:Source>
    <b:Tag>Bur11</b:Tag>
    <b:SourceType>JournalArticle</b:SourceType>
    <b:Guid>{AC8622F9-8B9E-4DCA-99FB-7BDF3951B646}</b:Guid>
    <b:Author>
      <b:Author>
        <b:NameList>
          <b:Person>
            <b:Last>Burstro¨m</b:Last>
            <b:First>Mats</b:First>
          </b:Person>
          <b:Person>
            <b:Last>Gelderblom</b:Last>
            <b:First>Bernhard</b:First>
          </b:Person>
        </b:NameList>
      </b:Author>
    </b:Author>
    <b:Title>Dealing with difficult heritage: The case of Bu¨ ckeberg, site of the Third Reich Harvest Festival</b:Title>
    <b:JournalName>Journal of Social Archaeology</b:JournalName>
    <b:Year>2011</b:Year>
    <b:Pages>266-282</b:Pages>
    <b:Volume>11</b:Volume>
    <b:Issue>3</b:Issue>
    <b:RefOrder>6</b:RefOrder>
  </b:Source>
  <b:Source>
    <b:Tag>Bra12</b:Tag>
    <b:SourceType>JournalArticle</b:SourceType>
    <b:Guid>{AD9FB6F9-7673-4291-A694-B10EB004F554}</b:Guid>
    <b:Author>
      <b:Author>
        <b:NameList>
          <b:Person>
            <b:Last>Braswell</b:Last>
            <b:First>G.</b:First>
          </b:Person>
        </b:NameList>
      </b:Author>
    </b:Author>
    <b:Title>Variations in Children's and Adults' Engagement with Museum Artefacts</b:Title>
    <b:JournalName>Visitor Studies</b:JournalName>
    <b:Year>2012</b:Year>
    <b:Pages>123-135</b:Pages>
    <b:Volume>15</b:Volume>
    <b:Issue>2</b:Issue>
    <b:RefOrder>5</b:RefOrder>
  </b:Source>
  <b:Source>
    <b:Tag>Dau17</b:Tag>
    <b:SourceType>JournalArticle</b:SourceType>
    <b:Guid>{3B34F796-8D95-4401-9472-D7CFD3BC0A99}</b:Guid>
    <b:Author>
      <b:Author>
        <b:NameList>
          <b:Person>
            <b:Last>Daubney</b:Last>
            <b:First>Adam</b:First>
          </b:Person>
        </b:NameList>
      </b:Author>
    </b:Author>
    <b:Title>Floating culture: the unrecorded antiquities of England and Wales</b:Title>
    <b:JournalName>International Journal of Heritage Studies </b:JournalName>
    <b:Year>2017</b:Year>
    <b:Pages>785-799</b:Pages>
    <b:Volume>23</b:Volume>
    <b:Issue>9</b:Issue>
    <b:RefOrder>8</b:RefOrder>
  </b:Source>
  <b:Source>
    <b:Tag>Natwn1</b:Tag>
    <b:SourceType>InternetSite</b:SourceType>
    <b:Guid>{58868843-F405-4B8C-9C29-BAD4AD19C185}</b:Guid>
    <b:Author>
      <b:Author>
        <b:NameList>
          <b:Person>
            <b:Last>Museum</b:Last>
            <b:First>National</b:First>
            <b:Middle>Holocaust Centre &amp;</b:Middle>
          </b:Person>
        </b:NameList>
      </b:Author>
    </b:Author>
    <b:Title>Leaving a gift in your will</b:Title>
    <b:Year>unknown</b:Year>
    <b:YearAccessed>2021</b:YearAccessed>
    <b:MonthAccessed>October</b:MonthAccessed>
    <b:DayAccessed>5</b:DayAccessed>
    <b:URL>https://www.holocaust.org.uk/legacy</b:URL>
    <b:RefOrder>10</b:RefOrder>
  </b:Source>
  <b:Source>
    <b:Tag>Unkwn2</b:Tag>
    <b:SourceType>InternetSite</b:SourceType>
    <b:Guid>{539069EB-261A-4F0D-822D-D46F8BED6A03}</b:Guid>
    <b:Title>Adressed Paper -Westerbork</b:Title>
    <b:Year>unkown</b:Year>
    <b:YearAccessed>2021</b:YearAccessed>
    <b:MonthAccessed>October</b:MonthAccessed>
    <b:DayAccessed>5</b:DayAccessed>
    <b:URL>https://www.holocaust.org.uk/addressed-paper-westerbork</b:URL>
    <b:Author>
      <b:Author>
        <b:NameList>
          <b:Person>
            <b:Last>Museum</b:Last>
            <b:First>National</b:First>
            <b:Middle>Holocaust Centre &amp;</b:Middle>
          </b:Person>
        </b:NameList>
      </b:Author>
    </b:Author>
    <b:RefOrder>9</b:RefOrder>
  </b:Source>
  <b:Source>
    <b:Tag>Natwn4</b:Tag>
    <b:SourceType>InternetSite</b:SourceType>
    <b:Guid>{81571B80-CD3B-44B0-8F7D-BE2B1F988D7E}</b:Guid>
    <b:Author>
      <b:Author>
        <b:NameList>
          <b:Person>
            <b:Last>Museum</b:Last>
            <b:First>National</b:First>
            <b:Middle>Holocaust Centre &amp;</b:Middle>
          </b:Person>
        </b:NameList>
      </b:Author>
    </b:Author>
    <b:Title>Our History </b:Title>
    <b:Year>unknown</b:Year>
    <b:YearAccessed>2021</b:YearAccessed>
    <b:MonthAccessed>October</b:MonthAccessed>
    <b:DayAccessed>7</b:DayAccessed>
    <b:URL>https://www.holocaust.org.uk/our-history</b:URL>
    <b:RefOrder>1</b:RefOrder>
  </b:Source>
</b:Sources>
</file>

<file path=customXml/itemProps1.xml><?xml version="1.0" encoding="utf-8"?>
<ds:datastoreItem xmlns:ds="http://schemas.openxmlformats.org/officeDocument/2006/customXml" ds:itemID="{3A0C5260-9756-4FF1-8D3A-3A1B59590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12941</TotalTime>
  <Pages>9</Pages>
  <Words>3158</Words>
  <Characters>18001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Naome Wrightson (1907790)</dc:creator>
  <cp:keywords/>
  <dc:description/>
  <cp:lastModifiedBy>Naome Wrightson (1907790)</cp:lastModifiedBy>
  <cp:revision>44</cp:revision>
  <dcterms:created xsi:type="dcterms:W3CDTF">2021-09-30T09:27:00Z</dcterms:created>
  <dcterms:modified xsi:type="dcterms:W3CDTF">2021-10-09T09:18:00Z</dcterms:modified>
</cp:coreProperties>
</file>