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DCC14" w14:textId="77777777" w:rsidR="0033644F" w:rsidRDefault="0033644F" w:rsidP="0033644F">
      <w:pPr>
        <w:pStyle w:val="NormalWeb"/>
        <w:spacing w:before="0" w:beforeAutospacing="0" w:after="0" w:afterAutospacing="0"/>
        <w:ind w:left="-180" w:right="-334"/>
        <w:rPr>
          <w:lang w:val="cy-GB"/>
        </w:rPr>
      </w:pPr>
      <w:r>
        <w:rPr>
          <w:noProof/>
          <w:lang w:eastAsia="en-GB"/>
        </w:rPr>
        <w:drawing>
          <wp:inline distT="0" distB="0" distL="0" distR="0" wp14:anchorId="35F80752" wp14:editId="073DA2C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11B09DD" w14:textId="77777777" w:rsidR="0033644F" w:rsidRDefault="0033644F" w:rsidP="0033644F">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25561AA9" w14:textId="77777777" w:rsidR="0033644F" w:rsidRPr="002E67CE" w:rsidRDefault="0033644F" w:rsidP="0033644F">
      <w:pPr>
        <w:rPr>
          <w:lang w:val="cy-GB"/>
        </w:rPr>
      </w:pPr>
    </w:p>
    <w:p w14:paraId="734981C9" w14:textId="77777777" w:rsidR="0033644F" w:rsidRDefault="0033644F" w:rsidP="003364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4"/>
        <w:gridCol w:w="416"/>
        <w:gridCol w:w="280"/>
        <w:gridCol w:w="1234"/>
        <w:gridCol w:w="279"/>
        <w:gridCol w:w="1691"/>
        <w:gridCol w:w="96"/>
      </w:tblGrid>
      <w:tr w:rsidR="0033644F" w:rsidRPr="002F467C" w14:paraId="1953F7F5" w14:textId="77777777" w:rsidTr="006B7840">
        <w:trPr>
          <w:gridAfter w:val="1"/>
          <w:wAfter w:w="101" w:type="dxa"/>
          <w:trHeight w:val="614"/>
        </w:trPr>
        <w:tc>
          <w:tcPr>
            <w:tcW w:w="8755" w:type="dxa"/>
            <w:gridSpan w:val="6"/>
          </w:tcPr>
          <w:p w14:paraId="6604E54B" w14:textId="010DBBDF" w:rsidR="0033644F" w:rsidRPr="00F76C18" w:rsidRDefault="0033644F" w:rsidP="0033644F">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w:t>
            </w:r>
            <w:r w:rsidR="00595DA0">
              <w:rPr>
                <w:rFonts w:ascii="Calibri" w:hAnsi="Calibri" w:cs="Tahoma"/>
                <w:i/>
                <w:sz w:val="24"/>
                <w:szCs w:val="24"/>
              </w:rPr>
              <w:t xml:space="preserve"> </w:t>
            </w:r>
            <w:r w:rsidR="00595DA0" w:rsidRPr="00595DA0">
              <w:rPr>
                <w:rFonts w:ascii="Calibri" w:hAnsi="Calibri" w:cs="Tahoma"/>
                <w:iCs/>
                <w:sz w:val="24"/>
                <w:szCs w:val="24"/>
              </w:rPr>
              <w:t>Ayşe Bilge Yılmaz</w:t>
            </w:r>
          </w:p>
          <w:p w14:paraId="64DD5007"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p>
        </w:tc>
      </w:tr>
      <w:tr w:rsidR="0033644F" w:rsidRPr="002F467C" w14:paraId="7E8C0985" w14:textId="77777777" w:rsidTr="006B7840">
        <w:trPr>
          <w:gridAfter w:val="1"/>
          <w:wAfter w:w="101" w:type="dxa"/>
          <w:trHeight w:val="718"/>
        </w:trPr>
        <w:tc>
          <w:tcPr>
            <w:tcW w:w="8755" w:type="dxa"/>
            <w:gridSpan w:val="6"/>
          </w:tcPr>
          <w:p w14:paraId="455C3C8F" w14:textId="4C135C95"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47368A">
              <w:rPr>
                <w:rFonts w:ascii="Calibri" w:hAnsi="Calibri" w:cs="Tahoma"/>
                <w:i/>
                <w:sz w:val="24"/>
                <w:szCs w:val="24"/>
              </w:rPr>
              <w:t xml:space="preserve">University </w:t>
            </w:r>
            <w:r w:rsidRPr="002F467C">
              <w:rPr>
                <w:rFonts w:ascii="Calibri" w:hAnsi="Calibri" w:cs="Tahoma"/>
                <w:i/>
                <w:sz w:val="24"/>
                <w:szCs w:val="24"/>
              </w:rPr>
              <w:t xml:space="preserve">Email: </w:t>
            </w:r>
            <w:r w:rsidR="00595DA0" w:rsidRPr="00595DA0">
              <w:rPr>
                <w:rFonts w:ascii="Calibri" w:hAnsi="Calibri" w:cs="Tahoma"/>
                <w:iCs/>
                <w:sz w:val="24"/>
                <w:szCs w:val="24"/>
              </w:rPr>
              <w:t>1710549@student.uwtsd.ac.uk</w:t>
            </w:r>
          </w:p>
        </w:tc>
      </w:tr>
      <w:tr w:rsidR="0033644F" w:rsidRPr="002F467C" w14:paraId="400D1955" w14:textId="77777777" w:rsidTr="006B7840">
        <w:trPr>
          <w:gridAfter w:val="1"/>
          <w:wAfter w:w="101" w:type="dxa"/>
          <w:trHeight w:val="849"/>
        </w:trPr>
        <w:tc>
          <w:tcPr>
            <w:tcW w:w="4788" w:type="dxa"/>
          </w:tcPr>
          <w:p w14:paraId="5D562FC5" w14:textId="77777777" w:rsidR="0033644F" w:rsidRDefault="0033644F" w:rsidP="006B7840">
            <w:pPr>
              <w:pStyle w:val="NormalWeb"/>
              <w:spacing w:before="0" w:beforeAutospacing="0" w:after="0" w:afterAutospacing="0"/>
              <w:ind w:right="34"/>
              <w:rPr>
                <w:rFonts w:ascii="Calibri" w:hAnsi="Calibri" w:cs="Tahoma"/>
                <w:i/>
                <w:sz w:val="24"/>
                <w:szCs w:val="24"/>
              </w:rPr>
            </w:pPr>
          </w:p>
          <w:p w14:paraId="4E738D87" w14:textId="470D7ABB" w:rsidR="0033644F" w:rsidRPr="00595DA0" w:rsidRDefault="0033644F" w:rsidP="006B7840">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Module code:</w:t>
            </w:r>
            <w:r w:rsidR="00595DA0">
              <w:rPr>
                <w:rFonts w:ascii="Calibri" w:hAnsi="Calibri" w:cs="Tahoma"/>
                <w:iCs/>
                <w:sz w:val="24"/>
                <w:szCs w:val="24"/>
              </w:rPr>
              <w:t xml:space="preserve"> HPCA7022</w:t>
            </w:r>
          </w:p>
        </w:tc>
        <w:tc>
          <w:tcPr>
            <w:tcW w:w="2266" w:type="dxa"/>
            <w:gridSpan w:val="4"/>
          </w:tcPr>
          <w:p w14:paraId="420962A3" w14:textId="207AEF0F"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sidR="00595DA0">
              <w:rPr>
                <w:rFonts w:ascii="Calibri" w:hAnsi="Calibri" w:cs="Tahoma"/>
                <w:i/>
                <w:sz w:val="24"/>
                <w:szCs w:val="24"/>
              </w:rPr>
              <w:t xml:space="preserve"> </w:t>
            </w:r>
            <w:r w:rsidR="00595DA0" w:rsidRPr="00595DA0">
              <w:rPr>
                <w:rFonts w:ascii="Calibri" w:hAnsi="Calibri" w:cs="Tahoma"/>
                <w:iCs/>
                <w:sz w:val="24"/>
                <w:szCs w:val="24"/>
              </w:rPr>
              <w:t>1710549</w:t>
            </w:r>
          </w:p>
        </w:tc>
        <w:tc>
          <w:tcPr>
            <w:tcW w:w="1701" w:type="dxa"/>
          </w:tcPr>
          <w:p w14:paraId="7D19E4F2"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5712108" w14:textId="5886537B"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33644F" w:rsidRPr="002F467C" w14:paraId="7079CE81" w14:textId="77777777" w:rsidTr="006B7840">
        <w:trPr>
          <w:gridAfter w:val="1"/>
          <w:wAfter w:w="101" w:type="dxa"/>
          <w:trHeight w:val="820"/>
        </w:trPr>
        <w:tc>
          <w:tcPr>
            <w:tcW w:w="8755" w:type="dxa"/>
            <w:gridSpan w:val="6"/>
          </w:tcPr>
          <w:p w14:paraId="51919B28" w14:textId="77777777" w:rsidR="0033644F"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59FA4018" w14:textId="0A07D208" w:rsidR="0033644F" w:rsidRPr="00595DA0" w:rsidRDefault="00595DA0" w:rsidP="00595DA0">
            <w:pPr>
              <w:spacing w:line="276" w:lineRule="auto"/>
              <w:rPr>
                <w:rFonts w:ascii="Calibri" w:hAnsi="Calibri" w:cs="Tahoma"/>
                <w:iCs/>
                <w:color w:val="000000"/>
              </w:rPr>
            </w:pPr>
            <w:r w:rsidRPr="00595DA0">
              <w:rPr>
                <w:rFonts w:ascii="Calibri" w:hAnsi="Calibri" w:cs="Tahoma"/>
                <w:iCs/>
                <w:color w:val="000000"/>
              </w:rPr>
              <w:t>An Enquiry into the Roles of Effort and Grace, and their Cosmological Implications, amongst Contemporary Gurdjieffians</w:t>
            </w:r>
          </w:p>
        </w:tc>
      </w:tr>
      <w:tr w:rsidR="0033644F" w:rsidRPr="002F467C" w14:paraId="4A1E2BE5" w14:textId="77777777" w:rsidTr="006B7840">
        <w:trPr>
          <w:gridAfter w:val="1"/>
          <w:wAfter w:w="101" w:type="dxa"/>
          <w:trHeight w:val="539"/>
        </w:trPr>
        <w:tc>
          <w:tcPr>
            <w:tcW w:w="5495" w:type="dxa"/>
            <w:gridSpan w:val="3"/>
            <w:tcBorders>
              <w:bottom w:val="single" w:sz="4" w:space="0" w:color="000000"/>
            </w:tcBorders>
          </w:tcPr>
          <w:p w14:paraId="0BF41963" w14:textId="6BDE5B70" w:rsidR="0033644F" w:rsidRPr="00595DA0" w:rsidRDefault="0033644F" w:rsidP="006B7840">
            <w:pPr>
              <w:pStyle w:val="NormalWeb"/>
              <w:spacing w:before="0" w:beforeAutospacing="0" w:after="0" w:afterAutospacing="0"/>
              <w:ind w:right="34"/>
              <w:rPr>
                <w:rFonts w:ascii="Calibri" w:hAnsi="Calibri" w:cs="Tahoma"/>
                <w:iCs/>
                <w:sz w:val="24"/>
                <w:szCs w:val="24"/>
              </w:rPr>
            </w:pPr>
            <w:r>
              <w:rPr>
                <w:rFonts w:ascii="Calibri" w:hAnsi="Calibri" w:cs="Tahoma"/>
                <w:i/>
                <w:sz w:val="24"/>
                <w:szCs w:val="24"/>
              </w:rPr>
              <w:t xml:space="preserve">Supervisor: </w:t>
            </w:r>
            <w:r w:rsidR="00595DA0">
              <w:rPr>
                <w:rFonts w:ascii="Calibri" w:hAnsi="Calibri" w:cs="Tahoma"/>
                <w:iCs/>
                <w:sz w:val="24"/>
                <w:szCs w:val="24"/>
              </w:rPr>
              <w:t>Dr Garry Phillipson</w:t>
            </w:r>
          </w:p>
        </w:tc>
        <w:tc>
          <w:tcPr>
            <w:tcW w:w="3260" w:type="dxa"/>
            <w:gridSpan w:val="3"/>
            <w:tcBorders>
              <w:bottom w:val="single" w:sz="4" w:space="0" w:color="000000"/>
            </w:tcBorders>
          </w:tcPr>
          <w:p w14:paraId="2E7E9B72" w14:textId="1CA4730C" w:rsidR="0033644F" w:rsidRPr="00595DA0" w:rsidRDefault="0033644F" w:rsidP="006B7840">
            <w:pPr>
              <w:pStyle w:val="NormalWeb"/>
              <w:spacing w:before="0" w:beforeAutospacing="0" w:after="0" w:afterAutospacing="0"/>
              <w:ind w:right="34"/>
              <w:rPr>
                <w:rFonts w:ascii="Calibri" w:hAnsi="Calibri" w:cs="Tahoma"/>
                <w:iCs/>
                <w:sz w:val="24"/>
                <w:szCs w:val="24"/>
              </w:rPr>
            </w:pPr>
            <w:r w:rsidRPr="002F467C">
              <w:rPr>
                <w:rFonts w:ascii="Calibri" w:hAnsi="Calibri" w:cs="Tahoma"/>
                <w:i/>
                <w:sz w:val="24"/>
                <w:szCs w:val="24"/>
              </w:rPr>
              <w:t>Word coun</w:t>
            </w:r>
            <w:r>
              <w:rPr>
                <w:rFonts w:ascii="Calibri" w:hAnsi="Calibri" w:cs="Tahoma"/>
                <w:i/>
                <w:sz w:val="24"/>
                <w:szCs w:val="24"/>
              </w:rPr>
              <w:t>t</w:t>
            </w:r>
            <w:r w:rsidRPr="00DA62C7">
              <w:rPr>
                <w:rFonts w:ascii="Calibri" w:hAnsi="Calibri" w:cs="Tahoma"/>
                <w:i/>
                <w:sz w:val="24"/>
                <w:szCs w:val="24"/>
              </w:rPr>
              <w:t>:</w:t>
            </w:r>
            <w:r w:rsidR="00595DA0" w:rsidRPr="00DA62C7">
              <w:rPr>
                <w:rFonts w:ascii="Calibri" w:hAnsi="Calibri" w:cs="Tahoma"/>
                <w:i/>
                <w:sz w:val="24"/>
                <w:szCs w:val="24"/>
              </w:rPr>
              <w:t xml:space="preserve"> </w:t>
            </w:r>
            <w:r w:rsidR="00595DA0" w:rsidRPr="00DA62C7">
              <w:rPr>
                <w:rFonts w:ascii="Calibri" w:hAnsi="Calibri" w:cs="Tahoma"/>
                <w:iCs/>
                <w:sz w:val="24"/>
                <w:szCs w:val="24"/>
              </w:rPr>
              <w:t>15.75</w:t>
            </w:r>
            <w:r w:rsidR="00DA62C7" w:rsidRPr="00DA62C7">
              <w:rPr>
                <w:rFonts w:ascii="Calibri" w:hAnsi="Calibri" w:cs="Tahoma"/>
                <w:iCs/>
                <w:sz w:val="24"/>
                <w:szCs w:val="24"/>
              </w:rPr>
              <w:t>1</w:t>
            </w:r>
          </w:p>
        </w:tc>
      </w:tr>
      <w:tr w:rsidR="0033644F" w:rsidRPr="002F467C" w14:paraId="3BD5676D" w14:textId="77777777" w:rsidTr="006B7840">
        <w:trPr>
          <w:gridAfter w:val="1"/>
          <w:wAfter w:w="101" w:type="dxa"/>
          <w:trHeight w:val="978"/>
        </w:trPr>
        <w:tc>
          <w:tcPr>
            <w:tcW w:w="8755" w:type="dxa"/>
            <w:gridSpan w:val="6"/>
            <w:shd w:val="clear" w:color="auto" w:fill="D9D9D9"/>
          </w:tcPr>
          <w:p w14:paraId="0286D4F9" w14:textId="77777777"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09A513B3" w14:textId="7F5E34FC"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w:t>
            </w:r>
            <w:r w:rsidR="0047368A">
              <w:rPr>
                <w:rFonts w:ascii="Calibri" w:hAnsi="Calibri" w:cs="Tahoma"/>
                <w:color w:val="auto"/>
                <w:sz w:val="24"/>
                <w:szCs w:val="24"/>
              </w:rPr>
              <w:t>:</w:t>
            </w:r>
            <w:r w:rsidRPr="00BB1492">
              <w:rPr>
                <w:rFonts w:ascii="Calibri" w:hAnsi="Calibri" w:cs="Tahoma"/>
                <w:color w:val="auto"/>
                <w:sz w:val="24"/>
                <w:szCs w:val="24"/>
              </w:rPr>
              <w:t xml:space="preserve"> </w:t>
            </w:r>
            <w:r w:rsidR="0047368A">
              <w:rPr>
                <w:rFonts w:ascii="Calibri" w:hAnsi="Calibri" w:cs="Tahoma"/>
                <w:color w:val="auto"/>
                <w:sz w:val="24"/>
                <w:szCs w:val="24"/>
              </w:rPr>
              <w:t>Ayşe Bilge Yılmaz</w:t>
            </w:r>
          </w:p>
          <w:p w14:paraId="1CF17932" w14:textId="3D9E60F5" w:rsidR="0033644F" w:rsidRPr="00595DA0" w:rsidRDefault="0033644F" w:rsidP="00595DA0">
            <w:pPr>
              <w:autoSpaceDE w:val="0"/>
              <w:autoSpaceDN w:val="0"/>
              <w:adjustRightInd w:val="0"/>
              <w:rPr>
                <w:rFonts w:asciiTheme="minorHAnsi" w:hAnsiTheme="minorHAnsi" w:cstheme="minorHAnsi"/>
                <w:b/>
                <w:bCs/>
                <w:sz w:val="21"/>
                <w:szCs w:val="21"/>
              </w:rPr>
            </w:pPr>
            <w:r w:rsidRPr="00BB1492">
              <w:rPr>
                <w:rFonts w:ascii="Calibri" w:hAnsi="Calibri" w:cs="Tahoma"/>
                <w:b/>
              </w:rPr>
              <w:t>Email submission:</w:t>
            </w:r>
            <w:r w:rsidR="00595DA0">
              <w:rPr>
                <w:rFonts w:ascii="Calibri" w:hAnsi="Calibri" w:cs="Tahoma"/>
                <w:b/>
              </w:rPr>
              <w:t xml:space="preserve"> </w:t>
            </w:r>
            <w:r w:rsidRPr="00BB1492">
              <w:rPr>
                <w:rFonts w:ascii="Calibri" w:hAnsi="Calibri" w:cs="Tahoma"/>
                <w:b/>
              </w:rPr>
              <w:t xml:space="preserve">if you are submitting this form via email, please tick this box </w:t>
            </w:r>
            <w:sdt>
              <w:sdtPr>
                <w:rPr>
                  <w:rFonts w:asciiTheme="minorHAnsi" w:hAnsiTheme="minorHAnsi" w:cstheme="minorHAnsi"/>
                  <w:b/>
                  <w:bCs/>
                  <w:sz w:val="21"/>
                  <w:szCs w:val="21"/>
                </w:rPr>
                <w:id w:val="-1278791158"/>
                <w14:checkbox>
                  <w14:checked w14:val="1"/>
                  <w14:checkedState w14:val="2612" w14:font="MS Gothic"/>
                  <w14:uncheckedState w14:val="2610" w14:font="MS Gothic"/>
                </w14:checkbox>
              </w:sdtPr>
              <w:sdtEndPr/>
              <w:sdtContent>
                <w:r w:rsidR="00595DA0">
                  <w:rPr>
                    <w:rFonts w:ascii="MS Gothic" w:eastAsia="MS Gothic" w:hAnsi="MS Gothic" w:cstheme="minorHAnsi" w:hint="eastAsia"/>
                    <w:b/>
                    <w:bCs/>
                    <w:sz w:val="21"/>
                    <w:szCs w:val="21"/>
                  </w:rPr>
                  <w:t>☒</w:t>
                </w:r>
              </w:sdtContent>
            </w:sdt>
          </w:p>
          <w:p w14:paraId="76C3425A" w14:textId="77777777" w:rsidR="0033644F" w:rsidRPr="00BB1492" w:rsidRDefault="0033644F" w:rsidP="006B7840">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33644F" w:rsidRPr="002F467C" w14:paraId="607BC81E" w14:textId="77777777" w:rsidTr="006B7840">
        <w:trPr>
          <w:gridAfter w:val="1"/>
          <w:wAfter w:w="101" w:type="dxa"/>
          <w:trHeight w:val="3972"/>
        </w:trPr>
        <w:tc>
          <w:tcPr>
            <w:tcW w:w="8755" w:type="dxa"/>
            <w:gridSpan w:val="6"/>
          </w:tcPr>
          <w:p w14:paraId="04ED920C" w14:textId="77777777" w:rsidR="0033644F" w:rsidRPr="002F467C" w:rsidRDefault="0033644F" w:rsidP="006B7840">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29089AD8" w14:textId="77777777" w:rsidR="0033644F" w:rsidRDefault="0033644F" w:rsidP="006B7840">
            <w:pPr>
              <w:pStyle w:val="NormalWeb"/>
              <w:rPr>
                <w:rFonts w:ascii="Calibri" w:hAnsi="Calibri" w:cs="Tahoma"/>
                <w:i/>
                <w:sz w:val="24"/>
                <w:szCs w:val="24"/>
              </w:rPr>
            </w:pPr>
            <w:r w:rsidRPr="002F467C">
              <w:rPr>
                <w:rFonts w:ascii="Calibri" w:hAnsi="Calibri" w:cs="Tahoma"/>
                <w:i/>
                <w:sz w:val="24"/>
                <w:szCs w:val="24"/>
              </w:rPr>
              <w:t>Comments:</w:t>
            </w:r>
          </w:p>
          <w:p w14:paraId="0894D0F1" w14:textId="77777777" w:rsidR="006C2F87" w:rsidRPr="00651472" w:rsidRDefault="006C2F87" w:rsidP="006C2F87">
            <w:pPr>
              <w:rPr>
                <w:rFonts w:eastAsia="Times New Roman"/>
                <w:lang w:eastAsia="en-GB"/>
              </w:rPr>
            </w:pPr>
            <w:r w:rsidRPr="00651472">
              <w:rPr>
                <w:rFonts w:eastAsia="Times New Roman"/>
                <w:lang w:eastAsia="en-GB"/>
              </w:rPr>
              <w:t>This is an extremely clear and well written essay dissertation.</w:t>
            </w:r>
            <w:r>
              <w:rPr>
                <w:rFonts w:eastAsia="Times New Roman"/>
                <w:lang w:eastAsia="en-GB"/>
              </w:rPr>
              <w:t xml:space="preserve"> The aims are </w:t>
            </w:r>
            <w:r w:rsidRPr="00651472">
              <w:rPr>
                <w:rFonts w:eastAsia="Times New Roman"/>
                <w:lang w:eastAsia="en-GB"/>
              </w:rPr>
              <w:t>set out clearly in the first sentence as to examine the roles of effort and grace and the relevant cosmological implications.</w:t>
            </w:r>
            <w:r>
              <w:rPr>
                <w:rFonts w:eastAsia="Times New Roman"/>
                <w:lang w:eastAsia="en-GB"/>
              </w:rPr>
              <w:t xml:space="preserve"> </w:t>
            </w:r>
            <w:r w:rsidRPr="00651472">
              <w:rPr>
                <w:rFonts w:eastAsia="Times New Roman"/>
                <w:lang w:eastAsia="en-GB"/>
              </w:rPr>
              <w:t>A secondary aim is to focus on quiet work. </w:t>
            </w:r>
          </w:p>
          <w:p w14:paraId="502075B5" w14:textId="77777777" w:rsidR="006C2F87" w:rsidRPr="00651472" w:rsidRDefault="006C2F87" w:rsidP="006C2F87">
            <w:pPr>
              <w:rPr>
                <w:rFonts w:eastAsia="Times New Roman"/>
                <w:lang w:eastAsia="en-GB"/>
              </w:rPr>
            </w:pPr>
          </w:p>
          <w:p w14:paraId="08507786" w14:textId="77777777" w:rsidR="006C2F87" w:rsidRPr="00651472" w:rsidRDefault="006C2F87" w:rsidP="006C2F87">
            <w:pPr>
              <w:rPr>
                <w:rFonts w:eastAsia="Times New Roman"/>
                <w:lang w:eastAsia="en-GB"/>
              </w:rPr>
            </w:pPr>
            <w:r w:rsidRPr="00651472">
              <w:rPr>
                <w:rFonts w:eastAsia="Times New Roman"/>
                <w:lang w:eastAsia="en-GB"/>
              </w:rPr>
              <w:t xml:space="preserve">Chapter 1 is divided into three parts, the first focusing on the aspects of </w:t>
            </w:r>
            <w:r>
              <w:rPr>
                <w:rFonts w:eastAsia="Times New Roman"/>
                <w:lang w:eastAsia="en-GB"/>
              </w:rPr>
              <w:t>Gurdjieffian</w:t>
            </w:r>
            <w:r w:rsidRPr="00651472">
              <w:rPr>
                <w:rFonts w:eastAsia="Times New Roman"/>
                <w:lang w:eastAsia="en-GB"/>
              </w:rPr>
              <w:t xml:space="preserve"> theory and practice to be examined</w:t>
            </w:r>
            <w:r>
              <w:rPr>
                <w:rFonts w:eastAsia="Times New Roman"/>
                <w:lang w:eastAsia="en-GB"/>
              </w:rPr>
              <w:t>; t</w:t>
            </w:r>
            <w:r w:rsidRPr="00651472">
              <w:rPr>
                <w:rFonts w:eastAsia="Times New Roman"/>
                <w:lang w:eastAsia="en-GB"/>
              </w:rPr>
              <w:t xml:space="preserve">he second part </w:t>
            </w:r>
            <w:r>
              <w:rPr>
                <w:rFonts w:eastAsia="Times New Roman"/>
                <w:lang w:eastAsia="en-GB"/>
              </w:rPr>
              <w:t xml:space="preserve">is </w:t>
            </w:r>
            <w:r w:rsidRPr="00651472">
              <w:rPr>
                <w:rFonts w:eastAsia="Times New Roman"/>
                <w:lang w:eastAsia="en-GB"/>
              </w:rPr>
              <w:t>a contextual literature review</w:t>
            </w:r>
            <w:r>
              <w:rPr>
                <w:rFonts w:eastAsia="Times New Roman"/>
                <w:lang w:eastAsia="en-GB"/>
              </w:rPr>
              <w:t>;</w:t>
            </w:r>
            <w:r w:rsidRPr="00651472">
              <w:rPr>
                <w:rFonts w:eastAsia="Times New Roman"/>
                <w:lang w:eastAsia="en-GB"/>
              </w:rPr>
              <w:t xml:space="preserve"> and the third </w:t>
            </w:r>
            <w:r>
              <w:rPr>
                <w:rFonts w:eastAsia="Times New Roman"/>
                <w:lang w:eastAsia="en-GB"/>
              </w:rPr>
              <w:t xml:space="preserve">is a </w:t>
            </w:r>
            <w:r w:rsidRPr="00651472">
              <w:rPr>
                <w:rFonts w:eastAsia="Times New Roman"/>
                <w:lang w:eastAsia="en-GB"/>
              </w:rPr>
              <w:t>very clear exposition of the research methodology to be used</w:t>
            </w:r>
            <w:r>
              <w:rPr>
                <w:rFonts w:eastAsia="Times New Roman"/>
                <w:lang w:eastAsia="en-GB"/>
              </w:rPr>
              <w:t xml:space="preserve">. All is supported </w:t>
            </w:r>
            <w:r w:rsidRPr="00651472">
              <w:rPr>
                <w:rFonts w:eastAsia="Times New Roman"/>
                <w:lang w:eastAsia="en-GB"/>
              </w:rPr>
              <w:t xml:space="preserve">with comprehensive referencing. As an insider are you have an excellent understanding of the key figures and the various strands in </w:t>
            </w:r>
            <w:r>
              <w:rPr>
                <w:rFonts w:eastAsia="Times New Roman"/>
                <w:lang w:eastAsia="en-GB"/>
              </w:rPr>
              <w:t>Gurdjieffian</w:t>
            </w:r>
            <w:r w:rsidRPr="00651472">
              <w:rPr>
                <w:rFonts w:eastAsia="Times New Roman"/>
                <w:lang w:eastAsia="en-GB"/>
              </w:rPr>
              <w:t xml:space="preserve"> thought and practice, which, as you describe it has achieved some diversity within the overall body of work. It was helpful to discuss the extent to which the </w:t>
            </w:r>
            <w:r>
              <w:rPr>
                <w:rFonts w:eastAsia="Times New Roman"/>
                <w:lang w:eastAsia="en-GB"/>
              </w:rPr>
              <w:t>Gurdjieffian</w:t>
            </w:r>
            <w:r w:rsidRPr="00651472">
              <w:rPr>
                <w:rFonts w:eastAsia="Times New Roman"/>
                <w:lang w:eastAsia="en-GB"/>
              </w:rPr>
              <w:t xml:space="preserve"> concept of grace corresponds to the Christian concept of grace, so it appears to be a direct lifting by Gurdjieff from Christianity. It is also interesting to note that </w:t>
            </w:r>
            <w:r>
              <w:rPr>
                <w:rFonts w:eastAsia="Times New Roman"/>
                <w:lang w:eastAsia="en-GB"/>
              </w:rPr>
              <w:t>Gurdjieff’s</w:t>
            </w:r>
            <w:r w:rsidRPr="00651472">
              <w:rPr>
                <w:rFonts w:eastAsia="Times New Roman"/>
                <w:lang w:eastAsia="en-GB"/>
              </w:rPr>
              <w:t xml:space="preserve"> thinking and practice appeals to people without a previous religious background (this could </w:t>
            </w:r>
            <w:r w:rsidRPr="00651472">
              <w:rPr>
                <w:rFonts w:eastAsia="Times New Roman"/>
                <w:lang w:eastAsia="en-GB"/>
              </w:rPr>
              <w:lastRenderedPageBreak/>
              <w:t xml:space="preserve">open the way into the whole study of </w:t>
            </w:r>
            <w:r>
              <w:rPr>
                <w:rFonts w:eastAsia="Times New Roman"/>
                <w:lang w:eastAsia="en-GB"/>
              </w:rPr>
              <w:t>Gurdjieffian</w:t>
            </w:r>
            <w:r w:rsidRPr="00651472">
              <w:rPr>
                <w:rFonts w:eastAsia="Times New Roman"/>
                <w:lang w:eastAsia="en-GB"/>
              </w:rPr>
              <w:t xml:space="preserve"> thought as a form of so-called alternative spirituality, but that would be a different dissertation)</w:t>
            </w:r>
          </w:p>
          <w:p w14:paraId="12061032" w14:textId="77777777" w:rsidR="006C2F87" w:rsidRPr="00651472" w:rsidRDefault="006C2F87" w:rsidP="006C2F87">
            <w:pPr>
              <w:rPr>
                <w:rFonts w:eastAsia="Times New Roman"/>
                <w:lang w:eastAsia="en-GB"/>
              </w:rPr>
            </w:pPr>
          </w:p>
          <w:p w14:paraId="0DA810B4" w14:textId="77777777" w:rsidR="006C2F87" w:rsidRPr="00651472" w:rsidRDefault="006C2F87" w:rsidP="006C2F87">
            <w:pPr>
              <w:rPr>
                <w:rFonts w:eastAsia="Times New Roman"/>
                <w:lang w:eastAsia="en-GB"/>
              </w:rPr>
            </w:pPr>
            <w:r w:rsidRPr="00651472">
              <w:rPr>
                <w:rFonts w:eastAsia="Times New Roman"/>
                <w:lang w:eastAsia="en-GB"/>
              </w:rPr>
              <w:t>Chapter 2 summarises the research and findings in</w:t>
            </w:r>
            <w:r>
              <w:rPr>
                <w:rFonts w:eastAsia="Times New Roman"/>
                <w:lang w:eastAsia="en-GB"/>
              </w:rPr>
              <w:t xml:space="preserve"> two</w:t>
            </w:r>
            <w:r w:rsidRPr="00651472">
              <w:rPr>
                <w:rFonts w:eastAsia="Times New Roman"/>
                <w:lang w:eastAsia="en-GB"/>
              </w:rPr>
              <w:t xml:space="preserve"> parts, first from insider academics and scholars and second from the </w:t>
            </w:r>
            <w:r>
              <w:rPr>
                <w:rFonts w:eastAsia="Times New Roman"/>
                <w:lang w:eastAsia="en-GB"/>
              </w:rPr>
              <w:t>Gurdjieffians</w:t>
            </w:r>
            <w:r w:rsidRPr="00651472">
              <w:rPr>
                <w:rFonts w:eastAsia="Times New Roman"/>
                <w:lang w:eastAsia="en-GB"/>
              </w:rPr>
              <w:t xml:space="preserve"> who volunteered to participate. The extracts from the written and interview data are very clear and helpful.</w:t>
            </w:r>
            <w:r>
              <w:rPr>
                <w:rFonts w:eastAsia="Times New Roman"/>
                <w:lang w:eastAsia="en-GB"/>
              </w:rPr>
              <w:t xml:space="preserve"> </w:t>
            </w:r>
            <w:r w:rsidRPr="00651472">
              <w:rPr>
                <w:rFonts w:eastAsia="Times New Roman"/>
                <w:lang w:eastAsia="en-GB"/>
              </w:rPr>
              <w:t>Well done on including the statement from one (or is it two?) People who refused to take part.</w:t>
            </w:r>
            <w:r>
              <w:rPr>
                <w:rFonts w:eastAsia="Times New Roman"/>
                <w:lang w:eastAsia="en-GB"/>
              </w:rPr>
              <w:t xml:space="preserve"> </w:t>
            </w:r>
            <w:r w:rsidRPr="00651472">
              <w:rPr>
                <w:rFonts w:eastAsia="Times New Roman"/>
                <w:lang w:eastAsia="en-GB"/>
              </w:rPr>
              <w:t>This is an important illustration of the research process.</w:t>
            </w:r>
            <w:r w:rsidRPr="0076160E">
              <w:rPr>
                <w:rFonts w:eastAsia="Times New Roman"/>
                <w:lang w:eastAsia="en-GB"/>
              </w:rPr>
              <w:t xml:space="preserve"> </w:t>
            </w:r>
            <w:r>
              <w:rPr>
                <w:rFonts w:eastAsia="Times New Roman"/>
                <w:lang w:eastAsia="en-GB"/>
              </w:rPr>
              <w:t>On page 43 one respondent describes practice as being practical. This is a simple but telling point which reinforces the move in the study of spirituality and religion from belief to practice</w:t>
            </w:r>
          </w:p>
          <w:p w14:paraId="03958842" w14:textId="77777777" w:rsidR="006C2F87" w:rsidRPr="00651472" w:rsidRDefault="006C2F87" w:rsidP="006C2F87">
            <w:pPr>
              <w:rPr>
                <w:rFonts w:eastAsia="Times New Roman"/>
                <w:lang w:eastAsia="en-GB"/>
              </w:rPr>
            </w:pPr>
          </w:p>
          <w:p w14:paraId="1A990EAA" w14:textId="77777777" w:rsidR="006C2F87" w:rsidRPr="00651472" w:rsidRDefault="006C2F87" w:rsidP="006C2F87">
            <w:pPr>
              <w:rPr>
                <w:rFonts w:eastAsia="Times New Roman"/>
                <w:lang w:eastAsia="en-GB"/>
              </w:rPr>
            </w:pPr>
            <w:r w:rsidRPr="00651472">
              <w:rPr>
                <w:rFonts w:eastAsia="Times New Roman"/>
                <w:lang w:eastAsia="en-GB"/>
              </w:rPr>
              <w:t>The third chapter</w:t>
            </w:r>
            <w:r>
              <w:rPr>
                <w:rFonts w:eastAsia="Times New Roman"/>
                <w:lang w:eastAsia="en-GB"/>
              </w:rPr>
              <w:t xml:space="preserve"> then </w:t>
            </w:r>
            <w:r w:rsidRPr="00651472">
              <w:rPr>
                <w:rFonts w:eastAsia="Times New Roman"/>
                <w:lang w:eastAsia="en-GB"/>
              </w:rPr>
              <w:t>concludes.</w:t>
            </w:r>
            <w:r>
              <w:rPr>
                <w:rFonts w:eastAsia="Times New Roman"/>
                <w:lang w:eastAsia="en-GB"/>
              </w:rPr>
              <w:t xml:space="preserve"> </w:t>
            </w:r>
            <w:r w:rsidRPr="00651472">
              <w:rPr>
                <w:rFonts w:eastAsia="Times New Roman"/>
                <w:lang w:eastAsia="en-GB"/>
              </w:rPr>
              <w:t>The whole study is conducted meticulously according to all of the required academic conventions</w:t>
            </w:r>
            <w:r>
              <w:rPr>
                <w:rFonts w:eastAsia="Times New Roman"/>
                <w:lang w:eastAsia="en-GB"/>
              </w:rPr>
              <w:t>. If my comments above seem overly descriptive it is because there is little or nothing to criticise.</w:t>
            </w:r>
          </w:p>
          <w:p w14:paraId="7CD45C8E" w14:textId="77777777" w:rsidR="006C2F87" w:rsidRPr="00651472" w:rsidRDefault="006C2F87" w:rsidP="006C2F87">
            <w:pPr>
              <w:rPr>
                <w:rFonts w:eastAsia="Times New Roman"/>
                <w:lang w:eastAsia="en-GB"/>
              </w:rPr>
            </w:pPr>
          </w:p>
          <w:p w14:paraId="79EFBAC1" w14:textId="77777777" w:rsidR="006C2F87" w:rsidRPr="00651472" w:rsidRDefault="006C2F87" w:rsidP="006C2F87">
            <w:pPr>
              <w:rPr>
                <w:rFonts w:eastAsia="Times New Roman"/>
                <w:lang w:eastAsia="en-GB"/>
              </w:rPr>
            </w:pPr>
            <w:r w:rsidRPr="00651472">
              <w:rPr>
                <w:rFonts w:eastAsia="Times New Roman"/>
                <w:lang w:eastAsia="en-GB"/>
              </w:rPr>
              <w:t>There are areas which I think could</w:t>
            </w:r>
            <w:r>
              <w:rPr>
                <w:rFonts w:eastAsia="Times New Roman"/>
                <w:lang w:eastAsia="en-GB"/>
              </w:rPr>
              <w:t xml:space="preserve"> ha</w:t>
            </w:r>
            <w:r w:rsidRPr="00651472">
              <w:rPr>
                <w:rFonts w:eastAsia="Times New Roman"/>
                <w:lang w:eastAsia="en-GB"/>
              </w:rPr>
              <w:t>ve been included and developed more which I suspect were not perhaps for space reasons.</w:t>
            </w:r>
          </w:p>
          <w:p w14:paraId="7CDC7206" w14:textId="77777777" w:rsidR="006C2F87" w:rsidRPr="00651472" w:rsidRDefault="006C2F87" w:rsidP="006C2F87">
            <w:pPr>
              <w:rPr>
                <w:rFonts w:eastAsia="Times New Roman"/>
                <w:lang w:eastAsia="en-GB"/>
              </w:rPr>
            </w:pPr>
          </w:p>
          <w:p w14:paraId="300F5062" w14:textId="77777777" w:rsidR="006C2F87" w:rsidRDefault="006C2F87" w:rsidP="006C2F87">
            <w:pPr>
              <w:rPr>
                <w:rFonts w:eastAsia="Times New Roman"/>
                <w:lang w:eastAsia="en-GB"/>
              </w:rPr>
            </w:pPr>
            <w:r w:rsidRPr="00651472">
              <w:rPr>
                <w:rFonts w:eastAsia="Times New Roman"/>
                <w:lang w:eastAsia="en-GB"/>
              </w:rPr>
              <w:t xml:space="preserve">First a page </w:t>
            </w:r>
            <w:r>
              <w:rPr>
                <w:rFonts w:eastAsia="Times New Roman"/>
                <w:lang w:eastAsia="en-GB"/>
              </w:rPr>
              <w:t>or two introducing</w:t>
            </w:r>
            <w:r w:rsidRPr="00651472">
              <w:rPr>
                <w:rFonts w:eastAsia="Times New Roman"/>
                <w:lang w:eastAsia="en-GB"/>
              </w:rPr>
              <w:t xml:space="preserve"> Gurdjieff, his life, his major works and publications, and h</w:t>
            </w:r>
            <w:r>
              <w:rPr>
                <w:rFonts w:eastAsia="Times New Roman"/>
                <w:lang w:eastAsia="en-GB"/>
              </w:rPr>
              <w:t>is</w:t>
            </w:r>
            <w:r w:rsidRPr="00651472">
              <w:rPr>
                <w:rFonts w:eastAsia="Times New Roman"/>
                <w:lang w:eastAsia="en-GB"/>
              </w:rPr>
              <w:t xml:space="preserve"> significance as reported in any available scholarly literature (of which there is not much</w:t>
            </w:r>
            <w:r>
              <w:rPr>
                <w:rFonts w:eastAsia="Times New Roman"/>
                <w:lang w:eastAsia="en-GB"/>
              </w:rPr>
              <w:t>, as you say).</w:t>
            </w:r>
          </w:p>
          <w:p w14:paraId="568B9159" w14:textId="77777777" w:rsidR="006C2F87" w:rsidRPr="00651472" w:rsidRDefault="006C2F87" w:rsidP="006C2F87">
            <w:pPr>
              <w:rPr>
                <w:rFonts w:eastAsia="Times New Roman"/>
                <w:lang w:eastAsia="en-GB"/>
              </w:rPr>
            </w:pPr>
          </w:p>
          <w:p w14:paraId="4353E3B1" w14:textId="77777777" w:rsidR="006C2F87" w:rsidRPr="00651472" w:rsidRDefault="006C2F87" w:rsidP="006C2F87">
            <w:pPr>
              <w:rPr>
                <w:rFonts w:eastAsia="Times New Roman"/>
                <w:lang w:eastAsia="en-GB"/>
              </w:rPr>
            </w:pPr>
            <w:r w:rsidRPr="00651472">
              <w:rPr>
                <w:rFonts w:eastAsia="Times New Roman"/>
                <w:lang w:eastAsia="en-GB"/>
              </w:rPr>
              <w:t xml:space="preserve">Second, for </w:t>
            </w:r>
            <w:r>
              <w:rPr>
                <w:rFonts w:eastAsia="Times New Roman"/>
                <w:lang w:eastAsia="en-GB"/>
              </w:rPr>
              <w:t>the</w:t>
            </w:r>
            <w:r w:rsidRPr="00651472">
              <w:rPr>
                <w:rFonts w:eastAsia="Times New Roman"/>
                <w:lang w:eastAsia="en-GB"/>
              </w:rPr>
              <w:t xml:space="preserve"> outsider</w:t>
            </w:r>
            <w:r>
              <w:rPr>
                <w:rFonts w:eastAsia="Times New Roman"/>
                <w:lang w:eastAsia="en-GB"/>
              </w:rPr>
              <w:t xml:space="preserve"> reader</w:t>
            </w:r>
            <w:r w:rsidRPr="00651472">
              <w:rPr>
                <w:rFonts w:eastAsia="Times New Roman"/>
                <w:lang w:eastAsia="en-GB"/>
              </w:rPr>
              <w:t xml:space="preserve">, some more exposition of some of the fundamentals of </w:t>
            </w:r>
            <w:r>
              <w:rPr>
                <w:rFonts w:eastAsia="Times New Roman"/>
                <w:lang w:eastAsia="en-GB"/>
              </w:rPr>
              <w:t xml:space="preserve">Gurdjieffian </w:t>
            </w:r>
            <w:r w:rsidRPr="00651472">
              <w:rPr>
                <w:rFonts w:eastAsia="Times New Roman"/>
                <w:lang w:eastAsia="en-GB"/>
              </w:rPr>
              <w:t>practice which are being studied would help.</w:t>
            </w:r>
            <w:r>
              <w:rPr>
                <w:rFonts w:eastAsia="Times New Roman"/>
                <w:lang w:eastAsia="en-GB"/>
              </w:rPr>
              <w:t xml:space="preserve"> </w:t>
            </w:r>
            <w:r w:rsidRPr="00651472">
              <w:rPr>
                <w:rFonts w:eastAsia="Times New Roman"/>
                <w:lang w:eastAsia="en-GB"/>
              </w:rPr>
              <w:t xml:space="preserve">For example on page 12 </w:t>
            </w:r>
            <w:r>
              <w:rPr>
                <w:rFonts w:eastAsia="Times New Roman"/>
                <w:lang w:eastAsia="en-GB"/>
              </w:rPr>
              <w:t xml:space="preserve">you write that </w:t>
            </w:r>
            <w:r w:rsidRPr="00651472">
              <w:rPr>
                <w:rFonts w:eastAsia="Times New Roman"/>
                <w:lang w:eastAsia="en-GB"/>
              </w:rPr>
              <w:t>quiet work is an umbrella term for an exercise in sittings, including the morning preparation</w:t>
            </w:r>
            <w:r>
              <w:rPr>
                <w:rFonts w:eastAsia="Times New Roman"/>
                <w:lang w:eastAsia="en-GB"/>
              </w:rPr>
              <w:t>. T</w:t>
            </w:r>
            <w:r w:rsidRPr="00651472">
              <w:rPr>
                <w:rFonts w:eastAsia="Times New Roman"/>
                <w:lang w:eastAsia="en-GB"/>
              </w:rPr>
              <w:t>his gives the reader an impression of what happens but, for example what are the inner exercises, and why is the word settings in the plural?</w:t>
            </w:r>
            <w:r>
              <w:rPr>
                <w:rFonts w:eastAsia="Times New Roman"/>
                <w:lang w:eastAsia="en-GB"/>
              </w:rPr>
              <w:t xml:space="preserve"> </w:t>
            </w:r>
          </w:p>
          <w:p w14:paraId="0452C769" w14:textId="77777777" w:rsidR="006C2F87" w:rsidRPr="00651472" w:rsidRDefault="006C2F87" w:rsidP="006C2F87">
            <w:pPr>
              <w:rPr>
                <w:rFonts w:eastAsia="Times New Roman"/>
                <w:lang w:eastAsia="en-GB"/>
              </w:rPr>
            </w:pPr>
          </w:p>
          <w:p w14:paraId="76B8ACE8" w14:textId="77777777" w:rsidR="006C2F87" w:rsidRPr="00651472" w:rsidRDefault="006C2F87" w:rsidP="006C2F87">
            <w:pPr>
              <w:rPr>
                <w:rFonts w:eastAsia="Times New Roman"/>
                <w:lang w:eastAsia="en-GB"/>
              </w:rPr>
            </w:pPr>
            <w:r w:rsidRPr="00651472">
              <w:rPr>
                <w:rFonts w:eastAsia="Times New Roman"/>
                <w:lang w:eastAsia="en-GB"/>
              </w:rPr>
              <w:t xml:space="preserve">Is </w:t>
            </w:r>
            <w:r>
              <w:rPr>
                <w:rFonts w:eastAsia="Times New Roman"/>
                <w:lang w:eastAsia="en-GB"/>
              </w:rPr>
              <w:t xml:space="preserve">Gurdjieffian </w:t>
            </w:r>
            <w:r w:rsidRPr="00651472">
              <w:rPr>
                <w:rFonts w:eastAsia="Times New Roman"/>
                <w:lang w:eastAsia="en-GB"/>
              </w:rPr>
              <w:t xml:space="preserve">cosmology all about being practical (by contrast with </w:t>
            </w:r>
            <w:r>
              <w:rPr>
                <w:rFonts w:eastAsia="Times New Roman"/>
                <w:lang w:eastAsia="en-GB"/>
              </w:rPr>
              <w:t>T</w:t>
            </w:r>
            <w:r w:rsidRPr="00651472">
              <w:rPr>
                <w:rFonts w:eastAsia="Times New Roman"/>
                <w:lang w:eastAsia="en-GB"/>
              </w:rPr>
              <w:t>heosophy, say, which has been accused of being completely impractical (as by Rudolf Steiner)</w:t>
            </w:r>
            <w:r>
              <w:rPr>
                <w:rFonts w:eastAsia="Times New Roman"/>
                <w:lang w:eastAsia="en-GB"/>
              </w:rPr>
              <w:t xml:space="preserve"> I</w:t>
            </w:r>
            <w:r w:rsidRPr="00651472">
              <w:rPr>
                <w:rFonts w:eastAsia="Times New Roman"/>
                <w:lang w:eastAsia="en-GB"/>
              </w:rPr>
              <w:t xml:space="preserve">s </w:t>
            </w:r>
            <w:r>
              <w:rPr>
                <w:rFonts w:eastAsia="Times New Roman"/>
                <w:lang w:eastAsia="en-GB"/>
              </w:rPr>
              <w:t xml:space="preserve">Gurdjieffian </w:t>
            </w:r>
            <w:r w:rsidRPr="00651472">
              <w:rPr>
                <w:rFonts w:eastAsia="Times New Roman"/>
                <w:lang w:eastAsia="en-GB"/>
              </w:rPr>
              <w:t xml:space="preserve">work all about participation in the sense described by Levy </w:t>
            </w:r>
            <w:r>
              <w:rPr>
                <w:rFonts w:eastAsia="Times New Roman"/>
                <w:lang w:eastAsia="en-GB"/>
              </w:rPr>
              <w:t xml:space="preserve">Bruhl? </w:t>
            </w:r>
          </w:p>
          <w:p w14:paraId="25CE2F1A" w14:textId="77777777" w:rsidR="006C2F87" w:rsidRPr="00651472" w:rsidRDefault="006C2F87" w:rsidP="006C2F87">
            <w:pPr>
              <w:rPr>
                <w:rFonts w:eastAsia="Times New Roman"/>
                <w:lang w:eastAsia="en-GB"/>
              </w:rPr>
            </w:pPr>
          </w:p>
          <w:p w14:paraId="71F1C4CB" w14:textId="77777777" w:rsidR="006C2F87" w:rsidRPr="00651472" w:rsidRDefault="006C2F87" w:rsidP="006C2F87">
            <w:pPr>
              <w:rPr>
                <w:rFonts w:eastAsia="Times New Roman"/>
                <w:lang w:eastAsia="en-GB"/>
              </w:rPr>
            </w:pPr>
            <w:r w:rsidRPr="00651472">
              <w:rPr>
                <w:rFonts w:eastAsia="Times New Roman"/>
                <w:lang w:eastAsia="en-GB"/>
              </w:rPr>
              <w:t>A</w:t>
            </w:r>
            <w:r>
              <w:rPr>
                <w:rFonts w:eastAsia="Times New Roman"/>
                <w:lang w:eastAsia="en-GB"/>
              </w:rPr>
              <w:t xml:space="preserve"> clear </w:t>
            </w:r>
            <w:r w:rsidRPr="00651472">
              <w:rPr>
                <w:rFonts w:eastAsia="Times New Roman"/>
                <w:lang w:eastAsia="en-GB"/>
              </w:rPr>
              <w:t xml:space="preserve">exposition of </w:t>
            </w:r>
            <w:r>
              <w:rPr>
                <w:rFonts w:eastAsia="Times New Roman"/>
                <w:lang w:eastAsia="en-GB"/>
              </w:rPr>
              <w:t>Gurdjieff’s</w:t>
            </w:r>
            <w:r w:rsidRPr="00651472">
              <w:rPr>
                <w:rFonts w:eastAsia="Times New Roman"/>
                <w:lang w:eastAsia="en-GB"/>
              </w:rPr>
              <w:t xml:space="preserve"> cosmology would help although this is contained in the appendices. The key aspects of this material could</w:t>
            </w:r>
            <w:r>
              <w:rPr>
                <w:rFonts w:eastAsia="Times New Roman"/>
                <w:lang w:eastAsia="en-GB"/>
              </w:rPr>
              <w:t xml:space="preserve"> ha</w:t>
            </w:r>
            <w:r w:rsidRPr="00651472">
              <w:rPr>
                <w:rFonts w:eastAsia="Times New Roman"/>
                <w:lang w:eastAsia="en-GB"/>
              </w:rPr>
              <w:t>ve been Included within the main text, all the better to have provided a foundation for the following discussion. It would</w:t>
            </w:r>
            <w:r>
              <w:rPr>
                <w:rFonts w:eastAsia="Times New Roman"/>
                <w:lang w:eastAsia="en-GB"/>
              </w:rPr>
              <w:t xml:space="preserve"> ha</w:t>
            </w:r>
            <w:r w:rsidRPr="00651472">
              <w:rPr>
                <w:rFonts w:eastAsia="Times New Roman"/>
                <w:lang w:eastAsia="en-GB"/>
              </w:rPr>
              <w:t>ve been helpful to have discussed briefly the way in which the word cosmology is used, especially as the words dominant meaning is as modern scientific cosmology.</w:t>
            </w:r>
            <w:r>
              <w:rPr>
                <w:rFonts w:eastAsia="Times New Roman"/>
                <w:lang w:eastAsia="en-GB"/>
              </w:rPr>
              <w:t xml:space="preserve"> </w:t>
            </w:r>
            <w:r w:rsidRPr="00651472">
              <w:rPr>
                <w:rFonts w:eastAsia="Times New Roman"/>
                <w:lang w:eastAsia="en-GB"/>
              </w:rPr>
              <w:t xml:space="preserve">There are definitions of cosmology on page 14 and then on pages 42, 45, 46, 47 and 50 but these are all indirect. For example on page 42 it is said </w:t>
            </w:r>
            <w:r>
              <w:rPr>
                <w:rFonts w:eastAsia="Times New Roman"/>
                <w:lang w:eastAsia="en-GB"/>
              </w:rPr>
              <w:t xml:space="preserve">Gurdjieffian </w:t>
            </w:r>
            <w:r w:rsidRPr="00651472">
              <w:rPr>
                <w:rFonts w:eastAsia="Times New Roman"/>
                <w:lang w:eastAsia="en-GB"/>
              </w:rPr>
              <w:t>cosmology includes reciprocal maintenance, and exploring different levels of cosmos within oneself.</w:t>
            </w:r>
            <w:r>
              <w:rPr>
                <w:rFonts w:eastAsia="Times New Roman"/>
                <w:lang w:eastAsia="en-GB"/>
              </w:rPr>
              <w:t xml:space="preserve"> </w:t>
            </w:r>
            <w:r w:rsidRPr="00651472">
              <w:rPr>
                <w:rFonts w:eastAsia="Times New Roman"/>
                <w:lang w:eastAsia="en-GB"/>
              </w:rPr>
              <w:t>Should the notion of the inner cosmos have been given more importance?</w:t>
            </w:r>
          </w:p>
          <w:p w14:paraId="6317A378" w14:textId="77777777" w:rsidR="006C2F87" w:rsidRPr="00651472" w:rsidRDefault="006C2F87" w:rsidP="006C2F87">
            <w:pPr>
              <w:rPr>
                <w:rFonts w:eastAsia="Times New Roman"/>
                <w:lang w:eastAsia="en-GB"/>
              </w:rPr>
            </w:pPr>
          </w:p>
          <w:p w14:paraId="1CE71906" w14:textId="77777777" w:rsidR="006C2F87" w:rsidRPr="00651472" w:rsidRDefault="006C2F87" w:rsidP="006C2F87">
            <w:pPr>
              <w:rPr>
                <w:rFonts w:eastAsia="Times New Roman"/>
                <w:lang w:eastAsia="en-GB"/>
              </w:rPr>
            </w:pPr>
            <w:r w:rsidRPr="00651472">
              <w:rPr>
                <w:rFonts w:eastAsia="Times New Roman"/>
                <w:lang w:eastAsia="en-GB"/>
              </w:rPr>
              <w:t>The conclusions could</w:t>
            </w:r>
            <w:r>
              <w:rPr>
                <w:rFonts w:eastAsia="Times New Roman"/>
                <w:lang w:eastAsia="en-GB"/>
              </w:rPr>
              <w:t xml:space="preserve"> ha</w:t>
            </w:r>
            <w:r w:rsidRPr="00651472">
              <w:rPr>
                <w:rFonts w:eastAsia="Times New Roman"/>
                <w:lang w:eastAsia="en-GB"/>
              </w:rPr>
              <w:t>ve been more direct. For example on page 52 it is said that there</w:t>
            </w:r>
            <w:r>
              <w:rPr>
                <w:rFonts w:eastAsia="Times New Roman"/>
                <w:lang w:eastAsia="en-GB"/>
              </w:rPr>
              <w:t xml:space="preserve"> s</w:t>
            </w:r>
            <w:r w:rsidRPr="00651472">
              <w:rPr>
                <w:rFonts w:eastAsia="Times New Roman"/>
                <w:lang w:eastAsia="en-GB"/>
              </w:rPr>
              <w:t>eems to be</w:t>
            </w:r>
            <w:r>
              <w:rPr>
                <w:rFonts w:eastAsia="Times New Roman"/>
                <w:lang w:eastAsia="en-GB"/>
              </w:rPr>
              <w:t xml:space="preserve"> </w:t>
            </w:r>
            <w:r w:rsidRPr="00651472">
              <w:rPr>
                <w:rFonts w:eastAsia="Times New Roman"/>
                <w:lang w:eastAsia="en-GB"/>
              </w:rPr>
              <w:t>an evolution in the three insiders scholars</w:t>
            </w:r>
            <w:r>
              <w:rPr>
                <w:rFonts w:eastAsia="Times New Roman"/>
                <w:lang w:eastAsia="en-GB"/>
              </w:rPr>
              <w:t>’</w:t>
            </w:r>
            <w:r w:rsidRPr="00651472">
              <w:rPr>
                <w:rFonts w:eastAsia="Times New Roman"/>
                <w:lang w:eastAsia="en-GB"/>
              </w:rPr>
              <w:t xml:space="preserve"> arguments. However I can’t see that this is demonstrated. The major conclusion, at the bottom of page 53 appears to be that there is a variety of experience which are categorised as Grace. This is reported almost as a minor thought. However it could actually be a very important </w:t>
            </w:r>
            <w:r w:rsidRPr="00651472">
              <w:rPr>
                <w:rFonts w:eastAsia="Times New Roman"/>
                <w:lang w:eastAsia="en-GB"/>
              </w:rPr>
              <w:lastRenderedPageBreak/>
              <w:t>thought if one is contributes what is discussing the nature of grace has an experience received from above.</w:t>
            </w:r>
            <w:r>
              <w:rPr>
                <w:rFonts w:eastAsia="Times New Roman"/>
                <w:lang w:eastAsia="en-GB"/>
              </w:rPr>
              <w:t xml:space="preserve"> </w:t>
            </w:r>
          </w:p>
          <w:p w14:paraId="68B7BA44" w14:textId="77777777" w:rsidR="006C2F87" w:rsidRPr="00651472" w:rsidRDefault="006C2F87" w:rsidP="006C2F87">
            <w:pPr>
              <w:rPr>
                <w:rFonts w:eastAsia="Times New Roman"/>
                <w:lang w:eastAsia="en-GB"/>
              </w:rPr>
            </w:pPr>
            <w:r w:rsidRPr="00651472">
              <w:rPr>
                <w:rFonts w:eastAsia="Times New Roman"/>
                <w:lang w:eastAsia="en-GB"/>
              </w:rPr>
              <w:t xml:space="preserve">At what point does Grace take on different forms? Does it already have different forms </w:t>
            </w:r>
            <w:r>
              <w:rPr>
                <w:rFonts w:eastAsia="Times New Roman"/>
                <w:lang w:eastAsia="en-GB"/>
              </w:rPr>
              <w:t xml:space="preserve">in </w:t>
            </w:r>
            <w:r w:rsidRPr="00651472">
              <w:rPr>
                <w:rFonts w:eastAsia="Times New Roman"/>
                <w:lang w:eastAsia="en-GB"/>
              </w:rPr>
              <w:t>its origin or do these different forms emerge in the experience of the participants? </w:t>
            </w:r>
          </w:p>
          <w:p w14:paraId="6B71C0A8" w14:textId="77777777" w:rsidR="006C2F87" w:rsidRPr="00651472" w:rsidRDefault="006C2F87" w:rsidP="006C2F87">
            <w:pPr>
              <w:rPr>
                <w:rFonts w:eastAsia="Times New Roman"/>
                <w:lang w:eastAsia="en-GB"/>
              </w:rPr>
            </w:pPr>
          </w:p>
          <w:p w14:paraId="05F8D3D6" w14:textId="77777777" w:rsidR="006C2F87" w:rsidRPr="00651472" w:rsidRDefault="006C2F87" w:rsidP="006C2F87">
            <w:pPr>
              <w:rPr>
                <w:rFonts w:eastAsia="Times New Roman"/>
                <w:lang w:eastAsia="en-GB"/>
              </w:rPr>
            </w:pPr>
            <w:r w:rsidRPr="00651472">
              <w:rPr>
                <w:rFonts w:eastAsia="Times New Roman"/>
                <w:lang w:eastAsia="en-GB"/>
              </w:rPr>
              <w:t>This is a strong piece of scholarship in a field which, as the students note notes, there is a severe lack of scholarly interest. There is undoubtedly publishable material here.</w:t>
            </w:r>
          </w:p>
          <w:p w14:paraId="35E37450" w14:textId="77777777" w:rsidR="006C2F87" w:rsidRPr="00651472" w:rsidRDefault="006C2F87" w:rsidP="006C2F87">
            <w:pPr>
              <w:rPr>
                <w:rFonts w:eastAsia="Times New Roman"/>
                <w:lang w:eastAsia="en-GB"/>
              </w:rPr>
            </w:pPr>
          </w:p>
          <w:p w14:paraId="71F1E40C" w14:textId="77777777" w:rsidR="006C2F87" w:rsidRPr="00651472" w:rsidRDefault="006C2F87" w:rsidP="006C2F87">
            <w:pPr>
              <w:rPr>
                <w:rFonts w:eastAsia="Times New Roman"/>
                <w:lang w:eastAsia="en-GB"/>
              </w:rPr>
            </w:pPr>
            <w:r w:rsidRPr="00651472">
              <w:rPr>
                <w:rFonts w:eastAsia="Times New Roman"/>
                <w:lang w:eastAsia="en-GB"/>
              </w:rPr>
              <w:t xml:space="preserve">As regards the grade, the clear, meticulous and conscientious conduct of the research project, from its foundations in </w:t>
            </w:r>
            <w:r>
              <w:rPr>
                <w:rFonts w:eastAsia="Times New Roman"/>
                <w:lang w:eastAsia="en-GB"/>
              </w:rPr>
              <w:t xml:space="preserve">Gurdjieffian </w:t>
            </w:r>
            <w:r w:rsidRPr="00651472">
              <w:rPr>
                <w:rFonts w:eastAsia="Times New Roman"/>
                <w:lang w:eastAsia="en-GB"/>
              </w:rPr>
              <w:t xml:space="preserve">work through to the design </w:t>
            </w:r>
            <w:r>
              <w:rPr>
                <w:rFonts w:eastAsia="Times New Roman"/>
                <w:lang w:eastAsia="en-GB"/>
              </w:rPr>
              <w:t>a</w:t>
            </w:r>
            <w:r w:rsidRPr="00651472">
              <w:rPr>
                <w:rFonts w:eastAsia="Times New Roman"/>
                <w:lang w:eastAsia="en-GB"/>
              </w:rPr>
              <w:t xml:space="preserve">nd conduct of the research project, </w:t>
            </w:r>
            <w:r>
              <w:rPr>
                <w:rFonts w:eastAsia="Times New Roman"/>
                <w:lang w:eastAsia="en-GB"/>
              </w:rPr>
              <w:t>i</w:t>
            </w:r>
            <w:r w:rsidRPr="00651472">
              <w:rPr>
                <w:rFonts w:eastAsia="Times New Roman"/>
                <w:lang w:eastAsia="en-GB"/>
              </w:rPr>
              <w:t>s easily worth a distinction. However my earlier comments on features which would</w:t>
            </w:r>
            <w:r>
              <w:rPr>
                <w:rFonts w:eastAsia="Times New Roman"/>
                <w:lang w:eastAsia="en-GB"/>
              </w:rPr>
              <w:t xml:space="preserve"> ha</w:t>
            </w:r>
            <w:r w:rsidRPr="00651472">
              <w:rPr>
                <w:rFonts w:eastAsia="Times New Roman"/>
                <w:lang w:eastAsia="en-GB"/>
              </w:rPr>
              <w:t xml:space="preserve">ve helped the narrative flow and provided foundational material </w:t>
            </w:r>
            <w:r>
              <w:rPr>
                <w:rFonts w:eastAsia="Times New Roman"/>
                <w:lang w:eastAsia="en-GB"/>
              </w:rPr>
              <w:t>m</w:t>
            </w:r>
            <w:r w:rsidRPr="00651472">
              <w:rPr>
                <w:rFonts w:eastAsia="Times New Roman"/>
                <w:lang w:eastAsia="en-GB"/>
              </w:rPr>
              <w:t xml:space="preserve">eans that </w:t>
            </w:r>
            <w:r>
              <w:rPr>
                <w:rFonts w:eastAsia="Times New Roman"/>
                <w:lang w:eastAsia="en-GB"/>
              </w:rPr>
              <w:t>my grade</w:t>
            </w:r>
            <w:r w:rsidRPr="00651472">
              <w:rPr>
                <w:rFonts w:eastAsia="Times New Roman"/>
                <w:lang w:eastAsia="en-GB"/>
              </w:rPr>
              <w:t xml:space="preserve"> is not as high as it might of been.</w:t>
            </w:r>
          </w:p>
          <w:p w14:paraId="67C68908" w14:textId="77777777" w:rsidR="006C2F87" w:rsidRPr="00651472" w:rsidRDefault="006C2F87" w:rsidP="006C2F87">
            <w:pPr>
              <w:rPr>
                <w:rFonts w:eastAsia="Times New Roman"/>
                <w:lang w:eastAsia="en-GB"/>
              </w:rPr>
            </w:pPr>
          </w:p>
          <w:p w14:paraId="4683EEAB" w14:textId="77777777" w:rsidR="006C2F87" w:rsidRDefault="006C2F87" w:rsidP="006C2F87">
            <w:pPr>
              <w:rPr>
                <w:rFonts w:eastAsia="Times New Roman"/>
                <w:lang w:eastAsia="en-GB"/>
              </w:rPr>
            </w:pPr>
            <w:r>
              <w:rPr>
                <w:rFonts w:eastAsia="Times New Roman"/>
                <w:lang w:eastAsia="en-GB"/>
              </w:rPr>
              <w:t>In summary, this is a strong piece of scholarship in a field in which, as you note there is a severe lack of scholarly interest. With the suggestions I make above. there is undoubtedly publishable material here.</w:t>
            </w:r>
          </w:p>
          <w:p w14:paraId="4E67EC23" w14:textId="77777777" w:rsidR="006C2F87" w:rsidRPr="00651472" w:rsidRDefault="006C2F87" w:rsidP="006C2F87">
            <w:pPr>
              <w:rPr>
                <w:rFonts w:eastAsia="Times New Roman"/>
                <w:lang w:eastAsia="en-GB"/>
              </w:rPr>
            </w:pPr>
          </w:p>
          <w:p w14:paraId="03DAE8A3" w14:textId="77777777" w:rsidR="006C2F87" w:rsidRDefault="006C2F87" w:rsidP="006C2F87">
            <w:pPr>
              <w:rPr>
                <w:rFonts w:eastAsia="Times New Roman"/>
                <w:lang w:eastAsia="en-GB"/>
              </w:rPr>
            </w:pPr>
            <w:r w:rsidRPr="00651472">
              <w:rPr>
                <w:rFonts w:eastAsia="Times New Roman"/>
                <w:lang w:eastAsia="en-GB"/>
              </w:rPr>
              <w:t>Very well done. </w:t>
            </w:r>
          </w:p>
          <w:p w14:paraId="1A12DB82" w14:textId="77777777" w:rsidR="0033644F" w:rsidRPr="002F467C" w:rsidRDefault="0033644F" w:rsidP="006B7840">
            <w:pPr>
              <w:pStyle w:val="NormalWeb"/>
              <w:rPr>
                <w:rFonts w:ascii="Calibri" w:hAnsi="Calibri" w:cs="Tahoma"/>
                <w:i/>
                <w:sz w:val="24"/>
                <w:szCs w:val="24"/>
              </w:rPr>
            </w:pPr>
          </w:p>
        </w:tc>
      </w:tr>
      <w:tr w:rsidR="0033644F" w:rsidRPr="002F467C" w14:paraId="38828AF1" w14:textId="77777777" w:rsidTr="006B7840">
        <w:trPr>
          <w:gridAfter w:val="1"/>
          <w:wAfter w:w="101" w:type="dxa"/>
          <w:trHeight w:val="492"/>
        </w:trPr>
        <w:tc>
          <w:tcPr>
            <w:tcW w:w="6768" w:type="dxa"/>
            <w:gridSpan w:val="4"/>
          </w:tcPr>
          <w:p w14:paraId="07B90217" w14:textId="48DF62B2" w:rsidR="0033644F" w:rsidRPr="00B12C4F" w:rsidRDefault="0033644F" w:rsidP="006B7840">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6C2F87">
              <w:rPr>
                <w:rFonts w:ascii="Calibri" w:hAnsi="Calibri" w:cs="Tahoma"/>
                <w:sz w:val="24"/>
                <w:szCs w:val="24"/>
              </w:rPr>
              <w:t xml:space="preserve"> 72%</w:t>
            </w:r>
          </w:p>
          <w:p w14:paraId="5F91E201" w14:textId="6632D267" w:rsidR="0033644F" w:rsidRPr="002F467C" w:rsidRDefault="0033644F" w:rsidP="006B7840">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791CF7">
              <w:rPr>
                <w:rFonts w:ascii="Calibri" w:hAnsi="Calibri" w:cs="Tahoma"/>
                <w:i/>
                <w:sz w:val="24"/>
                <w:szCs w:val="24"/>
              </w:rPr>
              <w:t>Nick Campion</w:t>
            </w:r>
          </w:p>
        </w:tc>
        <w:tc>
          <w:tcPr>
            <w:tcW w:w="1987" w:type="dxa"/>
            <w:gridSpan w:val="2"/>
          </w:tcPr>
          <w:p w14:paraId="7A981C4C" w14:textId="0304B5C5" w:rsidR="0033644F" w:rsidRPr="002F467C" w:rsidRDefault="0033644F" w:rsidP="006B7840">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6C2F87">
              <w:rPr>
                <w:rFonts w:ascii="Calibri" w:hAnsi="Calibri" w:cs="Tahoma"/>
                <w:i/>
                <w:sz w:val="24"/>
                <w:szCs w:val="24"/>
              </w:rPr>
              <w:t xml:space="preserve"> 16 March 2022</w:t>
            </w:r>
          </w:p>
        </w:tc>
      </w:tr>
      <w:tr w:rsidR="0033644F" w:rsidRPr="002F467C" w14:paraId="6D4CC675" w14:textId="77777777" w:rsidTr="006B7840">
        <w:tc>
          <w:tcPr>
            <w:tcW w:w="8856" w:type="dxa"/>
            <w:gridSpan w:val="7"/>
          </w:tcPr>
          <w:p w14:paraId="031918C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74D8E40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FB1014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48A6FF0"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0EA0556" w14:textId="77777777" w:rsidR="009057C6" w:rsidRDefault="009057C6" w:rsidP="009057C6">
            <w:pPr>
              <w:rPr>
                <w:rFonts w:eastAsia="Times New Roman"/>
                <w:lang w:eastAsia="en-GB"/>
              </w:rPr>
            </w:pPr>
            <w:r>
              <w:rPr>
                <w:rFonts w:eastAsia="Times New Roman"/>
                <w:lang w:eastAsia="en-GB"/>
              </w:rPr>
              <w:t xml:space="preserve">This is a fine and really original piece of work. </w:t>
            </w:r>
          </w:p>
          <w:p w14:paraId="7CDB77C0" w14:textId="77777777" w:rsidR="009057C6" w:rsidRDefault="009057C6" w:rsidP="009057C6">
            <w:pPr>
              <w:rPr>
                <w:rFonts w:eastAsia="Times New Roman"/>
                <w:lang w:eastAsia="en-GB"/>
              </w:rPr>
            </w:pPr>
          </w:p>
          <w:p w14:paraId="0A8DF3D8" w14:textId="77777777" w:rsidR="009057C6" w:rsidRDefault="009057C6" w:rsidP="009057C6">
            <w:pPr>
              <w:rPr>
                <w:rFonts w:eastAsia="Times New Roman"/>
                <w:lang w:eastAsia="en-GB"/>
              </w:rPr>
            </w:pPr>
            <w:r>
              <w:rPr>
                <w:rFonts w:eastAsia="Times New Roman"/>
                <w:lang w:eastAsia="en-GB"/>
              </w:rPr>
              <w:t xml:space="preserve">The source material – the experiences and beliefs of Gurdjieffians – is well-nigh unmanageable and you have done very well to present such a coherent and nuanced account within the available space. </w:t>
            </w:r>
          </w:p>
          <w:p w14:paraId="02D058F3" w14:textId="77777777" w:rsidR="009057C6" w:rsidRDefault="009057C6" w:rsidP="009057C6">
            <w:pPr>
              <w:rPr>
                <w:rFonts w:eastAsia="Times New Roman"/>
                <w:lang w:eastAsia="en-GB"/>
              </w:rPr>
            </w:pPr>
          </w:p>
          <w:p w14:paraId="0DF10D97" w14:textId="77777777" w:rsidR="009057C6" w:rsidRDefault="009057C6" w:rsidP="009057C6">
            <w:pPr>
              <w:rPr>
                <w:rFonts w:eastAsia="Times New Roman"/>
                <w:lang w:eastAsia="en-GB"/>
              </w:rPr>
            </w:pPr>
            <w:r>
              <w:rPr>
                <w:rFonts w:eastAsia="Times New Roman"/>
                <w:lang w:eastAsia="en-GB"/>
              </w:rPr>
              <w:t xml:space="preserve">The questionnaire and interview material you gathered is clearly difficult to obtain. Your insider status was no doubt essential in allowing you to gain access to your participants, and even then some of them had reservations about the whole academic process. It is commendable that you included (particularly at pp. 31-2) some of these reservations, serving as a reminder to the reader that other perspectives exist. Such criticisms as I have can probably be linked to your insiderhood, and an occasional difficulty in stepping outside your perspective and recognising what information an interested outsider would need. For instance when you introduce Gurdjieff (p. 8) it might have been worth telling the reader that he is generally considered a spiritual teacher and philosopher. Also I would have favoured introducing the subject of </w:t>
            </w:r>
            <w:r w:rsidRPr="00A01652">
              <w:rPr>
                <w:rFonts w:eastAsia="Times New Roman"/>
                <w:i/>
                <w:lang w:eastAsia="en-GB"/>
              </w:rPr>
              <w:t>effort</w:t>
            </w:r>
            <w:r>
              <w:rPr>
                <w:rFonts w:eastAsia="Times New Roman"/>
                <w:lang w:eastAsia="en-GB"/>
              </w:rPr>
              <w:t xml:space="preserve"> outside of a Gurdjieffian context, rather than discussing it (p. 10 – 11) as a facet of </w:t>
            </w:r>
            <w:r w:rsidRPr="00A01652">
              <w:rPr>
                <w:rFonts w:eastAsia="Times New Roman"/>
                <w:i/>
                <w:lang w:eastAsia="en-GB"/>
              </w:rPr>
              <w:t>quiet work</w:t>
            </w:r>
            <w:r>
              <w:rPr>
                <w:rFonts w:eastAsia="Times New Roman"/>
                <w:lang w:eastAsia="en-GB"/>
              </w:rPr>
              <w:t xml:space="preserve"> – a term which is not introduced in its own right until p. 13. You include a good introduction to grace and effort outside the Work later on (pp. 17 – 19) and I feel this would fit more naturally when the terms are first introduced. </w:t>
            </w:r>
          </w:p>
          <w:p w14:paraId="73A30CE2" w14:textId="77777777" w:rsidR="009057C6" w:rsidRDefault="009057C6" w:rsidP="009057C6">
            <w:pPr>
              <w:rPr>
                <w:rFonts w:eastAsia="Times New Roman"/>
                <w:lang w:eastAsia="en-GB"/>
              </w:rPr>
            </w:pPr>
          </w:p>
          <w:p w14:paraId="51321F54" w14:textId="77777777" w:rsidR="009057C6" w:rsidRDefault="009057C6" w:rsidP="009057C6">
            <w:pPr>
              <w:rPr>
                <w:rFonts w:eastAsia="Times New Roman"/>
                <w:lang w:eastAsia="en-GB"/>
              </w:rPr>
            </w:pPr>
            <w:r>
              <w:rPr>
                <w:rFonts w:eastAsia="Times New Roman"/>
                <w:lang w:eastAsia="en-GB"/>
              </w:rPr>
              <w:t>This should not obscure the fact that you have generally done very well to make your complex, fractured, obscure subject-matter accessible to the reader. For instance you strike a good balance in giving brief explanations of Work-specific terms or neologisms (such as ‘hydrogens’) in your text, so that it is comprehensible to an interested outsider, whilst supplying more detailed definitions and references in the appendices. Given Gurdjieff’s deliberate creation of complex and difficult terms, the work involved in making his teachings comprehensible should not be underestimated! Again, the use of an asterisk to identify direct students of Gurdjieff in the text (explained at p. 9) is a fine touch which unobtrusively makes additional information available to the reader.</w:t>
            </w:r>
          </w:p>
          <w:p w14:paraId="0AE8C2A5" w14:textId="77777777" w:rsidR="009057C6" w:rsidRDefault="009057C6" w:rsidP="009057C6">
            <w:pPr>
              <w:rPr>
                <w:rFonts w:eastAsia="Times New Roman"/>
                <w:lang w:eastAsia="en-GB"/>
              </w:rPr>
            </w:pPr>
          </w:p>
          <w:p w14:paraId="1E7FE15A" w14:textId="77777777" w:rsidR="009057C6" w:rsidRDefault="009057C6" w:rsidP="009057C6">
            <w:pPr>
              <w:rPr>
                <w:rFonts w:eastAsia="Times New Roman"/>
                <w:lang w:eastAsia="en-GB"/>
              </w:rPr>
            </w:pPr>
            <w:r>
              <w:rPr>
                <w:rFonts w:eastAsia="Times New Roman"/>
                <w:lang w:eastAsia="en-GB"/>
              </w:rPr>
              <w:t xml:space="preserve">Whilst the appendices are not taken into account when dissertations are marked, the extent and amount of detail in yours reflect the quantity and quality of effort you devoted to this work, and hint that it could easily have been much longer. To take one example from many, the discussion of </w:t>
            </w:r>
            <w:r w:rsidRPr="0011575F">
              <w:rPr>
                <w:rFonts w:eastAsia="Times New Roman"/>
                <w:i/>
                <w:lang w:eastAsia="en-GB"/>
              </w:rPr>
              <w:t>reciprocal maintenance</w:t>
            </w:r>
            <w:r>
              <w:rPr>
                <w:rFonts w:eastAsia="Times New Roman"/>
                <w:lang w:eastAsia="en-GB"/>
              </w:rPr>
              <w:t xml:space="preserve"> at p. 26 could I think have been the basis for a dissertation in itself.</w:t>
            </w:r>
          </w:p>
          <w:p w14:paraId="2AF4F005" w14:textId="77777777" w:rsidR="009057C6" w:rsidRDefault="009057C6" w:rsidP="009057C6">
            <w:pPr>
              <w:rPr>
                <w:rFonts w:eastAsia="Times New Roman"/>
                <w:lang w:eastAsia="en-GB"/>
              </w:rPr>
            </w:pPr>
          </w:p>
          <w:p w14:paraId="11A8BDBF" w14:textId="77777777" w:rsidR="009057C6" w:rsidRDefault="009057C6" w:rsidP="009057C6">
            <w:pPr>
              <w:rPr>
                <w:rFonts w:eastAsia="Times New Roman"/>
                <w:lang w:eastAsia="en-GB"/>
              </w:rPr>
            </w:pPr>
            <w:r>
              <w:rPr>
                <w:rFonts w:eastAsia="Times New Roman"/>
                <w:lang w:eastAsia="en-GB"/>
              </w:rPr>
              <w:t xml:space="preserve">This is a well-structured work, with a good introduction (my quibbles above notwithstanding), discussion and conclusion, and it draws on a very impressive range of sources – both texts and responses from participants. The unruly nature of the material makes the level of organisation all the more impressive. I support the first reviewer’s suggestion that (with some minor work) this is publishable work. I also echo their congratulations on work well done!  </w:t>
            </w:r>
          </w:p>
          <w:p w14:paraId="1183F845" w14:textId="77777777" w:rsidR="009057C6" w:rsidRDefault="009057C6" w:rsidP="009057C6">
            <w:pPr>
              <w:rPr>
                <w:rFonts w:eastAsia="Times New Roman"/>
                <w:lang w:eastAsia="en-GB"/>
              </w:rPr>
            </w:pPr>
          </w:p>
          <w:p w14:paraId="359697DD" w14:textId="77777777" w:rsidR="0033644F" w:rsidRPr="002F467C" w:rsidRDefault="0033644F" w:rsidP="009057C6">
            <w:pPr>
              <w:pStyle w:val="NormalWeb"/>
              <w:spacing w:before="0" w:beforeAutospacing="0" w:after="0" w:afterAutospacing="0"/>
              <w:ind w:right="-334"/>
              <w:rPr>
                <w:rFonts w:ascii="Calibri" w:hAnsi="Calibri" w:cs="Tahoma"/>
                <w:bCs/>
                <w:sz w:val="24"/>
                <w:szCs w:val="24"/>
              </w:rPr>
            </w:pPr>
          </w:p>
        </w:tc>
      </w:tr>
      <w:tr w:rsidR="0033644F" w:rsidRPr="002F467C" w14:paraId="4716C85A" w14:textId="77777777" w:rsidTr="006B7840">
        <w:trPr>
          <w:trHeight w:val="720"/>
        </w:trPr>
        <w:tc>
          <w:tcPr>
            <w:tcW w:w="5211" w:type="dxa"/>
            <w:gridSpan w:val="2"/>
          </w:tcPr>
          <w:p w14:paraId="35667A27" w14:textId="4C402AE4"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9057C6">
              <w:rPr>
                <w:rFonts w:ascii="Calibri" w:hAnsi="Calibri" w:cs="Tahoma"/>
                <w:bCs/>
                <w:sz w:val="24"/>
                <w:szCs w:val="24"/>
              </w:rPr>
              <w:t xml:space="preserve"> 74%</w:t>
            </w:r>
          </w:p>
          <w:p w14:paraId="3769098D" w14:textId="59220A93"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9057C6">
              <w:rPr>
                <w:rFonts w:ascii="Calibri" w:hAnsi="Calibri" w:cs="Tahoma"/>
                <w:bCs/>
                <w:sz w:val="24"/>
                <w:szCs w:val="24"/>
              </w:rPr>
              <w:t xml:space="preserve"> Garry Phi</w:t>
            </w:r>
            <w:r w:rsidR="00402CE8">
              <w:rPr>
                <w:rFonts w:ascii="Calibri" w:hAnsi="Calibri" w:cs="Tahoma"/>
                <w:bCs/>
                <w:sz w:val="24"/>
                <w:szCs w:val="24"/>
              </w:rPr>
              <w:t>lippson</w:t>
            </w:r>
          </w:p>
        </w:tc>
        <w:tc>
          <w:tcPr>
            <w:tcW w:w="3645" w:type="dxa"/>
            <w:gridSpan w:val="5"/>
          </w:tcPr>
          <w:p w14:paraId="53A048D4" w14:textId="0252835C"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402CE8">
              <w:rPr>
                <w:rFonts w:ascii="Calibri" w:hAnsi="Calibri" w:cs="Tahoma"/>
                <w:bCs/>
                <w:sz w:val="24"/>
                <w:szCs w:val="24"/>
              </w:rPr>
              <w:t xml:space="preserve"> 16 March 2022</w:t>
            </w:r>
          </w:p>
        </w:tc>
      </w:tr>
      <w:tr w:rsidR="0033644F" w:rsidRPr="002F467C" w14:paraId="6CD7E050" w14:textId="77777777" w:rsidTr="006B7840">
        <w:trPr>
          <w:trHeight w:val="720"/>
        </w:trPr>
        <w:tc>
          <w:tcPr>
            <w:tcW w:w="5211" w:type="dxa"/>
            <w:gridSpan w:val="2"/>
          </w:tcPr>
          <w:p w14:paraId="50110EA5" w14:textId="7BAEA013"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402CE8">
              <w:rPr>
                <w:rFonts w:ascii="Calibri" w:hAnsi="Calibri" w:cs="Tahoma"/>
                <w:bCs/>
                <w:sz w:val="24"/>
                <w:szCs w:val="24"/>
              </w:rPr>
              <w:t xml:space="preserve"> 73%</w:t>
            </w:r>
          </w:p>
          <w:p w14:paraId="396BA3A3"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717179EE" w14:textId="00C4E5B6"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402CE8">
              <w:rPr>
                <w:rFonts w:ascii="Calibri" w:hAnsi="Calibri" w:cs="Tahoma"/>
                <w:bCs/>
                <w:sz w:val="24"/>
                <w:szCs w:val="24"/>
              </w:rPr>
              <w:t xml:space="preserve"> Nick Campion</w:t>
            </w:r>
          </w:p>
          <w:p w14:paraId="295F97DF"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53521BF4" w14:textId="5C56A2C6"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402CE8">
              <w:rPr>
                <w:rFonts w:ascii="Calibri" w:hAnsi="Calibri" w:cs="Tahoma"/>
                <w:bCs/>
                <w:sz w:val="24"/>
                <w:szCs w:val="24"/>
              </w:rPr>
              <w:t xml:space="preserve"> Garry Phillipson</w:t>
            </w:r>
          </w:p>
          <w:p w14:paraId="10074698" w14:textId="77777777" w:rsidR="0033644F" w:rsidRDefault="0033644F" w:rsidP="006B7840">
            <w:pPr>
              <w:pStyle w:val="NormalWeb"/>
              <w:spacing w:before="0" w:beforeAutospacing="0" w:after="0" w:afterAutospacing="0"/>
              <w:ind w:right="-334"/>
              <w:rPr>
                <w:rFonts w:ascii="Calibri" w:hAnsi="Calibri" w:cs="Tahoma"/>
                <w:bCs/>
                <w:sz w:val="24"/>
                <w:szCs w:val="24"/>
              </w:rPr>
            </w:pPr>
          </w:p>
        </w:tc>
        <w:tc>
          <w:tcPr>
            <w:tcW w:w="3645" w:type="dxa"/>
            <w:gridSpan w:val="5"/>
          </w:tcPr>
          <w:p w14:paraId="022BFEBA" w14:textId="70B0F71C"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402CE8">
              <w:rPr>
                <w:rFonts w:ascii="Calibri" w:hAnsi="Calibri" w:cs="Tahoma"/>
                <w:bCs/>
                <w:sz w:val="24"/>
                <w:szCs w:val="24"/>
              </w:rPr>
              <w:t xml:space="preserve"> 16 March 2022</w:t>
            </w:r>
          </w:p>
        </w:tc>
      </w:tr>
      <w:tr w:rsidR="0033644F" w:rsidRPr="002F467C" w14:paraId="5DC2ECB8" w14:textId="77777777" w:rsidTr="006B7840">
        <w:trPr>
          <w:trHeight w:val="720"/>
        </w:trPr>
        <w:tc>
          <w:tcPr>
            <w:tcW w:w="8856" w:type="dxa"/>
            <w:gridSpan w:val="7"/>
          </w:tcPr>
          <w:p w14:paraId="30C5467D" w14:textId="77777777" w:rsidR="0033644F" w:rsidRPr="00BB1492" w:rsidRDefault="0033644F" w:rsidP="006B7840">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1B2E09B2" w14:textId="77777777" w:rsidR="0033644F" w:rsidRDefault="0033644F" w:rsidP="006B7840">
            <w:pPr>
              <w:pStyle w:val="NormalWeb"/>
              <w:spacing w:before="0" w:beforeAutospacing="0" w:after="0" w:afterAutospacing="0"/>
              <w:ind w:left="142" w:right="34"/>
              <w:rPr>
                <w:rFonts w:ascii="Calibri" w:hAnsi="Calibri" w:cs="Tahoma"/>
                <w:b/>
                <w:i/>
                <w:sz w:val="24"/>
                <w:szCs w:val="24"/>
              </w:rPr>
            </w:pPr>
          </w:p>
          <w:p w14:paraId="1E052E37" w14:textId="2F42BB38" w:rsidR="00402CE8" w:rsidRPr="00BF1C9D" w:rsidRDefault="00402CE8" w:rsidP="006B7840">
            <w:pPr>
              <w:pStyle w:val="NormalWeb"/>
              <w:spacing w:before="0" w:beforeAutospacing="0" w:after="0" w:afterAutospacing="0"/>
              <w:ind w:left="142" w:right="34"/>
              <w:rPr>
                <w:rFonts w:ascii="Calibri" w:hAnsi="Calibri" w:cs="Tahoma"/>
                <w:bCs/>
                <w:iCs/>
                <w:sz w:val="24"/>
                <w:szCs w:val="24"/>
              </w:rPr>
            </w:pPr>
            <w:r w:rsidRPr="00BF1C9D">
              <w:rPr>
                <w:rFonts w:ascii="Calibri" w:hAnsi="Calibri" w:cs="Tahoma"/>
                <w:bCs/>
                <w:iCs/>
                <w:sz w:val="24"/>
                <w:szCs w:val="24"/>
              </w:rPr>
              <w:t>Our ma</w:t>
            </w:r>
            <w:r w:rsidR="00BF1C9D" w:rsidRPr="00BF1C9D">
              <w:rPr>
                <w:rFonts w:ascii="Calibri" w:hAnsi="Calibri" w:cs="Tahoma"/>
                <w:bCs/>
                <w:iCs/>
                <w:sz w:val="24"/>
                <w:szCs w:val="24"/>
              </w:rPr>
              <w:t>r</w:t>
            </w:r>
            <w:r w:rsidRPr="00BF1C9D">
              <w:rPr>
                <w:rFonts w:ascii="Calibri" w:hAnsi="Calibri" w:cs="Tahoma"/>
                <w:bCs/>
                <w:iCs/>
                <w:sz w:val="24"/>
                <w:szCs w:val="24"/>
              </w:rPr>
              <w:t>ks were close enough to agree that 73% was a suitable</w:t>
            </w:r>
            <w:r w:rsidR="00BF1C9D">
              <w:rPr>
                <w:rFonts w:ascii="Calibri" w:hAnsi="Calibri" w:cs="Tahoma"/>
                <w:bCs/>
                <w:iCs/>
                <w:sz w:val="24"/>
                <w:szCs w:val="24"/>
              </w:rPr>
              <w:t xml:space="preserve"> agreed</w:t>
            </w:r>
            <w:r w:rsidRPr="00BF1C9D">
              <w:rPr>
                <w:rFonts w:ascii="Calibri" w:hAnsi="Calibri" w:cs="Tahoma"/>
                <w:bCs/>
                <w:iCs/>
                <w:sz w:val="24"/>
                <w:szCs w:val="24"/>
              </w:rPr>
              <w:t xml:space="preserve"> </w:t>
            </w:r>
            <w:r w:rsidR="00BF1C9D" w:rsidRPr="00BF1C9D">
              <w:rPr>
                <w:rFonts w:ascii="Calibri" w:hAnsi="Calibri" w:cs="Tahoma"/>
                <w:bCs/>
                <w:iCs/>
                <w:sz w:val="24"/>
                <w:szCs w:val="24"/>
              </w:rPr>
              <w:t>mark.</w:t>
            </w:r>
          </w:p>
          <w:p w14:paraId="5036B4CD"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19327136" w14:textId="77777777" w:rsidTr="006B7840">
        <w:trPr>
          <w:trHeight w:val="720"/>
        </w:trPr>
        <w:tc>
          <w:tcPr>
            <w:tcW w:w="8856" w:type="dxa"/>
            <w:gridSpan w:val="7"/>
          </w:tcPr>
          <w:p w14:paraId="1A003D4A"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63C0FAF" w14:textId="77777777" w:rsidR="0033644F" w:rsidRPr="002F467C" w:rsidRDefault="0033644F" w:rsidP="006B7840">
            <w:pPr>
              <w:pStyle w:val="NormalWeb"/>
              <w:spacing w:before="0" w:beforeAutospacing="0" w:after="0" w:afterAutospacing="0"/>
              <w:ind w:left="142" w:right="34"/>
              <w:rPr>
                <w:rFonts w:ascii="Calibri" w:hAnsi="Calibri" w:cs="Tahoma"/>
                <w:b/>
                <w:i/>
                <w:sz w:val="24"/>
                <w:szCs w:val="24"/>
              </w:rPr>
            </w:pPr>
          </w:p>
        </w:tc>
      </w:tr>
    </w:tbl>
    <w:p w14:paraId="3F2DE6C7"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EFB490B"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92E024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51A9BD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8D8469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C19DCE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373BC0DD"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A62B46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4536C89"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F77909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8F211DA"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9A37F6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33644F" w:rsidRPr="002F467C" w14:paraId="07AF4B67" w14:textId="77777777" w:rsidTr="006B7840">
        <w:tc>
          <w:tcPr>
            <w:tcW w:w="8856" w:type="dxa"/>
          </w:tcPr>
          <w:p w14:paraId="205AAC5E"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51935CD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D5DF4B5"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881919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DBBB695"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55852B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869EF2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30784C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27CA9B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386D36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668062F"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FC1F9A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F93B84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110C37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B26D5D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BE6626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0593C2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A660D0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80F4D8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E1D97B9"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405254B8"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188FFBF"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FC80140"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6E4DD4C"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750A9FEC"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3A60F7B"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04ACA725"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E94F887"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640F34D3"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66A5E2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9AA5C9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08F305B0" w14:textId="77777777" w:rsidTr="006B7840">
        <w:trPr>
          <w:trHeight w:val="720"/>
        </w:trPr>
        <w:tc>
          <w:tcPr>
            <w:tcW w:w="8856" w:type="dxa"/>
          </w:tcPr>
          <w:p w14:paraId="6AEC5E85" w14:textId="77777777" w:rsidR="0033644F" w:rsidRPr="002F467C"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33644F" w:rsidRPr="002F467C" w14:paraId="709DD3D1" w14:textId="77777777" w:rsidTr="006B7840">
        <w:trPr>
          <w:trHeight w:val="720"/>
        </w:trPr>
        <w:tc>
          <w:tcPr>
            <w:tcW w:w="8856" w:type="dxa"/>
          </w:tcPr>
          <w:p w14:paraId="6E2DDDAB" w14:textId="77777777" w:rsidR="0033644F"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71D3EBF0" w14:textId="77777777" w:rsidR="0033644F" w:rsidRPr="00D67BF8" w:rsidRDefault="0033644F" w:rsidP="0033644F">
      <w:pPr>
        <w:pStyle w:val="NormalWeb"/>
        <w:spacing w:before="0" w:beforeAutospacing="0" w:after="0" w:afterAutospacing="0"/>
        <w:ind w:right="-334"/>
        <w:rPr>
          <w:rFonts w:ascii="Trebuchet MS" w:hAnsi="Trebuchet MS" w:cs="Tahoma"/>
          <w:bCs/>
          <w:sz w:val="24"/>
          <w:szCs w:val="24"/>
        </w:rPr>
      </w:pPr>
    </w:p>
    <w:p w14:paraId="6A0F4F7F" w14:textId="77777777" w:rsidR="0033644F" w:rsidRDefault="0033644F" w:rsidP="0033644F"/>
    <w:p w14:paraId="686997F9" w14:textId="77777777" w:rsidR="001C403C" w:rsidRDefault="00C72848"/>
    <w:sectPr w:rsidR="001C403C" w:rsidSect="00F73533">
      <w:footerReference w:type="default" r:id="rId7"/>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C05FA" w14:textId="77777777" w:rsidR="00C72848" w:rsidRDefault="00C72848">
      <w:r>
        <w:separator/>
      </w:r>
    </w:p>
  </w:endnote>
  <w:endnote w:type="continuationSeparator" w:id="0">
    <w:p w14:paraId="2930961D" w14:textId="77777777" w:rsidR="00C72848" w:rsidRDefault="00C728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AEEFE" w14:textId="77777777" w:rsidR="000653A2" w:rsidRPr="00337A70" w:rsidRDefault="00D653B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BBD5A" w14:textId="77777777" w:rsidR="00C72848" w:rsidRDefault="00C72848">
      <w:r>
        <w:separator/>
      </w:r>
    </w:p>
  </w:footnote>
  <w:footnote w:type="continuationSeparator" w:id="0">
    <w:p w14:paraId="2500354A" w14:textId="77777777" w:rsidR="00C72848" w:rsidRDefault="00C728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44F"/>
    <w:rsid w:val="0033644F"/>
    <w:rsid w:val="003F7351"/>
    <w:rsid w:val="00402CE8"/>
    <w:rsid w:val="0047368A"/>
    <w:rsid w:val="00511291"/>
    <w:rsid w:val="005823B6"/>
    <w:rsid w:val="00595DA0"/>
    <w:rsid w:val="006C2F87"/>
    <w:rsid w:val="006D60BD"/>
    <w:rsid w:val="007552FD"/>
    <w:rsid w:val="00791CF7"/>
    <w:rsid w:val="009057C6"/>
    <w:rsid w:val="00BB0817"/>
    <w:rsid w:val="00BF1C9D"/>
    <w:rsid w:val="00C2612E"/>
    <w:rsid w:val="00C72848"/>
    <w:rsid w:val="00D653BD"/>
    <w:rsid w:val="00DA62C7"/>
    <w:rsid w:val="00ED1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BDFC8"/>
  <w15:chartTrackingRefBased/>
  <w15:docId w15:val="{0A0937FC-E9BF-45BB-8E2A-E204F0271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Nicholas Campion</cp:lastModifiedBy>
  <cp:revision>7</cp:revision>
  <dcterms:created xsi:type="dcterms:W3CDTF">2022-03-16T10:10:00Z</dcterms:created>
  <dcterms:modified xsi:type="dcterms:W3CDTF">2022-03-16T10:14:00Z</dcterms:modified>
</cp:coreProperties>
</file>