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62816A70" w:rsidR="000D5FD0" w:rsidRDefault="2288C316" w:rsidP="2ADEB400">
      <w:pPr>
        <w:jc w:val="center"/>
        <w:rPr>
          <w:sz w:val="40"/>
          <w:szCs w:val="40"/>
        </w:rPr>
      </w:pPr>
      <w:r w:rsidRPr="2ADEB400">
        <w:rPr>
          <w:sz w:val="40"/>
          <w:szCs w:val="40"/>
        </w:rPr>
        <w:t>Student name: Saiqa Qasim</w:t>
      </w:r>
    </w:p>
    <w:p w14:paraId="380DB594" w14:textId="58D77A0F" w:rsidR="2288C316" w:rsidRDefault="2288C316" w:rsidP="2ADEB400">
      <w:pPr>
        <w:jc w:val="center"/>
        <w:rPr>
          <w:sz w:val="40"/>
          <w:szCs w:val="40"/>
        </w:rPr>
      </w:pPr>
      <w:r w:rsidRPr="2ADEB400">
        <w:rPr>
          <w:sz w:val="40"/>
          <w:szCs w:val="40"/>
        </w:rPr>
        <w:t>ID number: 2435762</w:t>
      </w:r>
    </w:p>
    <w:p w14:paraId="1CDA4968" w14:textId="1C85127A" w:rsidR="2288C316" w:rsidRDefault="2288C316" w:rsidP="2ADEB400">
      <w:pPr>
        <w:jc w:val="center"/>
      </w:pPr>
      <w:r w:rsidRPr="2ADEB400">
        <w:rPr>
          <w:sz w:val="40"/>
          <w:szCs w:val="40"/>
        </w:rPr>
        <w:t xml:space="preserve">Module Code: </w:t>
      </w:r>
      <w:r w:rsidR="00AA175A">
        <w:rPr>
          <w:sz w:val="40"/>
          <w:szCs w:val="40"/>
        </w:rPr>
        <w:t>B</w:t>
      </w:r>
      <w:r w:rsidRPr="2ADEB400">
        <w:rPr>
          <w:sz w:val="40"/>
          <w:szCs w:val="40"/>
        </w:rPr>
        <w:t>MH</w:t>
      </w:r>
      <w:r w:rsidR="00AA175A">
        <w:rPr>
          <w:sz w:val="40"/>
          <w:szCs w:val="40"/>
        </w:rPr>
        <w:t>P</w:t>
      </w:r>
      <w:r w:rsidRPr="2ADEB400">
        <w:rPr>
          <w:sz w:val="40"/>
          <w:szCs w:val="40"/>
        </w:rPr>
        <w:t>5021</w:t>
      </w:r>
    </w:p>
    <w:p w14:paraId="46104950" w14:textId="01F5375F" w:rsidR="2288C316" w:rsidRDefault="2288C316" w:rsidP="2ADEB400">
      <w:pPr>
        <w:jc w:val="center"/>
      </w:pPr>
      <w:r w:rsidRPr="2ADEB400">
        <w:rPr>
          <w:sz w:val="40"/>
          <w:szCs w:val="40"/>
        </w:rPr>
        <w:t>Teachers name: Kennedy Obohwemu</w:t>
      </w:r>
    </w:p>
    <w:p w14:paraId="77DA0BC3" w14:textId="266E68BE" w:rsidR="2288C316" w:rsidRDefault="2288C316" w:rsidP="2ADEB400">
      <w:pPr>
        <w:jc w:val="center"/>
      </w:pPr>
      <w:r w:rsidRPr="2ADEB400">
        <w:rPr>
          <w:sz w:val="40"/>
          <w:szCs w:val="40"/>
        </w:rPr>
        <w:t>Due date: 18</w:t>
      </w:r>
      <w:r w:rsidRPr="2ADEB400">
        <w:rPr>
          <w:sz w:val="40"/>
          <w:szCs w:val="40"/>
          <w:vertAlign w:val="superscript"/>
        </w:rPr>
        <w:t>th</w:t>
      </w:r>
      <w:r w:rsidRPr="2ADEB400">
        <w:rPr>
          <w:sz w:val="40"/>
          <w:szCs w:val="40"/>
        </w:rPr>
        <w:t xml:space="preserve"> October 2026 </w:t>
      </w:r>
    </w:p>
    <w:p w14:paraId="4F6393EB" w14:textId="2F67BFEA" w:rsidR="2ADEB400" w:rsidRDefault="2ADEB400"/>
    <w:p w14:paraId="751F8556" w14:textId="016968E6" w:rsidR="2ADEB400" w:rsidRDefault="2ADEB400"/>
    <w:p w14:paraId="562CEA13" w14:textId="4B6CBFF4" w:rsidR="2ADEB400" w:rsidRDefault="2ADEB400"/>
    <w:p w14:paraId="19E9AADB" w14:textId="5F125B94" w:rsidR="2ADEB400" w:rsidRDefault="2ADEB400"/>
    <w:p w14:paraId="07D8BFDB" w14:textId="30627BA5" w:rsidR="55348A87" w:rsidRDefault="55348A87">
      <w:r>
        <w:t>References for Child F discussion – teacher</w:t>
      </w:r>
    </w:p>
    <w:p w14:paraId="16EF99F0" w14:textId="3EE289DF" w:rsidR="2ADEB400" w:rsidRDefault="2ADEB400"/>
    <w:p w14:paraId="2EAEAA1A" w14:textId="2ABEC02B" w:rsidR="55348A87" w:rsidRDefault="55348A87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  <w:r w:rsidRPr="2ADEB400">
        <w:rPr>
          <w:rFonts w:ascii="Times New Roman" w:eastAsia="Times New Roman" w:hAnsi="Times New Roman" w:cs="Times New Roman"/>
          <w:color w:val="000000" w:themeColor="text1"/>
        </w:rPr>
        <w:t xml:space="preserve">Schenck-Fontaine, A. </w:t>
      </w:r>
      <w:r w:rsidRPr="2ADEB400">
        <w:rPr>
          <w:rFonts w:ascii="Times New Roman" w:eastAsia="Times New Roman" w:hAnsi="Times New Roman" w:cs="Times New Roman"/>
          <w:i/>
          <w:iCs/>
          <w:color w:val="000000" w:themeColor="text1"/>
        </w:rPr>
        <w:t>et al.</w:t>
      </w:r>
      <w:r w:rsidRPr="2ADEB400">
        <w:rPr>
          <w:rFonts w:ascii="Times New Roman" w:eastAsia="Times New Roman" w:hAnsi="Times New Roman" w:cs="Times New Roman"/>
          <w:color w:val="000000" w:themeColor="text1"/>
        </w:rPr>
        <w:t xml:space="preserve"> (2018) 'Associations between perceived material deprivation, parents’ discipline practices, and children’s behavior problems: an </w:t>
      </w:r>
      <w:proofErr w:type="gramStart"/>
      <w:r w:rsidRPr="2ADEB400">
        <w:rPr>
          <w:rFonts w:ascii="Times New Roman" w:eastAsia="Times New Roman" w:hAnsi="Times New Roman" w:cs="Times New Roman"/>
          <w:color w:val="000000" w:themeColor="text1"/>
        </w:rPr>
        <w:t>International</w:t>
      </w:r>
      <w:proofErr w:type="gramEnd"/>
      <w:r w:rsidRPr="2ADEB400">
        <w:rPr>
          <w:rFonts w:ascii="Times New Roman" w:eastAsia="Times New Roman" w:hAnsi="Times New Roman" w:cs="Times New Roman"/>
          <w:color w:val="000000" w:themeColor="text1"/>
        </w:rPr>
        <w:t xml:space="preserve"> perspective,' </w:t>
      </w:r>
      <w:r w:rsidRPr="2ADEB400">
        <w:rPr>
          <w:rFonts w:ascii="Times New Roman" w:eastAsia="Times New Roman" w:hAnsi="Times New Roman" w:cs="Times New Roman"/>
          <w:i/>
          <w:iCs/>
          <w:color w:val="000000" w:themeColor="text1"/>
        </w:rPr>
        <w:t>Child Development</w:t>
      </w:r>
      <w:r w:rsidRPr="2ADEB400">
        <w:rPr>
          <w:rFonts w:ascii="Times New Roman" w:eastAsia="Times New Roman" w:hAnsi="Times New Roman" w:cs="Times New Roman"/>
          <w:color w:val="000000" w:themeColor="text1"/>
        </w:rPr>
        <w:t xml:space="preserve">, 91(1), pp. 307–326. </w:t>
      </w:r>
      <w:hyperlink r:id="rId4">
        <w:r w:rsidRPr="2ADEB400">
          <w:rPr>
            <w:rStyle w:val="Hyperlink"/>
          </w:rPr>
          <w:t>https://doi.org/10.1111/cdev.13151</w:t>
        </w:r>
      </w:hyperlink>
    </w:p>
    <w:p w14:paraId="0E2972FD" w14:textId="600E9F4A" w:rsidR="2ADEB400" w:rsidRDefault="2ADEB400" w:rsidP="2ADEB400">
      <w:pPr>
        <w:rPr>
          <w:rFonts w:ascii="Aptos" w:eastAsia="Aptos" w:hAnsi="Aptos" w:cs="Aptos"/>
          <w:color w:val="000000" w:themeColor="text1"/>
        </w:rPr>
      </w:pPr>
    </w:p>
    <w:p w14:paraId="433C4BD8" w14:textId="51A74CC3" w:rsidR="55348A87" w:rsidRDefault="55348A87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  <w:color w:val="000000" w:themeColor="text1"/>
        </w:rPr>
        <w:t xml:space="preserve">Wickert, C. (2025) 'Subcultural theory (Cohen),' </w:t>
      </w:r>
      <w:r w:rsidRPr="2ADEB400">
        <w:rPr>
          <w:rFonts w:ascii="Times New Roman" w:eastAsia="Times New Roman" w:hAnsi="Times New Roman" w:cs="Times New Roman"/>
          <w:i/>
          <w:iCs/>
          <w:color w:val="000000" w:themeColor="text1"/>
        </w:rPr>
        <w:t>SozTheo</w:t>
      </w:r>
      <w:r w:rsidRPr="2ADEB400">
        <w:rPr>
          <w:rFonts w:ascii="Times New Roman" w:eastAsia="Times New Roman" w:hAnsi="Times New Roman" w:cs="Times New Roman"/>
          <w:color w:val="000000" w:themeColor="text1"/>
        </w:rPr>
        <w:t xml:space="preserve"> [Preprint]. </w:t>
      </w:r>
      <w:hyperlink r:id="rId5">
        <w:r w:rsidRPr="2ADEB400">
          <w:rPr>
            <w:rStyle w:val="Hyperlink"/>
          </w:rPr>
          <w:t>https://soztheo.com/theories-of-crime/learning-and-career/subcultural-theory-cohen/</w:t>
        </w:r>
      </w:hyperlink>
      <w:r w:rsidRPr="2ADEB400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39864F21" w14:textId="2BF89F91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</w:p>
    <w:p w14:paraId="2D851695" w14:textId="72640312" w:rsidR="4B55DA71" w:rsidRDefault="4B55DA71" w:rsidP="2ADEB400">
      <w:pPr>
        <w:spacing w:after="0"/>
      </w:pPr>
      <w:r w:rsidRPr="2ADEB400">
        <w:rPr>
          <w:rFonts w:ascii="Times New Roman" w:eastAsia="Times New Roman" w:hAnsi="Times New Roman" w:cs="Times New Roman"/>
        </w:rPr>
        <w:t>Jax, C. and Jax, C. (2026)</w:t>
      </w:r>
      <w:r w:rsidRPr="2ADEB400">
        <w:rPr>
          <w:rFonts w:ascii="Open Sans" w:eastAsia="Open Sans" w:hAnsi="Open Sans" w:cs="Open Sans"/>
          <w:b/>
          <w:bCs/>
          <w:color w:val="003595"/>
          <w:sz w:val="37"/>
          <w:szCs w:val="37"/>
        </w:rPr>
        <w:t xml:space="preserve"> </w:t>
      </w:r>
      <w:r w:rsidRPr="2ADEB400">
        <w:rPr>
          <w:rFonts w:ascii="Times New Roman" w:eastAsia="Times New Roman" w:hAnsi="Times New Roman" w:cs="Times New Roman"/>
          <w:i/>
          <w:iCs/>
          <w:color w:val="000000" w:themeColor="text1"/>
        </w:rPr>
        <w:t>The Benefits of Comprehensive Support Systems for High School Students</w:t>
      </w:r>
    </w:p>
    <w:p w14:paraId="695466F6" w14:textId="3410C070" w:rsidR="4B55DA71" w:rsidRDefault="4B55DA71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. </w:t>
      </w:r>
      <w:hyperlink r:id="rId6">
        <w:r w:rsidRPr="2ADEB400">
          <w:rPr>
            <w:rStyle w:val="Hyperlink"/>
          </w:rPr>
          <w:t>https://cisjax.org/benefits-of-comprehensive-support-systems/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3A4A399D" w14:textId="15ACA512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0EC4ECE0" w14:textId="1A5BB8B8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5A0897D0" w14:textId="6598520E" w:rsidR="2C1F1190" w:rsidRDefault="2C1F1190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lastRenderedPageBreak/>
        <w:t xml:space="preserve">Rasuli, M.H., Makhdoomzada, F.M. and Haidari, S.A. (2023) 'Effects of teacher and student relationships to enhance the learning process,' </w:t>
      </w:r>
      <w:r w:rsidRPr="2ADEB400">
        <w:rPr>
          <w:rFonts w:ascii="Times New Roman" w:eastAsia="Times New Roman" w:hAnsi="Times New Roman" w:cs="Times New Roman"/>
          <w:i/>
          <w:iCs/>
        </w:rPr>
        <w:t>American Journal of Multidisciplinary Research and Innovation</w:t>
      </w:r>
      <w:r w:rsidRPr="2ADEB400">
        <w:rPr>
          <w:rFonts w:ascii="Times New Roman" w:eastAsia="Times New Roman" w:hAnsi="Times New Roman" w:cs="Times New Roman"/>
        </w:rPr>
        <w:t xml:space="preserve">, 2(5), pp. 65–69. </w:t>
      </w:r>
      <w:hyperlink r:id="rId7">
        <w:r w:rsidRPr="2ADEB400">
          <w:rPr>
            <w:rStyle w:val="Hyperlink"/>
          </w:rPr>
          <w:t>https://doi.org/10.54536/ajmri.v2i5.1988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23E431A3" w14:textId="13155C3D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6B1C18F1" w14:textId="57D56D89" w:rsidR="70D3B96C" w:rsidRDefault="70D3B96C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Esiri, O. (2016) </w:t>
      </w:r>
      <w:r w:rsidRPr="2ADEB400">
        <w:rPr>
          <w:rFonts w:ascii="Times New Roman" w:eastAsia="Times New Roman" w:hAnsi="Times New Roman" w:cs="Times New Roman"/>
          <w:i/>
          <w:iCs/>
        </w:rPr>
        <w:t>The influence of peer pressure on criminal behaviour may</w:t>
      </w:r>
      <w:r w:rsidRPr="2ADEB400">
        <w:rPr>
          <w:rFonts w:ascii="Times New Roman" w:eastAsia="Times New Roman" w:hAnsi="Times New Roman" w:cs="Times New Roman"/>
        </w:rPr>
        <w:t xml:space="preserve">. </w:t>
      </w:r>
      <w:hyperlink r:id="rId8">
        <w:r w:rsidRPr="2ADEB400">
          <w:rPr>
            <w:rStyle w:val="Hyperlink"/>
          </w:rPr>
          <w:t>https://www.semanticscholar.org/paper/The-Influence-of-Peer-Pressure-on-Criminal-May-Esiri/e6c31daaa258e18bddf07f5728a13b8a889e10eb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64727AC4" w14:textId="15C30449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42E21353" w14:textId="426E27CA" w:rsidR="5546D04B" w:rsidRDefault="5546D04B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Cchiaro (2026) </w:t>
      </w:r>
      <w:r w:rsidRPr="2ADEB400">
        <w:rPr>
          <w:rFonts w:ascii="Times New Roman" w:eastAsia="Times New Roman" w:hAnsi="Times New Roman" w:cs="Times New Roman"/>
          <w:i/>
          <w:iCs/>
        </w:rPr>
        <w:t>A teacher’s role in being a mandated reporter</w:t>
      </w:r>
      <w:r w:rsidRPr="2ADEB400">
        <w:rPr>
          <w:rFonts w:ascii="Times New Roman" w:eastAsia="Times New Roman" w:hAnsi="Times New Roman" w:cs="Times New Roman"/>
        </w:rPr>
        <w:t xml:space="preserve">. </w:t>
      </w:r>
      <w:hyperlink r:id="rId9">
        <w:r w:rsidRPr="2ADEB400">
          <w:rPr>
            <w:rStyle w:val="Hyperlink"/>
          </w:rPr>
          <w:t>https://www.graduateprogram.org/blog/a-teachers-role-in-being-a-mandated-reporter/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5DA34D6F" w14:textId="07175111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75B4C214" w14:textId="386E0C27" w:rsidR="77F3A996" w:rsidRDefault="77F3A996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Fassi, L. </w:t>
      </w:r>
      <w:r w:rsidRPr="2ADEB400">
        <w:rPr>
          <w:rFonts w:ascii="Times New Roman" w:eastAsia="Times New Roman" w:hAnsi="Times New Roman" w:cs="Times New Roman"/>
          <w:i/>
          <w:iCs/>
        </w:rPr>
        <w:t>et al.</w:t>
      </w:r>
      <w:r w:rsidRPr="2ADEB400">
        <w:rPr>
          <w:rFonts w:ascii="Times New Roman" w:eastAsia="Times New Roman" w:hAnsi="Times New Roman" w:cs="Times New Roman"/>
        </w:rPr>
        <w:t xml:space="preserve"> (2025) 'Social media use in adolescents with and without mental health conditions,' </w:t>
      </w:r>
      <w:r w:rsidRPr="2ADEB400">
        <w:rPr>
          <w:rFonts w:ascii="Times New Roman" w:eastAsia="Times New Roman" w:hAnsi="Times New Roman" w:cs="Times New Roman"/>
          <w:i/>
          <w:iCs/>
        </w:rPr>
        <w:t>Nature Human Behaviour</w:t>
      </w:r>
      <w:r w:rsidRPr="2ADEB400">
        <w:rPr>
          <w:rFonts w:ascii="Times New Roman" w:eastAsia="Times New Roman" w:hAnsi="Times New Roman" w:cs="Times New Roman"/>
        </w:rPr>
        <w:t xml:space="preserve">, 9(6), pp. 1283–1299. </w:t>
      </w:r>
      <w:hyperlink r:id="rId10">
        <w:r w:rsidRPr="2ADEB400">
          <w:rPr>
            <w:rStyle w:val="Hyperlink"/>
          </w:rPr>
          <w:t>https://doi.org/10.1038/s41562-025-02134-4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53D61481" w14:textId="365230AE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091047CE" w14:textId="68249543" w:rsidR="4B55DA71" w:rsidRDefault="4B55DA71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School Liability Expert Group, School Liability Expert Group, and School Liability Expert Group (2026) </w:t>
      </w:r>
      <w:r w:rsidRPr="2ADEB400">
        <w:rPr>
          <w:rFonts w:ascii="Times New Roman" w:eastAsia="Times New Roman" w:hAnsi="Times New Roman" w:cs="Times New Roman"/>
          <w:i/>
          <w:iCs/>
        </w:rPr>
        <w:t>What school investigation records reveal in student safety and liability cases</w:t>
      </w:r>
      <w:r w:rsidRPr="2ADEB400">
        <w:rPr>
          <w:rFonts w:ascii="Times New Roman" w:eastAsia="Times New Roman" w:hAnsi="Times New Roman" w:cs="Times New Roman"/>
        </w:rPr>
        <w:t xml:space="preserve">. </w:t>
      </w:r>
      <w:hyperlink r:id="rId11">
        <w:r w:rsidRPr="2ADEB400">
          <w:rPr>
            <w:rStyle w:val="Hyperlink"/>
          </w:rPr>
          <w:t>https://education-expert.com/2026/07/what-school-investigation-records-reveal-in-student-safety-and-liability-cases/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6B8DA7B8" w14:textId="43DBFA43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5C129E09" w14:textId="24391785" w:rsidR="42A6C8DF" w:rsidRDefault="42A6C8DF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Hyman, I.A. and Perone, D.C. (1998) 'The other side of school violence,' </w:t>
      </w:r>
      <w:r w:rsidRPr="2ADEB400">
        <w:rPr>
          <w:rFonts w:ascii="Times New Roman" w:eastAsia="Times New Roman" w:hAnsi="Times New Roman" w:cs="Times New Roman"/>
          <w:i/>
          <w:iCs/>
        </w:rPr>
        <w:t>Journal of School Psychology</w:t>
      </w:r>
      <w:r w:rsidRPr="2ADEB400">
        <w:rPr>
          <w:rFonts w:ascii="Times New Roman" w:eastAsia="Times New Roman" w:hAnsi="Times New Roman" w:cs="Times New Roman"/>
        </w:rPr>
        <w:t xml:space="preserve">, 36(1), pp. 7–27. </w:t>
      </w:r>
      <w:hyperlink r:id="rId12">
        <w:r w:rsidRPr="2ADEB400">
          <w:rPr>
            <w:rStyle w:val="Hyperlink"/>
          </w:rPr>
          <w:t>https://doi.org/10.1016/s0022-4405(97)87007-0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29EEAC00" w14:textId="1302F216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6753BB72" w14:textId="0F816E83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100FFD1F" w14:textId="4EECCFCF" w:rsidR="5F4F8BD7" w:rsidRDefault="5F4F8BD7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Vadivel, B. </w:t>
      </w:r>
      <w:r w:rsidRPr="2ADEB400">
        <w:rPr>
          <w:rFonts w:ascii="Times New Roman" w:eastAsia="Times New Roman" w:hAnsi="Times New Roman" w:cs="Times New Roman"/>
          <w:i/>
          <w:iCs/>
        </w:rPr>
        <w:t>et al.</w:t>
      </w:r>
      <w:r w:rsidRPr="2ADEB400">
        <w:rPr>
          <w:rFonts w:ascii="Times New Roman" w:eastAsia="Times New Roman" w:hAnsi="Times New Roman" w:cs="Times New Roman"/>
        </w:rPr>
        <w:t xml:space="preserve"> (2023) 'Examining the Relationship between Antisocial Behavior and the Academic Performance of Teenagers: The Role of Schools and Causes of the Antisocial Behavior,' </w:t>
      </w:r>
      <w:r w:rsidRPr="2ADEB400">
        <w:rPr>
          <w:rFonts w:ascii="Times New Roman" w:eastAsia="Times New Roman" w:hAnsi="Times New Roman" w:cs="Times New Roman"/>
          <w:i/>
          <w:iCs/>
        </w:rPr>
        <w:t>Education Research International</w:t>
      </w:r>
      <w:r w:rsidRPr="2ADEB400">
        <w:rPr>
          <w:rFonts w:ascii="Times New Roman" w:eastAsia="Times New Roman" w:hAnsi="Times New Roman" w:cs="Times New Roman"/>
        </w:rPr>
        <w:t xml:space="preserve">, 2023, pp. 1–11. </w:t>
      </w:r>
      <w:hyperlink r:id="rId13">
        <w:r w:rsidRPr="2ADEB400">
          <w:rPr>
            <w:rStyle w:val="Hyperlink"/>
          </w:rPr>
          <w:t>https://doi.org/10.1155/2023/9463882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4CD6B60F" w14:textId="669378A8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77AB5A4C" w14:textId="1CF51F19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64BE89D2" w14:textId="261BDE04" w:rsidR="086CC424" w:rsidRDefault="086CC424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Garnefski, N. and Okma, S. (1996) 'Addiction-risk and aggressive/criminal behaviour in adolescence: influence of family, school and peers,' </w:t>
      </w:r>
      <w:r w:rsidRPr="2ADEB400">
        <w:rPr>
          <w:rFonts w:ascii="Times New Roman" w:eastAsia="Times New Roman" w:hAnsi="Times New Roman" w:cs="Times New Roman"/>
          <w:i/>
          <w:iCs/>
        </w:rPr>
        <w:t>Journal of Adolescence</w:t>
      </w:r>
      <w:r w:rsidRPr="2ADEB400">
        <w:rPr>
          <w:rFonts w:ascii="Times New Roman" w:eastAsia="Times New Roman" w:hAnsi="Times New Roman" w:cs="Times New Roman"/>
        </w:rPr>
        <w:t xml:space="preserve">, 19(6), pp. 503–512. </w:t>
      </w:r>
      <w:hyperlink r:id="rId14">
        <w:r w:rsidRPr="2ADEB400">
          <w:rPr>
            <w:rStyle w:val="Hyperlink"/>
          </w:rPr>
          <w:t>https://doi.org/10.1006/jado.1996.0049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20DB6061" w14:textId="5F0AAA04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23190842" w14:textId="48549867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246B62FE" w14:textId="7EE472D1" w:rsidR="2D4EFCC0" w:rsidRDefault="2D4EFCC0" w:rsidP="2ADEB400">
      <w:pPr>
        <w:spacing w:after="0" w:line="480" w:lineRule="auto"/>
        <w:ind w:left="720" w:hanging="720"/>
      </w:pPr>
      <w:r w:rsidRPr="2ADEB400">
        <w:rPr>
          <w:rFonts w:ascii="Times New Roman" w:eastAsia="Times New Roman" w:hAnsi="Times New Roman" w:cs="Times New Roman"/>
        </w:rPr>
        <w:t xml:space="preserve">Almeter, G., Esq (2025) </w:t>
      </w:r>
      <w:r w:rsidRPr="2ADEB400">
        <w:rPr>
          <w:rFonts w:ascii="Times New Roman" w:eastAsia="Times New Roman" w:hAnsi="Times New Roman" w:cs="Times New Roman"/>
          <w:i/>
          <w:iCs/>
        </w:rPr>
        <w:t>The role of school records in family law cases</w:t>
      </w:r>
      <w:r w:rsidRPr="2ADEB400">
        <w:rPr>
          <w:rFonts w:ascii="Times New Roman" w:eastAsia="Times New Roman" w:hAnsi="Times New Roman" w:cs="Times New Roman"/>
        </w:rPr>
        <w:t xml:space="preserve">. </w:t>
      </w:r>
      <w:hyperlink r:id="rId15">
        <w:r w:rsidRPr="2ADEB400">
          <w:rPr>
            <w:rStyle w:val="Hyperlink"/>
          </w:rPr>
          <w:t>https://www.lawinfo.com/resources/family-law/the-role-of-school-records-in-family-law-cases.html</w:t>
        </w:r>
      </w:hyperlink>
      <w:r w:rsidRPr="2ADEB400">
        <w:rPr>
          <w:rFonts w:ascii="Times New Roman" w:eastAsia="Times New Roman" w:hAnsi="Times New Roman" w:cs="Times New Roman"/>
        </w:rPr>
        <w:t>.</w:t>
      </w:r>
    </w:p>
    <w:p w14:paraId="25355081" w14:textId="260BE30D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30C8B0BE" w14:textId="48F8E35C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567DE6A7" w14:textId="18C765A7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67808D58" w14:textId="0C703E56" w:rsidR="2ADEB400" w:rsidRDefault="2ADEB400" w:rsidP="2ADEB400">
      <w:pPr>
        <w:spacing w:after="0" w:line="480" w:lineRule="auto"/>
        <w:ind w:left="720" w:hanging="720"/>
        <w:rPr>
          <w:rFonts w:ascii="Times New Roman" w:eastAsia="Times New Roman" w:hAnsi="Times New Roman" w:cs="Times New Roman"/>
        </w:rPr>
      </w:pPr>
    </w:p>
    <w:p w14:paraId="081769FF" w14:textId="5203625C" w:rsidR="2ADEB400" w:rsidRDefault="2ADEB400" w:rsidP="2ADEB400"/>
    <w:sectPr w:rsidR="2ADEB40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bnVSOzKqgCoDp" int2:id="EvWvQPGQ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8C6425"/>
    <w:rsid w:val="00065B9D"/>
    <w:rsid w:val="000D5FD0"/>
    <w:rsid w:val="000E0720"/>
    <w:rsid w:val="00AA175A"/>
    <w:rsid w:val="01DD7774"/>
    <w:rsid w:val="03CA2154"/>
    <w:rsid w:val="0651A727"/>
    <w:rsid w:val="086CC424"/>
    <w:rsid w:val="1149159A"/>
    <w:rsid w:val="143534A1"/>
    <w:rsid w:val="14B79854"/>
    <w:rsid w:val="1555B93E"/>
    <w:rsid w:val="19336E09"/>
    <w:rsid w:val="1C918D4D"/>
    <w:rsid w:val="2135FDA3"/>
    <w:rsid w:val="2288C316"/>
    <w:rsid w:val="2ADEB400"/>
    <w:rsid w:val="2C1F1190"/>
    <w:rsid w:val="2D4EFCC0"/>
    <w:rsid w:val="2FFE76DB"/>
    <w:rsid w:val="38BA5955"/>
    <w:rsid w:val="39F72779"/>
    <w:rsid w:val="3D500F28"/>
    <w:rsid w:val="40DB7B71"/>
    <w:rsid w:val="4198DB31"/>
    <w:rsid w:val="41C49017"/>
    <w:rsid w:val="42A6C8DF"/>
    <w:rsid w:val="47000540"/>
    <w:rsid w:val="4B55DA71"/>
    <w:rsid w:val="53E5AD3D"/>
    <w:rsid w:val="55348A87"/>
    <w:rsid w:val="5546D04B"/>
    <w:rsid w:val="5F4F8BD7"/>
    <w:rsid w:val="70D3B96C"/>
    <w:rsid w:val="77F3A996"/>
    <w:rsid w:val="7856B160"/>
    <w:rsid w:val="7E131248"/>
    <w:rsid w:val="7F8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08A27"/>
  <w15:chartTrackingRefBased/>
  <w15:docId w15:val="{3C28C474-7605-47C7-85BA-143A16D9F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ADEB40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manticscholar.org/paper/The-Influence-of-Peer-Pressure-on-Criminal-May-Esiri/e6c31daaa258e18bddf07f5728a13b8a889e10eb" TargetMode="External"/><Relationship Id="rId13" Type="http://schemas.openxmlformats.org/officeDocument/2006/relationships/hyperlink" Target="https://doi.org/10.1155/2023/9463882" TargetMode="External"/><Relationship Id="rId1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54536/ajmri.v2i5.1988" TargetMode="External"/><Relationship Id="rId12" Type="http://schemas.openxmlformats.org/officeDocument/2006/relationships/hyperlink" Target="https://doi.org/10.1016/s0022-4405(97)87007-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isjax.org/benefits-of-comprehensive-support-systems/" TargetMode="External"/><Relationship Id="rId11" Type="http://schemas.openxmlformats.org/officeDocument/2006/relationships/hyperlink" Target="https://education-expert.com/2026/07/what-school-investigation-records-reveal-in-student-safety-and-liability-cases/" TargetMode="External"/><Relationship Id="rId5" Type="http://schemas.openxmlformats.org/officeDocument/2006/relationships/hyperlink" Target="https://soztheo.com/theories-of-crime/learning-and-career/subcultural-theory-cohen/" TargetMode="External"/><Relationship Id="rId15" Type="http://schemas.openxmlformats.org/officeDocument/2006/relationships/hyperlink" Target="https://www.lawinfo.com/resources/family-law/the-role-of-school-records-in-family-law-cases.html" TargetMode="External"/><Relationship Id="rId10" Type="http://schemas.openxmlformats.org/officeDocument/2006/relationships/hyperlink" Target="https://doi.org/10.1038/s41562-025-02134-4" TargetMode="External"/><Relationship Id="rId4" Type="http://schemas.openxmlformats.org/officeDocument/2006/relationships/hyperlink" Target="https://doi.org/10.1111/cdev.13151" TargetMode="External"/><Relationship Id="rId9" Type="http://schemas.openxmlformats.org/officeDocument/2006/relationships/hyperlink" Target="https://www.graduateprogram.org/blog/a-teachers-role-in-being-a-mandated-reporter/" TargetMode="External"/><Relationship Id="rId14" Type="http://schemas.openxmlformats.org/officeDocument/2006/relationships/hyperlink" Target="https://doi.org/10.1006/jado.1996.00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Saiqa Qasim (2435762)</dc:creator>
  <cp:keywords/>
  <dc:description/>
  <cp:lastModifiedBy>Saiqa Qasim (2435762)</cp:lastModifiedBy>
  <cp:revision>3</cp:revision>
  <dcterms:created xsi:type="dcterms:W3CDTF">2026-10-16T18:19:00Z</dcterms:created>
  <dcterms:modified xsi:type="dcterms:W3CDTF">2026-10-16T18:20:00Z</dcterms:modified>
</cp:coreProperties>
</file>