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D6071A4">
      <w:pPr>
        <w:spacing w:before="200" w:after="80"/>
        <w:jc w:val="center"/>
      </w:pPr>
      <w:r>
        <w:drawing>
          <wp:inline distT="0" distB="0" distL="0" distR="0">
            <wp:extent cx="6120130" cy="8726805"/>
            <wp:effectExtent l="0" t="0" r="0" b="0"/>
            <wp:docPr id="1597134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134713" name="Picture 1"/>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6120130" cy="8726805"/>
                    </a:xfrm>
                    <a:prstGeom prst="rect">
                      <a:avLst/>
                    </a:prstGeom>
                  </pic:spPr>
                </pic:pic>
              </a:graphicData>
            </a:graphic>
          </wp:inline>
        </w:drawing>
      </w:r>
    </w:p>
    <w:p w14:paraId="47F445F8">
      <w:pPr>
        <w:spacing w:before="100" w:after="200"/>
        <w:jc w:val="center"/>
      </w:pPr>
    </w:p>
    <w:p w14:paraId="012D0713">
      <w:pPr>
        <w:spacing w:before="300" w:after="60"/>
      </w:pPr>
    </w:p>
    <w:p w14:paraId="37751E6C">
      <w:pPr>
        <w:spacing w:after="40" w:line="360" w:lineRule="auto"/>
        <w:rPr>
          <w:b/>
          <w:bCs/>
        </w:rPr>
      </w:pPr>
    </w:p>
    <w:p w14:paraId="5831A24E">
      <w:pPr>
        <w:spacing w:after="40" w:line="360" w:lineRule="auto"/>
        <w:rPr>
          <w:b/>
          <w:bCs/>
        </w:rPr>
      </w:pPr>
    </w:p>
    <w:p w14:paraId="09DE2C17">
      <w:pPr>
        <w:spacing w:after="40" w:line="360" w:lineRule="auto"/>
        <w:jc w:val="center"/>
        <w:rPr>
          <w:b/>
          <w:bCs/>
        </w:rPr>
      </w:pPr>
      <w:r>
        <w:rPr>
          <w:b/>
          <w:bCs/>
        </w:rPr>
        <w:t>Contents</w:t>
      </w:r>
    </w:p>
    <w:p w14:paraId="79564538">
      <w:pPr>
        <w:spacing w:after="40" w:line="360" w:lineRule="auto"/>
        <w:jc w:val="center"/>
        <w:rPr>
          <w:b/>
          <w:bCs/>
        </w:rPr>
      </w:pPr>
    </w:p>
    <w:p w14:paraId="2B4E2CB3">
      <w:pPr>
        <w:pStyle w:val="22"/>
        <w:numPr>
          <w:ilvl w:val="0"/>
          <w:numId w:val="1"/>
        </w:numPr>
        <w:spacing w:after="40" w:line="360" w:lineRule="auto"/>
        <w:rPr>
          <w:b/>
          <w:bCs/>
        </w:rPr>
      </w:pPr>
      <w:r>
        <w:rPr>
          <w:b/>
          <w:bCs/>
        </w:rPr>
        <w:t>Introduction .......................................................................................... 3</w:t>
      </w:r>
    </w:p>
    <w:p w14:paraId="6FEB8B41">
      <w:pPr>
        <w:pStyle w:val="22"/>
        <w:spacing w:after="40" w:line="360" w:lineRule="auto"/>
        <w:ind w:left="720"/>
        <w:rPr>
          <w:b/>
          <w:bCs/>
        </w:rPr>
      </w:pPr>
    </w:p>
    <w:p w14:paraId="7115874C">
      <w:pPr>
        <w:pStyle w:val="22"/>
        <w:numPr>
          <w:ilvl w:val="0"/>
          <w:numId w:val="1"/>
        </w:numPr>
        <w:spacing w:after="40" w:line="360" w:lineRule="auto"/>
        <w:rPr>
          <w:b/>
          <w:bCs/>
        </w:rPr>
      </w:pPr>
      <w:r>
        <w:rPr>
          <w:b/>
          <w:bCs/>
        </w:rPr>
        <w:t>Blood Sugar Regulation ..................................................................... 4</w:t>
      </w:r>
    </w:p>
    <w:p w14:paraId="2E8DA600">
      <w:pPr>
        <w:pStyle w:val="22"/>
        <w:rPr>
          <w:b/>
          <w:bCs/>
        </w:rPr>
      </w:pPr>
    </w:p>
    <w:p w14:paraId="532C6B3C">
      <w:pPr>
        <w:pStyle w:val="22"/>
        <w:spacing w:after="40" w:line="360" w:lineRule="auto"/>
        <w:ind w:left="720"/>
        <w:rPr>
          <w:b/>
          <w:bCs/>
        </w:rPr>
      </w:pPr>
    </w:p>
    <w:p w14:paraId="61F45842">
      <w:pPr>
        <w:pStyle w:val="22"/>
        <w:numPr>
          <w:ilvl w:val="0"/>
          <w:numId w:val="1"/>
        </w:numPr>
        <w:spacing w:after="40" w:line="360" w:lineRule="auto"/>
        <w:rPr>
          <w:b/>
          <w:bCs/>
        </w:rPr>
      </w:pPr>
      <w:r>
        <w:rPr>
          <w:b/>
          <w:bCs/>
        </w:rPr>
        <w:t>Oxygen and Glucose in Cellular Metabolism ................................... 6</w:t>
      </w:r>
    </w:p>
    <w:p w14:paraId="397AD773">
      <w:pPr>
        <w:pStyle w:val="22"/>
        <w:spacing w:after="40" w:line="360" w:lineRule="auto"/>
        <w:ind w:left="720"/>
        <w:rPr>
          <w:b/>
          <w:bCs/>
        </w:rPr>
      </w:pPr>
    </w:p>
    <w:p w14:paraId="75EABA4F">
      <w:pPr>
        <w:pStyle w:val="22"/>
        <w:numPr>
          <w:ilvl w:val="0"/>
          <w:numId w:val="1"/>
        </w:numPr>
        <w:spacing w:after="40" w:line="360" w:lineRule="auto"/>
        <w:rPr>
          <w:b/>
          <w:bCs/>
        </w:rPr>
      </w:pPr>
      <w:r>
        <w:rPr>
          <w:b/>
          <w:bCs/>
        </w:rPr>
        <w:t>Recording and Tracking Blood Sugar Levels .................................. 7</w:t>
      </w:r>
    </w:p>
    <w:p w14:paraId="2CB617BB">
      <w:pPr>
        <w:pStyle w:val="22"/>
        <w:rPr>
          <w:b/>
          <w:bCs/>
        </w:rPr>
      </w:pPr>
    </w:p>
    <w:p w14:paraId="2652E065">
      <w:pPr>
        <w:pStyle w:val="22"/>
        <w:spacing w:after="40" w:line="360" w:lineRule="auto"/>
        <w:ind w:left="720"/>
        <w:rPr>
          <w:b/>
          <w:bCs/>
        </w:rPr>
      </w:pPr>
    </w:p>
    <w:p w14:paraId="48FA5CD6">
      <w:pPr>
        <w:pStyle w:val="22"/>
        <w:numPr>
          <w:ilvl w:val="0"/>
          <w:numId w:val="1"/>
        </w:numPr>
        <w:spacing w:after="40" w:line="360" w:lineRule="auto"/>
        <w:rPr>
          <w:b/>
          <w:bCs/>
        </w:rPr>
      </w:pPr>
      <w:r>
        <w:rPr>
          <w:b/>
          <w:bCs/>
        </w:rPr>
        <w:t>Evidence-Based Lifestyle Recommendations ................................. 8</w:t>
      </w:r>
    </w:p>
    <w:p w14:paraId="660C65E6">
      <w:pPr>
        <w:spacing w:after="40" w:line="360" w:lineRule="auto"/>
        <w:rPr>
          <w:b/>
          <w:bCs/>
        </w:rPr>
      </w:pPr>
    </w:p>
    <w:p w14:paraId="2C34A555">
      <w:pPr>
        <w:spacing w:after="40" w:line="360" w:lineRule="auto"/>
        <w:rPr>
          <w:b/>
          <w:bCs/>
        </w:rPr>
      </w:pPr>
      <w:r>
        <w:rPr>
          <w:b/>
          <w:bCs/>
        </w:rPr>
        <w:t>5a. Diet ............................................................................................................ 8</w:t>
      </w:r>
    </w:p>
    <w:p w14:paraId="54C97B22">
      <w:pPr>
        <w:spacing w:after="40" w:line="360" w:lineRule="auto"/>
        <w:rPr>
          <w:b/>
          <w:bCs/>
        </w:rPr>
      </w:pPr>
    </w:p>
    <w:p w14:paraId="27D4F77C">
      <w:pPr>
        <w:spacing w:after="40" w:line="360" w:lineRule="auto"/>
        <w:rPr>
          <w:b/>
          <w:bCs/>
        </w:rPr>
      </w:pPr>
      <w:r>
        <w:rPr>
          <w:b/>
          <w:bCs/>
        </w:rPr>
        <w:t>5b. Physical Activity ..................................................................................... 8</w:t>
      </w:r>
    </w:p>
    <w:p w14:paraId="0FB890F4">
      <w:pPr>
        <w:spacing w:after="40" w:line="360" w:lineRule="auto"/>
        <w:rPr>
          <w:b/>
          <w:bCs/>
        </w:rPr>
      </w:pPr>
    </w:p>
    <w:p w14:paraId="47C86C90">
      <w:pPr>
        <w:spacing w:after="40" w:line="360" w:lineRule="auto"/>
        <w:rPr>
          <w:b/>
          <w:bCs/>
        </w:rPr>
      </w:pPr>
      <w:r>
        <w:rPr>
          <w:b/>
          <w:bCs/>
        </w:rPr>
        <w:t xml:space="preserve"> 5c. Smoking Cessation ............................................................................... 9</w:t>
      </w:r>
    </w:p>
    <w:p w14:paraId="10FB1F1A">
      <w:pPr>
        <w:spacing w:after="40" w:line="360" w:lineRule="auto"/>
        <w:rPr>
          <w:b/>
          <w:bCs/>
        </w:rPr>
      </w:pPr>
    </w:p>
    <w:p w14:paraId="6EF99C96">
      <w:pPr>
        <w:pStyle w:val="22"/>
        <w:numPr>
          <w:ilvl w:val="0"/>
          <w:numId w:val="1"/>
        </w:numPr>
        <w:spacing w:after="40" w:line="360" w:lineRule="auto"/>
        <w:rPr>
          <w:b/>
          <w:bCs/>
        </w:rPr>
      </w:pPr>
      <w:r>
        <w:rPr>
          <w:b/>
          <w:bCs/>
        </w:rPr>
        <w:t>Conclusion ........................................................................................ 9-10</w:t>
      </w:r>
    </w:p>
    <w:p w14:paraId="775DA5FB">
      <w:pPr>
        <w:pStyle w:val="22"/>
        <w:spacing w:after="40" w:line="360" w:lineRule="auto"/>
        <w:ind w:left="720"/>
        <w:rPr>
          <w:b/>
          <w:bCs/>
        </w:rPr>
      </w:pPr>
    </w:p>
    <w:p w14:paraId="78F9233F">
      <w:pPr>
        <w:spacing w:after="40" w:line="360" w:lineRule="auto"/>
        <w:rPr>
          <w:b/>
          <w:bCs/>
        </w:rPr>
      </w:pPr>
      <w:r>
        <w:rPr>
          <w:b/>
          <w:bCs/>
        </w:rPr>
        <w:t>Reference List .............................................................................................. 11</w:t>
      </w:r>
    </w:p>
    <w:p w14:paraId="231CE9C2">
      <w:pPr>
        <w:spacing w:after="40" w:line="360" w:lineRule="auto"/>
        <w:rPr>
          <w:b/>
          <w:bCs/>
        </w:rPr>
      </w:pPr>
    </w:p>
    <w:p w14:paraId="7F6C73B2">
      <w:pPr>
        <w:pStyle w:val="4"/>
        <w:spacing w:line="7" w:lineRule="atLeast"/>
        <w:rPr>
          <w:b/>
          <w:bCs/>
          <w:sz w:val="30"/>
          <w:szCs w:val="30"/>
        </w:rPr>
      </w:pPr>
    </w:p>
    <w:p w14:paraId="7E9F8014">
      <w:pPr>
        <w:rPr>
          <w:b/>
          <w:bCs/>
          <w:sz w:val="30"/>
          <w:szCs w:val="30"/>
        </w:rPr>
      </w:pPr>
    </w:p>
    <w:p w14:paraId="48017F51">
      <w:pPr>
        <w:rPr>
          <w:b/>
          <w:bCs/>
          <w:sz w:val="30"/>
          <w:szCs w:val="30"/>
        </w:rPr>
      </w:pPr>
    </w:p>
    <w:p w14:paraId="7C7E3099">
      <w:pPr>
        <w:rPr>
          <w:b/>
          <w:bCs/>
          <w:sz w:val="30"/>
          <w:szCs w:val="30"/>
        </w:rPr>
      </w:pPr>
    </w:p>
    <w:p w14:paraId="101B462F">
      <w:pPr>
        <w:pStyle w:val="4"/>
        <w:spacing w:line="7" w:lineRule="atLeast"/>
        <w:rPr>
          <w:b/>
          <w:bCs/>
          <w:sz w:val="30"/>
          <w:szCs w:val="30"/>
        </w:rPr>
      </w:pPr>
    </w:p>
    <w:p w14:paraId="0160426F">
      <w:pPr>
        <w:pStyle w:val="4"/>
        <w:spacing w:line="7" w:lineRule="atLeast"/>
        <w:rPr>
          <w:b/>
          <w:bCs/>
          <w:sz w:val="30"/>
          <w:szCs w:val="30"/>
        </w:rPr>
      </w:pPr>
    </w:p>
    <w:p w14:paraId="64E14921">
      <w:pPr>
        <w:pStyle w:val="4"/>
        <w:spacing w:line="7" w:lineRule="atLeast"/>
        <w:rPr>
          <w:b/>
          <w:bCs/>
          <w:sz w:val="30"/>
          <w:szCs w:val="30"/>
        </w:rPr>
      </w:pPr>
    </w:p>
    <w:p w14:paraId="31BF68A8">
      <w:pPr>
        <w:pStyle w:val="4"/>
        <w:spacing w:line="7" w:lineRule="atLeast"/>
        <w:rPr>
          <w:b/>
          <w:bCs/>
          <w:sz w:val="30"/>
          <w:szCs w:val="30"/>
        </w:rPr>
      </w:pPr>
    </w:p>
    <w:p w14:paraId="171EC907">
      <w:pPr>
        <w:pStyle w:val="4"/>
        <w:spacing w:line="7" w:lineRule="atLeast"/>
        <w:rPr>
          <w:b/>
          <w:bCs/>
          <w:sz w:val="30"/>
          <w:szCs w:val="30"/>
        </w:rPr>
      </w:pPr>
    </w:p>
    <w:p w14:paraId="6266B2D2">
      <w:pPr>
        <w:pStyle w:val="4"/>
        <w:spacing w:line="7" w:lineRule="atLeast"/>
        <w:rPr>
          <w:b/>
          <w:bCs/>
          <w:sz w:val="30"/>
          <w:szCs w:val="30"/>
        </w:rPr>
      </w:pPr>
    </w:p>
    <w:p w14:paraId="7E640D87">
      <w:pPr>
        <w:pageBreakBefore/>
        <w:spacing w:after="200"/>
      </w:pPr>
    </w:p>
    <w:p w14:paraId="5F67F5F8">
      <w:pPr>
        <w:spacing w:before="300" w:line="360" w:lineRule="auto"/>
        <w:jc w:val="center"/>
      </w:pPr>
      <w:r>
        <w:rPr>
          <w:b/>
          <w:bCs/>
          <w:sz w:val="26"/>
          <w:szCs w:val="26"/>
        </w:rPr>
        <w:t>Case Study Report: Type 2 Diabetes Management in Primary Care</w:t>
      </w:r>
    </w:p>
    <w:p w14:paraId="325403BC">
      <w:pPr>
        <w:rPr>
          <w:b/>
          <w:bCs/>
          <w:sz w:val="28"/>
          <w:szCs w:val="28"/>
        </w:rPr>
      </w:pPr>
    </w:p>
    <w:p w14:paraId="5C201890">
      <w:pPr>
        <w:numPr>
          <w:ilvl w:val="0"/>
          <w:numId w:val="2"/>
        </w:numPr>
        <w:rPr>
          <w:b/>
          <w:bCs/>
          <w:sz w:val="28"/>
          <w:szCs w:val="28"/>
        </w:rPr>
      </w:pPr>
      <w:r>
        <w:rPr>
          <w:b/>
          <w:bCs/>
          <w:sz w:val="28"/>
          <w:szCs w:val="28"/>
        </w:rPr>
        <w:t>Introduction</w:t>
      </w:r>
    </w:p>
    <w:p w14:paraId="565B4146">
      <w:pPr>
        <w:rPr>
          <w:b/>
          <w:bCs/>
          <w:sz w:val="28"/>
          <w:szCs w:val="28"/>
        </w:rPr>
      </w:pPr>
    </w:p>
    <w:p w14:paraId="0230CFC5">
      <w:pPr>
        <w:spacing w:after="200" w:line="360" w:lineRule="auto"/>
        <w:jc w:val="both"/>
      </w:pPr>
      <w:r>
        <w:t>This report has been prepared by a practice nurse in a local GP surgery in response to the increasing number of patients diagnosed with Type 2 diabetes mellitus (T2DM) who have limited understanding of their condition. It provides evidence-based information to support patient education, self-management, and engagement with individualised care plans for blood glucose control.</w:t>
      </w:r>
    </w:p>
    <w:p w14:paraId="183B08EB">
      <w:pPr>
        <w:spacing w:after="200" w:line="360" w:lineRule="auto"/>
        <w:jc w:val="both"/>
      </w:pPr>
      <w:r>
        <w:t>Diabetes mellitus is a chronic metabolic disorder characterised by persistent hyperglycaemia, caused by defects in insulin secretion, action, or both (Scanlon and Sanders, 2019). Type 1 diabetes is autoimmune, causing absolute insulin deficiency and lifelong insulin dependence (Sturgeon, 2018), whereas T2DM develops gradually through insulin resistance and progressive beta-cell decline (Scanlon and Sanders, 2019), accounting for around 90% of UK cases (NHS, 2024) and the form most relevant here.</w:t>
      </w:r>
    </w:p>
    <w:p w14:paraId="2BD1DBC4">
      <w:pPr>
        <w:spacing w:after="200" w:line="360" w:lineRule="auto"/>
        <w:jc w:val="both"/>
      </w:pPr>
      <w:r>
        <w:t>Key risk factors include obesity, physical inactivity, unhealthy diet, increasing age, family history, and South Asian, Black African, or Black Caribbean heritage (NICE, 2022; Diabetes UK, 2024). Excess visceral fat is strongly associated with insulin resistance (Tortora and Derrickson, 2017).The IDF Diabetes Atlas Global Data Explorer (International Diabetes Federation, 2025) records 589 million adults worldwide living with diabetes, projected to reach 853 million by 2050 (Figure 3); UK diagnoses have risen from 1.4 million in 1996 to 4.7 million today (Diabetes UK, 2025) (Figure 4), a trend mirrored in this surgery's rising caseload.</w:t>
      </w:r>
    </w:p>
    <w:p w14:paraId="2CE8B11E">
      <w:pPr>
        <w:spacing w:before="200" w:after="80"/>
        <w:jc w:val="center"/>
        <w:rPr>
          <w:sz w:val="18"/>
          <w:szCs w:val="18"/>
        </w:rPr>
      </w:pPr>
      <w:r>
        <w:rPr>
          <w:sz w:val="18"/>
          <w:szCs w:val="18"/>
        </w:rPr>
        <w:drawing>
          <wp:inline distT="0" distB="0" distL="0" distR="0">
            <wp:extent cx="4613910" cy="2760980"/>
            <wp:effectExtent l="0" t="0" r="381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7"/>
                    <a:srcRect/>
                    <a:stretch>
                      <a:fillRect/>
                    </a:stretch>
                  </pic:blipFill>
                  <pic:spPr>
                    <a:xfrm>
                      <a:off x="0" y="0"/>
                      <a:ext cx="4613910" cy="2760980"/>
                    </a:xfrm>
                    <a:prstGeom prst="rect">
                      <a:avLst/>
                    </a:prstGeom>
                  </pic:spPr>
                </pic:pic>
              </a:graphicData>
            </a:graphic>
          </wp:inline>
        </w:drawing>
      </w:r>
    </w:p>
    <w:p w14:paraId="75DF873D">
      <w:pPr>
        <w:spacing w:before="80" w:after="240" w:line="360" w:lineRule="auto"/>
        <w:jc w:val="center"/>
        <w:rPr>
          <w:i/>
          <w:iCs/>
        </w:rPr>
      </w:pPr>
      <w:r>
        <w:rPr>
          <w:i/>
          <w:iCs/>
        </w:rPr>
        <w:t>Figure 3. Global rise in the number of adults living with diabetes, 2021–2050. Source: International Diabetes Federation (2025).</w:t>
      </w:r>
    </w:p>
    <w:p w14:paraId="12D86BD2">
      <w:pPr>
        <w:spacing w:before="80" w:after="240" w:line="360" w:lineRule="auto"/>
        <w:jc w:val="center"/>
        <w:rPr>
          <w:i/>
          <w:iCs/>
        </w:rPr>
      </w:pPr>
    </w:p>
    <w:p w14:paraId="1B5429F8">
      <w:pPr>
        <w:spacing w:before="200" w:after="80"/>
        <w:jc w:val="center"/>
      </w:pPr>
      <w:r>
        <w:drawing>
          <wp:inline distT="0" distB="0" distL="0" distR="0">
            <wp:extent cx="4933950" cy="2743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8"/>
                    <a:srcRect/>
                    <a:stretch>
                      <a:fillRect/>
                    </a:stretch>
                  </pic:blipFill>
                  <pic:spPr>
                    <a:xfrm>
                      <a:off x="0" y="0"/>
                      <a:ext cx="4933950" cy="2743200"/>
                    </a:xfrm>
                    <a:prstGeom prst="rect">
                      <a:avLst/>
                    </a:prstGeom>
                  </pic:spPr>
                </pic:pic>
              </a:graphicData>
            </a:graphic>
          </wp:inline>
        </w:drawing>
      </w:r>
    </w:p>
    <w:p w14:paraId="06DADDD9">
      <w:pPr>
        <w:spacing w:before="80" w:after="240" w:line="360" w:lineRule="auto"/>
        <w:jc w:val="center"/>
        <w:rPr>
          <w:i/>
          <w:iCs/>
        </w:rPr>
      </w:pPr>
      <w:r>
        <w:rPr>
          <w:i/>
          <w:iCs/>
        </w:rPr>
        <w:t>Figure 4. Rise in diabetes diagnoses in the UK, 1996–2025. Source: Diabetes UK (2025).</w:t>
      </w:r>
    </w:p>
    <w:p w14:paraId="3F697345">
      <w:pPr>
        <w:spacing w:before="80" w:after="240" w:line="360" w:lineRule="auto"/>
        <w:jc w:val="center"/>
        <w:rPr>
          <w:i/>
          <w:iCs/>
        </w:rPr>
      </w:pPr>
    </w:p>
    <w:p w14:paraId="6CF5F19F">
      <w:pPr>
        <w:spacing w:after="200" w:line="360" w:lineRule="auto"/>
        <w:jc w:val="both"/>
      </w:pPr>
      <w:r>
        <w:t xml:space="preserve">Patient education is a cornerstone of effective diabetes management in general practice. When patients understand the mechanisms underlying their condition, they are more likely to engage with care plans, adhere to treatment, and sustain lifestyle change (Barnard, 2023). For patients at this practice, many </w:t>
      </w:r>
      <w:r>
        <w:rPr>
          <w:lang w:val="en-GB"/>
        </w:rPr>
        <w:t>are uncertain</w:t>
      </w:r>
      <w:r>
        <w:t xml:space="preserve"> about their diagnosis</w:t>
      </w:r>
      <w:r>
        <w:rPr>
          <w:lang w:val="en-GB"/>
        </w:rPr>
        <w:t>;</w:t>
      </w:r>
      <w:r>
        <w:t xml:space="preserve"> accessible information on glucose regulation, monitoring, and lifestyle management is key to improving outcomes.</w:t>
      </w:r>
    </w:p>
    <w:p w14:paraId="73CD3625">
      <w:pPr>
        <w:spacing w:after="200" w:line="360" w:lineRule="auto"/>
        <w:jc w:val="both"/>
      </w:pPr>
      <w:r>
        <w:t>However, providing information alone is often insufficient to achieve sustained behaviour change. Effective diabetes management also depends on patients' motivation, health literacy, social circumstances, and access to ongoing professional support. Therefore, practice nurses play a crucial role in delivering person-centred education that enables patients to become active partners in managing their condition (Barnard, 2023; NICE, 2022).</w:t>
      </w:r>
    </w:p>
    <w:p w14:paraId="7B265F37">
      <w:pPr>
        <w:spacing w:after="200" w:line="360" w:lineRule="auto"/>
        <w:jc w:val="both"/>
      </w:pPr>
    </w:p>
    <w:p w14:paraId="11B9275E">
      <w:pPr>
        <w:pStyle w:val="22"/>
        <w:numPr>
          <w:ilvl w:val="0"/>
          <w:numId w:val="2"/>
        </w:numPr>
        <w:spacing w:after="200" w:line="360" w:lineRule="auto"/>
        <w:jc w:val="both"/>
        <w:rPr>
          <w:b/>
          <w:bCs/>
          <w:sz w:val="28"/>
          <w:szCs w:val="28"/>
        </w:rPr>
      </w:pPr>
      <w:r>
        <w:rPr>
          <w:b/>
          <w:bCs/>
          <w:sz w:val="28"/>
          <w:szCs w:val="28"/>
        </w:rPr>
        <w:t xml:space="preserve">Blood </w:t>
      </w:r>
      <w:r>
        <w:rPr>
          <w:b/>
          <w:bCs/>
          <w:sz w:val="28"/>
          <w:szCs w:val="28"/>
          <w:lang w:val="en-GB"/>
        </w:rPr>
        <w:t>sugar regulation</w:t>
      </w:r>
    </w:p>
    <w:p w14:paraId="474D2242">
      <w:pPr>
        <w:spacing w:after="200" w:line="360" w:lineRule="auto"/>
        <w:jc w:val="both"/>
      </w:pPr>
      <w:r>
        <w:t>The body maintains blood glucose within a tightly controlled range through homeostasis, the ability to maintain a stable internal environment (Sturgeon, 2018). In healthy individuals, fasting blood glucose is typically between 4.0 and 5.9 mmol/L (Scanlon and Sanders, 2019). Hyperglycaemia (too high) damages blood vessels, nerves, and organs over time, while hypoglycaemia (too low) deprives the brain of its primary energy source, potentially causing confusion, seizures, or loss of consciousness (Odya, 2018).</w:t>
      </w:r>
    </w:p>
    <w:p w14:paraId="4AA40443">
      <w:pPr>
        <w:spacing w:after="200" w:line="360" w:lineRule="auto"/>
        <w:jc w:val="both"/>
      </w:pPr>
      <w:r>
        <w:t>Glucose regulation is achieved through a negative feedback system involving two hormones produced by the pancreas: insulin and glucagon. These hormones are secreted by specialised pancreatic cells called the islets of Langerhans. Insulin is produced by beta cells (β-cells), whilst glucagon is produced by alpha cells (α-cells) (Tortora and Derrickson, 2017).When blood glucose rises after a meal, the beta cells detect this increase and release insulin into the bloodstream. Insulin binds to receptors on target cells, particularly in skeletal muscle and adipose tissue, triggering GLUT4 glucose transporters to move to the cell membrane and allowing glucose to enter the cells for use as energy or for storage. In the liver, insulin promotes glycogenesis, the conversion of excess glucose into glycogen for storage, helping to return blood glucose levels to their normal range (Scanlon and Sanders, 2019; Odya, 2018).</w:t>
      </w:r>
    </w:p>
    <w:p w14:paraId="1144557C">
      <w:pPr>
        <w:spacing w:after="200" w:line="360" w:lineRule="auto"/>
        <w:jc w:val="both"/>
      </w:pPr>
      <w:r>
        <w:t>In people with Type 2 diabetes mellitus, this regulatory mechanism becomes progressively impaired because body cells become resistant to the effects of insulin. As a result, the pancreas initially compensates by producing larger amounts of insulin. However, over time, pancreatic beta-cell function declines and insulin production becomes insufficient to overcome insulin resistance. Consequently, blood glucose levels remain elevated, and many patients eventually require medication alongside lifestyle interventions to achieve adequate glycaemic control (Scanlon and Sanders, 2019).</w:t>
      </w:r>
    </w:p>
    <w:p w14:paraId="0590330B">
      <w:pPr>
        <w:spacing w:after="200" w:line="360" w:lineRule="auto"/>
        <w:jc w:val="both"/>
      </w:pPr>
      <w:r>
        <w:t>When blood glucose falls during fasting or exercise, alpha cells detect this decrease and release glucagon. Glucagon stimulates the liver to break down stored glycogen and release glucose back into the bloodstream, a process known as glycogenolysis. The liver can also synthesise new glucose from non-carbohydrate sources, such as amino acids, through gluconeogenesis (Tortora and Derrickson, 2017). Together, insulin and glucagon restore blood glucose to its normal range. Figure 1 illustrates this feedback loop and the roles of the pancreas and liver in maintaining glucose homeostasis.</w:t>
      </w:r>
    </w:p>
    <w:p w14:paraId="04A1E0E1">
      <w:pPr>
        <w:spacing w:before="200" w:after="80"/>
        <w:jc w:val="center"/>
      </w:pPr>
      <w:r>
        <w:drawing>
          <wp:inline distT="0" distB="0" distL="0" distR="0">
            <wp:extent cx="4507865" cy="2114550"/>
            <wp:effectExtent l="0" t="0" r="317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9"/>
                    <a:srcRect/>
                    <a:stretch>
                      <a:fillRect/>
                    </a:stretch>
                  </pic:blipFill>
                  <pic:spPr>
                    <a:xfrm>
                      <a:off x="0" y="0"/>
                      <a:ext cx="4507865" cy="2114550"/>
                    </a:xfrm>
                    <a:prstGeom prst="rect">
                      <a:avLst/>
                    </a:prstGeom>
                  </pic:spPr>
                </pic:pic>
              </a:graphicData>
            </a:graphic>
          </wp:inline>
        </w:drawing>
      </w:r>
    </w:p>
    <w:p w14:paraId="513CD122">
      <w:pPr>
        <w:spacing w:before="80" w:after="240" w:line="360" w:lineRule="auto"/>
        <w:jc w:val="center"/>
      </w:pPr>
      <w:r>
        <w:rPr>
          <w:i/>
          <w:iCs/>
        </w:rPr>
        <w:t>Figure 1. Blood glucose homeostasis showing the insulin and glucagon feedback loop. Source: Biology Corner (n.d.).</w:t>
      </w:r>
    </w:p>
    <w:p w14:paraId="5A8A13BC">
      <w:pPr>
        <w:spacing w:after="200" w:line="360" w:lineRule="auto"/>
        <w:jc w:val="both"/>
      </w:pPr>
      <w:r>
        <w:t>Understanding these physiological mechanisms enables patients to appreciate how dietary choices, physical activity, and prescribed medication work together to maintain glucose homeostasis. Improved understanding can increase adherence to treatment recommendations and support more effective self-management (Barnard, 2023).</w:t>
      </w:r>
    </w:p>
    <w:p w14:paraId="4464B9C0">
      <w:pPr>
        <w:spacing w:after="200" w:line="360" w:lineRule="auto"/>
        <w:jc w:val="both"/>
      </w:pPr>
      <w:r>
        <w:t>Within this GP practice, understanding these physiological mechanisms helps explain why blood glucose control may gradually deteriorate over time and reinforces the importance of early intervention. Lifestyle modification, regular monitoring, and appropriate pharmacological treatment can improve insulin sensitivity, delay disease progression, and reduce the risk of long-term complications (NICE, 2022).</w:t>
      </w:r>
    </w:p>
    <w:p w14:paraId="3CF0FD41">
      <w:pPr>
        <w:spacing w:after="200" w:line="360" w:lineRule="auto"/>
        <w:jc w:val="both"/>
      </w:pPr>
    </w:p>
    <w:p w14:paraId="395B636C">
      <w:pPr>
        <w:spacing w:after="200" w:line="360" w:lineRule="auto"/>
        <w:jc w:val="both"/>
        <w:rPr>
          <w:b/>
          <w:bCs/>
        </w:rPr>
      </w:pPr>
      <w:r>
        <w:rPr>
          <w:b/>
          <w:bCs/>
        </w:rPr>
        <w:t>3. Oxygen and Glucose in Cellular Metabolism</w:t>
      </w:r>
    </w:p>
    <w:p w14:paraId="0201EBB2">
      <w:pPr>
        <w:spacing w:after="200" w:line="360" w:lineRule="auto"/>
        <w:jc w:val="both"/>
      </w:pPr>
      <w:r>
        <w:t>Every cell requires energy to function. This is generated through cellular respiration, in which glucose and oxygen produce adenosine triphosphate (ATP), the body's primary energy currency (Sturgeon, 2018). ATP powers muscle contraction, nerve transmission, and tissue repair (Odya, 2018).</w:t>
      </w:r>
    </w:p>
    <w:p w14:paraId="25D12089">
      <w:pPr>
        <w:spacing w:before="200" w:after="80" w:line="360" w:lineRule="auto"/>
        <w:jc w:val="both"/>
      </w:pPr>
      <w:r>
        <w:t>Aerobic respiration occurs in three stages, illustrated in Figure 2. During glycolysis, glucose is broken down into pyruvate, producing a small amount of ATP (Scanlon and Sanders, 2019). Pyruvate then enters the Krebs cycle, generating carbon dioxide and electron carriers (NADH and FADH</w:t>
      </w:r>
      <w:r>
        <w:rPr>
          <w:rFonts w:ascii="Cambria Math" w:hAnsi="Cambria Math" w:cs="Cambria Math"/>
        </w:rPr>
        <w:t>₂</w:t>
      </w:r>
      <w:r>
        <w:t>). During oxidative phosphorylation, these electron carriers release energy to produce most ATP, while oxygen acts as the final electron acceptor, forming water (Tortora and Derrickson, 2017).</w:t>
      </w:r>
      <w:r>
        <w:drawing>
          <wp:inline distT="0" distB="0" distL="0" distR="0">
            <wp:extent cx="4933950" cy="3143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10"/>
                    <a:srcRect/>
                    <a:stretch>
                      <a:fillRect/>
                    </a:stretch>
                  </pic:blipFill>
                  <pic:spPr>
                    <a:xfrm>
                      <a:off x="0" y="0"/>
                      <a:ext cx="4933950" cy="3143250"/>
                    </a:xfrm>
                    <a:prstGeom prst="rect">
                      <a:avLst/>
                    </a:prstGeom>
                  </pic:spPr>
                </pic:pic>
              </a:graphicData>
            </a:graphic>
          </wp:inline>
        </w:drawing>
      </w:r>
    </w:p>
    <w:p w14:paraId="62D9F3D2">
      <w:pPr>
        <w:spacing w:before="80" w:after="240" w:line="360" w:lineRule="auto"/>
        <w:jc w:val="center"/>
      </w:pPr>
      <w:r>
        <w:rPr>
          <w:i/>
          <w:iCs/>
        </w:rPr>
        <w:t>Figure 2. Stages of aerobic respiration. Author's own diagram, adapted from Tortora and Derrickson (2017) and Scanlon and Sanders (2019).</w:t>
      </w:r>
    </w:p>
    <w:p w14:paraId="5E6BA723">
      <w:pPr>
        <w:spacing w:after="200" w:line="360" w:lineRule="auto"/>
        <w:jc w:val="both"/>
      </w:pPr>
      <w:r>
        <w:t>The overall equation is: Glucose + Oxygen → Carbon Dioxide + Water + ATP. When oxygen is insufficient, cells use anaerobic respiration instead, converting pyruvate to lactate and yielding only two ATP, with lactic acid build-up (Odya, 2018). In poorly controlled diabetes, particularly Type 1 diabetes, severe insulin deficiency may instead lead to diabetic ketoacidosis (DKA), a distinct metabolic process driven by fat breakdown and ketone production rather than by anaerobic respiration (Scanlon and Sanders, 2019). Although cellular respiration is a normal physiological process, insulin resistance limits glucose uptake into many cells despite elevated blood glucose concentrations. Consequently, patients may experience fatigue despite having excess glucose circulating in the bloodstream, highlighting the importance of restoring insulin sensitivity through effective diabetes management. This physiological mechanism helps explain why several patients at this surgery report persistent fatigue and slow wound healing: even with abundant blood glucose, insulin resistance prevents cells from accessing it, leaving them starved of energy (Scanlon and Sanders, 2019).</w:t>
      </w:r>
    </w:p>
    <w:p w14:paraId="009ECA1A">
      <w:pPr>
        <w:spacing w:after="200" w:line="360" w:lineRule="auto"/>
        <w:jc w:val="both"/>
      </w:pPr>
    </w:p>
    <w:p w14:paraId="62F7E079">
      <w:pPr>
        <w:spacing w:after="200" w:line="360" w:lineRule="auto"/>
        <w:jc w:val="both"/>
      </w:pPr>
      <w:r>
        <w:rPr>
          <w:b/>
          <w:bCs/>
          <w:sz w:val="28"/>
          <w:szCs w:val="28"/>
        </w:rPr>
        <w:t>4. Recording and Tracking Blood Sugar Levels</w:t>
      </w:r>
    </w:p>
    <w:p w14:paraId="5A6B7E56">
      <w:pPr>
        <w:spacing w:after="200" w:line="360" w:lineRule="auto"/>
        <w:jc w:val="both"/>
      </w:pPr>
      <w:r>
        <w:t>Consistent monitoring and tracking of blood glucose levels is a fundamental component of safe diabetes management, and several methods are available to patients and their clinical teams. Self-monitoring of blood glucose (SMBG) involves using a portable glucometer to measure blood glucose from a fingertip blood sample. This provides an immediate blood glucose reading and helps patients understand how meals, exercise, medication, and stress affect their levels (Diabetes UK, 2024). Recording these readings enables patients and practice nurses to identify patterns and adjust diet or medication accordingly (NICE, 2022).</w:t>
      </w:r>
    </w:p>
    <w:p w14:paraId="68DA9729">
      <w:pPr>
        <w:spacing w:after="200" w:line="360" w:lineRule="auto"/>
        <w:jc w:val="both"/>
      </w:pPr>
      <w:r>
        <w:t>HbA1c (glycated haemoglobin) testing is the second key method, and is the primary measure used in UK primary care to assess long-term glycaemic control. HbA1c reflects the average blood glucose concentration over the preceding 8–12 weeks, as glucose binds irreversibly to haemoglobin within red blood cells during their lifespan (Scanlon and Sanders, 2019). NICE (2022) recommends an individualised HbA1c target, typically around 48 mmol/mol. adjusted to the patient's individual needs, with testing repeated every three to six months to assess glycaemic control (NICE, 2022). Although HbA1c provides an excellent indicator of long-term glycaemic control, it cannot identify daily glucose fluctuations or episodes of hypoglycaemia. For this reason, HbA1c should be interpreted alongside clinical assessment and, where appropriate, self-monitoring or continuous glucose monitoring (NICE, 2022).</w:t>
      </w:r>
    </w:p>
    <w:p w14:paraId="43413586">
      <w:pPr>
        <w:spacing w:after="200" w:line="360" w:lineRule="auto"/>
        <w:jc w:val="both"/>
      </w:pPr>
      <w:r>
        <w:t>Within this GP practice, this mechanism helps explain why glycaemic control may gradually deteriorate over months or years, and why early lifestyle intervention is important, as insulin resistance is often partially reversible through weight loss and exercise. Continuous glucose monitoring (CGM) devices provide real-time readings via a skin sensor, capturing fluctuations that fingertip testing alone would miss (Diabetes UK, 2024), and NHS England (2024) has prioritised expanding CGM access in primary care. Tracking also empowers patients by making the link between behaviour and outcomes visible, supporting engagement with their care plan (Barnard, 2023).</w:t>
      </w:r>
    </w:p>
    <w:p w14:paraId="5C1A713B">
      <w:pPr>
        <w:spacing w:after="200" w:line="360" w:lineRule="auto"/>
        <w:jc w:val="both"/>
      </w:pPr>
    </w:p>
    <w:p w14:paraId="238DD410">
      <w:pPr>
        <w:spacing w:after="200" w:line="360" w:lineRule="auto"/>
        <w:jc w:val="both"/>
      </w:pPr>
      <w:r>
        <w:rPr>
          <w:b/>
          <w:bCs/>
          <w:sz w:val="28"/>
          <w:szCs w:val="28"/>
        </w:rPr>
        <w:t>5. Evidence-Based Lifestyle Recommendations</w:t>
      </w:r>
    </w:p>
    <w:p w14:paraId="15B8B656">
      <w:pPr>
        <w:pStyle w:val="3"/>
        <w:spacing w:before="200" w:after="160" w:line="360" w:lineRule="auto"/>
        <w:rPr>
          <w:color w:val="auto"/>
          <w:sz w:val="22"/>
          <w:szCs w:val="22"/>
        </w:rPr>
      </w:pPr>
      <w:r>
        <w:rPr>
          <w:color w:val="auto"/>
          <w:sz w:val="22"/>
          <w:szCs w:val="22"/>
        </w:rPr>
        <w:t>Although lifestyle interventions remain first-line management, long-term adherence is often difficult because socioeconomic deprivation, cultural food practices, financial constraints, and limited health literacy can reduce patients' ability to sustain behavioural change (NICE, 2022; Barnard, 2023). Practice nurses therefore play an essential role in providing ongoing education, motivational interviewing, and personalised support rather than one-off advice, enabling patients to make realistic and sustainable lifestyle changes.</w:t>
      </w:r>
    </w:p>
    <w:p w14:paraId="1CA083B8"/>
    <w:p w14:paraId="7AF83CBB">
      <w:pPr>
        <w:pStyle w:val="3"/>
        <w:spacing w:before="200" w:after="160" w:line="360" w:lineRule="auto"/>
        <w:rPr>
          <w:color w:val="auto"/>
        </w:rPr>
      </w:pPr>
      <w:r>
        <w:rPr>
          <w:b/>
          <w:bCs/>
          <w:color w:val="auto"/>
          <w:sz w:val="24"/>
          <w:szCs w:val="24"/>
        </w:rPr>
        <w:t>5a. Diet</w:t>
      </w:r>
    </w:p>
    <w:p w14:paraId="5E5616B9">
      <w:pPr>
        <w:pStyle w:val="3"/>
        <w:spacing w:before="200" w:after="160" w:line="360" w:lineRule="auto"/>
        <w:rPr>
          <w:color w:val="auto"/>
          <w:sz w:val="22"/>
          <w:szCs w:val="22"/>
        </w:rPr>
      </w:pPr>
      <w:r>
        <w:rPr>
          <w:color w:val="auto"/>
          <w:sz w:val="22"/>
          <w:szCs w:val="22"/>
        </w:rPr>
        <w:t>Diets low in refined carbohydrates and added sugars reduce blood glucose spikes (Diabetes UK, 2024). The NHS Eatwell Guide recommends vegetables, wholegrains, lean proteins, and unsaturated fats, with reduced processed food and sugary drinks (NHS, 2024). Low glycaemic index foods, such as legumes and oats, produce more gradual glucose rises (Odya, 2018). The Mediterranean diet is well evidenced to improve glycaemic control and reduce cardiovascular risk (Diabetes UK, 2024). However, dietary advice should remain realistic, culturally appropriate, and tailored to the patient's individual preferences and circumstances. Recommending foods that patients cannot afford or do not normally eat may reduce adherence, whereas collaboratively agreed dietary goals are more likely to promote sustainable behaviour change and improve long-term glycaemic control (Barnard, 2023).</w:t>
      </w:r>
    </w:p>
    <w:p w14:paraId="50927F5D"/>
    <w:p w14:paraId="234D0ED8">
      <w:pPr>
        <w:pStyle w:val="3"/>
        <w:spacing w:before="200" w:after="160" w:line="360" w:lineRule="auto"/>
        <w:rPr>
          <w:color w:val="auto"/>
        </w:rPr>
      </w:pPr>
      <w:r>
        <w:rPr>
          <w:b/>
          <w:bCs/>
          <w:color w:val="auto"/>
          <w:sz w:val="24"/>
          <w:szCs w:val="24"/>
        </w:rPr>
        <w:t>5b. Physical Activity</w:t>
      </w:r>
    </w:p>
    <w:p w14:paraId="1DA22776">
      <w:pPr>
        <w:spacing w:after="200" w:line="360" w:lineRule="auto"/>
        <w:jc w:val="both"/>
      </w:pPr>
      <w:r>
        <w:t>Regular physical activity is one of the most effective non-pharmacological interventions for improving insulin sensitivity and lowering blood glucose. Exercise increases glucose uptake by skeletal muscle through both insulin-dependent and insulin-independent mechanisms, meaning muscle contractions can stimulate glucose uptake even where insulin resistance is present (Tortora and Derrickson, 2017). NICE recommends at least 150 minutes of moderate-intensity aerobic activity weekly, such as brisk walking, cycling, or swimming, alongside muscle-strengthening activity at least twice weekly (NICE, 2022). Even modest increases in activity, such</w:t>
      </w:r>
      <w:bookmarkStart w:id="0" w:name="_GoBack"/>
      <w:bookmarkEnd w:id="0"/>
      <w:r>
        <w:t xml:space="preserve"> as daily walking, improve HbA1c levels (Diabetes UK, 2024). Practice nurses can support patients by exploring barriers to exercise and setting realistic goals (Barnard, 2023). Exercise recommendations should also be individualised according to the patient's age, mobility, co-existing conditions, and personal preferences. Collaborative goal-setting increases patient engagement and supports long-term adherence to physical activity programmes (NICE, 2022).</w:t>
      </w:r>
    </w:p>
    <w:p w14:paraId="0FEA2B2E">
      <w:pPr>
        <w:spacing w:after="200" w:line="360" w:lineRule="auto"/>
        <w:jc w:val="both"/>
      </w:pPr>
    </w:p>
    <w:p w14:paraId="392B523B">
      <w:pPr>
        <w:pStyle w:val="3"/>
        <w:spacing w:before="200" w:after="160" w:line="360" w:lineRule="auto"/>
        <w:rPr>
          <w:color w:val="auto"/>
        </w:rPr>
      </w:pPr>
      <w:r>
        <w:rPr>
          <w:b/>
          <w:bCs/>
          <w:color w:val="auto"/>
          <w:sz w:val="24"/>
          <w:szCs w:val="24"/>
        </w:rPr>
        <w:t>5c. Smoking Cessation</w:t>
      </w:r>
    </w:p>
    <w:p w14:paraId="1C24A9B1">
      <w:pPr>
        <w:spacing w:after="200" w:line="360" w:lineRule="auto"/>
        <w:jc w:val="both"/>
      </w:pPr>
      <w:r>
        <w:t>Smoking significantly worsens outcomes for people with T2DM. Nicotine and other chemicals in tobacco smoke increase insulin resistance, raise blood glucose levels, and substantially elevate the risk of cardiovascular disease, peripheral vascular disease, and diabetic complications including retinopathy and nephropathy (NHS, 2024; Diabetes UK, 2024). Smoking cessation has been shown to improve insulin sensitivity and reduce long-term complication risk (NICE, 2022). As a practice nurse, it is important to ask about smoking status at every opportunity and provide clear, non-judgemental advice about its particular risks for patients with diabetes. NHS Stop Smoking Services combine behavioural support with pharmacological therapy, such as nicotine replacement therapy or varenicline, improving quit rates. Patients should be encouraged to use these services as part of their diabetes care plan (NHS, 2024). Smoking cessation should be approached using a non-judgemental, person-centred approach that recognises nicotine dependence as a chronic condition requiring ongoing support rather than simply encouraging patients to stop smoking.</w:t>
      </w:r>
    </w:p>
    <w:p w14:paraId="447F04A0">
      <w:pPr>
        <w:spacing w:after="200" w:line="360" w:lineRule="auto"/>
        <w:jc w:val="both"/>
      </w:pPr>
    </w:p>
    <w:p w14:paraId="01B4465D">
      <w:pPr>
        <w:spacing w:after="200" w:line="360" w:lineRule="auto"/>
        <w:jc w:val="both"/>
        <w:rPr>
          <w:b/>
          <w:bCs/>
          <w:sz w:val="28"/>
          <w:szCs w:val="28"/>
        </w:rPr>
      </w:pPr>
      <w:r>
        <w:rPr>
          <w:b/>
          <w:bCs/>
          <w:sz w:val="28"/>
          <w:szCs w:val="28"/>
        </w:rPr>
        <w:t>6. Conclusion</w:t>
      </w:r>
    </w:p>
    <w:p w14:paraId="7BFC080B">
      <w:pPr>
        <w:spacing w:after="200" w:line="360" w:lineRule="auto"/>
        <w:jc w:val="both"/>
      </w:pPr>
      <w:r>
        <w:t>Type 2 diabetes mellitus is a progressive but manageable long-term condition that requires an integrated approach combining scientific knowledge, evidence-based treatment, and person-centred care. Understanding the physiological processes involved in glucose regulation, cellular metabolism, and blood glucose monitoring enables patients to make informed decisions about their health and engage more effectively with their treatment plans. While methods such as self-monitoring of blood glucose (SMBG), HbA1c testing, and continuous glucose monitoring (CGM) support the assessment of glycaemic control, they are most effective when interpreted alongside individual clinical assessment and personalised care planning.</w:t>
      </w:r>
    </w:p>
    <w:p w14:paraId="0ECD78ED">
      <w:pPr>
        <w:spacing w:after="200" w:line="360" w:lineRule="auto"/>
        <w:jc w:val="both"/>
      </w:pPr>
      <w:r>
        <w:t>Lifestyle modification remains the foundation of Type 2 diabetes management. However, achieving and maintaining long-term behavioural change can be challenging due to factors such as health literacy, cultural beliefs, financial circumstances, and individual motivation. Practice nurses therefore have an essential role in providing ongoing education, motivational support, and collaborative goal-setting that empowers patients to become active partners in managing their condition.</w:t>
      </w:r>
    </w:p>
    <w:p w14:paraId="31742F56">
      <w:pPr>
        <w:spacing w:after="200" w:line="360" w:lineRule="auto"/>
        <w:jc w:val="both"/>
      </w:pPr>
      <w:r>
        <w:t>Ultimately, effective Type 2 diabetes management depends not only on appropriate clinical interventions but also on supporting patients to develop the knowledge, confidence, and skills required for successful self-management. Through evidence-based practice, regular monitoring, and sustained person-centred support, healthcare professionals can help reduce the risk of complications, improve glycaemic control, and enhance patients' long-term health and quality of life.</w:t>
      </w:r>
    </w:p>
    <w:p w14:paraId="523612E0">
      <w:pPr>
        <w:spacing w:after="200" w:line="360" w:lineRule="auto"/>
        <w:jc w:val="both"/>
      </w:pPr>
    </w:p>
    <w:p w14:paraId="7A7C87CE">
      <w:pPr>
        <w:spacing w:after="200" w:line="360" w:lineRule="auto"/>
        <w:jc w:val="both"/>
      </w:pPr>
    </w:p>
    <w:p w14:paraId="4A7D21EF">
      <w:pPr>
        <w:spacing w:after="200" w:line="360" w:lineRule="auto"/>
        <w:jc w:val="both"/>
      </w:pPr>
    </w:p>
    <w:p w14:paraId="4118EE7D">
      <w:pPr>
        <w:spacing w:after="200" w:line="360" w:lineRule="auto"/>
        <w:jc w:val="both"/>
      </w:pPr>
    </w:p>
    <w:p w14:paraId="597C90A4">
      <w:pPr>
        <w:spacing w:after="200" w:line="360" w:lineRule="auto"/>
        <w:jc w:val="both"/>
      </w:pPr>
    </w:p>
    <w:p w14:paraId="0ECFE445">
      <w:pPr>
        <w:spacing w:after="200" w:line="360" w:lineRule="auto"/>
        <w:jc w:val="both"/>
      </w:pPr>
    </w:p>
    <w:p w14:paraId="3E2F500B">
      <w:pPr>
        <w:spacing w:after="200" w:line="360" w:lineRule="auto"/>
        <w:jc w:val="both"/>
      </w:pPr>
    </w:p>
    <w:p w14:paraId="72C0377E">
      <w:pPr>
        <w:spacing w:after="200" w:line="360" w:lineRule="auto"/>
        <w:jc w:val="both"/>
      </w:pPr>
    </w:p>
    <w:p w14:paraId="433739EA">
      <w:pPr>
        <w:spacing w:after="200" w:line="360" w:lineRule="auto"/>
        <w:jc w:val="both"/>
      </w:pPr>
    </w:p>
    <w:p w14:paraId="677C1938">
      <w:pPr>
        <w:spacing w:after="200" w:line="360" w:lineRule="auto"/>
        <w:jc w:val="both"/>
      </w:pPr>
    </w:p>
    <w:p w14:paraId="52333558">
      <w:pPr>
        <w:spacing w:after="200" w:line="360" w:lineRule="auto"/>
        <w:jc w:val="both"/>
      </w:pPr>
    </w:p>
    <w:p w14:paraId="7B0011CD">
      <w:pPr>
        <w:spacing w:after="200" w:line="360" w:lineRule="auto"/>
        <w:jc w:val="both"/>
      </w:pPr>
    </w:p>
    <w:p w14:paraId="671370E6">
      <w:pPr>
        <w:spacing w:after="200" w:line="360" w:lineRule="auto"/>
        <w:jc w:val="both"/>
      </w:pPr>
    </w:p>
    <w:p w14:paraId="7932514A">
      <w:pPr>
        <w:spacing w:after="200" w:line="360" w:lineRule="auto"/>
        <w:jc w:val="both"/>
      </w:pPr>
    </w:p>
    <w:p w14:paraId="53AD540A">
      <w:pPr>
        <w:spacing w:after="200" w:line="360" w:lineRule="auto"/>
        <w:jc w:val="both"/>
      </w:pPr>
    </w:p>
    <w:p w14:paraId="5F8F8EF5">
      <w:pPr>
        <w:spacing w:after="200" w:line="360" w:lineRule="auto"/>
        <w:jc w:val="both"/>
      </w:pPr>
    </w:p>
    <w:p w14:paraId="2F56DC8D">
      <w:pPr>
        <w:spacing w:after="200" w:line="360" w:lineRule="auto"/>
        <w:jc w:val="both"/>
      </w:pPr>
    </w:p>
    <w:p w14:paraId="0A231E94">
      <w:pPr>
        <w:spacing w:after="200" w:line="360" w:lineRule="auto"/>
        <w:jc w:val="both"/>
      </w:pPr>
    </w:p>
    <w:p w14:paraId="14FD2650">
      <w:pPr>
        <w:spacing w:after="200" w:line="360" w:lineRule="auto"/>
        <w:jc w:val="both"/>
      </w:pPr>
    </w:p>
    <w:p w14:paraId="03E9E700">
      <w:pPr>
        <w:spacing w:after="200" w:line="360" w:lineRule="auto"/>
        <w:jc w:val="both"/>
      </w:pPr>
    </w:p>
    <w:p w14:paraId="7F98B840">
      <w:pPr>
        <w:pStyle w:val="4"/>
        <w:keepNext w:val="0"/>
        <w:keepLines w:val="0"/>
        <w:widowControl/>
        <w:suppressLineNumbers w:val="0"/>
        <w:rPr>
          <w:rStyle w:val="17"/>
        </w:rPr>
      </w:pPr>
    </w:p>
    <w:p w14:paraId="78219BA4">
      <w:pPr>
        <w:pStyle w:val="4"/>
        <w:keepNext w:val="0"/>
        <w:keepLines w:val="0"/>
        <w:widowControl/>
        <w:suppressLineNumbers w:val="0"/>
        <w:rPr>
          <w:color w:val="000000" w:themeColor="text1"/>
          <w14:textFill>
            <w14:solidFill>
              <w14:schemeClr w14:val="tx1"/>
            </w14:solidFill>
          </w14:textFill>
        </w:rPr>
      </w:pPr>
      <w:r>
        <w:rPr>
          <w:rStyle w:val="17"/>
          <w:color w:val="000000" w:themeColor="text1"/>
          <w14:textFill>
            <w14:solidFill>
              <w14:schemeClr w14:val="tx1"/>
            </w14:solidFill>
          </w14:textFill>
        </w:rPr>
        <w:t>Reference List</w:t>
      </w:r>
    </w:p>
    <w:p w14:paraId="5F4E9E5A">
      <w:pPr>
        <w:pStyle w:val="16"/>
        <w:keepNext w:val="0"/>
        <w:keepLines w:val="0"/>
        <w:widowControl/>
        <w:suppressLineNumbers w:val="0"/>
      </w:pPr>
      <w:r>
        <w:t xml:space="preserve">Barnard, A. (2023) </w:t>
      </w:r>
      <w:r>
        <w:rPr>
          <w:rStyle w:val="10"/>
        </w:rPr>
        <w:t>Key Themes in Health and Social Care</w:t>
      </w:r>
      <w:r>
        <w:t>. 2nd edn. London: Routledge.</w:t>
      </w:r>
    </w:p>
    <w:p w14:paraId="22738A3F">
      <w:pPr>
        <w:pStyle w:val="16"/>
        <w:keepNext w:val="0"/>
        <w:keepLines w:val="0"/>
        <w:widowControl/>
        <w:suppressLineNumbers w:val="0"/>
      </w:pPr>
      <w:r>
        <w:t xml:space="preserve">Biology Corner (n.d.) </w:t>
      </w:r>
      <w:r>
        <w:rPr>
          <w:rStyle w:val="10"/>
        </w:rPr>
        <w:t>Feedback Loops: Insulin and Glucagon</w:t>
      </w:r>
      <w:r>
        <w:t xml:space="preserve">. Available at: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"https://www.biologycorner.com/worksheets/feedback_loops.html" \t "C:\\Users\\DARYA\\AppData\\Local\\Temp\\_new" </w:instrText>
      </w:r>
      <w:r>
        <w:rPr>
          <w:color w:val="000000" w:themeColor="text1"/>
          <w14:textFill>
            <w14:solidFill>
              <w14:schemeClr w14:val="tx1"/>
            </w14:solidFill>
          </w14:textFill>
        </w:rPr>
        <w:fldChar w:fldCharType="separate"/>
      </w:r>
      <w:r>
        <w:rPr>
          <w:rStyle w:val="15"/>
          <w:color w:val="000000" w:themeColor="text1"/>
          <w14:textFill>
            <w14:solidFill>
              <w14:schemeClr w14:val="tx1"/>
            </w14:solidFill>
          </w14:textFill>
        </w:rPr>
        <w:t>https://www.biologycorner.com/worksheets/feedback_loops.html</w:t>
      </w:r>
      <w:r>
        <w:rPr>
          <w:color w:val="000000" w:themeColor="text1"/>
          <w14:textFill>
            <w14:solidFill>
              <w14:schemeClr w14:val="tx1"/>
            </w14:solidFill>
          </w14:textFill>
        </w:rPr>
        <w:fldChar w:fldCharType="end"/>
      </w:r>
      <w:r>
        <w:t xml:space="preserve"> (Accessed: 26 June 2026).</w:t>
      </w:r>
    </w:p>
    <w:p w14:paraId="32876712">
      <w:pPr>
        <w:pStyle w:val="16"/>
        <w:keepNext w:val="0"/>
        <w:keepLines w:val="0"/>
        <w:widowControl/>
        <w:suppressLineNumbers w:val="0"/>
      </w:pPr>
      <w:r>
        <w:t xml:space="preserve">Diabetes UK (2024) </w:t>
      </w:r>
      <w:r>
        <w:rPr>
          <w:rStyle w:val="10"/>
        </w:rPr>
        <w:t>Type 2 Diabetes Risk Factors</w:t>
      </w:r>
      <w:r>
        <w:t xml:space="preserve">. Available at: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"https://www.diabetes.org.uk/diabetes-the-basics/types-of-diabetes/type-2/causes" \t "C:\\Users\\DARYA\\AppData\\Local\\Temp\\_new" </w:instrText>
      </w:r>
      <w:r>
        <w:rPr>
          <w:color w:val="000000" w:themeColor="text1"/>
          <w14:textFill>
            <w14:solidFill>
              <w14:schemeClr w14:val="tx1"/>
            </w14:solidFill>
          </w14:textFill>
        </w:rPr>
        <w:fldChar w:fldCharType="separate"/>
      </w:r>
      <w:r>
        <w:rPr>
          <w:rStyle w:val="15"/>
          <w:color w:val="000000" w:themeColor="text1"/>
          <w14:textFill>
            <w14:solidFill>
              <w14:schemeClr w14:val="tx1"/>
            </w14:solidFill>
          </w14:textFill>
        </w:rPr>
        <w:t>https://www.diabetes.org.uk/diabetes-the-basics/types-of-diabetes/type-2/causes</w:t>
      </w:r>
      <w:r>
        <w:rPr>
          <w:color w:val="000000" w:themeColor="text1"/>
          <w14:textFill>
            <w14:solidFill>
              <w14:schemeClr w14:val="tx1"/>
            </w14:solidFill>
          </w14:textFill>
        </w:rPr>
        <w:fldChar w:fldCharType="end"/>
      </w:r>
      <w:r>
        <w:t xml:space="preserve"> (Accessed: 22 June 2026).</w:t>
      </w:r>
    </w:p>
    <w:p w14:paraId="17075F9B">
      <w:pPr>
        <w:pStyle w:val="16"/>
        <w:keepNext w:val="0"/>
        <w:keepLines w:val="0"/>
        <w:widowControl/>
        <w:suppressLineNumbers w:val="0"/>
        <w:rPr>
          <w:color w:val="000000" w:themeColor="text1"/>
          <w14:textFill>
            <w14:solidFill>
              <w14:schemeClr w14:val="tx1"/>
            </w14:solidFill>
          </w14:textFill>
        </w:rPr>
      </w:pPr>
      <w:r>
        <w:t xml:space="preserve">Diabetes UK (2025) </w:t>
      </w:r>
      <w:r>
        <w:rPr>
          <w:rStyle w:val="10"/>
        </w:rPr>
        <w:t>Us, in Numbers</w:t>
      </w:r>
      <w:r>
        <w:t xml:space="preserve">. Available at: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"https://www.diabetes.org.uk/about-us/about-the-charity/our-strategy/statistics" \t "C:\\Users\\DARYA\\AppData\\Local\\Temp\\_new" </w:instrText>
      </w:r>
      <w:r>
        <w:rPr>
          <w:color w:val="000000" w:themeColor="text1"/>
          <w14:textFill>
            <w14:solidFill>
              <w14:schemeClr w14:val="tx1"/>
            </w14:solidFill>
          </w14:textFill>
        </w:rPr>
        <w:fldChar w:fldCharType="separate"/>
      </w:r>
      <w:r>
        <w:rPr>
          <w:rStyle w:val="15"/>
          <w:color w:val="000000" w:themeColor="text1"/>
          <w14:textFill>
            <w14:solidFill>
              <w14:schemeClr w14:val="tx1"/>
            </w14:solidFill>
          </w14:textFill>
        </w:rPr>
        <w:t>https://www.diabetes.org.uk/about-us/about-the-charity/our-strategy/statistics</w:t>
      </w:r>
      <w:r>
        <w:rPr>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(Accessed: 15 July 2026).</w:t>
      </w:r>
    </w:p>
    <w:p w14:paraId="7B46F55B">
      <w:pPr>
        <w:pStyle w:val="16"/>
        <w:keepNext w:val="0"/>
        <w:keepLines w:val="0"/>
        <w:widowControl/>
        <w:suppressLineNumbers w:val="0"/>
      </w:pPr>
      <w:r>
        <w:t xml:space="preserve">International Diabetes Federation (2025) </w:t>
      </w:r>
      <w:r>
        <w:rPr>
          <w:rStyle w:val="10"/>
        </w:rPr>
        <w:t>IDF Diabetes Atlas: Global Diabetes Data Explorer</w:t>
      </w:r>
      <w:r>
        <w:t>. 11th edn. Brussels: International Diabetes Federation. Available at:</w:t>
      </w:r>
      <w:r>
        <w:rPr>
          <w:color w:val="000000" w:themeColor="text1"/>
          <w14:textFill>
            <w14:solidFill>
              <w14:schemeClr w14:val="tx1"/>
            </w14:solidFill>
          </w14:textFill>
        </w:rPr>
        <w:t xml:space="preserve">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"https://diabetesatlas.org" \t "C:\\Users\\DARYA\\AppData\\Local\\Temp\\_new" </w:instrText>
      </w:r>
      <w:r>
        <w:rPr>
          <w:color w:val="000000" w:themeColor="text1"/>
          <w14:textFill>
            <w14:solidFill>
              <w14:schemeClr w14:val="tx1"/>
            </w14:solidFill>
          </w14:textFill>
        </w:rPr>
        <w:fldChar w:fldCharType="separate"/>
      </w:r>
      <w:r>
        <w:rPr>
          <w:rStyle w:val="15"/>
          <w:color w:val="000000" w:themeColor="text1"/>
          <w14:textFill>
            <w14:solidFill>
              <w14:schemeClr w14:val="tx1"/>
            </w14:solidFill>
          </w14:textFill>
        </w:rPr>
        <w:t>https://diabetesatlas.org</w:t>
      </w:r>
      <w:r>
        <w:rPr>
          <w:color w:val="000000" w:themeColor="text1"/>
          <w14:textFill>
            <w14:solidFill>
              <w14:schemeClr w14:val="tx1"/>
            </w14:solidFill>
          </w14:textFill>
        </w:rPr>
        <w:fldChar w:fldCharType="end"/>
      </w:r>
      <w:r>
        <w:t xml:space="preserve"> (Accessed: 15 July 2026).</w:t>
      </w:r>
    </w:p>
    <w:p w14:paraId="1F66E47E">
      <w:pPr>
        <w:pStyle w:val="16"/>
        <w:keepNext w:val="0"/>
        <w:keepLines w:val="0"/>
        <w:widowControl/>
        <w:suppressLineNumbers w:val="0"/>
      </w:pPr>
      <w:r>
        <w:t xml:space="preserve">NHS (2024) </w:t>
      </w:r>
      <w:r>
        <w:rPr>
          <w:rStyle w:val="10"/>
        </w:rPr>
        <w:t>Type 2 Diabetes</w:t>
      </w:r>
      <w:r>
        <w:t xml:space="preserve">. Available at: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"https://www.nhs.uk/conditions/type-2-diabetes/" \t "C:\\Users\\DARYA\\AppData\\Local\\Temp\\_new" </w:instrText>
      </w:r>
      <w:r>
        <w:rPr>
          <w:color w:val="000000" w:themeColor="text1"/>
          <w14:textFill>
            <w14:solidFill>
              <w14:schemeClr w14:val="tx1"/>
            </w14:solidFill>
          </w14:textFill>
        </w:rPr>
        <w:fldChar w:fldCharType="separate"/>
      </w:r>
      <w:r>
        <w:rPr>
          <w:rStyle w:val="15"/>
          <w:color w:val="000000" w:themeColor="text1"/>
          <w14:textFill>
            <w14:solidFill>
              <w14:schemeClr w14:val="tx1"/>
            </w14:solidFill>
          </w14:textFill>
        </w:rPr>
        <w:t>https://www.nhs.uk/conditions/type-2-diabetes/</w:t>
      </w:r>
      <w:r>
        <w:rPr>
          <w:color w:val="000000" w:themeColor="text1"/>
          <w14:textFill>
            <w14:solidFill>
              <w14:schemeClr w14:val="tx1"/>
            </w14:solidFill>
          </w14:textFill>
        </w:rPr>
        <w:fldChar w:fldCharType="end"/>
      </w:r>
      <w:r>
        <w:rPr>
          <w:color w:val="000000" w:themeColor="text1"/>
          <w14:textFill>
            <w14:solidFill>
              <w14:schemeClr w14:val="tx1"/>
            </w14:solidFill>
          </w14:textFill>
        </w:rPr>
        <w:t xml:space="preserve"> </w:t>
      </w:r>
      <w:r>
        <w:t>(Accessed: 25 June 2026).</w:t>
      </w:r>
    </w:p>
    <w:p w14:paraId="3928AF3F">
      <w:pPr>
        <w:pStyle w:val="16"/>
        <w:keepNext w:val="0"/>
        <w:keepLines w:val="0"/>
        <w:widowControl/>
        <w:suppressLineNumbers w:val="0"/>
      </w:pPr>
      <w:r>
        <w:t xml:space="preserve">NHS England (2024) </w:t>
      </w:r>
      <w:r>
        <w:rPr>
          <w:rStyle w:val="10"/>
        </w:rPr>
        <w:t>Continuous Glucose Monitoring: Expanding Access in Primary Care</w:t>
      </w:r>
      <w:r>
        <w:t>. Available at</w:t>
      </w:r>
      <w:r>
        <w:rPr>
          <w:color w:val="000000" w:themeColor="text1"/>
          <w14:textFill>
            <w14:solidFill>
              <w14:schemeClr w14:val="tx1"/>
            </w14:solidFill>
          </w14:textFill>
        </w:rPr>
        <w:t xml:space="preserve">: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"https://www.england.nhs.uk/diabetes/treatment-care/continuous-glucose-monitoring/" \t "C:\\Users\\DARYA\\AppData\\Local\\Temp\\_new" </w:instrText>
      </w:r>
      <w:r>
        <w:rPr>
          <w:color w:val="000000" w:themeColor="text1"/>
          <w14:textFill>
            <w14:solidFill>
              <w14:schemeClr w14:val="tx1"/>
            </w14:solidFill>
          </w14:textFill>
        </w:rPr>
        <w:fldChar w:fldCharType="separate"/>
      </w:r>
      <w:r>
        <w:rPr>
          <w:rStyle w:val="15"/>
          <w:color w:val="000000" w:themeColor="text1"/>
          <w14:textFill>
            <w14:solidFill>
              <w14:schemeClr w14:val="tx1"/>
            </w14:solidFill>
          </w14:textFill>
        </w:rPr>
        <w:t>https://www.england.nhs.uk/diabetes/treatment-care/continuous-glucose-monitoring/</w:t>
      </w:r>
      <w:r>
        <w:rPr>
          <w:color w:val="000000" w:themeColor="text1"/>
          <w14:textFill>
            <w14:solidFill>
              <w14:schemeClr w14:val="tx1"/>
            </w14:solidFill>
          </w14:textFill>
        </w:rPr>
        <w:fldChar w:fldCharType="end"/>
      </w:r>
      <w:r>
        <w:t xml:space="preserve"> (Accessed: 27 June 2026).</w:t>
      </w:r>
    </w:p>
    <w:p w14:paraId="39AF9ADF">
      <w:pPr>
        <w:pStyle w:val="16"/>
        <w:keepNext w:val="0"/>
        <w:keepLines w:val="0"/>
        <w:widowControl/>
        <w:suppressLineNumbers w:val="0"/>
      </w:pPr>
      <w:r>
        <w:t xml:space="preserve">NICE (2022) </w:t>
      </w:r>
      <w:r>
        <w:rPr>
          <w:rStyle w:val="10"/>
        </w:rPr>
        <w:t>Type 2 Diabetes in Adults: Management</w:t>
      </w:r>
      <w:r>
        <w:t xml:space="preserve">. NG28. London: National Institute for Health and Care Excellence. Available at: </w:t>
      </w:r>
      <w:r>
        <w:rPr>
          <w:color w:val="000000" w:themeColor="text1"/>
          <w14:textFill>
            <w14:solidFill>
              <w14:schemeClr w14:val="tx1"/>
            </w14:solidFill>
          </w14:textFill>
        </w:rPr>
        <w:fldChar w:fldCharType="begin"/>
      </w:r>
      <w:r>
        <w:rPr>
          <w:color w:val="000000" w:themeColor="text1"/>
          <w14:textFill>
            <w14:solidFill>
              <w14:schemeClr w14:val="tx1"/>
            </w14:solidFill>
          </w14:textFill>
        </w:rPr>
        <w:instrText xml:space="preserve"> HYPERLINK "https://www.nice.org.uk/guidance/ng28" \t "C:\\Users\\DARYA\\AppData\\Local\\Temp\\_new" </w:instrText>
      </w:r>
      <w:r>
        <w:rPr>
          <w:color w:val="000000" w:themeColor="text1"/>
          <w14:textFill>
            <w14:solidFill>
              <w14:schemeClr w14:val="tx1"/>
            </w14:solidFill>
          </w14:textFill>
        </w:rPr>
        <w:fldChar w:fldCharType="separate"/>
      </w:r>
      <w:r>
        <w:rPr>
          <w:rStyle w:val="15"/>
          <w:color w:val="000000" w:themeColor="text1"/>
          <w14:textFill>
            <w14:solidFill>
              <w14:schemeClr w14:val="tx1"/>
            </w14:solidFill>
          </w14:textFill>
        </w:rPr>
        <w:t>https://www.nice.org.uk/guidance/ng28</w:t>
      </w:r>
      <w:r>
        <w:rPr>
          <w:color w:val="000000" w:themeColor="text1"/>
          <w14:textFill>
            <w14:solidFill>
              <w14:schemeClr w14:val="tx1"/>
            </w14:solidFill>
          </w14:textFill>
        </w:rPr>
        <w:fldChar w:fldCharType="end"/>
      </w:r>
      <w:r>
        <w:t xml:space="preserve"> (Accessed: 19 June 2026).</w:t>
      </w:r>
    </w:p>
    <w:p w14:paraId="0E6E3BA1">
      <w:pPr>
        <w:pStyle w:val="16"/>
        <w:keepNext w:val="0"/>
        <w:keepLines w:val="0"/>
        <w:widowControl/>
        <w:suppressLineNumbers w:val="0"/>
      </w:pPr>
      <w:r>
        <w:t xml:space="preserve">Odya, E. (2018) </w:t>
      </w:r>
      <w:r>
        <w:rPr>
          <w:rStyle w:val="10"/>
        </w:rPr>
        <w:t>Anatomy and Physiology Workbook for Dummies</w:t>
      </w:r>
      <w:r>
        <w:t>. 3rd edn. Hoboken, NJ: John Wiley &amp; Sons.</w:t>
      </w:r>
    </w:p>
    <w:p w14:paraId="580E2472">
      <w:pPr>
        <w:pStyle w:val="16"/>
        <w:keepNext w:val="0"/>
        <w:keepLines w:val="0"/>
        <w:widowControl/>
        <w:suppressLineNumbers w:val="0"/>
      </w:pPr>
      <w:r>
        <w:t xml:space="preserve">Scanlon, V.C. and Sanders, T. (2019) </w:t>
      </w:r>
      <w:r>
        <w:rPr>
          <w:rStyle w:val="10"/>
        </w:rPr>
        <w:t>Essentials of Anatomy and Physiology</w:t>
      </w:r>
      <w:r>
        <w:t>. 8th edn. Philadelphia: F.A. Davis Company.</w:t>
      </w:r>
    </w:p>
    <w:p w14:paraId="23A0FC33">
      <w:pPr>
        <w:pStyle w:val="16"/>
        <w:keepNext w:val="0"/>
        <w:keepLines w:val="0"/>
        <w:widowControl/>
        <w:suppressLineNumbers w:val="0"/>
      </w:pPr>
      <w:r>
        <w:t xml:space="preserve">Sturgeon, D. (2018) </w:t>
      </w:r>
      <w:r>
        <w:rPr>
          <w:rStyle w:val="10"/>
        </w:rPr>
        <w:t>Introduction to Anatomy and Physiology for Healthcare Students</w:t>
      </w:r>
      <w:r>
        <w:t>. London: Routledge.</w:t>
      </w:r>
    </w:p>
    <w:p w14:paraId="318BA772">
      <w:pPr>
        <w:pStyle w:val="16"/>
        <w:keepNext w:val="0"/>
        <w:keepLines w:val="0"/>
        <w:widowControl/>
        <w:suppressLineNumbers w:val="0"/>
      </w:pPr>
      <w:r>
        <w:t xml:space="preserve">Tortora, G.J. and Derrickson, B.H. (2017) </w:t>
      </w:r>
      <w:r>
        <w:rPr>
          <w:rStyle w:val="10"/>
        </w:rPr>
        <w:t>Tortora's Principles of Anatomy and Physiology</w:t>
      </w:r>
      <w:r>
        <w:t>. 15th edn. Hoboken, NJ: John Wiley &amp; Sons.</w:t>
      </w:r>
    </w:p>
    <w:p w14:paraId="40194817">
      <w:pPr>
        <w:spacing w:after="160" w:line="360" w:lineRule="auto"/>
        <w:ind w:left="720" w:hanging="720"/>
        <w:rPr>
          <w:b/>
          <w:bCs/>
          <w:color w:val="auto"/>
          <w:sz w:val="28"/>
          <w:szCs w:val="28"/>
        </w:rPr>
      </w:pPr>
    </w:p>
    <w:sectPr>
      <w:headerReference r:id="rId3" w:type="default"/>
      <w:footerReference r:id="rId4" w:type="default"/>
      <w:pgSz w:w="11906" w:h="16838"/>
      <w:pgMar w:top="1134" w:right="1134" w:bottom="1134" w:left="1134" w:header="708" w:footer="708"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font>
  <w:font w:name="Cambria Math">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E239426">
    <w:pPr>
      <w:jc w:val="center"/>
    </w:pPr>
    <w:r>
      <w:rPr>
        <w:sz w:val="18"/>
        <w:szCs w:val="18"/>
      </w:rPr>
      <w:fldChar w:fldCharType="begin"/>
    </w:r>
    <w:r>
      <w:rPr>
        <w:sz w:val="18"/>
        <w:szCs w:val="18"/>
      </w:rPr>
      <w:instrText xml:space="preserve">PAGE</w:instrText>
    </w:r>
    <w:r>
      <w:rPr>
        <w:sz w:val="18"/>
        <w:szCs w:val="18"/>
      </w:rPr>
      <w:fldChar w:fldCharType="separate"/>
    </w:r>
    <w:r>
      <w:rPr>
        <w:sz w:val="18"/>
        <w:szCs w:val="18"/>
      </w:rPr>
      <w:t>1</w:t>
    </w:r>
    <w:r>
      <w:rPr>
        <w:sz w:val="18"/>
        <w:szCs w:val="18"/>
      </w:rPr>
      <w:fldChar w:fldCharType="end"/>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89C1050">
    <w:pPr>
      <w:jc w:val="right"/>
    </w:pPr>
    <w:r>
      <w:rPr>
        <w:sz w:val="18"/>
        <w:szCs w:val="18"/>
      </w:rPr>
      <w:t>Fatemeh Kazeminojehdeh – 2442621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3451796"/>
    <w:multiLevelType w:val="singleLevel"/>
    <w:tmpl w:val="43451796"/>
    <w:lvl w:ilvl="0" w:tentative="0">
      <w:start w:val="1"/>
      <w:numFmt w:val="decimal"/>
      <w:suff w:val="space"/>
      <w:lvlText w:val="%1."/>
      <w:lvlJc w:val="left"/>
    </w:lvl>
  </w:abstractNum>
  <w:abstractNum w:abstractNumId="1">
    <w:nsid w:val="68B236A8"/>
    <w:multiLevelType w:val="multilevel"/>
    <w:tmpl w:val="68B236A8"/>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isplayBackgroundShape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33EA"/>
    <w:rsid w:val="000503CF"/>
    <w:rsid w:val="000B258F"/>
    <w:rsid w:val="001026FF"/>
    <w:rsid w:val="001F0ADB"/>
    <w:rsid w:val="002333EA"/>
    <w:rsid w:val="00321151"/>
    <w:rsid w:val="0039619E"/>
    <w:rsid w:val="004273F7"/>
    <w:rsid w:val="004521D5"/>
    <w:rsid w:val="00463326"/>
    <w:rsid w:val="005B799D"/>
    <w:rsid w:val="005E2AEB"/>
    <w:rsid w:val="005E5750"/>
    <w:rsid w:val="00607FCD"/>
    <w:rsid w:val="007021FE"/>
    <w:rsid w:val="008076E0"/>
    <w:rsid w:val="0093390B"/>
    <w:rsid w:val="009D5C92"/>
    <w:rsid w:val="00A252FC"/>
    <w:rsid w:val="00B01769"/>
    <w:rsid w:val="00B552A1"/>
    <w:rsid w:val="00B63D8D"/>
    <w:rsid w:val="00BA3262"/>
    <w:rsid w:val="00BD46C1"/>
    <w:rsid w:val="00CC699A"/>
    <w:rsid w:val="00EC5C2B"/>
    <w:rsid w:val="1E935EE3"/>
    <w:rsid w:val="2CE858D2"/>
    <w:rsid w:val="42B31EF7"/>
    <w:rsid w:val="4FE85BFF"/>
    <w:rsid w:val="743046BE"/>
    <w:rsid w:val="7DC2333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iPriority="39" w:semiHidden="0" w:name="toc 1"/>
    <w:lsdException w:uiPriority="39" w:semiHidden="0" w:name="toc 2"/>
    <w:lsdException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iPriority="99"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iPriority="99" w:name="footnote reference"/>
    <w:lsdException w:unhideWhenUsed="0" w:uiPriority="0" w:semiHidden="0" w:name="annotation reference"/>
    <w:lsdException w:unhideWhenUsed="0" w:uiPriority="0" w:semiHidden="0" w:name="line number"/>
    <w:lsdException w:unhideWhenUsed="0" w:uiPriority="0" w:semiHidden="0" w:name="page number"/>
    <w:lsdException w:qFormat="1" w:uiPriority="99" w:name="endnote reference"/>
    <w:lsdException w:qFormat="1" w:uiPriority="99"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Arial" w:hAnsi="Arial" w:eastAsia="Arial" w:cs="Arial"/>
      <w:sz w:val="22"/>
      <w:szCs w:val="22"/>
      <w:lang w:val="en-GB" w:eastAsia="en-GB" w:bidi="ar-SA"/>
    </w:rPr>
  </w:style>
  <w:style w:type="paragraph" w:styleId="2">
    <w:name w:val="heading 1"/>
    <w:next w:val="1"/>
    <w:qFormat/>
    <w:uiPriority w:val="0"/>
    <w:pPr>
      <w:outlineLvl w:val="0"/>
    </w:pPr>
    <w:rPr>
      <w:rFonts w:ascii="Arial" w:hAnsi="Arial" w:eastAsia="Arial" w:cs="Arial"/>
      <w:color w:val="2E74B5"/>
      <w:sz w:val="32"/>
      <w:szCs w:val="32"/>
      <w:lang w:val="en-GB" w:eastAsia="en-GB" w:bidi="ar-SA"/>
    </w:rPr>
  </w:style>
  <w:style w:type="paragraph" w:styleId="3">
    <w:name w:val="heading 2"/>
    <w:next w:val="1"/>
    <w:qFormat/>
    <w:uiPriority w:val="0"/>
    <w:pPr>
      <w:outlineLvl w:val="1"/>
    </w:pPr>
    <w:rPr>
      <w:rFonts w:ascii="Arial" w:hAnsi="Arial" w:eastAsia="Arial" w:cs="Arial"/>
      <w:color w:val="2E74B5"/>
      <w:sz w:val="26"/>
      <w:szCs w:val="26"/>
      <w:lang w:val="en-GB" w:eastAsia="en-GB" w:bidi="ar-SA"/>
    </w:rPr>
  </w:style>
  <w:style w:type="paragraph" w:styleId="4">
    <w:name w:val="heading 3"/>
    <w:next w:val="1"/>
    <w:qFormat/>
    <w:uiPriority w:val="0"/>
    <w:pPr>
      <w:outlineLvl w:val="2"/>
    </w:pPr>
    <w:rPr>
      <w:rFonts w:ascii="Arial" w:hAnsi="Arial" w:eastAsia="Arial" w:cs="Arial"/>
      <w:color w:val="1F4D78"/>
      <w:sz w:val="24"/>
      <w:szCs w:val="24"/>
      <w:lang w:val="en-GB" w:eastAsia="en-GB" w:bidi="ar-SA"/>
    </w:rPr>
  </w:style>
  <w:style w:type="paragraph" w:styleId="5">
    <w:name w:val="heading 4"/>
    <w:next w:val="1"/>
    <w:qFormat/>
    <w:uiPriority w:val="0"/>
    <w:pPr>
      <w:outlineLvl w:val="3"/>
    </w:pPr>
    <w:rPr>
      <w:rFonts w:ascii="Arial" w:hAnsi="Arial" w:eastAsia="Arial" w:cs="Arial"/>
      <w:i/>
      <w:iCs/>
      <w:color w:val="2E74B5"/>
      <w:sz w:val="22"/>
      <w:szCs w:val="22"/>
      <w:lang w:val="en-GB" w:eastAsia="en-GB" w:bidi="ar-SA"/>
    </w:rPr>
  </w:style>
  <w:style w:type="paragraph" w:styleId="6">
    <w:name w:val="heading 5"/>
    <w:next w:val="1"/>
    <w:qFormat/>
    <w:uiPriority w:val="0"/>
    <w:pPr>
      <w:outlineLvl w:val="4"/>
    </w:pPr>
    <w:rPr>
      <w:rFonts w:ascii="Arial" w:hAnsi="Arial" w:eastAsia="Arial" w:cs="Arial"/>
      <w:color w:val="2E74B5"/>
      <w:sz w:val="22"/>
      <w:szCs w:val="22"/>
      <w:lang w:val="en-GB" w:eastAsia="en-GB" w:bidi="ar-SA"/>
    </w:rPr>
  </w:style>
  <w:style w:type="paragraph" w:styleId="7">
    <w:name w:val="heading 6"/>
    <w:next w:val="1"/>
    <w:qFormat/>
    <w:uiPriority w:val="0"/>
    <w:pPr>
      <w:outlineLvl w:val="5"/>
    </w:pPr>
    <w:rPr>
      <w:rFonts w:ascii="Arial" w:hAnsi="Arial" w:eastAsia="Arial" w:cs="Arial"/>
      <w:color w:val="1F4D78"/>
      <w:sz w:val="22"/>
      <w:szCs w:val="22"/>
      <w:lang w:val="en-GB" w:eastAsia="en-GB" w:bidi="ar-SA"/>
    </w:rPr>
  </w:style>
  <w:style w:type="character" w:default="1" w:styleId="8">
    <w:name w:val="Default Paragraph Font"/>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character" w:styleId="10">
    <w:name w:val="Emphasis"/>
    <w:basedOn w:val="8"/>
    <w:qFormat/>
    <w:uiPriority w:val="0"/>
    <w:rPr>
      <w:i/>
      <w:iCs/>
    </w:rPr>
  </w:style>
  <w:style w:type="character" w:styleId="11">
    <w:name w:val="endnote reference"/>
    <w:semiHidden/>
    <w:unhideWhenUsed/>
    <w:qFormat/>
    <w:uiPriority w:val="99"/>
    <w:rPr>
      <w:vertAlign w:val="superscript"/>
    </w:rPr>
  </w:style>
  <w:style w:type="paragraph" w:styleId="12">
    <w:name w:val="endnote text"/>
    <w:link w:val="24"/>
    <w:semiHidden/>
    <w:unhideWhenUsed/>
    <w:qFormat/>
    <w:uiPriority w:val="99"/>
    <w:rPr>
      <w:rFonts w:ascii="Arial" w:hAnsi="Arial" w:eastAsia="Arial" w:cs="Arial"/>
      <w:lang w:val="en-GB" w:eastAsia="en-GB" w:bidi="ar-SA"/>
    </w:rPr>
  </w:style>
  <w:style w:type="character" w:styleId="13">
    <w:name w:val="footnote reference"/>
    <w:semiHidden/>
    <w:unhideWhenUsed/>
    <w:qFormat/>
    <w:uiPriority w:val="99"/>
    <w:rPr>
      <w:vertAlign w:val="superscript"/>
    </w:rPr>
  </w:style>
  <w:style w:type="paragraph" w:styleId="14">
    <w:name w:val="footnote text"/>
    <w:link w:val="23"/>
    <w:semiHidden/>
    <w:unhideWhenUsed/>
    <w:qFormat/>
    <w:uiPriority w:val="99"/>
    <w:rPr>
      <w:rFonts w:ascii="Arial" w:hAnsi="Arial" w:eastAsia="Arial" w:cs="Arial"/>
      <w:lang w:val="en-GB" w:eastAsia="en-GB" w:bidi="ar-SA"/>
    </w:rPr>
  </w:style>
  <w:style w:type="character" w:styleId="15">
    <w:name w:val="Hyperlink"/>
    <w:unhideWhenUsed/>
    <w:qFormat/>
    <w:uiPriority w:val="99"/>
    <w:rPr>
      <w:color w:val="0563C1"/>
      <w:u w:val="single"/>
    </w:rPr>
  </w:style>
  <w:style w:type="paragraph" w:styleId="16">
    <w:name w:val="Normal (Web)"/>
    <w:qFormat/>
    <w:uiPriority w:val="0"/>
    <w:pPr>
      <w:spacing w:beforeAutospacing="1" w:afterAutospacing="1"/>
    </w:pPr>
    <w:rPr>
      <w:rFonts w:ascii="Times New Roman" w:hAnsi="Times New Roman" w:eastAsia="SimSun" w:cs="Times New Roman"/>
      <w:sz w:val="24"/>
      <w:szCs w:val="24"/>
      <w:lang w:val="en-US" w:eastAsia="zh-CN" w:bidi="ar-SA"/>
    </w:rPr>
  </w:style>
  <w:style w:type="character" w:styleId="17">
    <w:name w:val="Strong"/>
    <w:basedOn w:val="8"/>
    <w:qFormat/>
    <w:uiPriority w:val="0"/>
    <w:rPr>
      <w:b/>
      <w:bCs/>
    </w:rPr>
  </w:style>
  <w:style w:type="paragraph" w:styleId="18">
    <w:name w:val="Title"/>
    <w:qFormat/>
    <w:uiPriority w:val="0"/>
    <w:rPr>
      <w:rFonts w:ascii="Arial" w:hAnsi="Arial" w:eastAsia="Arial" w:cs="Arial"/>
      <w:sz w:val="56"/>
      <w:szCs w:val="56"/>
      <w:lang w:val="en-GB" w:eastAsia="en-GB" w:bidi="ar-SA"/>
    </w:rPr>
  </w:style>
  <w:style w:type="paragraph" w:styleId="19">
    <w:name w:val="toc 1"/>
    <w:basedOn w:val="1"/>
    <w:next w:val="1"/>
    <w:autoRedefine/>
    <w:unhideWhenUsed/>
    <w:uiPriority w:val="39"/>
    <w:pPr>
      <w:spacing w:after="100" w:line="259" w:lineRule="auto"/>
    </w:pPr>
    <w:rPr>
      <w:rFonts w:cs="Times New Roman" w:asciiTheme="minorHAnsi" w:hAnsiTheme="minorHAnsi" w:eastAsiaTheme="minorEastAsia"/>
      <w:lang w:val="en-US" w:eastAsia="en-US"/>
    </w:rPr>
  </w:style>
  <w:style w:type="paragraph" w:styleId="20">
    <w:name w:val="toc 2"/>
    <w:basedOn w:val="1"/>
    <w:next w:val="1"/>
    <w:autoRedefine/>
    <w:unhideWhenUsed/>
    <w:uiPriority w:val="39"/>
    <w:pPr>
      <w:spacing w:after="100" w:line="259" w:lineRule="auto"/>
      <w:ind w:left="220"/>
    </w:pPr>
    <w:rPr>
      <w:rFonts w:cs="Times New Roman" w:asciiTheme="minorHAnsi" w:hAnsiTheme="minorHAnsi" w:eastAsiaTheme="minorEastAsia"/>
      <w:lang w:val="en-US" w:eastAsia="en-US"/>
    </w:rPr>
  </w:style>
  <w:style w:type="paragraph" w:styleId="21">
    <w:name w:val="toc 3"/>
    <w:basedOn w:val="1"/>
    <w:next w:val="1"/>
    <w:autoRedefine/>
    <w:unhideWhenUsed/>
    <w:uiPriority w:val="39"/>
    <w:pPr>
      <w:spacing w:after="100" w:line="259" w:lineRule="auto"/>
      <w:ind w:left="440"/>
    </w:pPr>
    <w:rPr>
      <w:rFonts w:cs="Times New Roman" w:asciiTheme="minorHAnsi" w:hAnsiTheme="minorHAnsi" w:eastAsiaTheme="minorEastAsia"/>
      <w:lang w:val="en-US" w:eastAsia="en-US"/>
    </w:rPr>
  </w:style>
  <w:style w:type="paragraph" w:styleId="22">
    <w:name w:val="List Paragraph"/>
    <w:qFormat/>
    <w:uiPriority w:val="0"/>
    <w:rPr>
      <w:rFonts w:ascii="Arial" w:hAnsi="Arial" w:eastAsia="Arial" w:cs="Arial"/>
      <w:sz w:val="22"/>
      <w:szCs w:val="22"/>
      <w:lang w:val="en-GB" w:eastAsia="en-GB" w:bidi="ar-SA"/>
    </w:rPr>
  </w:style>
  <w:style w:type="character" w:customStyle="1" w:styleId="23">
    <w:name w:val="Footnote Text Char"/>
    <w:link w:val="14"/>
    <w:semiHidden/>
    <w:unhideWhenUsed/>
    <w:qFormat/>
    <w:uiPriority w:val="99"/>
    <w:rPr>
      <w:sz w:val="20"/>
      <w:szCs w:val="20"/>
    </w:rPr>
  </w:style>
  <w:style w:type="character" w:customStyle="1" w:styleId="24">
    <w:name w:val="Endnote Text Char"/>
    <w:link w:val="12"/>
    <w:semiHidden/>
    <w:unhideWhenUsed/>
    <w:qFormat/>
    <w:uiPriority w:val="99"/>
    <w:rPr>
      <w:sz w:val="20"/>
      <w:szCs w:val="20"/>
    </w:rPr>
  </w:style>
  <w:style w:type="paragraph" w:customStyle="1" w:styleId="25">
    <w:name w:val="TOC Heading"/>
    <w:basedOn w:val="2"/>
    <w:next w:val="1"/>
    <w:unhideWhenUsed/>
    <w:qFormat/>
    <w:uiPriority w:val="39"/>
    <w:pPr>
      <w:keepNext/>
      <w:keepLines/>
      <w:spacing w:before="240" w:line="259" w:lineRule="auto"/>
      <w:outlineLvl w:val="9"/>
    </w:pPr>
    <w:rPr>
      <w:rFonts w:asciiTheme="majorHAnsi" w:hAnsiTheme="majorHAnsi" w:eastAsiaTheme="majorEastAsia" w:cstheme="majorBidi"/>
      <w:color w:val="376092" w:themeColor="accent1" w:themeShade="BF"/>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174621-AC4A-4E34-BDB0-40604F2FB7AD}">
  <ds:schemaRefs/>
</ds:datastoreItem>
</file>

<file path=docProps/app.xml><?xml version="1.0" encoding="utf-8"?>
<Properties xmlns="http://schemas.openxmlformats.org/officeDocument/2006/extended-properties" xmlns:vt="http://schemas.openxmlformats.org/officeDocument/2006/docPropsVTypes">
  <Template>Normal</Template>
  <Pages>11</Pages>
  <Words>2422</Words>
  <Characters>16318</Characters>
  <Lines>133</Lines>
  <Paragraphs>37</Paragraphs>
  <TotalTime>471</TotalTime>
  <ScaleCrop>false</ScaleCrop>
  <LinksUpToDate>false</LinksUpToDate>
  <CharactersWithSpaces>18679</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2026-07-18T18:28:00Z</dcterms:created>
  <dc:creator>Un-named</dc:creator>
  <cp:lastModifiedBy>Daria K</cp:lastModifiedBy>
  <dcterms:modified xsi:type="dcterms:W3CDTF">2026-08-02T15:36:02Z</dcterms:modified>
  <cp:revision>13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eyJoZGlkIjoiMjY3NDRiMWJiYzE5OGI1YzI4NTNmODI5MjM2MWRiZjMiLCJ1c2VySWQiOiIzNzI4NjkzMDYzMDA3In0=</vt:lpwstr>
  </property>
  <property fmtid="{D5CDD505-2E9C-101B-9397-08002B2CF9AE}" pid="3" name="KSOProductBuildVer">
    <vt:lpwstr>1033-12.1.0.28032</vt:lpwstr>
  </property>
  <property fmtid="{D5CDD505-2E9C-101B-9397-08002B2CF9AE}" pid="4" name="ICV">
    <vt:lpwstr>57BA4C30A729471098F2CD244567B2BA_13</vt:lpwstr>
  </property>
</Properties>
</file>