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0F8A6" w14:textId="77777777" w:rsidR="00856792" w:rsidRDefault="00856792" w:rsidP="00C46BD2">
      <w:pPr>
        <w:spacing w:line="360" w:lineRule="auto"/>
        <w:jc w:val="both"/>
        <w:rPr>
          <w:rFonts w:ascii="Arial" w:hAnsi="Arial" w:cs="Arial"/>
          <w:b/>
          <w:bCs/>
          <w:i/>
          <w:iCs/>
          <w:sz w:val="28"/>
          <w:szCs w:val="28"/>
        </w:rPr>
      </w:pPr>
    </w:p>
    <w:p w14:paraId="52D2EB65" w14:textId="2469B012" w:rsidR="002F2E64" w:rsidRDefault="002F2E64" w:rsidP="00C46BD2">
      <w:pPr>
        <w:spacing w:line="360" w:lineRule="auto"/>
        <w:jc w:val="both"/>
        <w:rPr>
          <w:rFonts w:ascii="ADLaM Display" w:hAnsi="ADLaM Display" w:cs="ADLaM Display"/>
          <w:sz w:val="40"/>
          <w:szCs w:val="40"/>
        </w:rPr>
      </w:pPr>
      <w:r>
        <w:rPr>
          <w:rFonts w:ascii="ADLaM Display" w:hAnsi="ADLaM Display" w:cs="ADLaM Display"/>
          <w:sz w:val="40"/>
          <w:szCs w:val="40"/>
        </w:rPr>
        <w:t xml:space="preserve">           Individual Business Model Canvas </w:t>
      </w:r>
    </w:p>
    <w:p w14:paraId="27053C82" w14:textId="641EB8F6" w:rsidR="002F2E64" w:rsidRDefault="002F2E64" w:rsidP="00C46BD2">
      <w:pPr>
        <w:spacing w:line="360" w:lineRule="auto"/>
        <w:jc w:val="both"/>
        <w:rPr>
          <w:rFonts w:ascii="ADLaM Display" w:hAnsi="ADLaM Display" w:cs="ADLaM Display"/>
          <w:sz w:val="40"/>
          <w:szCs w:val="40"/>
        </w:rPr>
      </w:pPr>
      <w:r>
        <w:rPr>
          <w:rFonts w:ascii="ADLaM Display" w:hAnsi="ADLaM Display" w:cs="ADLaM Display"/>
          <w:sz w:val="40"/>
          <w:szCs w:val="40"/>
        </w:rPr>
        <w:t xml:space="preserve">                                     With</w:t>
      </w:r>
    </w:p>
    <w:p w14:paraId="31E02219" w14:textId="6D976B11" w:rsidR="002F2E64" w:rsidRDefault="002F2E64" w:rsidP="00C46BD2">
      <w:pPr>
        <w:spacing w:line="360" w:lineRule="auto"/>
        <w:jc w:val="both"/>
        <w:rPr>
          <w:rFonts w:ascii="ADLaM Display" w:hAnsi="ADLaM Display" w:cs="ADLaM Display"/>
          <w:sz w:val="40"/>
          <w:szCs w:val="40"/>
        </w:rPr>
      </w:pPr>
      <w:r>
        <w:rPr>
          <w:rFonts w:ascii="ADLaM Display" w:hAnsi="ADLaM Display" w:cs="ADLaM Display"/>
          <w:sz w:val="40"/>
          <w:szCs w:val="40"/>
        </w:rPr>
        <w:t xml:space="preserve">                    Entrepreneurial reflection</w:t>
      </w:r>
    </w:p>
    <w:p w14:paraId="65BC6467" w14:textId="77777777" w:rsidR="002F2E64" w:rsidRDefault="002F2E64" w:rsidP="00C46BD2">
      <w:pPr>
        <w:spacing w:line="360" w:lineRule="auto"/>
        <w:jc w:val="both"/>
        <w:rPr>
          <w:rFonts w:ascii="ADLaM Display" w:hAnsi="ADLaM Display" w:cs="ADLaM Display"/>
          <w:sz w:val="40"/>
          <w:szCs w:val="40"/>
        </w:rPr>
      </w:pPr>
    </w:p>
    <w:p w14:paraId="3C44C3E1" w14:textId="77777777" w:rsidR="002F2E64" w:rsidRDefault="002F2E64" w:rsidP="00C46BD2">
      <w:pPr>
        <w:spacing w:line="360" w:lineRule="auto"/>
        <w:jc w:val="both"/>
        <w:rPr>
          <w:rFonts w:ascii="ADLaM Display" w:hAnsi="ADLaM Display" w:cs="ADLaM Display"/>
          <w:sz w:val="40"/>
          <w:szCs w:val="40"/>
        </w:rPr>
      </w:pPr>
    </w:p>
    <w:p w14:paraId="761AB7DC" w14:textId="483D5C4B" w:rsidR="002F2E64" w:rsidRPr="002F2E64" w:rsidRDefault="002F2E64" w:rsidP="00C46BD2">
      <w:pPr>
        <w:spacing w:line="360" w:lineRule="auto"/>
        <w:jc w:val="both"/>
        <w:rPr>
          <w:rFonts w:ascii="ADLaM Display" w:hAnsi="ADLaM Display" w:cs="ADLaM Display"/>
          <w:sz w:val="32"/>
          <w:szCs w:val="32"/>
        </w:rPr>
      </w:pPr>
      <w:r>
        <w:rPr>
          <w:rFonts w:ascii="ADLaM Display" w:hAnsi="ADLaM Display" w:cs="ADLaM Display"/>
          <w:sz w:val="40"/>
          <w:szCs w:val="40"/>
        </w:rPr>
        <w:t xml:space="preserve">                                                </w:t>
      </w:r>
      <w:r>
        <w:rPr>
          <w:rFonts w:ascii="ADLaM Display" w:hAnsi="ADLaM Display" w:cs="ADLaM Display"/>
          <w:sz w:val="32"/>
          <w:szCs w:val="32"/>
        </w:rPr>
        <w:t>Lavinia Lenuta Siminiuc</w:t>
      </w:r>
    </w:p>
    <w:p w14:paraId="5C15FCBC" w14:textId="5B8B4278" w:rsidR="007F45A1" w:rsidRDefault="002F2E64" w:rsidP="00C46BD2">
      <w:pPr>
        <w:spacing w:line="360" w:lineRule="auto"/>
        <w:jc w:val="both"/>
        <w:rPr>
          <w:rFonts w:ascii="Arial" w:hAnsi="Arial" w:cs="Arial"/>
          <w:b/>
          <w:bCs/>
          <w:i/>
          <w:iCs/>
          <w:sz w:val="28"/>
          <w:szCs w:val="28"/>
        </w:rPr>
      </w:pPr>
      <w:r>
        <w:rPr>
          <w:rFonts w:ascii="Arial" w:hAnsi="Arial" w:cs="Arial"/>
          <w:b/>
          <w:bCs/>
          <w:i/>
          <w:iCs/>
          <w:sz w:val="28"/>
          <w:szCs w:val="28"/>
        </w:rPr>
        <w:t xml:space="preserve">                                                                                2208461</w:t>
      </w:r>
    </w:p>
    <w:p w14:paraId="601CEA1C" w14:textId="067A78B8" w:rsidR="00E357BC" w:rsidRDefault="00E357BC" w:rsidP="00C46BD2">
      <w:pPr>
        <w:spacing w:line="360" w:lineRule="auto"/>
        <w:jc w:val="both"/>
        <w:rPr>
          <w:rFonts w:ascii="Arial" w:hAnsi="Arial" w:cs="Arial"/>
          <w:b/>
          <w:bCs/>
          <w:i/>
          <w:iCs/>
          <w:sz w:val="28"/>
          <w:szCs w:val="28"/>
        </w:rPr>
      </w:pPr>
      <w:r>
        <w:rPr>
          <w:rFonts w:ascii="Arial" w:hAnsi="Arial" w:cs="Arial"/>
          <w:b/>
          <w:bCs/>
          <w:i/>
          <w:iCs/>
          <w:sz w:val="28"/>
          <w:szCs w:val="28"/>
        </w:rPr>
        <w:t xml:space="preserve">                                                                   Entrepreneurship BMIH5001</w:t>
      </w:r>
    </w:p>
    <w:p w14:paraId="7DF84946" w14:textId="38ED9B6A" w:rsidR="00E357BC" w:rsidRDefault="00E357BC" w:rsidP="00C46BD2">
      <w:pPr>
        <w:spacing w:line="360" w:lineRule="auto"/>
        <w:jc w:val="both"/>
        <w:rPr>
          <w:rFonts w:ascii="Arial" w:hAnsi="Arial" w:cs="Arial"/>
          <w:b/>
          <w:bCs/>
          <w:i/>
          <w:iCs/>
          <w:sz w:val="28"/>
          <w:szCs w:val="28"/>
        </w:rPr>
      </w:pPr>
      <w:r>
        <w:rPr>
          <w:rFonts w:ascii="Arial" w:hAnsi="Arial" w:cs="Arial"/>
          <w:b/>
          <w:bCs/>
          <w:i/>
          <w:iCs/>
          <w:sz w:val="28"/>
          <w:szCs w:val="28"/>
        </w:rPr>
        <w:t xml:space="preserve">                                                                             Chris Wilkin</w:t>
      </w:r>
    </w:p>
    <w:p w14:paraId="78E3A45C" w14:textId="71ADCFA1" w:rsidR="00E357BC" w:rsidRDefault="00E357BC" w:rsidP="00C46BD2">
      <w:pPr>
        <w:spacing w:line="360" w:lineRule="auto"/>
        <w:jc w:val="both"/>
        <w:rPr>
          <w:rFonts w:ascii="Arial" w:hAnsi="Arial" w:cs="Arial"/>
          <w:b/>
          <w:bCs/>
          <w:i/>
          <w:iCs/>
          <w:sz w:val="28"/>
          <w:szCs w:val="28"/>
        </w:rPr>
      </w:pPr>
      <w:r>
        <w:rPr>
          <w:rFonts w:ascii="Arial" w:hAnsi="Arial" w:cs="Arial"/>
          <w:b/>
          <w:bCs/>
          <w:i/>
          <w:iCs/>
          <w:sz w:val="28"/>
          <w:szCs w:val="28"/>
        </w:rPr>
        <w:t xml:space="preserve">                                                                     Word count:1988</w:t>
      </w:r>
    </w:p>
    <w:p w14:paraId="1EEC5AB4" w14:textId="77777777" w:rsidR="007F45A1" w:rsidRDefault="007F45A1" w:rsidP="00C46BD2">
      <w:pPr>
        <w:spacing w:line="360" w:lineRule="auto"/>
        <w:jc w:val="both"/>
        <w:rPr>
          <w:rFonts w:ascii="Arial" w:hAnsi="Arial" w:cs="Arial"/>
          <w:b/>
          <w:bCs/>
          <w:i/>
          <w:iCs/>
          <w:sz w:val="28"/>
          <w:szCs w:val="28"/>
        </w:rPr>
      </w:pPr>
    </w:p>
    <w:p w14:paraId="4BFE2FF6" w14:textId="77777777" w:rsidR="007F45A1" w:rsidRDefault="007F45A1" w:rsidP="00C46BD2">
      <w:pPr>
        <w:spacing w:line="360" w:lineRule="auto"/>
        <w:jc w:val="both"/>
        <w:rPr>
          <w:rFonts w:ascii="Arial" w:hAnsi="Arial" w:cs="Arial"/>
          <w:b/>
          <w:bCs/>
          <w:i/>
          <w:iCs/>
          <w:sz w:val="28"/>
          <w:szCs w:val="28"/>
        </w:rPr>
      </w:pPr>
    </w:p>
    <w:p w14:paraId="4268DB5B" w14:textId="77777777" w:rsidR="007F45A1" w:rsidRDefault="007F45A1" w:rsidP="00C46BD2">
      <w:pPr>
        <w:spacing w:line="360" w:lineRule="auto"/>
        <w:jc w:val="both"/>
        <w:rPr>
          <w:rFonts w:ascii="Arial" w:hAnsi="Arial" w:cs="Arial"/>
          <w:b/>
          <w:bCs/>
          <w:i/>
          <w:iCs/>
          <w:sz w:val="28"/>
          <w:szCs w:val="28"/>
        </w:rPr>
      </w:pPr>
    </w:p>
    <w:p w14:paraId="5572C5A4" w14:textId="77777777" w:rsidR="007F45A1" w:rsidRDefault="007F45A1" w:rsidP="00C46BD2">
      <w:pPr>
        <w:spacing w:line="360" w:lineRule="auto"/>
        <w:jc w:val="both"/>
        <w:rPr>
          <w:rFonts w:ascii="Arial" w:hAnsi="Arial" w:cs="Arial"/>
          <w:b/>
          <w:bCs/>
          <w:i/>
          <w:iCs/>
          <w:sz w:val="28"/>
          <w:szCs w:val="28"/>
        </w:rPr>
      </w:pPr>
    </w:p>
    <w:p w14:paraId="52856B26" w14:textId="77777777" w:rsidR="007F45A1" w:rsidRDefault="007F45A1" w:rsidP="00C46BD2">
      <w:pPr>
        <w:spacing w:line="360" w:lineRule="auto"/>
        <w:jc w:val="both"/>
        <w:rPr>
          <w:rFonts w:ascii="Arial" w:hAnsi="Arial" w:cs="Arial"/>
          <w:b/>
          <w:bCs/>
          <w:i/>
          <w:iCs/>
          <w:sz w:val="28"/>
          <w:szCs w:val="28"/>
        </w:rPr>
      </w:pPr>
    </w:p>
    <w:p w14:paraId="50191B10" w14:textId="77777777" w:rsidR="007F45A1" w:rsidRDefault="007F45A1" w:rsidP="00C46BD2">
      <w:pPr>
        <w:spacing w:line="360" w:lineRule="auto"/>
        <w:jc w:val="both"/>
        <w:rPr>
          <w:rFonts w:ascii="Arial" w:hAnsi="Arial" w:cs="Arial"/>
          <w:b/>
          <w:bCs/>
          <w:i/>
          <w:iCs/>
          <w:sz w:val="28"/>
          <w:szCs w:val="28"/>
        </w:rPr>
      </w:pPr>
    </w:p>
    <w:p w14:paraId="459AA3BC" w14:textId="77777777" w:rsidR="007F45A1" w:rsidRDefault="007F45A1" w:rsidP="00C46BD2">
      <w:pPr>
        <w:spacing w:line="360" w:lineRule="auto"/>
        <w:jc w:val="both"/>
        <w:rPr>
          <w:rFonts w:ascii="Arial" w:hAnsi="Arial" w:cs="Arial"/>
          <w:b/>
          <w:bCs/>
          <w:i/>
          <w:iCs/>
          <w:sz w:val="28"/>
          <w:szCs w:val="28"/>
        </w:rPr>
      </w:pPr>
    </w:p>
    <w:p w14:paraId="7796784E" w14:textId="6DCF208F" w:rsidR="00E008EA" w:rsidRPr="0078129A" w:rsidRDefault="00E008EA" w:rsidP="00C46BD2">
      <w:pPr>
        <w:spacing w:line="360" w:lineRule="auto"/>
        <w:jc w:val="both"/>
        <w:rPr>
          <w:rFonts w:ascii="Arial" w:hAnsi="Arial" w:cs="Arial"/>
          <w:b/>
          <w:bCs/>
          <w:i/>
          <w:iCs/>
          <w:sz w:val="28"/>
          <w:szCs w:val="28"/>
        </w:rPr>
      </w:pPr>
      <w:r w:rsidRPr="0078129A">
        <w:rPr>
          <w:rFonts w:ascii="Arial" w:hAnsi="Arial" w:cs="Arial"/>
          <w:b/>
          <w:bCs/>
          <w:i/>
          <w:iCs/>
          <w:sz w:val="28"/>
          <w:szCs w:val="28"/>
        </w:rPr>
        <w:lastRenderedPageBreak/>
        <w:tab/>
        <w:t>Part 1</w:t>
      </w:r>
    </w:p>
    <w:p w14:paraId="5A1DC628" w14:textId="38D251BC" w:rsidR="00C46BD2" w:rsidRPr="00C46BD2" w:rsidRDefault="00C46BD2" w:rsidP="00C46BD2">
      <w:pPr>
        <w:spacing w:line="360" w:lineRule="auto"/>
        <w:jc w:val="both"/>
        <w:rPr>
          <w:rFonts w:ascii="Arial" w:hAnsi="Arial" w:cs="Arial"/>
          <w:b/>
          <w:bCs/>
          <w:sz w:val="24"/>
          <w:szCs w:val="24"/>
        </w:rPr>
      </w:pPr>
      <w:r w:rsidRPr="00C46BD2">
        <w:rPr>
          <w:rFonts w:ascii="Arial" w:hAnsi="Arial" w:cs="Arial"/>
          <w:b/>
          <w:bCs/>
          <w:sz w:val="24"/>
          <w:szCs w:val="24"/>
        </w:rPr>
        <w:t>Business Model Canvas Analysis and Entrepreneurial Reflection for EduPlay Retreat</w:t>
      </w:r>
    </w:p>
    <w:p w14:paraId="417B034A" w14:textId="77777777" w:rsidR="002968AC" w:rsidRDefault="002968AC" w:rsidP="002C28EF">
      <w:pPr>
        <w:spacing w:line="360" w:lineRule="auto"/>
        <w:jc w:val="both"/>
        <w:rPr>
          <w:rFonts w:ascii="Arial" w:hAnsi="Arial" w:cs="Arial"/>
          <w:sz w:val="24"/>
          <w:szCs w:val="24"/>
        </w:rPr>
      </w:pPr>
      <w:r w:rsidRPr="002968AC">
        <w:rPr>
          <w:rFonts w:ascii="Arial" w:hAnsi="Arial" w:cs="Arial"/>
          <w:sz w:val="24"/>
          <w:szCs w:val="24"/>
        </w:rPr>
        <w:t>EduPlay Retreat, located at the intersection of innovation and sustainability in the hospitality sector, is a shining example of modern family entertainment, effortlessly integrating educational development with recreation. This ground-breaking venture caters to a growing market of environmentally conscious families by providing a unique combination of interactive, digital learning experiences and traditional play, all in an eco-friendly setting. This essay will carefully examine EduPlay Retreat's Business Model Canvas (BMC), defining its unique value proposition and how it differs from conventional offerings in the competitive landscape. Through an in-depth analysis, we will uncover the strategic elements that distinguish EduPlay Retreat as a pioneer of eco-friendly, educational hospitality, setting a new standard for family-oriented ventures.</w:t>
      </w:r>
    </w:p>
    <w:p w14:paraId="5D5F0C37" w14:textId="192A85F8" w:rsidR="00046914" w:rsidRPr="00046914" w:rsidRDefault="00046914" w:rsidP="00046914">
      <w:pPr>
        <w:spacing w:line="360" w:lineRule="auto"/>
        <w:jc w:val="both"/>
        <w:rPr>
          <w:rFonts w:ascii="Arial" w:hAnsi="Arial" w:cs="Arial"/>
          <w:sz w:val="24"/>
          <w:szCs w:val="24"/>
        </w:rPr>
      </w:pPr>
      <w:r w:rsidRPr="00046914">
        <w:rPr>
          <w:rFonts w:ascii="Arial" w:hAnsi="Arial" w:cs="Arial"/>
          <w:sz w:val="24"/>
          <w:szCs w:val="24"/>
        </w:rPr>
        <w:t>The EduPlay Retreat provides a unique value proposition in the London hospitality industry, catering primarily to environmentally conscious families. It combines play, learning, and relaxation in an environmentally friendly setting, similar to Costa Rica's Greentique Hotels (Elko, C., 2021). Unlike Flipout UK, which is known for its expansive trampoline and soft play areas geared towards active fun, EduPlay Retreat incorporates a comprehensive educational component into its entertainment offerings.</w:t>
      </w:r>
    </w:p>
    <w:p w14:paraId="05990FFD" w14:textId="5F453E2A" w:rsidR="00046914" w:rsidRPr="00046914" w:rsidRDefault="00046914" w:rsidP="00046914">
      <w:pPr>
        <w:spacing w:line="360" w:lineRule="auto"/>
        <w:jc w:val="both"/>
        <w:rPr>
          <w:rFonts w:ascii="Arial" w:hAnsi="Arial" w:cs="Arial"/>
          <w:sz w:val="24"/>
          <w:szCs w:val="24"/>
        </w:rPr>
      </w:pPr>
      <w:r w:rsidRPr="00046914">
        <w:rPr>
          <w:rFonts w:ascii="Arial" w:hAnsi="Arial" w:cs="Arial"/>
          <w:sz w:val="24"/>
          <w:szCs w:val="24"/>
        </w:rPr>
        <w:t>EduPlay Retreat is defined by its sophisticated combination of physical and digital experiences. It includes a parent lounge with views of the children's play area, which addresses the need for parents to relax while keeping an eye on their children (Healy et al., 2019). The organic café, which may be supplied by local organic farms such as the Culpeper Community Garden, provides nutritionally rich meals and serves as an educational platform, promoting sustainable eating through menus curated from locally sourced ingredients (Stalmirska, 2021).</w:t>
      </w:r>
    </w:p>
    <w:p w14:paraId="13B97269" w14:textId="47D3D452" w:rsidR="00046914" w:rsidRPr="00046914" w:rsidRDefault="00046914" w:rsidP="00046914">
      <w:pPr>
        <w:spacing w:line="360" w:lineRule="auto"/>
        <w:jc w:val="both"/>
        <w:rPr>
          <w:rFonts w:ascii="Arial" w:hAnsi="Arial" w:cs="Arial"/>
          <w:sz w:val="24"/>
          <w:szCs w:val="24"/>
        </w:rPr>
      </w:pPr>
      <w:r w:rsidRPr="00046914">
        <w:rPr>
          <w:rFonts w:ascii="Arial" w:hAnsi="Arial" w:cs="Arial"/>
          <w:sz w:val="24"/>
          <w:szCs w:val="24"/>
        </w:rPr>
        <w:t xml:space="preserve">EduPlay's educational programmes are led by certified educators from institutions such as the University College London Institute of Education and include virtual ecological courses, interactive museum tours, and story sessions. These offerings are bolstered by </w:t>
      </w:r>
      <w:r w:rsidRPr="00046914">
        <w:rPr>
          <w:rFonts w:ascii="Arial" w:hAnsi="Arial" w:cs="Arial"/>
          <w:sz w:val="24"/>
          <w:szCs w:val="24"/>
        </w:rPr>
        <w:lastRenderedPageBreak/>
        <w:t>collaborations with non-governmental organisations (NGOs) such as the London Wildlife Trust, which connect children with the environment outside of the digital realm. The playground uses safe, sustainable materials for different age groups, a nod to Little et al.'s (2010) research, to ensure a dynamic, interactive educational experience.</w:t>
      </w:r>
    </w:p>
    <w:p w14:paraId="22020B90" w14:textId="45070196" w:rsidR="00046914" w:rsidRPr="00046914" w:rsidRDefault="00046914" w:rsidP="00046914">
      <w:pPr>
        <w:spacing w:line="360" w:lineRule="auto"/>
        <w:jc w:val="both"/>
        <w:rPr>
          <w:rFonts w:ascii="Arial" w:hAnsi="Arial" w:cs="Arial"/>
          <w:sz w:val="24"/>
          <w:szCs w:val="24"/>
        </w:rPr>
      </w:pPr>
      <w:r w:rsidRPr="00046914">
        <w:rPr>
          <w:rFonts w:ascii="Arial" w:hAnsi="Arial" w:cs="Arial"/>
          <w:sz w:val="24"/>
          <w:szCs w:val="24"/>
        </w:rPr>
        <w:t>Sustainable dining is central to EduPlay Retreat's operations. Cooking workshops may include organic produce from Spitalfields City Farm, teaching families to make environmentally conscious decisions (Thomas-Francois et al., 2017). This multifaceted approach to dining sets the retreat apart from competitors.</w:t>
      </w:r>
    </w:p>
    <w:p w14:paraId="7B88BB05" w14:textId="5A2DFCA3" w:rsidR="00046914" w:rsidRPr="00046914" w:rsidRDefault="00046914" w:rsidP="00046914">
      <w:pPr>
        <w:spacing w:line="360" w:lineRule="auto"/>
        <w:jc w:val="both"/>
        <w:rPr>
          <w:rFonts w:ascii="Arial" w:hAnsi="Arial" w:cs="Arial"/>
          <w:sz w:val="24"/>
          <w:szCs w:val="24"/>
        </w:rPr>
      </w:pPr>
      <w:r w:rsidRPr="00046914">
        <w:rPr>
          <w:rFonts w:ascii="Arial" w:hAnsi="Arial" w:cs="Arial"/>
          <w:sz w:val="24"/>
          <w:szCs w:val="24"/>
        </w:rPr>
        <w:t>Community engagement is critical, with EduPlay partnering with local organisations such as Hackney City Farm for organic food supplies and hosting recycling workshops, possibly in collaboration with Friends of the Earth England, Wales, and Northern Ireland. Such collaborations demonstrate EduPlay's dedication to instilling lasting values in the community (Thomas-Francois et al., 2017; Wiltshier and Clarke, 2019).</w:t>
      </w:r>
    </w:p>
    <w:p w14:paraId="6F663F98" w14:textId="44767900" w:rsidR="00046914" w:rsidRPr="00046914" w:rsidRDefault="00046914" w:rsidP="00046914">
      <w:pPr>
        <w:spacing w:line="360" w:lineRule="auto"/>
        <w:jc w:val="both"/>
        <w:rPr>
          <w:rFonts w:ascii="Arial" w:hAnsi="Arial" w:cs="Arial"/>
          <w:sz w:val="24"/>
          <w:szCs w:val="24"/>
        </w:rPr>
      </w:pPr>
      <w:r w:rsidRPr="00046914">
        <w:rPr>
          <w:rFonts w:ascii="Arial" w:hAnsi="Arial" w:cs="Arial"/>
          <w:sz w:val="24"/>
          <w:szCs w:val="24"/>
        </w:rPr>
        <w:t>Technologically, EduPlay Retreat stands out with interactive displays and touchscreens for educational games, as well as an online reservation system, demonstrating a commitment to innovation that differs from Flipout UK's primary physical play focus.</w:t>
      </w:r>
    </w:p>
    <w:p w14:paraId="369F9A8A" w14:textId="50D929AA" w:rsidR="00046914" w:rsidRPr="00046914" w:rsidRDefault="00046914" w:rsidP="00046914">
      <w:pPr>
        <w:spacing w:line="360" w:lineRule="auto"/>
        <w:jc w:val="both"/>
        <w:rPr>
          <w:rFonts w:ascii="Arial" w:hAnsi="Arial" w:cs="Arial"/>
          <w:sz w:val="24"/>
          <w:szCs w:val="24"/>
        </w:rPr>
      </w:pPr>
      <w:r w:rsidRPr="00046914">
        <w:rPr>
          <w:rFonts w:ascii="Arial" w:hAnsi="Arial" w:cs="Arial"/>
          <w:sz w:val="24"/>
          <w:szCs w:val="24"/>
        </w:rPr>
        <w:t>Marketing strategies focus on parents' everyday needs, with social media campaigns emphasising activities and educational content. Collaborations with schools, such as Eden Primary School, and environmental organisations help EduPlay make a greater impact in the community.</w:t>
      </w:r>
    </w:p>
    <w:p w14:paraId="5BE8BF03" w14:textId="77777777" w:rsidR="00046914" w:rsidRDefault="00046914" w:rsidP="00046914">
      <w:pPr>
        <w:spacing w:line="360" w:lineRule="auto"/>
        <w:jc w:val="both"/>
        <w:rPr>
          <w:rFonts w:ascii="Arial" w:hAnsi="Arial" w:cs="Arial"/>
          <w:sz w:val="24"/>
          <w:szCs w:val="24"/>
        </w:rPr>
      </w:pPr>
      <w:r w:rsidRPr="00046914">
        <w:rPr>
          <w:rFonts w:ascii="Arial" w:hAnsi="Arial" w:cs="Arial"/>
          <w:sz w:val="24"/>
          <w:szCs w:val="24"/>
        </w:rPr>
        <w:t>In summary, EduPlay Retreat's value proposition is its ability to provide an immersive, environmentally friendly experience that educates and engages families. It successfully integrates sustainable practices with digital learning and community involvement, establishing itself as a pioneer in eco-conscious hospitality and providing a rich experience that goes beyond traditional play centres.</w:t>
      </w:r>
    </w:p>
    <w:p w14:paraId="6C2FDF8A" w14:textId="77777777" w:rsidR="00046914" w:rsidRDefault="00046914" w:rsidP="00046914">
      <w:pPr>
        <w:spacing w:line="360" w:lineRule="auto"/>
        <w:jc w:val="both"/>
        <w:rPr>
          <w:rFonts w:ascii="Arial" w:hAnsi="Arial" w:cs="Arial"/>
          <w:sz w:val="24"/>
          <w:szCs w:val="24"/>
        </w:rPr>
      </w:pPr>
    </w:p>
    <w:p w14:paraId="2F82B850" w14:textId="77777777" w:rsidR="009F25DC" w:rsidRDefault="009F25DC" w:rsidP="00BE1231">
      <w:pPr>
        <w:spacing w:line="360" w:lineRule="auto"/>
        <w:jc w:val="both"/>
        <w:rPr>
          <w:rFonts w:ascii="Arial" w:hAnsi="Arial" w:cs="Arial"/>
          <w:sz w:val="24"/>
          <w:szCs w:val="24"/>
        </w:rPr>
      </w:pPr>
      <w:r w:rsidRPr="009F25DC">
        <w:rPr>
          <w:rFonts w:ascii="Arial" w:hAnsi="Arial" w:cs="Arial"/>
          <w:sz w:val="24"/>
          <w:szCs w:val="24"/>
        </w:rPr>
        <w:t xml:space="preserve">EduPlay Retreat distinguishes itself in the competitive landscape through its effective use of technology, as emphasised by Knudsen et al. (2021). Unlike Flipout UK, which focuses </w:t>
      </w:r>
      <w:r w:rsidRPr="009F25DC">
        <w:rPr>
          <w:rFonts w:ascii="Arial" w:hAnsi="Arial" w:cs="Arial"/>
          <w:sz w:val="24"/>
          <w:szCs w:val="24"/>
        </w:rPr>
        <w:lastRenderedPageBreak/>
        <w:t>on physical activity, EduPlay Retreat combines eco-friendly play with a digital learning environment, including interactive displays and games that promote environmental awareness. This integration attracts tech-savvy parents looking for a comprehensive developmental environment for their children, giving them a competitive advantage over others such as GreenKids Inc. The convenience of EduPlay's online reservation system, as highlighted by Stylos et al. (2021), demonstrates a customer-centric approach that enhances its appeal, putting it ahead of GreenKids Inc. and similar competitors who may lack such extensive digital offerings.</w:t>
      </w:r>
    </w:p>
    <w:p w14:paraId="6A226A2D" w14:textId="35ADD202" w:rsidR="00995B68" w:rsidRPr="00995B68" w:rsidRDefault="000B1EC6" w:rsidP="00995B68">
      <w:pPr>
        <w:spacing w:line="360" w:lineRule="auto"/>
        <w:jc w:val="both"/>
        <w:rPr>
          <w:rFonts w:ascii="Arial" w:hAnsi="Arial" w:cs="Arial"/>
          <w:sz w:val="24"/>
          <w:szCs w:val="24"/>
        </w:rPr>
      </w:pPr>
      <w:r w:rsidRPr="000B1EC6">
        <w:rPr>
          <w:rFonts w:ascii="Arial" w:hAnsi="Arial" w:cs="Arial"/>
          <w:sz w:val="24"/>
          <w:szCs w:val="24"/>
        </w:rPr>
        <w:br/>
      </w:r>
      <w:r w:rsidR="00995B68" w:rsidRPr="00995B68">
        <w:rPr>
          <w:rFonts w:ascii="Arial" w:hAnsi="Arial" w:cs="Arial"/>
          <w:sz w:val="24"/>
          <w:szCs w:val="24"/>
        </w:rPr>
        <w:t>EduPlay Retreat's model of eco-conscious fun and learning is based on collaborations with key partners like Spitalfields City Farm and EdTech innovators like Kahoot!, resulting in a rich tapestry of experiences that are both sustainable and educational. This collaboration provides not only the freshest organic produce for the retreat's farm-to-table dining experience, which aligns with Scheyvens and Laeis' (2022) insights on sustainable tourism but also a suite of cutting-edge digital learning tools that elevate the educational experience in accordance with Passig et al. (2016).</w:t>
      </w:r>
    </w:p>
    <w:p w14:paraId="4550407A" w14:textId="77777777" w:rsidR="00995B68" w:rsidRPr="00995B68" w:rsidRDefault="00995B68" w:rsidP="00995B68">
      <w:pPr>
        <w:spacing w:line="360" w:lineRule="auto"/>
        <w:jc w:val="both"/>
        <w:rPr>
          <w:rFonts w:ascii="Arial" w:hAnsi="Arial" w:cs="Arial"/>
          <w:sz w:val="24"/>
          <w:szCs w:val="24"/>
        </w:rPr>
      </w:pPr>
      <w:r w:rsidRPr="00995B68">
        <w:rPr>
          <w:rFonts w:ascii="Arial" w:hAnsi="Arial" w:cs="Arial"/>
          <w:sz w:val="24"/>
          <w:szCs w:val="24"/>
        </w:rPr>
        <w:t>At the heart of EduPlay's offerings is a dynamic interactive playground where physical activity combines with the immersive world of digital learning. This one-of-a-kind space exemplifies Caiola et al.'s (2023) concepts by making sustainability engagement as entertaining as it is informative. The retreat's infrastructure is supported by a strong digital backbone provided by companies such as Cisco Systems, allowing for a diverse range of interactive content and ensuring the seamless delivery of educational programmes.</w:t>
      </w:r>
    </w:p>
    <w:p w14:paraId="32C65306" w14:textId="77777777" w:rsidR="00995B68" w:rsidRPr="00995B68" w:rsidRDefault="00995B68" w:rsidP="00995B68">
      <w:pPr>
        <w:spacing w:line="360" w:lineRule="auto"/>
        <w:jc w:val="both"/>
        <w:rPr>
          <w:rFonts w:ascii="Arial" w:hAnsi="Arial" w:cs="Arial"/>
          <w:color w:val="FF0000"/>
          <w:sz w:val="24"/>
          <w:szCs w:val="24"/>
        </w:rPr>
      </w:pPr>
      <w:r w:rsidRPr="00995B68">
        <w:rPr>
          <w:rFonts w:ascii="Arial" w:hAnsi="Arial" w:cs="Arial"/>
          <w:sz w:val="24"/>
          <w:szCs w:val="24"/>
        </w:rPr>
        <w:t>The staff's expertise, as trained by organisations such as the Institute for Environmental Learning, is critical in curating these one-of-a-kind experiences. Their role is critical, not only in facilitating activities, but also in embodying the retreat's eco-friendly ethos, thereby realising Seraphin and Yallop's (2020) vision of comprehensive eco-friendly educational services.</w:t>
      </w:r>
    </w:p>
    <w:p w14:paraId="0039B714" w14:textId="7FB4469E" w:rsidR="000B1EC6" w:rsidRPr="00017A4C" w:rsidRDefault="00995B68" w:rsidP="00995B68">
      <w:pPr>
        <w:spacing w:line="360" w:lineRule="auto"/>
        <w:jc w:val="both"/>
        <w:rPr>
          <w:rFonts w:ascii="Arial" w:hAnsi="Arial" w:cs="Arial"/>
          <w:sz w:val="24"/>
          <w:szCs w:val="24"/>
        </w:rPr>
      </w:pPr>
      <w:r w:rsidRPr="00017A4C">
        <w:rPr>
          <w:rFonts w:ascii="Arial" w:hAnsi="Arial" w:cs="Arial"/>
          <w:sz w:val="24"/>
          <w:szCs w:val="24"/>
        </w:rPr>
        <w:t xml:space="preserve">EduPlay Retreat's commitment to sustainability extends beyond education by incorporating eco-friendly practices into its operations, such as the use of renewable energy from Octopus Energy and waste reduction strategies in collaboration with local </w:t>
      </w:r>
      <w:r w:rsidRPr="00017A4C">
        <w:rPr>
          <w:rFonts w:ascii="Arial" w:hAnsi="Arial" w:cs="Arial"/>
          <w:sz w:val="24"/>
          <w:szCs w:val="24"/>
        </w:rPr>
        <w:lastRenderedPageBreak/>
        <w:t>recycling initiatives like London Recycling. Every aspect of EduPlay's operational model, from educational activities to environmental practices, reinforces the company's position as a leader in providing sustainable, educational, and enjoyable experiences</w:t>
      </w:r>
      <w:r w:rsidR="00367979" w:rsidRPr="00017A4C">
        <w:rPr>
          <w:rFonts w:ascii="Arial" w:hAnsi="Arial" w:cs="Arial"/>
          <w:sz w:val="24"/>
          <w:szCs w:val="24"/>
        </w:rPr>
        <w:t xml:space="preserve"> (</w:t>
      </w:r>
      <w:r w:rsidR="0065628D" w:rsidRPr="00017A4C">
        <w:rPr>
          <w:rFonts w:ascii="Arial" w:hAnsi="Arial" w:cs="Arial"/>
          <w:sz w:val="24"/>
          <w:szCs w:val="24"/>
        </w:rPr>
        <w:t>RICS</w:t>
      </w:r>
      <w:r w:rsidR="00692CBD" w:rsidRPr="00017A4C">
        <w:rPr>
          <w:rFonts w:ascii="Arial" w:hAnsi="Arial" w:cs="Arial"/>
          <w:sz w:val="24"/>
          <w:szCs w:val="24"/>
        </w:rPr>
        <w:t xml:space="preserve">, </w:t>
      </w:r>
      <w:r w:rsidR="0065628D" w:rsidRPr="00017A4C">
        <w:rPr>
          <w:rFonts w:ascii="Arial" w:hAnsi="Arial" w:cs="Arial"/>
          <w:sz w:val="24"/>
          <w:szCs w:val="24"/>
        </w:rPr>
        <w:t>2023</w:t>
      </w:r>
      <w:r w:rsidR="00692CBD" w:rsidRPr="00017A4C">
        <w:rPr>
          <w:rFonts w:ascii="Arial" w:hAnsi="Arial" w:cs="Arial"/>
          <w:sz w:val="24"/>
          <w:szCs w:val="24"/>
        </w:rPr>
        <w:t>)</w:t>
      </w:r>
    </w:p>
    <w:p w14:paraId="7850C3F6" w14:textId="1B84ABCD" w:rsidR="00C92C41" w:rsidRPr="00C92C41" w:rsidRDefault="00C92C41" w:rsidP="00C92C41">
      <w:pPr>
        <w:spacing w:line="360" w:lineRule="auto"/>
        <w:jc w:val="both"/>
        <w:rPr>
          <w:rFonts w:ascii="Arial" w:hAnsi="Arial" w:cs="Arial"/>
          <w:sz w:val="24"/>
          <w:szCs w:val="24"/>
        </w:rPr>
      </w:pPr>
      <w:r w:rsidRPr="00C92C41">
        <w:rPr>
          <w:rFonts w:ascii="Arial" w:hAnsi="Arial" w:cs="Arial"/>
          <w:sz w:val="24"/>
          <w:szCs w:val="24"/>
        </w:rPr>
        <w:t>EduPlay Retreat aligns its customer engagement with Flipout UK's digital prowess, targeting a primary audience of 25-34-year-olds, the largest age group of visitors to Flipout's website, and catering to a nearly balanced gender distribution with a slight female majority (SimilarWeb). This understanding underpins EduPlay's channels and customer relationships, ensuring that the retreat's offerings appeal to a tech-savvy demographic that values environmentally conscious living and digital convenience.</w:t>
      </w:r>
    </w:p>
    <w:p w14:paraId="78BE6794" w14:textId="0E5C4612" w:rsidR="00C92C41" w:rsidRPr="00C92C41" w:rsidRDefault="00C92C41" w:rsidP="00C92C41">
      <w:pPr>
        <w:spacing w:line="360" w:lineRule="auto"/>
        <w:jc w:val="both"/>
        <w:rPr>
          <w:rFonts w:ascii="Arial" w:hAnsi="Arial" w:cs="Arial"/>
          <w:sz w:val="24"/>
          <w:szCs w:val="24"/>
        </w:rPr>
      </w:pPr>
      <w:r w:rsidRPr="00C92C41">
        <w:rPr>
          <w:rFonts w:ascii="Arial" w:hAnsi="Arial" w:cs="Arial"/>
          <w:sz w:val="24"/>
          <w:szCs w:val="24"/>
        </w:rPr>
        <w:t>In terms of digital channels, EduPlay Retreat takes a proactive approach, leveraging social media networks—where Flipout's audience is also active—to foster community and share its sustainability ethos. This is evident in their use of Google tools and apps for targeted marketing and customer interaction, leveraging their audience's preferred platforms, as indicated by Flipout's audience interest in Google-related services (SimilarWeb). EduPlay's online platform acts as a portal for immersive virtual tours and interactive events, improving customer relations by providing personalised experiences and promoting a loyalty programme that rewards environmentally friendly choices.</w:t>
      </w:r>
    </w:p>
    <w:p w14:paraId="7FAFA1FE" w14:textId="207DF74B" w:rsidR="007239B7" w:rsidRPr="002231B6" w:rsidRDefault="00C92C41" w:rsidP="008B0B00">
      <w:pPr>
        <w:spacing w:line="360" w:lineRule="auto"/>
        <w:jc w:val="both"/>
        <w:rPr>
          <w:rFonts w:ascii="Arial" w:hAnsi="Arial" w:cs="Arial"/>
          <w:sz w:val="24"/>
          <w:szCs w:val="24"/>
        </w:rPr>
      </w:pPr>
      <w:r w:rsidRPr="00C92C41">
        <w:rPr>
          <w:rFonts w:ascii="Arial" w:hAnsi="Arial" w:cs="Arial"/>
          <w:sz w:val="24"/>
          <w:szCs w:val="24"/>
        </w:rPr>
        <w:t>EduPlay Retreat transforms its clients from passive consumers to active community members by engaging them with personalised educational content via digital platforms. This approach is reinforced by the retreat's strategic use of online marketing for promotions and updates, which mirrors the digital footprint of Flipout's clients who use social media and search engines, according to SimilarWeb data. Through these channels, EduPlay successfully cultivates a united front with its guests, bolstering the commitment to a sustainable future and embodying Koo et al.'s (2020) customer-centric innovation.</w:t>
      </w:r>
    </w:p>
    <w:p w14:paraId="1D1F511F" w14:textId="59F8F0A8" w:rsidR="00AF4DE6" w:rsidRPr="00AF4DE6" w:rsidRDefault="00AF4DE6" w:rsidP="00AF4DE6">
      <w:pPr>
        <w:spacing w:line="360" w:lineRule="auto"/>
        <w:jc w:val="both"/>
        <w:rPr>
          <w:rFonts w:ascii="Arial" w:hAnsi="Arial" w:cs="Arial"/>
          <w:sz w:val="24"/>
          <w:szCs w:val="24"/>
        </w:rPr>
      </w:pPr>
      <w:r w:rsidRPr="00AF4DE6">
        <w:rPr>
          <w:rFonts w:ascii="Arial" w:hAnsi="Arial" w:cs="Arial"/>
          <w:sz w:val="24"/>
          <w:szCs w:val="24"/>
        </w:rPr>
        <w:t xml:space="preserve">EduPlay Retreat's cost structure is meticulously designed, incorporating both fixed and variable costs to lay a solid financial foundation. The initial investment is aimed at developing green infrastructure, sourcing materials from environmentally conscious partners such as The Recycled Plastic Lumber Company for playground construction, and implementing renewable energy solutions from companies such as Eco Energy </w:t>
      </w:r>
      <w:r w:rsidRPr="00AF4DE6">
        <w:rPr>
          <w:rFonts w:ascii="Arial" w:hAnsi="Arial" w:cs="Arial"/>
          <w:sz w:val="24"/>
          <w:szCs w:val="24"/>
        </w:rPr>
        <w:lastRenderedPageBreak/>
        <w:t>World. Operational expenses cover the salaries of employees, including experts in early childhood education and environmental science, ensuring high-quality service. Solar panels from Solarcentury and rainwater harvesting systems reduce utility expenses, aligning with the sustainability model outlined by Hossain et al. (2020) and Şevik and Aktaş (2022). Additionally, maintenance costs ensure the longevity of eco-friendly materials and cutting-edge digital equipment.</w:t>
      </w:r>
    </w:p>
    <w:p w14:paraId="735C021E" w14:textId="0EBDF246" w:rsidR="00AF4DE6" w:rsidRPr="00AF4DE6" w:rsidRDefault="00AF4DE6" w:rsidP="00AF4DE6">
      <w:pPr>
        <w:spacing w:line="360" w:lineRule="auto"/>
        <w:jc w:val="both"/>
        <w:rPr>
          <w:rFonts w:ascii="Arial" w:hAnsi="Arial" w:cs="Arial"/>
          <w:sz w:val="24"/>
          <w:szCs w:val="24"/>
        </w:rPr>
      </w:pPr>
      <w:r w:rsidRPr="00AF4DE6">
        <w:rPr>
          <w:rFonts w:ascii="Arial" w:hAnsi="Arial" w:cs="Arial"/>
          <w:sz w:val="24"/>
          <w:szCs w:val="24"/>
        </w:rPr>
        <w:t>EduPlay's revenue streams are incredibly diverse. Entry fees encourage immediate patronage, whereas memberships provide families with value-added benefits, reflecting Frohmann's (2023) approach to customer loyalty. The retreat's organic café, which may source from local farms such as Freightliners Farm, not only generates revenue but also promotes EduPlay's environmentally conscious ethos, as detailed by Graca et al. (2023). These streams, combined with additional revenue from special events, workshops, and educational content subscriptions, provide a consistent cash flow.</w:t>
      </w:r>
    </w:p>
    <w:p w14:paraId="114D42E8" w14:textId="77777777" w:rsidR="00AF4DE6" w:rsidRDefault="00AF4DE6" w:rsidP="00AF4DE6">
      <w:pPr>
        <w:spacing w:line="360" w:lineRule="auto"/>
        <w:jc w:val="both"/>
        <w:rPr>
          <w:rFonts w:ascii="Arial" w:hAnsi="Arial" w:cs="Arial"/>
          <w:sz w:val="24"/>
          <w:szCs w:val="24"/>
        </w:rPr>
      </w:pPr>
      <w:r w:rsidRPr="00AF4DE6">
        <w:rPr>
          <w:rFonts w:ascii="Arial" w:hAnsi="Arial" w:cs="Arial"/>
          <w:sz w:val="24"/>
          <w:szCs w:val="24"/>
        </w:rPr>
        <w:t>EduPlay Retreat targets eco-conscious individuals and institutions who value sustainability and education (Ahmad et al., 2020; Ziółkowska, 2021). This strategy strengthens EduPlay's market position while also aligning with the retreat's mission of promoting environmental responsibility and continuous learning.</w:t>
      </w:r>
    </w:p>
    <w:p w14:paraId="55600781" w14:textId="77777777" w:rsidR="002231B6" w:rsidRDefault="002231B6" w:rsidP="002C28EF">
      <w:pPr>
        <w:spacing w:line="360" w:lineRule="auto"/>
        <w:jc w:val="both"/>
        <w:rPr>
          <w:rFonts w:ascii="Arial" w:hAnsi="Arial" w:cs="Arial"/>
          <w:b/>
          <w:bCs/>
          <w:sz w:val="24"/>
          <w:szCs w:val="24"/>
        </w:rPr>
      </w:pPr>
    </w:p>
    <w:p w14:paraId="0F5044FF" w14:textId="457FDD77" w:rsidR="00DA6BD0" w:rsidRPr="002C28EF" w:rsidRDefault="00FB577D" w:rsidP="002C28EF">
      <w:pPr>
        <w:spacing w:line="360" w:lineRule="auto"/>
        <w:jc w:val="both"/>
        <w:rPr>
          <w:rFonts w:ascii="Arial" w:hAnsi="Arial" w:cs="Arial"/>
          <w:sz w:val="24"/>
          <w:szCs w:val="24"/>
        </w:rPr>
      </w:pPr>
      <w:r w:rsidRPr="00FB577D">
        <w:rPr>
          <w:rFonts w:ascii="Arial" w:hAnsi="Arial" w:cs="Arial"/>
          <w:sz w:val="24"/>
          <w:szCs w:val="24"/>
        </w:rPr>
        <w:t>EduPlay Retreat distinguishes itself in the hospitality industry by offering an innovative blend of educational and leisure services within an environmentally conscious framework. Its business model, founded on strategic partnerships and digital offerings, distinguishes it from competitors such as GreenKids Inc. The venture's success is dependent on its unique value proposition, effective use of digital platforms for engagement and dedication to sustainability. This essay has looked into the BMC sections that underpin EduPlay Retreat's operations, providing a detailed justification for each decision made and reflecting on the entrepreneurial qualities required for such an effort.</w:t>
      </w:r>
    </w:p>
    <w:p w14:paraId="7A281316" w14:textId="77777777" w:rsidR="00E357BC" w:rsidRDefault="00E357BC" w:rsidP="004362F5">
      <w:pPr>
        <w:spacing w:line="360" w:lineRule="auto"/>
        <w:ind w:left="720"/>
        <w:jc w:val="both"/>
        <w:rPr>
          <w:rFonts w:ascii="Arial" w:hAnsi="Arial" w:cs="Arial"/>
          <w:b/>
          <w:bCs/>
          <w:i/>
          <w:iCs/>
          <w:sz w:val="28"/>
          <w:szCs w:val="28"/>
        </w:rPr>
      </w:pPr>
    </w:p>
    <w:p w14:paraId="3D6A70DB" w14:textId="77777777" w:rsidR="00E357BC" w:rsidRDefault="00E357BC" w:rsidP="004362F5">
      <w:pPr>
        <w:spacing w:line="360" w:lineRule="auto"/>
        <w:ind w:left="720"/>
        <w:jc w:val="both"/>
        <w:rPr>
          <w:rFonts w:ascii="Arial" w:hAnsi="Arial" w:cs="Arial"/>
          <w:b/>
          <w:bCs/>
          <w:i/>
          <w:iCs/>
          <w:sz w:val="28"/>
          <w:szCs w:val="28"/>
        </w:rPr>
      </w:pPr>
    </w:p>
    <w:p w14:paraId="280FCC6A" w14:textId="2E4F9095" w:rsidR="00FB577D" w:rsidRPr="0024228E" w:rsidRDefault="00E008EA" w:rsidP="004362F5">
      <w:pPr>
        <w:spacing w:line="360" w:lineRule="auto"/>
        <w:ind w:left="720"/>
        <w:jc w:val="both"/>
        <w:rPr>
          <w:rFonts w:ascii="Arial" w:hAnsi="Arial" w:cs="Arial"/>
          <w:b/>
          <w:bCs/>
          <w:i/>
          <w:iCs/>
          <w:sz w:val="28"/>
          <w:szCs w:val="28"/>
        </w:rPr>
      </w:pPr>
      <w:r w:rsidRPr="0078129A">
        <w:rPr>
          <w:rFonts w:ascii="Arial" w:hAnsi="Arial" w:cs="Arial"/>
          <w:b/>
          <w:bCs/>
          <w:i/>
          <w:iCs/>
          <w:sz w:val="28"/>
          <w:szCs w:val="28"/>
        </w:rPr>
        <w:lastRenderedPageBreak/>
        <w:t>Part 2</w:t>
      </w:r>
    </w:p>
    <w:p w14:paraId="7471303F" w14:textId="67CDBA7A" w:rsidR="00412FA7" w:rsidRPr="0078129A" w:rsidRDefault="00DA6BD0" w:rsidP="00412FA7">
      <w:pPr>
        <w:spacing w:line="360" w:lineRule="auto"/>
        <w:jc w:val="both"/>
        <w:rPr>
          <w:rFonts w:ascii="Arial" w:hAnsi="Arial" w:cs="Arial"/>
          <w:b/>
          <w:bCs/>
          <w:sz w:val="24"/>
          <w:szCs w:val="24"/>
        </w:rPr>
      </w:pPr>
      <w:r w:rsidRPr="002C28EF">
        <w:rPr>
          <w:rFonts w:ascii="Arial" w:hAnsi="Arial" w:cs="Arial"/>
          <w:b/>
          <w:bCs/>
          <w:sz w:val="24"/>
          <w:szCs w:val="24"/>
        </w:rPr>
        <w:t>Reflection</w:t>
      </w:r>
      <w:r w:rsidR="0078129A">
        <w:rPr>
          <w:noProof/>
        </w:rPr>
        <w:drawing>
          <wp:anchor distT="0" distB="0" distL="114300" distR="114300" simplePos="0" relativeHeight="251658240" behindDoc="0" locked="0" layoutInCell="1" allowOverlap="1" wp14:anchorId="10B78465" wp14:editId="6330C1AA">
            <wp:simplePos x="0" y="0"/>
            <wp:positionH relativeFrom="column">
              <wp:posOffset>3762375</wp:posOffset>
            </wp:positionH>
            <wp:positionV relativeFrom="paragraph">
              <wp:posOffset>291465</wp:posOffset>
            </wp:positionV>
            <wp:extent cx="2743200" cy="4262120"/>
            <wp:effectExtent l="0" t="0" r="0" b="5080"/>
            <wp:wrapSquare wrapText="bothSides"/>
            <wp:docPr id="593684779"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684779" name="Picture 1" descr="A screen shot of a graph&#10;&#10;Description automatically generated"/>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a:stretch/>
                  </pic:blipFill>
                  <pic:spPr bwMode="auto">
                    <a:xfrm>
                      <a:off x="0" y="0"/>
                      <a:ext cx="2743200" cy="42621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96B62" w:rsidRPr="002C28EF">
        <w:rPr>
          <w:rFonts w:ascii="Arial" w:hAnsi="Arial" w:cs="Arial"/>
          <w:sz w:val="24"/>
          <w:szCs w:val="24"/>
        </w:rPr>
        <w:br/>
      </w:r>
      <w:r w:rsidR="00412FA7" w:rsidRPr="00412FA7">
        <w:rPr>
          <w:rFonts w:ascii="Arial" w:hAnsi="Arial" w:cs="Arial"/>
          <w:sz w:val="24"/>
          <w:szCs w:val="24"/>
        </w:rPr>
        <w:t>To better understand and develop my entrepreneurial disposition, it is important to reflect on the results of my entrepreneurial self-assessment, which showed markedly low scores in risk-taking and autonomy. Using Gibbs' Reflective Cycle as a framework, I start figuring out the story behind these findings and create a path for growth informed by relevant academic theories.</w:t>
      </w:r>
    </w:p>
    <w:p w14:paraId="120FFAC4" w14:textId="03DD15CD" w:rsidR="00412FA7" w:rsidRPr="00412FA7" w:rsidRDefault="00412FA7" w:rsidP="00412FA7">
      <w:pPr>
        <w:spacing w:line="360" w:lineRule="auto"/>
        <w:jc w:val="both"/>
        <w:rPr>
          <w:rFonts w:ascii="Arial" w:hAnsi="Arial" w:cs="Arial"/>
          <w:sz w:val="24"/>
          <w:szCs w:val="24"/>
        </w:rPr>
      </w:pPr>
      <w:r w:rsidRPr="00412FA7">
        <w:rPr>
          <w:rFonts w:ascii="Arial" w:hAnsi="Arial" w:cs="Arial"/>
          <w:sz w:val="24"/>
          <w:szCs w:val="24"/>
        </w:rPr>
        <w:t>The self-assessment was meant to measure entrepreneurial traits, but the results revealed lower levels of autonomy and risk-taking than I had previously perceived in myself. This was surprising and prompted a critical reevaluation of my past, particularly my time in a managerial role, which had a significant impact on my approach to entrepreneurship.</w:t>
      </w:r>
    </w:p>
    <w:p w14:paraId="3A5240B3" w14:textId="23980513" w:rsidR="00412FA7" w:rsidRPr="00412FA7" w:rsidRDefault="00412FA7" w:rsidP="00412FA7">
      <w:pPr>
        <w:spacing w:line="360" w:lineRule="auto"/>
        <w:jc w:val="both"/>
        <w:rPr>
          <w:rFonts w:ascii="Arial" w:hAnsi="Arial" w:cs="Arial"/>
          <w:sz w:val="24"/>
          <w:szCs w:val="24"/>
        </w:rPr>
      </w:pPr>
      <w:r w:rsidRPr="00412FA7">
        <w:rPr>
          <w:rFonts w:ascii="Arial" w:hAnsi="Arial" w:cs="Arial"/>
          <w:sz w:val="24"/>
          <w:szCs w:val="24"/>
        </w:rPr>
        <w:t>When I discovered the low scores, I felt a mix of introspection and concern. The assessment was in contrast to my self-image as a proactive, independent decision-maker, which was reinforced by my managerial experience. The difference between my perception and the outcome of the assessment triggered an in-depth reassessment of my professional identity. I began to wonder if my previous experiences, particularly those in which my decisions were met with consistent criticism, had influenced my entrepreneurial traits more than I realised. It was unsettling to consider the possibility that external feedback had eroded my natural autonomy and reduced my willingness to take risks.</w:t>
      </w:r>
    </w:p>
    <w:p w14:paraId="1F6138EB" w14:textId="2BDCA608" w:rsidR="00412FA7" w:rsidRPr="00412FA7" w:rsidRDefault="00412FA7" w:rsidP="00412FA7">
      <w:pPr>
        <w:spacing w:line="360" w:lineRule="auto"/>
        <w:jc w:val="both"/>
        <w:rPr>
          <w:rFonts w:ascii="Arial" w:hAnsi="Arial" w:cs="Arial"/>
          <w:sz w:val="24"/>
          <w:szCs w:val="24"/>
        </w:rPr>
      </w:pPr>
      <w:r w:rsidRPr="00412FA7">
        <w:rPr>
          <w:rFonts w:ascii="Arial" w:hAnsi="Arial" w:cs="Arial"/>
          <w:sz w:val="24"/>
          <w:szCs w:val="24"/>
        </w:rPr>
        <w:t xml:space="preserve">When I study entrepreneurial literature, I notice that traits like autonomy and risk-taking are frequently highlighted as important for innovation and leadership (Al-Mamary and Alshallaqi, 2022). According to Bandura's Self-Efficacy Theory, an individual's belief in </w:t>
      </w:r>
      <w:r w:rsidRPr="00412FA7">
        <w:rPr>
          <w:rFonts w:ascii="Arial" w:hAnsi="Arial" w:cs="Arial"/>
          <w:sz w:val="24"/>
          <w:szCs w:val="24"/>
        </w:rPr>
        <w:lastRenderedPageBreak/>
        <w:t>their ability to carry out actions required for specific goals influences their choices and perseverance in the face of adversity (Hutasuhut, Thamrin, and Ridwan, 2023). Reflecting on this, I realise that negative feedback from my superiors during my managerial role may have had a significant impact on my self-efficacy, thereby influencing my entrepreneurial trait scores.</w:t>
      </w:r>
    </w:p>
    <w:p w14:paraId="4CAD5D19" w14:textId="525931B2" w:rsidR="00412FA7" w:rsidRPr="00412FA7" w:rsidRDefault="00412FA7" w:rsidP="00412FA7">
      <w:pPr>
        <w:spacing w:line="360" w:lineRule="auto"/>
        <w:jc w:val="both"/>
        <w:rPr>
          <w:rFonts w:ascii="Arial" w:hAnsi="Arial" w:cs="Arial"/>
          <w:sz w:val="24"/>
          <w:szCs w:val="24"/>
        </w:rPr>
      </w:pPr>
      <w:r w:rsidRPr="00412FA7">
        <w:rPr>
          <w:rFonts w:ascii="Arial" w:hAnsi="Arial" w:cs="Arial"/>
          <w:sz w:val="24"/>
          <w:szCs w:val="24"/>
        </w:rPr>
        <w:t>The self-assessment has thus revealed a discrepancy between my potential for autonomy and risk-taking and their current manifestation in my entrepreneurial endeavours. It has become clear that external professional experiences have played a significant role in shaping these characteristics.</w:t>
      </w:r>
    </w:p>
    <w:p w14:paraId="79D3C052" w14:textId="3AD10E7E" w:rsidR="00412FA7" w:rsidRPr="00412FA7" w:rsidRDefault="00412FA7" w:rsidP="00412FA7">
      <w:pPr>
        <w:spacing w:line="360" w:lineRule="auto"/>
        <w:jc w:val="both"/>
        <w:rPr>
          <w:rFonts w:ascii="Arial" w:hAnsi="Arial" w:cs="Arial"/>
          <w:sz w:val="24"/>
          <w:szCs w:val="24"/>
        </w:rPr>
      </w:pPr>
      <w:r w:rsidRPr="00412FA7">
        <w:rPr>
          <w:rFonts w:ascii="Arial" w:hAnsi="Arial" w:cs="Arial"/>
          <w:sz w:val="24"/>
          <w:szCs w:val="24"/>
        </w:rPr>
        <w:t>To close this gap, I am determined to take strategic actions that will restore my trust in independent decision-making and risk-taking. This includes participating in decision-making simulations to mimic high-stakes situations, attending workshops to improve entrepreneurial skills, and seeking mentorship from experienced entrepreneurs. These steps, combined with reflective practice, will enable continuous personal adjustment and learning, promoting the development of these critical entrepreneurial traits.</w:t>
      </w:r>
    </w:p>
    <w:p w14:paraId="7D8EDEA6" w14:textId="694189E2" w:rsidR="00412FA7" w:rsidRDefault="00412FA7" w:rsidP="00412FA7">
      <w:pPr>
        <w:spacing w:line="360" w:lineRule="auto"/>
        <w:jc w:val="both"/>
        <w:rPr>
          <w:rFonts w:ascii="Arial" w:hAnsi="Arial" w:cs="Arial"/>
          <w:sz w:val="24"/>
          <w:szCs w:val="24"/>
        </w:rPr>
      </w:pPr>
      <w:r w:rsidRPr="00412FA7">
        <w:rPr>
          <w:rFonts w:ascii="Arial" w:hAnsi="Arial" w:cs="Arial"/>
          <w:sz w:val="24"/>
          <w:szCs w:val="24"/>
        </w:rPr>
        <w:t>Finally, this reflective essay, based on the Gibbs Reflective Cycle and supported by academic models, serves not only to explain the factors that contributed to my low scores in autonomy and risk-taking but also to outline a deliberate strategy for cultivating these critical entrepreneurial characteristics. This process of reflection and action is critical to developing my entrepreneurial identity following the dynamic demands of running a business venture.</w:t>
      </w:r>
    </w:p>
    <w:p w14:paraId="4775D39C" w14:textId="77777777" w:rsidR="00412FA7" w:rsidRDefault="00412FA7" w:rsidP="00412FA7">
      <w:pPr>
        <w:spacing w:line="360" w:lineRule="auto"/>
        <w:jc w:val="both"/>
        <w:rPr>
          <w:rFonts w:ascii="Arial" w:hAnsi="Arial" w:cs="Arial"/>
          <w:sz w:val="24"/>
          <w:szCs w:val="24"/>
        </w:rPr>
      </w:pPr>
    </w:p>
    <w:p w14:paraId="5F85155C" w14:textId="77777777" w:rsidR="00412FA7" w:rsidRDefault="00412FA7" w:rsidP="00412FA7">
      <w:pPr>
        <w:spacing w:line="360" w:lineRule="auto"/>
        <w:jc w:val="both"/>
        <w:rPr>
          <w:rFonts w:ascii="Arial" w:hAnsi="Arial" w:cs="Arial"/>
          <w:sz w:val="24"/>
          <w:szCs w:val="24"/>
        </w:rPr>
      </w:pPr>
    </w:p>
    <w:p w14:paraId="71362A08" w14:textId="77777777" w:rsidR="0024228E" w:rsidRDefault="0024228E" w:rsidP="00412FA7">
      <w:pPr>
        <w:spacing w:line="360" w:lineRule="auto"/>
        <w:jc w:val="both"/>
        <w:rPr>
          <w:rFonts w:ascii="Arial" w:hAnsi="Arial" w:cs="Arial"/>
          <w:sz w:val="24"/>
          <w:szCs w:val="24"/>
        </w:rPr>
      </w:pPr>
    </w:p>
    <w:p w14:paraId="40DEAA4C" w14:textId="77777777" w:rsidR="0024228E" w:rsidRDefault="0024228E" w:rsidP="00412FA7">
      <w:pPr>
        <w:spacing w:line="360" w:lineRule="auto"/>
        <w:jc w:val="both"/>
        <w:rPr>
          <w:rFonts w:ascii="Arial" w:hAnsi="Arial" w:cs="Arial"/>
          <w:sz w:val="24"/>
          <w:szCs w:val="24"/>
        </w:rPr>
      </w:pPr>
    </w:p>
    <w:p w14:paraId="32E8609E" w14:textId="77777777" w:rsidR="0024228E" w:rsidRDefault="0024228E" w:rsidP="00412FA7">
      <w:pPr>
        <w:spacing w:line="360" w:lineRule="auto"/>
        <w:jc w:val="both"/>
        <w:rPr>
          <w:rFonts w:ascii="Arial" w:hAnsi="Arial" w:cs="Arial"/>
          <w:sz w:val="24"/>
          <w:szCs w:val="24"/>
        </w:rPr>
      </w:pPr>
    </w:p>
    <w:p w14:paraId="075CE781" w14:textId="77777777" w:rsidR="0024228E" w:rsidRDefault="0024228E" w:rsidP="00412FA7">
      <w:pPr>
        <w:spacing w:line="360" w:lineRule="auto"/>
        <w:jc w:val="both"/>
        <w:rPr>
          <w:rFonts w:ascii="Arial" w:hAnsi="Arial" w:cs="Arial"/>
          <w:sz w:val="24"/>
          <w:szCs w:val="24"/>
        </w:rPr>
      </w:pPr>
    </w:p>
    <w:p w14:paraId="25A232B0" w14:textId="2EDCE6E1" w:rsidR="00BF263B" w:rsidRPr="00674124" w:rsidRDefault="00412FA7" w:rsidP="00412FA7">
      <w:pPr>
        <w:spacing w:line="360" w:lineRule="auto"/>
        <w:jc w:val="both"/>
        <w:rPr>
          <w:rFonts w:ascii="Arial" w:hAnsi="Arial" w:cs="Arial"/>
          <w:b/>
          <w:bCs/>
          <w:sz w:val="24"/>
          <w:szCs w:val="24"/>
        </w:rPr>
      </w:pPr>
      <w:r w:rsidRPr="00674124">
        <w:rPr>
          <w:rFonts w:ascii="Arial" w:hAnsi="Arial" w:cs="Arial"/>
          <w:b/>
          <w:bCs/>
          <w:sz w:val="24"/>
          <w:szCs w:val="24"/>
        </w:rPr>
        <w:lastRenderedPageBreak/>
        <w:t>Reference</w:t>
      </w:r>
      <w:r w:rsidR="00674124">
        <w:rPr>
          <w:rFonts w:ascii="Arial" w:hAnsi="Arial" w:cs="Arial"/>
          <w:b/>
          <w:bCs/>
          <w:sz w:val="24"/>
          <w:szCs w:val="24"/>
        </w:rPr>
        <w:t xml:space="preserve"> List</w:t>
      </w:r>
      <w:r w:rsidR="00BF263B" w:rsidRPr="00674124">
        <w:rPr>
          <w:rFonts w:ascii="Arial" w:hAnsi="Arial" w:cs="Arial"/>
          <w:b/>
          <w:bCs/>
          <w:sz w:val="24"/>
          <w:szCs w:val="24"/>
        </w:rPr>
        <w:t xml:space="preserve"> </w:t>
      </w:r>
    </w:p>
    <w:p w14:paraId="1FFB0CA4" w14:textId="345E5329"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t>1.</w:t>
      </w:r>
      <w:r w:rsidRPr="002C28EF">
        <w:rPr>
          <w:rFonts w:ascii="Arial" w:hAnsi="Arial" w:cs="Arial"/>
          <w:sz w:val="24"/>
          <w:szCs w:val="24"/>
        </w:rPr>
        <w:tab/>
        <w:t xml:space="preserve">Ahmad, W., Kim, W.G., Anwer, Z. and Zhuang, W., 2020. Schwartz personal values, theory of planned behavior and environmental consciousness: How tourists’ visiting intentions towards eco-friendly destinations are shaped?. Journal of Business Research, 110, pp.228-236. </w:t>
      </w:r>
      <w:hyperlink r:id="rId7" w:history="1">
        <w:r w:rsidRPr="002C28EF">
          <w:rPr>
            <w:rStyle w:val="Hyperlink"/>
            <w:rFonts w:ascii="Arial" w:hAnsi="Arial" w:cs="Arial"/>
            <w:sz w:val="24"/>
            <w:szCs w:val="24"/>
          </w:rPr>
          <w:t>https://doi.org/10.1016/j.jbusres.2020.01.040</w:t>
        </w:r>
      </w:hyperlink>
      <w:r w:rsidRPr="002C28EF">
        <w:rPr>
          <w:rFonts w:ascii="Arial" w:hAnsi="Arial" w:cs="Arial"/>
          <w:sz w:val="24"/>
          <w:szCs w:val="24"/>
        </w:rPr>
        <w:t xml:space="preserve">  </w:t>
      </w:r>
    </w:p>
    <w:p w14:paraId="7D20B183" w14:textId="7D0A0AA9"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t>2.</w:t>
      </w:r>
      <w:r w:rsidRPr="002C28EF">
        <w:rPr>
          <w:rFonts w:ascii="Arial" w:hAnsi="Arial" w:cs="Arial"/>
          <w:sz w:val="24"/>
          <w:szCs w:val="24"/>
        </w:rPr>
        <w:tab/>
        <w:t xml:space="preserve">Al-Mamary, Y.H. and Alshallaqi, M., 2022. Impact of autonomy, innovativeness, risk-taking, proactiveness, and competitive aggressiveness on students’ intention to start a new venture. Journal of Innovation &amp; Knowledge, 7(4), p.100239. </w:t>
      </w:r>
      <w:hyperlink r:id="rId8" w:history="1">
        <w:r w:rsidRPr="002C28EF">
          <w:rPr>
            <w:rStyle w:val="Hyperlink"/>
            <w:rFonts w:ascii="Arial" w:hAnsi="Arial" w:cs="Arial"/>
            <w:sz w:val="24"/>
            <w:szCs w:val="24"/>
          </w:rPr>
          <w:t>https://doi.org/10.1016/j.jik.2022.100239</w:t>
        </w:r>
      </w:hyperlink>
      <w:r w:rsidRPr="002C28EF">
        <w:rPr>
          <w:rFonts w:ascii="Arial" w:hAnsi="Arial" w:cs="Arial"/>
          <w:sz w:val="24"/>
          <w:szCs w:val="24"/>
        </w:rPr>
        <w:t xml:space="preserve">  </w:t>
      </w:r>
    </w:p>
    <w:p w14:paraId="6A46E8CC" w14:textId="59EDC0F0"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t>3.</w:t>
      </w:r>
      <w:r w:rsidRPr="002C28EF">
        <w:rPr>
          <w:rFonts w:ascii="Arial" w:hAnsi="Arial" w:cs="Arial"/>
          <w:sz w:val="24"/>
          <w:szCs w:val="24"/>
        </w:rPr>
        <w:tab/>
        <w:t xml:space="preserve">Caiola, V., Cusumano, E., Motta, M., Piro, L., Gelsomini, M., Morra, D., Rizvi, M. and Matera, M., 2023. Designing integrated physical–digital systems for children–nature interaction. International Journal of Child-Computer Interaction, 36, p.100582. </w:t>
      </w:r>
      <w:hyperlink r:id="rId9" w:history="1">
        <w:r w:rsidRPr="002C28EF">
          <w:rPr>
            <w:rStyle w:val="Hyperlink"/>
            <w:rFonts w:ascii="Arial" w:hAnsi="Arial" w:cs="Arial"/>
            <w:sz w:val="24"/>
            <w:szCs w:val="24"/>
          </w:rPr>
          <w:t>https://doi.org/10.1016/j.ijcci.2023.100582</w:t>
        </w:r>
      </w:hyperlink>
      <w:r w:rsidRPr="002C28EF">
        <w:rPr>
          <w:rFonts w:ascii="Arial" w:hAnsi="Arial" w:cs="Arial"/>
          <w:sz w:val="24"/>
          <w:szCs w:val="24"/>
        </w:rPr>
        <w:t xml:space="preserve">  </w:t>
      </w:r>
    </w:p>
    <w:p w14:paraId="3D5DBDD7" w14:textId="77777777"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t>4.</w:t>
      </w:r>
      <w:r w:rsidRPr="002C28EF">
        <w:rPr>
          <w:rFonts w:ascii="Arial" w:hAnsi="Arial" w:cs="Arial"/>
          <w:sz w:val="24"/>
          <w:szCs w:val="24"/>
        </w:rPr>
        <w:tab/>
        <w:t>Coles, L., 2017. Social media for business: foolproof tips to help you promote your business or your brand.</w:t>
      </w:r>
    </w:p>
    <w:p w14:paraId="5048B1E1" w14:textId="03974B45"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t>5.</w:t>
      </w:r>
      <w:r w:rsidRPr="002C28EF">
        <w:rPr>
          <w:rFonts w:ascii="Arial" w:hAnsi="Arial" w:cs="Arial"/>
          <w:sz w:val="24"/>
          <w:szCs w:val="24"/>
        </w:rPr>
        <w:tab/>
        <w:t xml:space="preserve">Elko, C. (2021). 10 Best Eco-friendly Hotels for Families. Available at: </w:t>
      </w:r>
      <w:hyperlink r:id="rId10" w:history="1">
        <w:r w:rsidRPr="002C28EF">
          <w:rPr>
            <w:rStyle w:val="Hyperlink"/>
            <w:rFonts w:ascii="Arial" w:hAnsi="Arial" w:cs="Arial"/>
            <w:sz w:val="24"/>
            <w:szCs w:val="24"/>
          </w:rPr>
          <w:t>https://www.familyvacationcritic.com/best-eco-friendly-hotels-for-families/art/</w:t>
        </w:r>
      </w:hyperlink>
      <w:r w:rsidRPr="002C28EF">
        <w:rPr>
          <w:rFonts w:ascii="Arial" w:hAnsi="Arial" w:cs="Arial"/>
          <w:sz w:val="24"/>
          <w:szCs w:val="24"/>
        </w:rPr>
        <w:t xml:space="preserve">  </w:t>
      </w:r>
    </w:p>
    <w:p w14:paraId="0FDCD73D" w14:textId="77777777"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t>6.</w:t>
      </w:r>
      <w:r w:rsidRPr="002C28EF">
        <w:rPr>
          <w:rFonts w:ascii="Arial" w:hAnsi="Arial" w:cs="Arial"/>
          <w:sz w:val="24"/>
          <w:szCs w:val="24"/>
        </w:rPr>
        <w:tab/>
        <w:t>Frohmann, F., 2023. Pricing Process Part 3: Structure (3b: Price Models). In Digital Pricing: A Guide to Strategic Pricing for the Digital Economy (pp. 179-216).</w:t>
      </w:r>
    </w:p>
    <w:p w14:paraId="2639F21D" w14:textId="6924A974"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t>7.</w:t>
      </w:r>
      <w:r w:rsidRPr="002C28EF">
        <w:rPr>
          <w:rFonts w:ascii="Arial" w:hAnsi="Arial" w:cs="Arial"/>
          <w:sz w:val="24"/>
          <w:szCs w:val="24"/>
        </w:rPr>
        <w:tab/>
        <w:t xml:space="preserve">Graça, J., Campos, L., Guedes, D., Roque, L., Brazão, V., Truninger, M. and Godinho, C., 2023. How to enable healthier and more sustainable food practices in collective meal contexts: A scoping review. Appetite, p.106597. </w:t>
      </w:r>
      <w:hyperlink r:id="rId11" w:history="1">
        <w:r w:rsidRPr="002C28EF">
          <w:rPr>
            <w:rStyle w:val="Hyperlink"/>
            <w:rFonts w:ascii="Arial" w:hAnsi="Arial" w:cs="Arial"/>
            <w:sz w:val="24"/>
            <w:szCs w:val="24"/>
          </w:rPr>
          <w:t>https://doi.org/10.1016/j.appet.2023.106597</w:t>
        </w:r>
      </w:hyperlink>
      <w:r w:rsidRPr="002C28EF">
        <w:rPr>
          <w:rFonts w:ascii="Arial" w:hAnsi="Arial" w:cs="Arial"/>
          <w:sz w:val="24"/>
          <w:szCs w:val="24"/>
        </w:rPr>
        <w:t xml:space="preserve"> </w:t>
      </w:r>
    </w:p>
    <w:p w14:paraId="180A09CB" w14:textId="40C89DDD"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t>8.</w:t>
      </w:r>
      <w:r w:rsidRPr="002C28EF">
        <w:rPr>
          <w:rFonts w:ascii="Arial" w:hAnsi="Arial" w:cs="Arial"/>
          <w:sz w:val="24"/>
          <w:szCs w:val="24"/>
        </w:rPr>
        <w:tab/>
        <w:t xml:space="preserve">Healey, A., Mendelsohn, A., Sells, J.M., Donoghue, E., Earls, M., Hashikawa, A., McFadden, T., Peacock, G., Scholer, S., Takagishi, J., Vanderbilt, D., and Williams, P.G. (2019). Selecting Appropriate Toys for Young Children in the Digital Era. Pediatrics, 143(1), e20183348. Available at: </w:t>
      </w:r>
      <w:hyperlink r:id="rId12" w:history="1">
        <w:r w:rsidRPr="002C28EF">
          <w:rPr>
            <w:rStyle w:val="Hyperlink"/>
            <w:rFonts w:ascii="Arial" w:hAnsi="Arial" w:cs="Arial"/>
            <w:sz w:val="24"/>
            <w:szCs w:val="24"/>
          </w:rPr>
          <w:t>https://doi.org/10.1542/peds.2018-3348</w:t>
        </w:r>
      </w:hyperlink>
      <w:r w:rsidRPr="002C28EF">
        <w:rPr>
          <w:rFonts w:ascii="Arial" w:hAnsi="Arial" w:cs="Arial"/>
          <w:sz w:val="24"/>
          <w:szCs w:val="24"/>
        </w:rPr>
        <w:t xml:space="preserve">  </w:t>
      </w:r>
    </w:p>
    <w:p w14:paraId="5426809E" w14:textId="06626F43"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lastRenderedPageBreak/>
        <w:t>9.</w:t>
      </w:r>
      <w:r w:rsidRPr="002C28EF">
        <w:rPr>
          <w:rFonts w:ascii="Arial" w:hAnsi="Arial" w:cs="Arial"/>
          <w:sz w:val="24"/>
          <w:szCs w:val="24"/>
        </w:rPr>
        <w:tab/>
        <w:t xml:space="preserve">Hossain, M.U., Ng, S.T., Antwi-Afari, P. and Amor, B., 2020. Circular economy and the construction industry: Existing trends, challenges and prospective framework for sustainable construction. Renewable and Sustainable Energy Reviews, 130, p.109948. </w:t>
      </w:r>
      <w:hyperlink r:id="rId13" w:history="1">
        <w:r w:rsidRPr="002C28EF">
          <w:rPr>
            <w:rStyle w:val="Hyperlink"/>
            <w:rFonts w:ascii="Arial" w:hAnsi="Arial" w:cs="Arial"/>
            <w:sz w:val="24"/>
            <w:szCs w:val="24"/>
          </w:rPr>
          <w:t>https://doi.org/10.1016/j.rser.2020.109948</w:t>
        </w:r>
      </w:hyperlink>
      <w:r w:rsidRPr="002C28EF">
        <w:rPr>
          <w:rFonts w:ascii="Arial" w:hAnsi="Arial" w:cs="Arial"/>
          <w:sz w:val="24"/>
          <w:szCs w:val="24"/>
        </w:rPr>
        <w:t xml:space="preserve">  </w:t>
      </w:r>
    </w:p>
    <w:p w14:paraId="64211F5D" w14:textId="771CFF58"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t>10.</w:t>
      </w:r>
      <w:r w:rsidRPr="002C28EF">
        <w:rPr>
          <w:rFonts w:ascii="Arial" w:hAnsi="Arial" w:cs="Arial"/>
          <w:sz w:val="24"/>
          <w:szCs w:val="24"/>
        </w:rPr>
        <w:tab/>
        <w:t xml:space="preserve">Hutasuhut, S., Thamrin, T. and Ridwan, M., 2023. A creative model of entrepreneurship learning to improve self-efficacy, entrepreneurial intention, and student achievement. Creativity Studies, 16(2), pp.578-592. </w:t>
      </w:r>
      <w:hyperlink r:id="rId14" w:history="1">
        <w:r w:rsidRPr="002C28EF">
          <w:rPr>
            <w:rStyle w:val="Hyperlink"/>
            <w:rFonts w:ascii="Arial" w:hAnsi="Arial" w:cs="Arial"/>
            <w:sz w:val="24"/>
            <w:szCs w:val="24"/>
          </w:rPr>
          <w:t>https://jest.vgtu.lt/index.php/CS/article/download/13468/11890</w:t>
        </w:r>
      </w:hyperlink>
      <w:r w:rsidRPr="002C28EF">
        <w:rPr>
          <w:rFonts w:ascii="Arial" w:hAnsi="Arial" w:cs="Arial"/>
          <w:sz w:val="24"/>
          <w:szCs w:val="24"/>
        </w:rPr>
        <w:t xml:space="preserve">  </w:t>
      </w:r>
    </w:p>
    <w:p w14:paraId="65BD1730" w14:textId="55C36E08"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t>11.</w:t>
      </w:r>
      <w:r w:rsidRPr="002C28EF">
        <w:rPr>
          <w:rFonts w:ascii="Arial" w:hAnsi="Arial" w:cs="Arial"/>
          <w:sz w:val="24"/>
          <w:szCs w:val="24"/>
        </w:rPr>
        <w:tab/>
        <w:t xml:space="preserve">Knudsen, E.S., Lien, L.B., Timmermans, B., Belik, I. and Pandey, S., 2021. Stability in turbulent times? The effect of digitalization on the sustainability of competitive advantage. Journal of Business Research, 128, pp.360-369. </w:t>
      </w:r>
      <w:hyperlink r:id="rId15" w:history="1">
        <w:r w:rsidRPr="002C28EF">
          <w:rPr>
            <w:rStyle w:val="Hyperlink"/>
            <w:rFonts w:ascii="Arial" w:hAnsi="Arial" w:cs="Arial"/>
            <w:sz w:val="24"/>
            <w:szCs w:val="24"/>
          </w:rPr>
          <w:t>https://doi.org/10.1016/j.jbusres.2021.02.008</w:t>
        </w:r>
      </w:hyperlink>
      <w:r w:rsidRPr="002C28EF">
        <w:rPr>
          <w:rFonts w:ascii="Arial" w:hAnsi="Arial" w:cs="Arial"/>
          <w:sz w:val="24"/>
          <w:szCs w:val="24"/>
        </w:rPr>
        <w:t xml:space="preserve">  </w:t>
      </w:r>
    </w:p>
    <w:p w14:paraId="222F7590" w14:textId="5A85F266"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t>12.</w:t>
      </w:r>
      <w:r w:rsidRPr="002C28EF">
        <w:rPr>
          <w:rFonts w:ascii="Arial" w:hAnsi="Arial" w:cs="Arial"/>
          <w:sz w:val="24"/>
          <w:szCs w:val="24"/>
        </w:rPr>
        <w:tab/>
        <w:t xml:space="preserve">Koo, B., Yu, J. and Han, H., 2020. The role of loyalty programs in boosting hotel guest loyalty: Impact of switching barriers. International Journal of Hospitality Management, 84, p.102328. </w:t>
      </w:r>
      <w:hyperlink r:id="rId16" w:history="1">
        <w:r w:rsidRPr="002C28EF">
          <w:rPr>
            <w:rStyle w:val="Hyperlink"/>
            <w:rFonts w:ascii="Arial" w:hAnsi="Arial" w:cs="Arial"/>
            <w:sz w:val="24"/>
            <w:szCs w:val="24"/>
          </w:rPr>
          <w:t>https://doi.org/10.1016/j.ijhm.2019.102328</w:t>
        </w:r>
      </w:hyperlink>
      <w:r w:rsidRPr="002C28EF">
        <w:rPr>
          <w:rFonts w:ascii="Arial" w:hAnsi="Arial" w:cs="Arial"/>
          <w:sz w:val="24"/>
          <w:szCs w:val="24"/>
        </w:rPr>
        <w:t xml:space="preserve">  </w:t>
      </w:r>
    </w:p>
    <w:p w14:paraId="11BDE916" w14:textId="3B831C5E"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t>13.</w:t>
      </w:r>
      <w:r w:rsidRPr="002C28EF">
        <w:rPr>
          <w:rFonts w:ascii="Arial" w:hAnsi="Arial" w:cs="Arial"/>
          <w:sz w:val="24"/>
          <w:szCs w:val="24"/>
        </w:rPr>
        <w:tab/>
        <w:t xml:space="preserve">Lifschitz-Grant, N., 2018. Mornings at the museums: A family friendly early childhood program. Journal of Museum Education, 43(3), pp.260-273  </w:t>
      </w:r>
      <w:hyperlink r:id="rId17" w:history="1">
        <w:r w:rsidRPr="002C28EF">
          <w:rPr>
            <w:rStyle w:val="Hyperlink"/>
            <w:rFonts w:ascii="Arial" w:hAnsi="Arial" w:cs="Arial"/>
            <w:sz w:val="24"/>
            <w:szCs w:val="24"/>
          </w:rPr>
          <w:t>https://doi.org/10.1080/10598650.2018.1483159</w:t>
        </w:r>
      </w:hyperlink>
      <w:r w:rsidRPr="002C28EF">
        <w:rPr>
          <w:rFonts w:ascii="Arial" w:hAnsi="Arial" w:cs="Arial"/>
          <w:sz w:val="24"/>
          <w:szCs w:val="24"/>
        </w:rPr>
        <w:t xml:space="preserve">  </w:t>
      </w:r>
    </w:p>
    <w:p w14:paraId="3DA3A751" w14:textId="09DAC7A2"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t>14.</w:t>
      </w:r>
      <w:r w:rsidRPr="002C28EF">
        <w:rPr>
          <w:rFonts w:ascii="Arial" w:hAnsi="Arial" w:cs="Arial"/>
          <w:sz w:val="24"/>
          <w:szCs w:val="24"/>
        </w:rPr>
        <w:tab/>
        <w:t xml:space="preserve">Little, H. and Eager, D., 2010. Risk, challenge and safety: Implications for play quality and playground design. European Early Childhood Education Research Journal, 18(4), pp.497-513. </w:t>
      </w:r>
      <w:hyperlink r:id="rId18" w:history="1">
        <w:r w:rsidRPr="002C28EF">
          <w:rPr>
            <w:rStyle w:val="Hyperlink"/>
            <w:rFonts w:ascii="Arial" w:hAnsi="Arial" w:cs="Arial"/>
            <w:sz w:val="24"/>
            <w:szCs w:val="24"/>
          </w:rPr>
          <w:t>https://doi.org/10.1080/1350293X.2010.525949</w:t>
        </w:r>
      </w:hyperlink>
      <w:r w:rsidRPr="002C28EF">
        <w:rPr>
          <w:rFonts w:ascii="Arial" w:hAnsi="Arial" w:cs="Arial"/>
          <w:sz w:val="24"/>
          <w:szCs w:val="24"/>
        </w:rPr>
        <w:t xml:space="preserve">  </w:t>
      </w:r>
    </w:p>
    <w:p w14:paraId="4A569C5A" w14:textId="61FF6080"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t>15.</w:t>
      </w:r>
      <w:r w:rsidRPr="002C28EF">
        <w:rPr>
          <w:rFonts w:ascii="Arial" w:hAnsi="Arial" w:cs="Arial"/>
          <w:sz w:val="24"/>
          <w:szCs w:val="24"/>
        </w:rPr>
        <w:tab/>
        <w:t xml:space="preserve">Ou, K.L., Chu, S.T. and Tarng, W., 2021. Development of a virtual wetland ecological system using VR 360 panoramic technology for environmental education. Land, 10(8), p.829 </w:t>
      </w:r>
      <w:hyperlink r:id="rId19" w:history="1">
        <w:r w:rsidRPr="002C28EF">
          <w:rPr>
            <w:rStyle w:val="Hyperlink"/>
            <w:rFonts w:ascii="Arial" w:hAnsi="Arial" w:cs="Arial"/>
            <w:sz w:val="24"/>
            <w:szCs w:val="24"/>
          </w:rPr>
          <w:t>https://www.mdpi.com/2073-445X/10/8/829/pdf</w:t>
        </w:r>
      </w:hyperlink>
      <w:r w:rsidRPr="002C28EF">
        <w:rPr>
          <w:rFonts w:ascii="Arial" w:hAnsi="Arial" w:cs="Arial"/>
          <w:sz w:val="24"/>
          <w:szCs w:val="24"/>
        </w:rPr>
        <w:t xml:space="preserve">  </w:t>
      </w:r>
    </w:p>
    <w:p w14:paraId="77B8FEEF" w14:textId="61BDDB25" w:rsidR="00BF263B" w:rsidRDefault="00BF263B" w:rsidP="002C28EF">
      <w:pPr>
        <w:spacing w:line="360" w:lineRule="auto"/>
        <w:jc w:val="both"/>
        <w:rPr>
          <w:rFonts w:ascii="Arial" w:hAnsi="Arial" w:cs="Arial"/>
          <w:sz w:val="24"/>
          <w:szCs w:val="24"/>
        </w:rPr>
      </w:pPr>
      <w:r w:rsidRPr="002C28EF">
        <w:rPr>
          <w:rFonts w:ascii="Arial" w:hAnsi="Arial" w:cs="Arial"/>
          <w:sz w:val="24"/>
          <w:szCs w:val="24"/>
        </w:rPr>
        <w:t>16.</w:t>
      </w:r>
      <w:r w:rsidRPr="002C28EF">
        <w:rPr>
          <w:rFonts w:ascii="Arial" w:hAnsi="Arial" w:cs="Arial"/>
          <w:sz w:val="24"/>
          <w:szCs w:val="24"/>
        </w:rPr>
        <w:tab/>
        <w:t xml:space="preserve">Passig, D., Tzuriel, D. and Eshel-Kedmi, G., 2016. Improving children's cognitive modifiability by dynamic assessment in 3D Immersive Virtual Reality environments. Computers &amp; Education, 95, pp.296-308. </w:t>
      </w:r>
      <w:hyperlink r:id="rId20" w:history="1">
        <w:r w:rsidRPr="002C28EF">
          <w:rPr>
            <w:rStyle w:val="Hyperlink"/>
            <w:rFonts w:ascii="Arial" w:hAnsi="Arial" w:cs="Arial"/>
            <w:sz w:val="24"/>
            <w:szCs w:val="24"/>
          </w:rPr>
          <w:t>https://doi.org/10.1016/j.compedu.2016.01.009</w:t>
        </w:r>
      </w:hyperlink>
      <w:r w:rsidRPr="002C28EF">
        <w:rPr>
          <w:rFonts w:ascii="Arial" w:hAnsi="Arial" w:cs="Arial"/>
          <w:sz w:val="24"/>
          <w:szCs w:val="24"/>
        </w:rPr>
        <w:t xml:space="preserve">  </w:t>
      </w:r>
    </w:p>
    <w:p w14:paraId="18CFC51B" w14:textId="09F5DF6D" w:rsidR="00DD272E" w:rsidRPr="002C28EF" w:rsidRDefault="00DD272E" w:rsidP="002C28EF">
      <w:pPr>
        <w:spacing w:line="360" w:lineRule="auto"/>
        <w:jc w:val="both"/>
        <w:rPr>
          <w:rFonts w:ascii="Arial" w:hAnsi="Arial" w:cs="Arial"/>
          <w:sz w:val="24"/>
          <w:szCs w:val="24"/>
        </w:rPr>
      </w:pPr>
      <w:r>
        <w:rPr>
          <w:rFonts w:ascii="Arial" w:hAnsi="Arial" w:cs="Arial"/>
          <w:sz w:val="24"/>
          <w:szCs w:val="24"/>
        </w:rPr>
        <w:lastRenderedPageBreak/>
        <w:t>17</w:t>
      </w:r>
      <w:r w:rsidRPr="00DD272E">
        <w:rPr>
          <w:rFonts w:ascii="Arial" w:hAnsi="Arial" w:cs="Arial"/>
          <w:sz w:val="24"/>
          <w:szCs w:val="24"/>
        </w:rPr>
        <w:t xml:space="preserve">. (RICS.org. (2023). Octopus Energy use technological innovations to improve the design and infrastructure of buildings </w:t>
      </w:r>
      <w:hyperlink r:id="rId21" w:history="1">
        <w:r w:rsidRPr="00964244">
          <w:rPr>
            <w:rStyle w:val="Hyperlink"/>
            <w:rFonts w:ascii="Arial" w:hAnsi="Arial" w:cs="Arial"/>
            <w:sz w:val="24"/>
            <w:szCs w:val="24"/>
          </w:rPr>
          <w:t>https://www.rics.org/news-insights/octopus-energy-showcase-using-technological-innovations-to-impro</w:t>
        </w:r>
      </w:hyperlink>
    </w:p>
    <w:p w14:paraId="0F1919A7" w14:textId="7987B1AB"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t>1</w:t>
      </w:r>
      <w:r w:rsidR="00017A4C">
        <w:rPr>
          <w:rFonts w:ascii="Arial" w:hAnsi="Arial" w:cs="Arial"/>
          <w:sz w:val="24"/>
          <w:szCs w:val="24"/>
        </w:rPr>
        <w:t>8</w:t>
      </w:r>
      <w:r w:rsidRPr="002C28EF">
        <w:rPr>
          <w:rFonts w:ascii="Arial" w:hAnsi="Arial" w:cs="Arial"/>
          <w:sz w:val="24"/>
          <w:szCs w:val="24"/>
        </w:rPr>
        <w:t>.</w:t>
      </w:r>
      <w:r w:rsidRPr="002C28EF">
        <w:rPr>
          <w:rFonts w:ascii="Arial" w:hAnsi="Arial" w:cs="Arial"/>
          <w:sz w:val="24"/>
          <w:szCs w:val="24"/>
        </w:rPr>
        <w:tab/>
        <w:t>Scheyvens, R. and Laeis, G., 2022. Linkages between tourist resorts, local food production and sustainable development goals. In Recentering Tourism Geographies in the ‘Asian Century’ (pp. 139-161).</w:t>
      </w:r>
    </w:p>
    <w:p w14:paraId="50F9D4D6" w14:textId="5B5AA36F"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t>1</w:t>
      </w:r>
      <w:r w:rsidR="00017A4C">
        <w:rPr>
          <w:rFonts w:ascii="Arial" w:hAnsi="Arial" w:cs="Arial"/>
          <w:sz w:val="24"/>
          <w:szCs w:val="24"/>
        </w:rPr>
        <w:t>9</w:t>
      </w:r>
      <w:r w:rsidRPr="002C28EF">
        <w:rPr>
          <w:rFonts w:ascii="Arial" w:hAnsi="Arial" w:cs="Arial"/>
          <w:sz w:val="24"/>
          <w:szCs w:val="24"/>
        </w:rPr>
        <w:t>.</w:t>
      </w:r>
      <w:r w:rsidRPr="002C28EF">
        <w:rPr>
          <w:rFonts w:ascii="Arial" w:hAnsi="Arial" w:cs="Arial"/>
          <w:sz w:val="24"/>
          <w:szCs w:val="24"/>
        </w:rPr>
        <w:tab/>
        <w:t xml:space="preserve">Seraphin, H. and Yallop, A., 2020. An analysis of children’s play in resort mini-clubs: potential strategic implications for the hospitality and tourism industry. World Leisure Journal, 62(2), pp.114-131. </w:t>
      </w:r>
      <w:hyperlink r:id="rId22" w:history="1">
        <w:r w:rsidRPr="002C28EF">
          <w:rPr>
            <w:rStyle w:val="Hyperlink"/>
            <w:rFonts w:ascii="Arial" w:hAnsi="Arial" w:cs="Arial"/>
            <w:sz w:val="24"/>
            <w:szCs w:val="24"/>
          </w:rPr>
          <w:t>https://doi.org/10.1080/16078055.2019.1669216</w:t>
        </w:r>
      </w:hyperlink>
      <w:r w:rsidRPr="002C28EF">
        <w:rPr>
          <w:rFonts w:ascii="Arial" w:hAnsi="Arial" w:cs="Arial"/>
          <w:sz w:val="24"/>
          <w:szCs w:val="24"/>
        </w:rPr>
        <w:t xml:space="preserve">  </w:t>
      </w:r>
    </w:p>
    <w:p w14:paraId="1B670649" w14:textId="58993663" w:rsidR="00BF263B" w:rsidRDefault="00017A4C" w:rsidP="002C28EF">
      <w:pPr>
        <w:spacing w:line="360" w:lineRule="auto"/>
        <w:jc w:val="both"/>
        <w:rPr>
          <w:rFonts w:ascii="Arial" w:hAnsi="Arial" w:cs="Arial"/>
          <w:sz w:val="24"/>
          <w:szCs w:val="24"/>
        </w:rPr>
      </w:pPr>
      <w:r>
        <w:rPr>
          <w:rFonts w:ascii="Arial" w:hAnsi="Arial" w:cs="Arial"/>
          <w:sz w:val="24"/>
          <w:szCs w:val="24"/>
        </w:rPr>
        <w:t>20</w:t>
      </w:r>
      <w:r w:rsidR="00BF263B" w:rsidRPr="002C28EF">
        <w:rPr>
          <w:rFonts w:ascii="Arial" w:hAnsi="Arial" w:cs="Arial"/>
          <w:sz w:val="24"/>
          <w:szCs w:val="24"/>
        </w:rPr>
        <w:t>.</w:t>
      </w:r>
      <w:r w:rsidR="00BF263B" w:rsidRPr="002C28EF">
        <w:rPr>
          <w:rFonts w:ascii="Arial" w:hAnsi="Arial" w:cs="Arial"/>
          <w:sz w:val="24"/>
          <w:szCs w:val="24"/>
        </w:rPr>
        <w:tab/>
        <w:t xml:space="preserve">Şevik, S. and Aktaş, A., 2022. Performance enhancing and improvement studies in a 600 kW solar photovoltaic (PV) power plant; manual and natural cleaning, rainwater harvesting and the snow load removal on the PV arrays. Renewable Energy, 181, pp.490-503. </w:t>
      </w:r>
      <w:hyperlink r:id="rId23" w:history="1">
        <w:r w:rsidR="00BF263B" w:rsidRPr="002C28EF">
          <w:rPr>
            <w:rStyle w:val="Hyperlink"/>
            <w:rFonts w:ascii="Arial" w:hAnsi="Arial" w:cs="Arial"/>
            <w:sz w:val="24"/>
            <w:szCs w:val="24"/>
          </w:rPr>
          <w:t>https://doi.org/10.1016/j.renene.2021.09.064</w:t>
        </w:r>
      </w:hyperlink>
      <w:r w:rsidR="00BF263B" w:rsidRPr="002C28EF">
        <w:rPr>
          <w:rFonts w:ascii="Arial" w:hAnsi="Arial" w:cs="Arial"/>
          <w:sz w:val="24"/>
          <w:szCs w:val="24"/>
        </w:rPr>
        <w:t xml:space="preserve">  </w:t>
      </w:r>
    </w:p>
    <w:p w14:paraId="6A727698" w14:textId="09CD6D73" w:rsidR="004838B9" w:rsidRPr="002C28EF" w:rsidRDefault="00C42BFC" w:rsidP="002C28EF">
      <w:pPr>
        <w:spacing w:line="360" w:lineRule="auto"/>
        <w:jc w:val="both"/>
        <w:rPr>
          <w:rFonts w:ascii="Arial" w:hAnsi="Arial" w:cs="Arial"/>
          <w:sz w:val="24"/>
          <w:szCs w:val="24"/>
        </w:rPr>
      </w:pPr>
      <w:r>
        <w:rPr>
          <w:rFonts w:ascii="Arial" w:hAnsi="Arial" w:cs="Arial"/>
          <w:sz w:val="24"/>
          <w:szCs w:val="24"/>
        </w:rPr>
        <w:t>2</w:t>
      </w:r>
      <w:r w:rsidR="00017A4C">
        <w:rPr>
          <w:rFonts w:ascii="Arial" w:hAnsi="Arial" w:cs="Arial"/>
          <w:sz w:val="24"/>
          <w:szCs w:val="24"/>
        </w:rPr>
        <w:t>1</w:t>
      </w:r>
      <w:r w:rsidR="00E21B20">
        <w:rPr>
          <w:rFonts w:ascii="Arial" w:hAnsi="Arial" w:cs="Arial"/>
          <w:sz w:val="24"/>
          <w:szCs w:val="24"/>
        </w:rPr>
        <w:t xml:space="preserve">. </w:t>
      </w:r>
      <w:r w:rsidR="00E21B20" w:rsidRPr="00E21B20">
        <w:rPr>
          <w:rFonts w:ascii="Arial" w:hAnsi="Arial" w:cs="Arial"/>
          <w:sz w:val="24"/>
          <w:szCs w:val="24"/>
        </w:rPr>
        <w:t>SimilarWeb. (2024). SimilarWeb: Website Traffic &amp; Mobile App Analytics</w:t>
      </w:r>
      <w:r w:rsidR="00E21B20" w:rsidRPr="00E21B20">
        <w:rPr>
          <w:rFonts w:ascii="Arial" w:hAnsi="Arial" w:cs="Arial"/>
          <w:i/>
          <w:iCs/>
          <w:sz w:val="24"/>
          <w:szCs w:val="24"/>
        </w:rPr>
        <w:t xml:space="preserve">. </w:t>
      </w:r>
      <w:hyperlink r:id="rId24" w:tgtFrame="_new" w:history="1">
        <w:r w:rsidR="00E21B20" w:rsidRPr="00E21B20">
          <w:rPr>
            <w:rStyle w:val="Hyperlink"/>
            <w:rFonts w:ascii="Arial" w:hAnsi="Arial" w:cs="Arial"/>
            <w:sz w:val="24"/>
            <w:szCs w:val="24"/>
          </w:rPr>
          <w:t>https://www.similarweb.com</w:t>
        </w:r>
      </w:hyperlink>
    </w:p>
    <w:p w14:paraId="5A68F19D" w14:textId="1359ACA0"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t>2</w:t>
      </w:r>
      <w:r w:rsidR="00017A4C">
        <w:rPr>
          <w:rFonts w:ascii="Arial" w:hAnsi="Arial" w:cs="Arial"/>
          <w:sz w:val="24"/>
          <w:szCs w:val="24"/>
        </w:rPr>
        <w:t>2</w:t>
      </w:r>
      <w:r w:rsidRPr="002C28EF">
        <w:rPr>
          <w:rFonts w:ascii="Arial" w:hAnsi="Arial" w:cs="Arial"/>
          <w:sz w:val="24"/>
          <w:szCs w:val="24"/>
        </w:rPr>
        <w:t>.</w:t>
      </w:r>
      <w:r w:rsidRPr="002C28EF">
        <w:rPr>
          <w:rFonts w:ascii="Arial" w:hAnsi="Arial" w:cs="Arial"/>
          <w:sz w:val="24"/>
          <w:szCs w:val="24"/>
        </w:rPr>
        <w:tab/>
        <w:t xml:space="preserve">Stalmirska, A.M., 2021. Local food in tourism destination development: The supply-side perspectives. Tourism Planning &amp; Development, pp.1-18. </w:t>
      </w:r>
      <w:hyperlink r:id="rId25" w:history="1">
        <w:r w:rsidRPr="002C28EF">
          <w:rPr>
            <w:rStyle w:val="Hyperlink"/>
            <w:rFonts w:ascii="Arial" w:hAnsi="Arial" w:cs="Arial"/>
            <w:sz w:val="24"/>
            <w:szCs w:val="24"/>
          </w:rPr>
          <w:t>https://doi.org/10.1080/21568316.2021.1928739</w:t>
        </w:r>
      </w:hyperlink>
      <w:r w:rsidRPr="002C28EF">
        <w:rPr>
          <w:rFonts w:ascii="Arial" w:hAnsi="Arial" w:cs="Arial"/>
          <w:sz w:val="24"/>
          <w:szCs w:val="24"/>
        </w:rPr>
        <w:t xml:space="preserve">  </w:t>
      </w:r>
    </w:p>
    <w:p w14:paraId="0709FEBD" w14:textId="26A1FB6A"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t>2</w:t>
      </w:r>
      <w:r w:rsidR="00017A4C">
        <w:rPr>
          <w:rFonts w:ascii="Arial" w:hAnsi="Arial" w:cs="Arial"/>
          <w:sz w:val="24"/>
          <w:szCs w:val="24"/>
        </w:rPr>
        <w:t>3</w:t>
      </w:r>
      <w:r w:rsidRPr="002C28EF">
        <w:rPr>
          <w:rFonts w:ascii="Arial" w:hAnsi="Arial" w:cs="Arial"/>
          <w:sz w:val="24"/>
          <w:szCs w:val="24"/>
        </w:rPr>
        <w:t>.</w:t>
      </w:r>
      <w:r w:rsidRPr="002C28EF">
        <w:rPr>
          <w:rFonts w:ascii="Arial" w:hAnsi="Arial" w:cs="Arial"/>
          <w:sz w:val="24"/>
          <w:szCs w:val="24"/>
        </w:rPr>
        <w:tab/>
        <w:t xml:space="preserve">Stringam, B.B. and Gerdes, J.H., 2021. Hotel and guest room technology. University of South Florida (USF) M3 Publishing, 17(9781732127593), p.6. </w:t>
      </w:r>
      <w:hyperlink r:id="rId26" w:history="1">
        <w:r w:rsidRPr="002C28EF">
          <w:rPr>
            <w:rStyle w:val="Hyperlink"/>
            <w:rFonts w:ascii="Arial" w:hAnsi="Arial" w:cs="Arial"/>
            <w:sz w:val="24"/>
            <w:szCs w:val="24"/>
          </w:rPr>
          <w:t>https://digitalcommons.usf.edu/cgi/viewcontent.cgi?article=1179&amp;context=m3publishing</w:t>
        </w:r>
      </w:hyperlink>
      <w:r w:rsidRPr="002C28EF">
        <w:rPr>
          <w:rFonts w:ascii="Arial" w:hAnsi="Arial" w:cs="Arial"/>
          <w:sz w:val="24"/>
          <w:szCs w:val="24"/>
        </w:rPr>
        <w:t xml:space="preserve">  </w:t>
      </w:r>
    </w:p>
    <w:p w14:paraId="257E3EF3" w14:textId="67AD957C"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t>2</w:t>
      </w:r>
      <w:r w:rsidR="00017A4C">
        <w:rPr>
          <w:rFonts w:ascii="Arial" w:hAnsi="Arial" w:cs="Arial"/>
          <w:sz w:val="24"/>
          <w:szCs w:val="24"/>
        </w:rPr>
        <w:t>4</w:t>
      </w:r>
      <w:r w:rsidRPr="002C28EF">
        <w:rPr>
          <w:rFonts w:ascii="Arial" w:hAnsi="Arial" w:cs="Arial"/>
          <w:sz w:val="24"/>
          <w:szCs w:val="24"/>
        </w:rPr>
        <w:t>.</w:t>
      </w:r>
      <w:r w:rsidRPr="002C28EF">
        <w:rPr>
          <w:rFonts w:ascii="Arial" w:hAnsi="Arial" w:cs="Arial"/>
          <w:sz w:val="24"/>
          <w:szCs w:val="24"/>
        </w:rPr>
        <w:tab/>
        <w:t xml:space="preserve">Stylos, N., Fotiadis, A.K., Shin, D.D. and Huan, T.C.T., 2021. Beyond smart systems adoption: Enabling diffusion and assimilation of smartness in hospitality. International Journal of Hospitality Management, 98, p.103042. </w:t>
      </w:r>
      <w:hyperlink r:id="rId27" w:history="1">
        <w:r w:rsidRPr="002C28EF">
          <w:rPr>
            <w:rStyle w:val="Hyperlink"/>
            <w:rFonts w:ascii="Arial" w:hAnsi="Arial" w:cs="Arial"/>
            <w:sz w:val="24"/>
            <w:szCs w:val="24"/>
          </w:rPr>
          <w:t>https://doi.org/10.1016/j.ijhm.2021.103042</w:t>
        </w:r>
      </w:hyperlink>
      <w:r w:rsidRPr="002C28EF">
        <w:rPr>
          <w:rFonts w:ascii="Arial" w:hAnsi="Arial" w:cs="Arial"/>
          <w:sz w:val="24"/>
          <w:szCs w:val="24"/>
        </w:rPr>
        <w:t xml:space="preserve">  </w:t>
      </w:r>
    </w:p>
    <w:p w14:paraId="7741C325" w14:textId="5F1545A1"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t>2</w:t>
      </w:r>
      <w:r w:rsidR="00017A4C">
        <w:rPr>
          <w:rFonts w:ascii="Arial" w:hAnsi="Arial" w:cs="Arial"/>
          <w:sz w:val="24"/>
          <w:szCs w:val="24"/>
        </w:rPr>
        <w:t>5</w:t>
      </w:r>
      <w:r w:rsidRPr="002C28EF">
        <w:rPr>
          <w:rFonts w:ascii="Arial" w:hAnsi="Arial" w:cs="Arial"/>
          <w:sz w:val="24"/>
          <w:szCs w:val="24"/>
        </w:rPr>
        <w:t>.</w:t>
      </w:r>
      <w:r w:rsidRPr="002C28EF">
        <w:rPr>
          <w:rFonts w:ascii="Arial" w:hAnsi="Arial" w:cs="Arial"/>
          <w:sz w:val="24"/>
          <w:szCs w:val="24"/>
        </w:rPr>
        <w:tab/>
        <w:t xml:space="preserve">Thomas-Francois, K., von Massow, M. and Joppe, M., 2017. Service-oriented, sustainable, local food value chain–A case study. Annals of Tourism Research, 65, pp.83-96. </w:t>
      </w:r>
      <w:hyperlink r:id="rId28" w:history="1">
        <w:r w:rsidRPr="002C28EF">
          <w:rPr>
            <w:rStyle w:val="Hyperlink"/>
            <w:rFonts w:ascii="Arial" w:hAnsi="Arial" w:cs="Arial"/>
            <w:sz w:val="24"/>
            <w:szCs w:val="24"/>
          </w:rPr>
          <w:t>https://doi.org/10.1016/j.annals.2017.05.008</w:t>
        </w:r>
      </w:hyperlink>
      <w:r w:rsidRPr="002C28EF">
        <w:rPr>
          <w:rFonts w:ascii="Arial" w:hAnsi="Arial" w:cs="Arial"/>
          <w:sz w:val="24"/>
          <w:szCs w:val="24"/>
        </w:rPr>
        <w:t xml:space="preserve">  </w:t>
      </w:r>
    </w:p>
    <w:p w14:paraId="30E85E99" w14:textId="4AC9ECE1" w:rsidR="00BF263B" w:rsidRPr="002C28EF" w:rsidRDefault="00BF263B" w:rsidP="002C28EF">
      <w:pPr>
        <w:spacing w:line="360" w:lineRule="auto"/>
        <w:jc w:val="both"/>
        <w:rPr>
          <w:rFonts w:ascii="Arial" w:hAnsi="Arial" w:cs="Arial"/>
          <w:sz w:val="24"/>
          <w:szCs w:val="24"/>
        </w:rPr>
      </w:pPr>
      <w:r w:rsidRPr="002C28EF">
        <w:rPr>
          <w:rFonts w:ascii="Arial" w:hAnsi="Arial" w:cs="Arial"/>
          <w:sz w:val="24"/>
          <w:szCs w:val="24"/>
        </w:rPr>
        <w:lastRenderedPageBreak/>
        <w:t>2</w:t>
      </w:r>
      <w:r w:rsidR="00017A4C">
        <w:rPr>
          <w:rFonts w:ascii="Arial" w:hAnsi="Arial" w:cs="Arial"/>
          <w:sz w:val="24"/>
          <w:szCs w:val="24"/>
        </w:rPr>
        <w:t>6</w:t>
      </w:r>
      <w:r w:rsidRPr="002C28EF">
        <w:rPr>
          <w:rFonts w:ascii="Arial" w:hAnsi="Arial" w:cs="Arial"/>
          <w:sz w:val="24"/>
          <w:szCs w:val="24"/>
        </w:rPr>
        <w:t>.</w:t>
      </w:r>
      <w:r w:rsidRPr="002C28EF">
        <w:rPr>
          <w:rFonts w:ascii="Arial" w:hAnsi="Arial" w:cs="Arial"/>
          <w:sz w:val="24"/>
          <w:szCs w:val="24"/>
        </w:rPr>
        <w:tab/>
        <w:t xml:space="preserve">Wiltshier, P. and Clarke, A., 2019. Community-based tourism in the developing world: Community learning, development &amp; enterprise. Routledge. Wiltshier, P. and Clarke, A., 2019. Community-based tourism in the developing world: Community learning, development &amp; enterprise. </w:t>
      </w:r>
    </w:p>
    <w:p w14:paraId="33A9DD65" w14:textId="42B64B52" w:rsidR="00BF263B" w:rsidRDefault="00BF263B" w:rsidP="002C28EF">
      <w:pPr>
        <w:spacing w:line="360" w:lineRule="auto"/>
        <w:jc w:val="both"/>
        <w:rPr>
          <w:rStyle w:val="Hyperlink"/>
          <w:rFonts w:ascii="Arial" w:hAnsi="Arial" w:cs="Arial"/>
          <w:sz w:val="24"/>
          <w:szCs w:val="24"/>
        </w:rPr>
      </w:pPr>
      <w:r w:rsidRPr="002C28EF">
        <w:rPr>
          <w:rFonts w:ascii="Arial" w:hAnsi="Arial" w:cs="Arial"/>
          <w:sz w:val="24"/>
          <w:szCs w:val="24"/>
        </w:rPr>
        <w:t>2</w:t>
      </w:r>
      <w:r w:rsidR="00017A4C">
        <w:rPr>
          <w:rFonts w:ascii="Arial" w:hAnsi="Arial" w:cs="Arial"/>
          <w:sz w:val="24"/>
          <w:szCs w:val="24"/>
        </w:rPr>
        <w:t>7</w:t>
      </w:r>
      <w:r w:rsidRPr="002C28EF">
        <w:rPr>
          <w:rFonts w:ascii="Arial" w:hAnsi="Arial" w:cs="Arial"/>
          <w:sz w:val="24"/>
          <w:szCs w:val="24"/>
        </w:rPr>
        <w:t>.</w:t>
      </w:r>
      <w:r w:rsidRPr="002C28EF">
        <w:rPr>
          <w:rFonts w:ascii="Arial" w:hAnsi="Arial" w:cs="Arial"/>
          <w:sz w:val="24"/>
          <w:szCs w:val="24"/>
        </w:rPr>
        <w:tab/>
        <w:t xml:space="preserve">Ziółkowska, M.J., 2021. Digital transformation and marketing activities in small and medium-sized enterprises. Sustainability, 13(5), p.2512. </w:t>
      </w:r>
      <w:hyperlink r:id="rId29" w:history="1">
        <w:r w:rsidRPr="002C28EF">
          <w:rPr>
            <w:rStyle w:val="Hyperlink"/>
            <w:rFonts w:ascii="Arial" w:hAnsi="Arial" w:cs="Arial"/>
            <w:sz w:val="24"/>
            <w:szCs w:val="24"/>
          </w:rPr>
          <w:t>https://www.mdpi.com/2071-1050/13/5/2512/pdf</w:t>
        </w:r>
      </w:hyperlink>
      <w:r w:rsidRPr="002C28EF">
        <w:rPr>
          <w:rFonts w:ascii="Arial" w:hAnsi="Arial" w:cs="Arial"/>
          <w:sz w:val="24"/>
          <w:szCs w:val="24"/>
        </w:rPr>
        <w:t xml:space="preserve"> </w:t>
      </w:r>
    </w:p>
    <w:p w14:paraId="1000B498" w14:textId="77777777" w:rsidR="00E357BC" w:rsidRPr="00E357BC" w:rsidRDefault="00E357BC" w:rsidP="00E357BC">
      <w:pPr>
        <w:rPr>
          <w:rFonts w:ascii="Arial" w:hAnsi="Arial" w:cs="Arial"/>
          <w:sz w:val="24"/>
          <w:szCs w:val="24"/>
        </w:rPr>
      </w:pPr>
    </w:p>
    <w:p w14:paraId="203B7A70" w14:textId="77777777" w:rsidR="00E357BC" w:rsidRDefault="00E357BC" w:rsidP="00E357BC">
      <w:pPr>
        <w:rPr>
          <w:rStyle w:val="Hyperlink"/>
          <w:rFonts w:ascii="Arial" w:hAnsi="Arial" w:cs="Arial"/>
          <w:sz w:val="24"/>
          <w:szCs w:val="24"/>
        </w:rPr>
      </w:pPr>
    </w:p>
    <w:p w14:paraId="140426C7" w14:textId="77777777" w:rsidR="00E357BC" w:rsidRDefault="00E357BC" w:rsidP="00E357BC">
      <w:pPr>
        <w:rPr>
          <w:rFonts w:ascii="Arial" w:hAnsi="Arial" w:cs="Arial"/>
          <w:sz w:val="24"/>
          <w:szCs w:val="24"/>
        </w:rPr>
      </w:pPr>
    </w:p>
    <w:p w14:paraId="6A09857A" w14:textId="77777777" w:rsidR="00E357BC" w:rsidRDefault="00E357BC" w:rsidP="00E357BC">
      <w:pPr>
        <w:rPr>
          <w:rFonts w:ascii="Arial" w:hAnsi="Arial" w:cs="Arial"/>
          <w:sz w:val="24"/>
          <w:szCs w:val="24"/>
        </w:rPr>
      </w:pPr>
    </w:p>
    <w:p w14:paraId="1DE3FAD6" w14:textId="77777777" w:rsidR="00E357BC" w:rsidRDefault="00E357BC" w:rsidP="00E357BC">
      <w:pPr>
        <w:rPr>
          <w:rFonts w:ascii="Arial" w:hAnsi="Arial" w:cs="Arial"/>
          <w:sz w:val="24"/>
          <w:szCs w:val="24"/>
        </w:rPr>
      </w:pPr>
    </w:p>
    <w:p w14:paraId="705E2C07" w14:textId="77777777" w:rsidR="00E357BC" w:rsidRDefault="00E357BC" w:rsidP="00E357BC">
      <w:pPr>
        <w:rPr>
          <w:rFonts w:ascii="Arial" w:hAnsi="Arial" w:cs="Arial"/>
          <w:sz w:val="24"/>
          <w:szCs w:val="24"/>
        </w:rPr>
      </w:pPr>
    </w:p>
    <w:p w14:paraId="153F89C3" w14:textId="77777777" w:rsidR="00E357BC" w:rsidRDefault="00E357BC" w:rsidP="00E357BC">
      <w:pPr>
        <w:rPr>
          <w:rFonts w:ascii="Arial" w:hAnsi="Arial" w:cs="Arial"/>
          <w:sz w:val="24"/>
          <w:szCs w:val="24"/>
        </w:rPr>
      </w:pPr>
    </w:p>
    <w:p w14:paraId="039C3CFC" w14:textId="77777777" w:rsidR="00E357BC" w:rsidRDefault="00E357BC" w:rsidP="00E357BC">
      <w:pPr>
        <w:rPr>
          <w:rFonts w:ascii="Arial" w:hAnsi="Arial" w:cs="Arial"/>
          <w:sz w:val="24"/>
          <w:szCs w:val="24"/>
        </w:rPr>
      </w:pPr>
    </w:p>
    <w:p w14:paraId="6CECE460" w14:textId="77777777" w:rsidR="00E357BC" w:rsidRDefault="00E357BC" w:rsidP="00E357BC">
      <w:pPr>
        <w:rPr>
          <w:rFonts w:ascii="Arial" w:hAnsi="Arial" w:cs="Arial"/>
          <w:sz w:val="24"/>
          <w:szCs w:val="24"/>
        </w:rPr>
      </w:pPr>
    </w:p>
    <w:p w14:paraId="06EE9B4C" w14:textId="77777777" w:rsidR="00E357BC" w:rsidRDefault="00E357BC" w:rsidP="00E357BC">
      <w:pPr>
        <w:rPr>
          <w:rFonts w:ascii="Arial" w:hAnsi="Arial" w:cs="Arial"/>
          <w:sz w:val="24"/>
          <w:szCs w:val="24"/>
        </w:rPr>
      </w:pPr>
    </w:p>
    <w:p w14:paraId="427A68C3" w14:textId="77777777" w:rsidR="00E357BC" w:rsidRDefault="00E357BC" w:rsidP="00E357BC">
      <w:pPr>
        <w:rPr>
          <w:rFonts w:ascii="Arial" w:hAnsi="Arial" w:cs="Arial"/>
          <w:sz w:val="24"/>
          <w:szCs w:val="24"/>
        </w:rPr>
      </w:pPr>
    </w:p>
    <w:p w14:paraId="61E7EC68" w14:textId="77777777" w:rsidR="00E357BC" w:rsidRDefault="00E357BC" w:rsidP="00E357BC">
      <w:pPr>
        <w:rPr>
          <w:rFonts w:ascii="Arial" w:hAnsi="Arial" w:cs="Arial"/>
          <w:sz w:val="24"/>
          <w:szCs w:val="24"/>
        </w:rPr>
      </w:pPr>
    </w:p>
    <w:p w14:paraId="5AF0B14B" w14:textId="77777777" w:rsidR="00E357BC" w:rsidRDefault="00E357BC" w:rsidP="00E357BC">
      <w:pPr>
        <w:rPr>
          <w:rFonts w:ascii="Arial" w:hAnsi="Arial" w:cs="Arial"/>
          <w:sz w:val="24"/>
          <w:szCs w:val="24"/>
        </w:rPr>
      </w:pPr>
    </w:p>
    <w:p w14:paraId="2F66ABB7" w14:textId="77777777" w:rsidR="00E357BC" w:rsidRDefault="00E357BC" w:rsidP="00E357BC">
      <w:pPr>
        <w:rPr>
          <w:rFonts w:ascii="Arial" w:hAnsi="Arial" w:cs="Arial"/>
          <w:sz w:val="24"/>
          <w:szCs w:val="24"/>
        </w:rPr>
      </w:pPr>
    </w:p>
    <w:p w14:paraId="0C3EC95C" w14:textId="77777777" w:rsidR="00E357BC" w:rsidRDefault="00E357BC" w:rsidP="00E357BC">
      <w:pPr>
        <w:rPr>
          <w:rFonts w:ascii="Arial" w:hAnsi="Arial" w:cs="Arial"/>
          <w:sz w:val="24"/>
          <w:szCs w:val="24"/>
        </w:rPr>
      </w:pPr>
    </w:p>
    <w:p w14:paraId="5342CB11" w14:textId="77777777" w:rsidR="00E357BC" w:rsidRDefault="00E357BC" w:rsidP="00E357BC">
      <w:pPr>
        <w:rPr>
          <w:rFonts w:ascii="Arial" w:hAnsi="Arial" w:cs="Arial"/>
          <w:sz w:val="24"/>
          <w:szCs w:val="24"/>
        </w:rPr>
      </w:pPr>
    </w:p>
    <w:p w14:paraId="5F923FAC" w14:textId="77777777" w:rsidR="00E357BC" w:rsidRDefault="00E357BC" w:rsidP="00E357BC">
      <w:pPr>
        <w:rPr>
          <w:rFonts w:ascii="Arial" w:hAnsi="Arial" w:cs="Arial"/>
          <w:sz w:val="24"/>
          <w:szCs w:val="24"/>
        </w:rPr>
      </w:pPr>
    </w:p>
    <w:p w14:paraId="3943014A" w14:textId="77777777" w:rsidR="00E357BC" w:rsidRDefault="00E357BC" w:rsidP="00E357BC">
      <w:pPr>
        <w:rPr>
          <w:rFonts w:ascii="Arial" w:hAnsi="Arial" w:cs="Arial"/>
          <w:sz w:val="24"/>
          <w:szCs w:val="24"/>
        </w:rPr>
      </w:pPr>
    </w:p>
    <w:p w14:paraId="2997A920" w14:textId="77777777" w:rsidR="00E357BC" w:rsidRDefault="00E357BC" w:rsidP="00E357BC">
      <w:pPr>
        <w:rPr>
          <w:rFonts w:ascii="Arial" w:hAnsi="Arial" w:cs="Arial"/>
          <w:sz w:val="24"/>
          <w:szCs w:val="24"/>
        </w:rPr>
      </w:pPr>
    </w:p>
    <w:p w14:paraId="45710DD1" w14:textId="77777777" w:rsidR="00E357BC" w:rsidRDefault="00E357BC" w:rsidP="00E357BC">
      <w:pPr>
        <w:rPr>
          <w:rFonts w:ascii="Arial" w:hAnsi="Arial" w:cs="Arial"/>
          <w:sz w:val="24"/>
          <w:szCs w:val="24"/>
        </w:rPr>
      </w:pPr>
    </w:p>
    <w:p w14:paraId="385B8038" w14:textId="77777777" w:rsidR="00E357BC" w:rsidRDefault="00E357BC" w:rsidP="00E357BC">
      <w:pPr>
        <w:rPr>
          <w:rFonts w:ascii="Arial" w:hAnsi="Arial" w:cs="Arial"/>
          <w:sz w:val="24"/>
          <w:szCs w:val="24"/>
        </w:rPr>
      </w:pPr>
    </w:p>
    <w:p w14:paraId="67091ABA" w14:textId="514E2630" w:rsidR="00E357BC" w:rsidRDefault="00001BC3" w:rsidP="00E357BC">
      <w:pPr>
        <w:rPr>
          <w:rFonts w:ascii="Arial" w:hAnsi="Arial" w:cs="Arial"/>
          <w:sz w:val="24"/>
          <w:szCs w:val="24"/>
        </w:rPr>
      </w:pPr>
      <w:r>
        <w:rPr>
          <w:rFonts w:ascii="Arial" w:hAnsi="Arial" w:cs="Arial"/>
          <w:noProof/>
          <w:sz w:val="24"/>
          <w:szCs w:val="24"/>
        </w:rPr>
        <w:lastRenderedPageBreak/>
        <w:drawing>
          <wp:inline distT="0" distB="0" distL="0" distR="0" wp14:anchorId="3E1BCE7D" wp14:editId="43631D87">
            <wp:extent cx="5943600" cy="3768725"/>
            <wp:effectExtent l="0" t="0" r="0" b="3175"/>
            <wp:docPr id="1580495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495669" name="Picture 1580495669"/>
                    <pic:cNvPicPr/>
                  </pic:nvPicPr>
                  <pic:blipFill>
                    <a:blip r:embed="rId30">
                      <a:extLst>
                        <a:ext uri="{28A0092B-C50C-407E-A947-70E740481C1C}">
                          <a14:useLocalDpi xmlns:a14="http://schemas.microsoft.com/office/drawing/2010/main" val="0"/>
                        </a:ext>
                      </a:extLst>
                    </a:blip>
                    <a:stretch>
                      <a:fillRect/>
                    </a:stretch>
                  </pic:blipFill>
                  <pic:spPr>
                    <a:xfrm>
                      <a:off x="0" y="0"/>
                      <a:ext cx="5943600" cy="3768725"/>
                    </a:xfrm>
                    <a:prstGeom prst="rect">
                      <a:avLst/>
                    </a:prstGeom>
                  </pic:spPr>
                </pic:pic>
              </a:graphicData>
            </a:graphic>
          </wp:inline>
        </w:drawing>
      </w:r>
    </w:p>
    <w:p w14:paraId="174BD9F1" w14:textId="77777777" w:rsidR="00001BC3" w:rsidRDefault="00001BC3" w:rsidP="00E357BC">
      <w:pPr>
        <w:rPr>
          <w:rFonts w:ascii="Arial" w:hAnsi="Arial" w:cs="Arial"/>
          <w:sz w:val="24"/>
          <w:szCs w:val="24"/>
        </w:rPr>
      </w:pPr>
    </w:p>
    <w:p w14:paraId="6B500F30" w14:textId="77777777" w:rsidR="00001BC3" w:rsidRDefault="00001BC3" w:rsidP="00E357BC">
      <w:pPr>
        <w:rPr>
          <w:rFonts w:ascii="Arial" w:hAnsi="Arial" w:cs="Arial"/>
          <w:sz w:val="24"/>
          <w:szCs w:val="24"/>
        </w:rPr>
      </w:pPr>
    </w:p>
    <w:p w14:paraId="7B93BD38" w14:textId="77777777" w:rsidR="00001BC3" w:rsidRDefault="00001BC3" w:rsidP="00E357BC">
      <w:pPr>
        <w:rPr>
          <w:rFonts w:ascii="Arial" w:hAnsi="Arial" w:cs="Arial"/>
          <w:sz w:val="24"/>
          <w:szCs w:val="24"/>
        </w:rPr>
      </w:pPr>
    </w:p>
    <w:p w14:paraId="3BE87E5D" w14:textId="77777777" w:rsidR="00001BC3" w:rsidRDefault="00001BC3" w:rsidP="00E357BC">
      <w:pPr>
        <w:rPr>
          <w:rFonts w:ascii="Arial" w:hAnsi="Arial" w:cs="Arial"/>
          <w:sz w:val="24"/>
          <w:szCs w:val="24"/>
        </w:rPr>
      </w:pPr>
    </w:p>
    <w:p w14:paraId="1F2CB474" w14:textId="357219F3" w:rsidR="00001BC3" w:rsidRDefault="00001BC3" w:rsidP="00E357BC">
      <w:pPr>
        <w:rPr>
          <w:rFonts w:ascii="Arial" w:hAnsi="Arial" w:cs="Arial"/>
          <w:sz w:val="24"/>
          <w:szCs w:val="24"/>
        </w:rPr>
      </w:pPr>
      <w:r>
        <w:rPr>
          <w:rFonts w:ascii="Arial" w:hAnsi="Arial" w:cs="Arial"/>
          <w:noProof/>
          <w:sz w:val="24"/>
          <w:szCs w:val="24"/>
        </w:rPr>
        <w:lastRenderedPageBreak/>
        <w:drawing>
          <wp:inline distT="0" distB="0" distL="0" distR="0" wp14:anchorId="755A3DD7" wp14:editId="1854FF29">
            <wp:extent cx="3796665" cy="8229600"/>
            <wp:effectExtent l="0" t="0" r="0" b="0"/>
            <wp:docPr id="851692686" name="Picture 2" descr="A computer screen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692686" name="Picture 2" descr="A computer screen with text on i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796665" cy="8229600"/>
                    </a:xfrm>
                    <a:prstGeom prst="rect">
                      <a:avLst/>
                    </a:prstGeom>
                  </pic:spPr>
                </pic:pic>
              </a:graphicData>
            </a:graphic>
          </wp:inline>
        </w:drawing>
      </w:r>
    </w:p>
    <w:p w14:paraId="0A981718" w14:textId="0C1325B6" w:rsidR="00E357BC" w:rsidRDefault="00001BC3" w:rsidP="00E357BC">
      <w:pPr>
        <w:rPr>
          <w:rFonts w:ascii="Arial" w:hAnsi="Arial" w:cs="Arial"/>
          <w:sz w:val="24"/>
          <w:szCs w:val="24"/>
        </w:rPr>
      </w:pPr>
      <w:r>
        <w:rPr>
          <w:rFonts w:ascii="Arial" w:hAnsi="Arial" w:cs="Arial"/>
          <w:noProof/>
          <w:sz w:val="24"/>
          <w:szCs w:val="24"/>
        </w:rPr>
        <w:lastRenderedPageBreak/>
        <w:drawing>
          <wp:inline distT="0" distB="0" distL="0" distR="0" wp14:anchorId="559A7E39" wp14:editId="3E6E97FC">
            <wp:extent cx="3796665" cy="8223250"/>
            <wp:effectExtent l="0" t="0" r="0" b="6350"/>
            <wp:docPr id="2047024785"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024785" name="Picture 3" descr="A screenshot of a graph&#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796665" cy="8223250"/>
                    </a:xfrm>
                    <a:prstGeom prst="rect">
                      <a:avLst/>
                    </a:prstGeom>
                  </pic:spPr>
                </pic:pic>
              </a:graphicData>
            </a:graphic>
          </wp:inline>
        </w:drawing>
      </w:r>
    </w:p>
    <w:p w14:paraId="24512609" w14:textId="50542F12" w:rsidR="00001BC3" w:rsidRPr="00E357BC" w:rsidRDefault="00001BC3" w:rsidP="00E357BC">
      <w:pPr>
        <w:rPr>
          <w:rFonts w:ascii="Arial" w:hAnsi="Arial" w:cs="Arial"/>
          <w:sz w:val="24"/>
          <w:szCs w:val="24"/>
        </w:rPr>
      </w:pPr>
      <w:r>
        <w:rPr>
          <w:rFonts w:ascii="Arial" w:hAnsi="Arial" w:cs="Arial"/>
          <w:noProof/>
          <w:sz w:val="24"/>
          <w:szCs w:val="24"/>
        </w:rPr>
        <w:lastRenderedPageBreak/>
        <w:drawing>
          <wp:inline distT="0" distB="0" distL="0" distR="0" wp14:anchorId="489E97E3" wp14:editId="149BF765">
            <wp:extent cx="3796665" cy="8229600"/>
            <wp:effectExtent l="0" t="0" r="0" b="0"/>
            <wp:docPr id="1434239930" name="Picture 4" descr="A computer screen with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239930" name="Picture 4" descr="A computer screen with a diagram&#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796665" cy="8229600"/>
                    </a:xfrm>
                    <a:prstGeom prst="rect">
                      <a:avLst/>
                    </a:prstGeom>
                  </pic:spPr>
                </pic:pic>
              </a:graphicData>
            </a:graphic>
          </wp:inline>
        </w:drawing>
      </w:r>
    </w:p>
    <w:sectPr w:rsidR="00001BC3" w:rsidRPr="00E357BC">
      <w:foot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BD493" w14:textId="77777777" w:rsidR="007E50ED" w:rsidRDefault="007E50ED" w:rsidP="00163F10">
      <w:pPr>
        <w:spacing w:after="0" w:line="240" w:lineRule="auto"/>
      </w:pPr>
      <w:r>
        <w:separator/>
      </w:r>
    </w:p>
  </w:endnote>
  <w:endnote w:type="continuationSeparator" w:id="0">
    <w:p w14:paraId="57E12A25" w14:textId="77777777" w:rsidR="007E50ED" w:rsidRDefault="007E50ED" w:rsidP="00163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2500141"/>
      <w:docPartObj>
        <w:docPartGallery w:val="Page Numbers (Bottom of Page)"/>
        <w:docPartUnique/>
      </w:docPartObj>
    </w:sdtPr>
    <w:sdtEndPr>
      <w:rPr>
        <w:noProof/>
      </w:rPr>
    </w:sdtEndPr>
    <w:sdtContent>
      <w:p w14:paraId="0FBB578C" w14:textId="09878DE4" w:rsidR="00640C5B" w:rsidRDefault="00640C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DAA2B4" w14:textId="77777777" w:rsidR="00163F10" w:rsidRDefault="00163F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D2E66A" w14:textId="77777777" w:rsidR="007E50ED" w:rsidRDefault="007E50ED" w:rsidP="00163F10">
      <w:pPr>
        <w:spacing w:after="0" w:line="240" w:lineRule="auto"/>
      </w:pPr>
      <w:r>
        <w:separator/>
      </w:r>
    </w:p>
  </w:footnote>
  <w:footnote w:type="continuationSeparator" w:id="0">
    <w:p w14:paraId="123B22F3" w14:textId="77777777" w:rsidR="007E50ED" w:rsidRDefault="007E50ED" w:rsidP="00163F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F04"/>
    <w:rsid w:val="00001BC3"/>
    <w:rsid w:val="00017A4C"/>
    <w:rsid w:val="000236F7"/>
    <w:rsid w:val="0004274B"/>
    <w:rsid w:val="00046914"/>
    <w:rsid w:val="000B1EC6"/>
    <w:rsid w:val="000C02AD"/>
    <w:rsid w:val="000C0F06"/>
    <w:rsid w:val="000C6FBD"/>
    <w:rsid w:val="000D473D"/>
    <w:rsid w:val="000F0908"/>
    <w:rsid w:val="00153881"/>
    <w:rsid w:val="0016010B"/>
    <w:rsid w:val="00163F10"/>
    <w:rsid w:val="001A2A53"/>
    <w:rsid w:val="001D3681"/>
    <w:rsid w:val="002107AF"/>
    <w:rsid w:val="00210FC6"/>
    <w:rsid w:val="0021291A"/>
    <w:rsid w:val="002231B6"/>
    <w:rsid w:val="002338C0"/>
    <w:rsid w:val="00237DD2"/>
    <w:rsid w:val="0024228E"/>
    <w:rsid w:val="00247D00"/>
    <w:rsid w:val="002777E2"/>
    <w:rsid w:val="00290ED4"/>
    <w:rsid w:val="002968AC"/>
    <w:rsid w:val="002B1092"/>
    <w:rsid w:val="002C28EF"/>
    <w:rsid w:val="002D380A"/>
    <w:rsid w:val="002D5693"/>
    <w:rsid w:val="002D71F3"/>
    <w:rsid w:val="002F2E64"/>
    <w:rsid w:val="00304DCC"/>
    <w:rsid w:val="0031693F"/>
    <w:rsid w:val="00332A67"/>
    <w:rsid w:val="0033674D"/>
    <w:rsid w:val="00361168"/>
    <w:rsid w:val="00367979"/>
    <w:rsid w:val="00371621"/>
    <w:rsid w:val="00392F44"/>
    <w:rsid w:val="003B33E6"/>
    <w:rsid w:val="003B43E0"/>
    <w:rsid w:val="003C7295"/>
    <w:rsid w:val="003E6AE0"/>
    <w:rsid w:val="003F392E"/>
    <w:rsid w:val="00412FA7"/>
    <w:rsid w:val="004362F5"/>
    <w:rsid w:val="004376C2"/>
    <w:rsid w:val="004558C5"/>
    <w:rsid w:val="004838B9"/>
    <w:rsid w:val="00495ADB"/>
    <w:rsid w:val="00497C1B"/>
    <w:rsid w:val="004B0051"/>
    <w:rsid w:val="004C2F04"/>
    <w:rsid w:val="004D1367"/>
    <w:rsid w:val="00504C1A"/>
    <w:rsid w:val="00512441"/>
    <w:rsid w:val="00524841"/>
    <w:rsid w:val="00526FA4"/>
    <w:rsid w:val="00531618"/>
    <w:rsid w:val="00537E03"/>
    <w:rsid w:val="00554A84"/>
    <w:rsid w:val="0056350C"/>
    <w:rsid w:val="005926F1"/>
    <w:rsid w:val="00593140"/>
    <w:rsid w:val="00593ED7"/>
    <w:rsid w:val="005A635B"/>
    <w:rsid w:val="005D36D6"/>
    <w:rsid w:val="005E05B3"/>
    <w:rsid w:val="00640C5B"/>
    <w:rsid w:val="00646C48"/>
    <w:rsid w:val="006518AF"/>
    <w:rsid w:val="0065628D"/>
    <w:rsid w:val="00661DE2"/>
    <w:rsid w:val="00667AA6"/>
    <w:rsid w:val="00674124"/>
    <w:rsid w:val="00692CBD"/>
    <w:rsid w:val="006976F6"/>
    <w:rsid w:val="006A0EFC"/>
    <w:rsid w:val="006B5AA9"/>
    <w:rsid w:val="006C4C32"/>
    <w:rsid w:val="006C699D"/>
    <w:rsid w:val="006C7909"/>
    <w:rsid w:val="006F2AE5"/>
    <w:rsid w:val="006F4ED4"/>
    <w:rsid w:val="0070705E"/>
    <w:rsid w:val="007239B7"/>
    <w:rsid w:val="00741244"/>
    <w:rsid w:val="0078129A"/>
    <w:rsid w:val="00796B62"/>
    <w:rsid w:val="007A79FC"/>
    <w:rsid w:val="007E50ED"/>
    <w:rsid w:val="007F45A1"/>
    <w:rsid w:val="00856792"/>
    <w:rsid w:val="00873035"/>
    <w:rsid w:val="00873759"/>
    <w:rsid w:val="008B0A8B"/>
    <w:rsid w:val="008B0B00"/>
    <w:rsid w:val="008D71FB"/>
    <w:rsid w:val="008E3F82"/>
    <w:rsid w:val="008E7818"/>
    <w:rsid w:val="008F5FC5"/>
    <w:rsid w:val="00961001"/>
    <w:rsid w:val="00964244"/>
    <w:rsid w:val="00995B68"/>
    <w:rsid w:val="009A15B7"/>
    <w:rsid w:val="009A56B7"/>
    <w:rsid w:val="009B58D6"/>
    <w:rsid w:val="009E3C91"/>
    <w:rsid w:val="009F25DC"/>
    <w:rsid w:val="009F4DBB"/>
    <w:rsid w:val="00A009F4"/>
    <w:rsid w:val="00A6458B"/>
    <w:rsid w:val="00A82A3A"/>
    <w:rsid w:val="00A86729"/>
    <w:rsid w:val="00AA04BE"/>
    <w:rsid w:val="00AA07EA"/>
    <w:rsid w:val="00AB545A"/>
    <w:rsid w:val="00AE041B"/>
    <w:rsid w:val="00AF033B"/>
    <w:rsid w:val="00AF4DE6"/>
    <w:rsid w:val="00B03771"/>
    <w:rsid w:val="00B657CC"/>
    <w:rsid w:val="00B800A4"/>
    <w:rsid w:val="00BB3A4F"/>
    <w:rsid w:val="00BC0871"/>
    <w:rsid w:val="00BE1231"/>
    <w:rsid w:val="00BF263B"/>
    <w:rsid w:val="00C06283"/>
    <w:rsid w:val="00C278F5"/>
    <w:rsid w:val="00C3438F"/>
    <w:rsid w:val="00C42BFC"/>
    <w:rsid w:val="00C46BD2"/>
    <w:rsid w:val="00C60641"/>
    <w:rsid w:val="00C613EA"/>
    <w:rsid w:val="00C92C41"/>
    <w:rsid w:val="00CA327E"/>
    <w:rsid w:val="00CB32CA"/>
    <w:rsid w:val="00CE21BF"/>
    <w:rsid w:val="00CE7EC1"/>
    <w:rsid w:val="00D10C75"/>
    <w:rsid w:val="00D246B3"/>
    <w:rsid w:val="00D35C1F"/>
    <w:rsid w:val="00D4252D"/>
    <w:rsid w:val="00D846B3"/>
    <w:rsid w:val="00D951BF"/>
    <w:rsid w:val="00DA6BD0"/>
    <w:rsid w:val="00DD272E"/>
    <w:rsid w:val="00E008EA"/>
    <w:rsid w:val="00E21B20"/>
    <w:rsid w:val="00E26AB5"/>
    <w:rsid w:val="00E357BC"/>
    <w:rsid w:val="00E40D4A"/>
    <w:rsid w:val="00E47C81"/>
    <w:rsid w:val="00E64C92"/>
    <w:rsid w:val="00E70A49"/>
    <w:rsid w:val="00E77D21"/>
    <w:rsid w:val="00E87610"/>
    <w:rsid w:val="00E917F8"/>
    <w:rsid w:val="00EA3DAF"/>
    <w:rsid w:val="00EB5D74"/>
    <w:rsid w:val="00ED3307"/>
    <w:rsid w:val="00F05249"/>
    <w:rsid w:val="00F05CA8"/>
    <w:rsid w:val="00F23CED"/>
    <w:rsid w:val="00F27470"/>
    <w:rsid w:val="00F551E4"/>
    <w:rsid w:val="00F76845"/>
    <w:rsid w:val="00FA246C"/>
    <w:rsid w:val="00FB0841"/>
    <w:rsid w:val="00FB577D"/>
    <w:rsid w:val="00FE11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BF2C5B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2F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2F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2F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2F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2F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2F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2F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2F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2F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F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2F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2F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2F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2F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2F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2F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2F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2F04"/>
    <w:rPr>
      <w:rFonts w:eastAsiaTheme="majorEastAsia" w:cstheme="majorBidi"/>
      <w:color w:val="272727" w:themeColor="text1" w:themeTint="D8"/>
    </w:rPr>
  </w:style>
  <w:style w:type="paragraph" w:styleId="Title">
    <w:name w:val="Title"/>
    <w:basedOn w:val="Normal"/>
    <w:next w:val="Normal"/>
    <w:link w:val="TitleChar"/>
    <w:uiPriority w:val="10"/>
    <w:qFormat/>
    <w:rsid w:val="004C2F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2F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2F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2F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2F04"/>
    <w:pPr>
      <w:spacing w:before="160"/>
      <w:jc w:val="center"/>
    </w:pPr>
    <w:rPr>
      <w:i/>
      <w:iCs/>
      <w:color w:val="404040" w:themeColor="text1" w:themeTint="BF"/>
    </w:rPr>
  </w:style>
  <w:style w:type="character" w:customStyle="1" w:styleId="QuoteChar">
    <w:name w:val="Quote Char"/>
    <w:basedOn w:val="DefaultParagraphFont"/>
    <w:link w:val="Quote"/>
    <w:uiPriority w:val="29"/>
    <w:rsid w:val="004C2F04"/>
    <w:rPr>
      <w:i/>
      <w:iCs/>
      <w:color w:val="404040" w:themeColor="text1" w:themeTint="BF"/>
    </w:rPr>
  </w:style>
  <w:style w:type="paragraph" w:styleId="ListParagraph">
    <w:name w:val="List Paragraph"/>
    <w:basedOn w:val="Normal"/>
    <w:uiPriority w:val="34"/>
    <w:qFormat/>
    <w:rsid w:val="004C2F04"/>
    <w:pPr>
      <w:ind w:left="720"/>
      <w:contextualSpacing/>
    </w:pPr>
  </w:style>
  <w:style w:type="character" w:styleId="IntenseEmphasis">
    <w:name w:val="Intense Emphasis"/>
    <w:basedOn w:val="DefaultParagraphFont"/>
    <w:uiPriority w:val="21"/>
    <w:qFormat/>
    <w:rsid w:val="004C2F04"/>
    <w:rPr>
      <w:i/>
      <w:iCs/>
      <w:color w:val="0F4761" w:themeColor="accent1" w:themeShade="BF"/>
    </w:rPr>
  </w:style>
  <w:style w:type="paragraph" w:styleId="IntenseQuote">
    <w:name w:val="Intense Quote"/>
    <w:basedOn w:val="Normal"/>
    <w:next w:val="Normal"/>
    <w:link w:val="IntenseQuoteChar"/>
    <w:uiPriority w:val="30"/>
    <w:qFormat/>
    <w:rsid w:val="004C2F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2F04"/>
    <w:rPr>
      <w:i/>
      <w:iCs/>
      <w:color w:val="0F4761" w:themeColor="accent1" w:themeShade="BF"/>
    </w:rPr>
  </w:style>
  <w:style w:type="character" w:styleId="IntenseReference">
    <w:name w:val="Intense Reference"/>
    <w:basedOn w:val="DefaultParagraphFont"/>
    <w:uiPriority w:val="32"/>
    <w:qFormat/>
    <w:rsid w:val="004C2F04"/>
    <w:rPr>
      <w:b/>
      <w:bCs/>
      <w:smallCaps/>
      <w:color w:val="0F4761" w:themeColor="accent1" w:themeShade="BF"/>
      <w:spacing w:val="5"/>
    </w:rPr>
  </w:style>
  <w:style w:type="paragraph" w:styleId="Header">
    <w:name w:val="header"/>
    <w:basedOn w:val="Normal"/>
    <w:link w:val="HeaderChar"/>
    <w:uiPriority w:val="99"/>
    <w:unhideWhenUsed/>
    <w:rsid w:val="00163F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63F10"/>
  </w:style>
  <w:style w:type="paragraph" w:styleId="Footer">
    <w:name w:val="footer"/>
    <w:basedOn w:val="Normal"/>
    <w:link w:val="FooterChar"/>
    <w:uiPriority w:val="99"/>
    <w:unhideWhenUsed/>
    <w:rsid w:val="00163F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63F10"/>
  </w:style>
  <w:style w:type="character" w:styleId="Hyperlink">
    <w:name w:val="Hyperlink"/>
    <w:basedOn w:val="DefaultParagraphFont"/>
    <w:uiPriority w:val="99"/>
    <w:unhideWhenUsed/>
    <w:rsid w:val="00BF263B"/>
    <w:rPr>
      <w:color w:val="467886" w:themeColor="hyperlink"/>
      <w:u w:val="single"/>
    </w:rPr>
  </w:style>
  <w:style w:type="character" w:styleId="UnresolvedMention">
    <w:name w:val="Unresolved Mention"/>
    <w:basedOn w:val="DefaultParagraphFont"/>
    <w:uiPriority w:val="99"/>
    <w:semiHidden/>
    <w:unhideWhenUsed/>
    <w:rsid w:val="00BF26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08559">
      <w:bodyDiv w:val="1"/>
      <w:marLeft w:val="0"/>
      <w:marRight w:val="0"/>
      <w:marTop w:val="0"/>
      <w:marBottom w:val="0"/>
      <w:divBdr>
        <w:top w:val="none" w:sz="0" w:space="0" w:color="auto"/>
        <w:left w:val="none" w:sz="0" w:space="0" w:color="auto"/>
        <w:bottom w:val="none" w:sz="0" w:space="0" w:color="auto"/>
        <w:right w:val="none" w:sz="0" w:space="0" w:color="auto"/>
      </w:divBdr>
    </w:div>
    <w:div w:id="104689987">
      <w:bodyDiv w:val="1"/>
      <w:marLeft w:val="0"/>
      <w:marRight w:val="0"/>
      <w:marTop w:val="0"/>
      <w:marBottom w:val="0"/>
      <w:divBdr>
        <w:top w:val="none" w:sz="0" w:space="0" w:color="auto"/>
        <w:left w:val="none" w:sz="0" w:space="0" w:color="auto"/>
        <w:bottom w:val="none" w:sz="0" w:space="0" w:color="auto"/>
        <w:right w:val="none" w:sz="0" w:space="0" w:color="auto"/>
      </w:divBdr>
    </w:div>
    <w:div w:id="147401034">
      <w:bodyDiv w:val="1"/>
      <w:marLeft w:val="0"/>
      <w:marRight w:val="0"/>
      <w:marTop w:val="0"/>
      <w:marBottom w:val="0"/>
      <w:divBdr>
        <w:top w:val="none" w:sz="0" w:space="0" w:color="auto"/>
        <w:left w:val="none" w:sz="0" w:space="0" w:color="auto"/>
        <w:bottom w:val="none" w:sz="0" w:space="0" w:color="auto"/>
        <w:right w:val="none" w:sz="0" w:space="0" w:color="auto"/>
      </w:divBdr>
    </w:div>
    <w:div w:id="401754512">
      <w:bodyDiv w:val="1"/>
      <w:marLeft w:val="0"/>
      <w:marRight w:val="0"/>
      <w:marTop w:val="0"/>
      <w:marBottom w:val="0"/>
      <w:divBdr>
        <w:top w:val="none" w:sz="0" w:space="0" w:color="auto"/>
        <w:left w:val="none" w:sz="0" w:space="0" w:color="auto"/>
        <w:bottom w:val="none" w:sz="0" w:space="0" w:color="auto"/>
        <w:right w:val="none" w:sz="0" w:space="0" w:color="auto"/>
      </w:divBdr>
    </w:div>
    <w:div w:id="611522385">
      <w:bodyDiv w:val="1"/>
      <w:marLeft w:val="0"/>
      <w:marRight w:val="0"/>
      <w:marTop w:val="0"/>
      <w:marBottom w:val="0"/>
      <w:divBdr>
        <w:top w:val="none" w:sz="0" w:space="0" w:color="auto"/>
        <w:left w:val="none" w:sz="0" w:space="0" w:color="auto"/>
        <w:bottom w:val="none" w:sz="0" w:space="0" w:color="auto"/>
        <w:right w:val="none" w:sz="0" w:space="0" w:color="auto"/>
      </w:divBdr>
    </w:div>
    <w:div w:id="1161965253">
      <w:bodyDiv w:val="1"/>
      <w:marLeft w:val="0"/>
      <w:marRight w:val="0"/>
      <w:marTop w:val="0"/>
      <w:marBottom w:val="0"/>
      <w:divBdr>
        <w:top w:val="none" w:sz="0" w:space="0" w:color="auto"/>
        <w:left w:val="none" w:sz="0" w:space="0" w:color="auto"/>
        <w:bottom w:val="none" w:sz="0" w:space="0" w:color="auto"/>
        <w:right w:val="none" w:sz="0" w:space="0" w:color="auto"/>
      </w:divBdr>
      <w:divsChild>
        <w:div w:id="1959067939">
          <w:marLeft w:val="0"/>
          <w:marRight w:val="0"/>
          <w:marTop w:val="0"/>
          <w:marBottom w:val="0"/>
          <w:divBdr>
            <w:top w:val="single" w:sz="2" w:space="0" w:color="D9D9E3"/>
            <w:left w:val="single" w:sz="2" w:space="0" w:color="D9D9E3"/>
            <w:bottom w:val="single" w:sz="2" w:space="0" w:color="D9D9E3"/>
            <w:right w:val="single" w:sz="2" w:space="0" w:color="D9D9E3"/>
          </w:divBdr>
          <w:divsChild>
            <w:div w:id="735277874">
              <w:marLeft w:val="0"/>
              <w:marRight w:val="0"/>
              <w:marTop w:val="0"/>
              <w:marBottom w:val="0"/>
              <w:divBdr>
                <w:top w:val="single" w:sz="2" w:space="0" w:color="D9D9E3"/>
                <w:left w:val="single" w:sz="2" w:space="0" w:color="D9D9E3"/>
                <w:bottom w:val="single" w:sz="2" w:space="0" w:color="D9D9E3"/>
                <w:right w:val="single" w:sz="2" w:space="0" w:color="D9D9E3"/>
              </w:divBdr>
              <w:divsChild>
                <w:div w:id="1138033155">
                  <w:marLeft w:val="0"/>
                  <w:marRight w:val="0"/>
                  <w:marTop w:val="0"/>
                  <w:marBottom w:val="0"/>
                  <w:divBdr>
                    <w:top w:val="single" w:sz="2" w:space="0" w:color="D9D9E3"/>
                    <w:left w:val="single" w:sz="2" w:space="0" w:color="D9D9E3"/>
                    <w:bottom w:val="single" w:sz="2" w:space="0" w:color="D9D9E3"/>
                    <w:right w:val="single" w:sz="2" w:space="0" w:color="D9D9E3"/>
                  </w:divBdr>
                  <w:divsChild>
                    <w:div w:id="684022382">
                      <w:marLeft w:val="0"/>
                      <w:marRight w:val="0"/>
                      <w:marTop w:val="0"/>
                      <w:marBottom w:val="0"/>
                      <w:divBdr>
                        <w:top w:val="single" w:sz="2" w:space="0" w:color="D9D9E3"/>
                        <w:left w:val="single" w:sz="2" w:space="0" w:color="D9D9E3"/>
                        <w:bottom w:val="single" w:sz="2" w:space="0" w:color="D9D9E3"/>
                        <w:right w:val="single" w:sz="2" w:space="0" w:color="D9D9E3"/>
                      </w:divBdr>
                      <w:divsChild>
                        <w:div w:id="1365134019">
                          <w:marLeft w:val="0"/>
                          <w:marRight w:val="0"/>
                          <w:marTop w:val="0"/>
                          <w:marBottom w:val="0"/>
                          <w:divBdr>
                            <w:top w:val="single" w:sz="2" w:space="0" w:color="D9D9E3"/>
                            <w:left w:val="single" w:sz="2" w:space="0" w:color="D9D9E3"/>
                            <w:bottom w:val="single" w:sz="2" w:space="0" w:color="D9D9E3"/>
                            <w:right w:val="single" w:sz="2" w:space="0" w:color="D9D9E3"/>
                          </w:divBdr>
                          <w:divsChild>
                            <w:div w:id="1968075893">
                              <w:marLeft w:val="0"/>
                              <w:marRight w:val="0"/>
                              <w:marTop w:val="100"/>
                              <w:marBottom w:val="100"/>
                              <w:divBdr>
                                <w:top w:val="single" w:sz="2" w:space="0" w:color="D9D9E3"/>
                                <w:left w:val="single" w:sz="2" w:space="0" w:color="D9D9E3"/>
                                <w:bottom w:val="single" w:sz="2" w:space="0" w:color="D9D9E3"/>
                                <w:right w:val="single" w:sz="2" w:space="0" w:color="D9D9E3"/>
                              </w:divBdr>
                              <w:divsChild>
                                <w:div w:id="1233543631">
                                  <w:marLeft w:val="0"/>
                                  <w:marRight w:val="0"/>
                                  <w:marTop w:val="0"/>
                                  <w:marBottom w:val="0"/>
                                  <w:divBdr>
                                    <w:top w:val="single" w:sz="2" w:space="0" w:color="D9D9E3"/>
                                    <w:left w:val="single" w:sz="2" w:space="0" w:color="D9D9E3"/>
                                    <w:bottom w:val="single" w:sz="2" w:space="0" w:color="D9D9E3"/>
                                    <w:right w:val="single" w:sz="2" w:space="0" w:color="D9D9E3"/>
                                  </w:divBdr>
                                  <w:divsChild>
                                    <w:div w:id="1199469922">
                                      <w:marLeft w:val="0"/>
                                      <w:marRight w:val="0"/>
                                      <w:marTop w:val="0"/>
                                      <w:marBottom w:val="0"/>
                                      <w:divBdr>
                                        <w:top w:val="single" w:sz="2" w:space="0" w:color="D9D9E3"/>
                                        <w:left w:val="single" w:sz="2" w:space="0" w:color="D9D9E3"/>
                                        <w:bottom w:val="single" w:sz="2" w:space="0" w:color="D9D9E3"/>
                                        <w:right w:val="single" w:sz="2" w:space="0" w:color="D9D9E3"/>
                                      </w:divBdr>
                                      <w:divsChild>
                                        <w:div w:id="1433088259">
                                          <w:marLeft w:val="0"/>
                                          <w:marRight w:val="0"/>
                                          <w:marTop w:val="0"/>
                                          <w:marBottom w:val="0"/>
                                          <w:divBdr>
                                            <w:top w:val="single" w:sz="2" w:space="0" w:color="D9D9E3"/>
                                            <w:left w:val="single" w:sz="2" w:space="0" w:color="D9D9E3"/>
                                            <w:bottom w:val="single" w:sz="2" w:space="0" w:color="D9D9E3"/>
                                            <w:right w:val="single" w:sz="2" w:space="0" w:color="D9D9E3"/>
                                          </w:divBdr>
                                          <w:divsChild>
                                            <w:div w:id="1814325975">
                                              <w:marLeft w:val="0"/>
                                              <w:marRight w:val="0"/>
                                              <w:marTop w:val="0"/>
                                              <w:marBottom w:val="0"/>
                                              <w:divBdr>
                                                <w:top w:val="single" w:sz="2" w:space="0" w:color="D9D9E3"/>
                                                <w:left w:val="single" w:sz="2" w:space="0" w:color="D9D9E3"/>
                                                <w:bottom w:val="single" w:sz="2" w:space="0" w:color="D9D9E3"/>
                                                <w:right w:val="single" w:sz="2" w:space="0" w:color="D9D9E3"/>
                                              </w:divBdr>
                                              <w:divsChild>
                                                <w:div w:id="774864597">
                                                  <w:marLeft w:val="0"/>
                                                  <w:marRight w:val="0"/>
                                                  <w:marTop w:val="0"/>
                                                  <w:marBottom w:val="0"/>
                                                  <w:divBdr>
                                                    <w:top w:val="single" w:sz="2" w:space="0" w:color="D9D9E3"/>
                                                    <w:left w:val="single" w:sz="2" w:space="0" w:color="D9D9E3"/>
                                                    <w:bottom w:val="single" w:sz="2" w:space="0" w:color="D9D9E3"/>
                                                    <w:right w:val="single" w:sz="2" w:space="0" w:color="D9D9E3"/>
                                                  </w:divBdr>
                                                  <w:divsChild>
                                                    <w:div w:id="13617376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68953015">
          <w:marLeft w:val="0"/>
          <w:marRight w:val="0"/>
          <w:marTop w:val="0"/>
          <w:marBottom w:val="0"/>
          <w:divBdr>
            <w:top w:val="none" w:sz="0" w:space="0" w:color="auto"/>
            <w:left w:val="none" w:sz="0" w:space="0" w:color="auto"/>
            <w:bottom w:val="none" w:sz="0" w:space="0" w:color="auto"/>
            <w:right w:val="none" w:sz="0" w:space="0" w:color="auto"/>
          </w:divBdr>
        </w:div>
      </w:divsChild>
    </w:div>
    <w:div w:id="1430851782">
      <w:bodyDiv w:val="1"/>
      <w:marLeft w:val="0"/>
      <w:marRight w:val="0"/>
      <w:marTop w:val="0"/>
      <w:marBottom w:val="0"/>
      <w:divBdr>
        <w:top w:val="none" w:sz="0" w:space="0" w:color="auto"/>
        <w:left w:val="none" w:sz="0" w:space="0" w:color="auto"/>
        <w:bottom w:val="none" w:sz="0" w:space="0" w:color="auto"/>
        <w:right w:val="none" w:sz="0" w:space="0" w:color="auto"/>
      </w:divBdr>
    </w:div>
    <w:div w:id="1520393969">
      <w:bodyDiv w:val="1"/>
      <w:marLeft w:val="0"/>
      <w:marRight w:val="0"/>
      <w:marTop w:val="0"/>
      <w:marBottom w:val="0"/>
      <w:divBdr>
        <w:top w:val="none" w:sz="0" w:space="0" w:color="auto"/>
        <w:left w:val="none" w:sz="0" w:space="0" w:color="auto"/>
        <w:bottom w:val="none" w:sz="0" w:space="0" w:color="auto"/>
        <w:right w:val="none" w:sz="0" w:space="0" w:color="auto"/>
      </w:divBdr>
      <w:divsChild>
        <w:div w:id="956330269">
          <w:marLeft w:val="0"/>
          <w:marRight w:val="0"/>
          <w:marTop w:val="0"/>
          <w:marBottom w:val="0"/>
          <w:divBdr>
            <w:top w:val="single" w:sz="2" w:space="0" w:color="D9D9E3"/>
            <w:left w:val="single" w:sz="2" w:space="0" w:color="D9D9E3"/>
            <w:bottom w:val="single" w:sz="2" w:space="0" w:color="D9D9E3"/>
            <w:right w:val="single" w:sz="2" w:space="0" w:color="D9D9E3"/>
          </w:divBdr>
          <w:divsChild>
            <w:div w:id="1196843200">
              <w:marLeft w:val="0"/>
              <w:marRight w:val="0"/>
              <w:marTop w:val="0"/>
              <w:marBottom w:val="0"/>
              <w:divBdr>
                <w:top w:val="single" w:sz="2" w:space="0" w:color="D9D9E3"/>
                <w:left w:val="single" w:sz="2" w:space="0" w:color="D9D9E3"/>
                <w:bottom w:val="single" w:sz="2" w:space="0" w:color="D9D9E3"/>
                <w:right w:val="single" w:sz="2" w:space="0" w:color="D9D9E3"/>
              </w:divBdr>
              <w:divsChild>
                <w:div w:id="1387334005">
                  <w:marLeft w:val="0"/>
                  <w:marRight w:val="0"/>
                  <w:marTop w:val="0"/>
                  <w:marBottom w:val="0"/>
                  <w:divBdr>
                    <w:top w:val="single" w:sz="2" w:space="0" w:color="D9D9E3"/>
                    <w:left w:val="single" w:sz="2" w:space="0" w:color="D9D9E3"/>
                    <w:bottom w:val="single" w:sz="2" w:space="0" w:color="D9D9E3"/>
                    <w:right w:val="single" w:sz="2" w:space="0" w:color="D9D9E3"/>
                  </w:divBdr>
                  <w:divsChild>
                    <w:div w:id="313875728">
                      <w:marLeft w:val="0"/>
                      <w:marRight w:val="0"/>
                      <w:marTop w:val="0"/>
                      <w:marBottom w:val="0"/>
                      <w:divBdr>
                        <w:top w:val="single" w:sz="2" w:space="0" w:color="D9D9E3"/>
                        <w:left w:val="single" w:sz="2" w:space="0" w:color="D9D9E3"/>
                        <w:bottom w:val="single" w:sz="2" w:space="0" w:color="D9D9E3"/>
                        <w:right w:val="single" w:sz="2" w:space="0" w:color="D9D9E3"/>
                      </w:divBdr>
                      <w:divsChild>
                        <w:div w:id="2057268913">
                          <w:marLeft w:val="0"/>
                          <w:marRight w:val="0"/>
                          <w:marTop w:val="0"/>
                          <w:marBottom w:val="0"/>
                          <w:divBdr>
                            <w:top w:val="single" w:sz="2" w:space="0" w:color="D9D9E3"/>
                            <w:left w:val="single" w:sz="2" w:space="0" w:color="D9D9E3"/>
                            <w:bottom w:val="single" w:sz="2" w:space="0" w:color="D9D9E3"/>
                            <w:right w:val="single" w:sz="2" w:space="0" w:color="D9D9E3"/>
                          </w:divBdr>
                          <w:divsChild>
                            <w:div w:id="2060740198">
                              <w:marLeft w:val="0"/>
                              <w:marRight w:val="0"/>
                              <w:marTop w:val="100"/>
                              <w:marBottom w:val="100"/>
                              <w:divBdr>
                                <w:top w:val="single" w:sz="2" w:space="0" w:color="D9D9E3"/>
                                <w:left w:val="single" w:sz="2" w:space="0" w:color="D9D9E3"/>
                                <w:bottom w:val="single" w:sz="2" w:space="0" w:color="D9D9E3"/>
                                <w:right w:val="single" w:sz="2" w:space="0" w:color="D9D9E3"/>
                              </w:divBdr>
                              <w:divsChild>
                                <w:div w:id="1982347788">
                                  <w:marLeft w:val="0"/>
                                  <w:marRight w:val="0"/>
                                  <w:marTop w:val="0"/>
                                  <w:marBottom w:val="0"/>
                                  <w:divBdr>
                                    <w:top w:val="single" w:sz="2" w:space="0" w:color="D9D9E3"/>
                                    <w:left w:val="single" w:sz="2" w:space="0" w:color="D9D9E3"/>
                                    <w:bottom w:val="single" w:sz="2" w:space="0" w:color="D9D9E3"/>
                                    <w:right w:val="single" w:sz="2" w:space="0" w:color="D9D9E3"/>
                                  </w:divBdr>
                                  <w:divsChild>
                                    <w:div w:id="1185633102">
                                      <w:marLeft w:val="0"/>
                                      <w:marRight w:val="0"/>
                                      <w:marTop w:val="0"/>
                                      <w:marBottom w:val="0"/>
                                      <w:divBdr>
                                        <w:top w:val="single" w:sz="2" w:space="0" w:color="D9D9E3"/>
                                        <w:left w:val="single" w:sz="2" w:space="0" w:color="D9D9E3"/>
                                        <w:bottom w:val="single" w:sz="2" w:space="0" w:color="D9D9E3"/>
                                        <w:right w:val="single" w:sz="2" w:space="0" w:color="D9D9E3"/>
                                      </w:divBdr>
                                      <w:divsChild>
                                        <w:div w:id="48581289">
                                          <w:marLeft w:val="0"/>
                                          <w:marRight w:val="0"/>
                                          <w:marTop w:val="0"/>
                                          <w:marBottom w:val="0"/>
                                          <w:divBdr>
                                            <w:top w:val="single" w:sz="2" w:space="0" w:color="D9D9E3"/>
                                            <w:left w:val="single" w:sz="2" w:space="0" w:color="D9D9E3"/>
                                            <w:bottom w:val="single" w:sz="2" w:space="0" w:color="D9D9E3"/>
                                            <w:right w:val="single" w:sz="2" w:space="0" w:color="D9D9E3"/>
                                          </w:divBdr>
                                          <w:divsChild>
                                            <w:div w:id="782580670">
                                              <w:marLeft w:val="0"/>
                                              <w:marRight w:val="0"/>
                                              <w:marTop w:val="0"/>
                                              <w:marBottom w:val="0"/>
                                              <w:divBdr>
                                                <w:top w:val="single" w:sz="2" w:space="0" w:color="D9D9E3"/>
                                                <w:left w:val="single" w:sz="2" w:space="0" w:color="D9D9E3"/>
                                                <w:bottom w:val="single" w:sz="2" w:space="0" w:color="D9D9E3"/>
                                                <w:right w:val="single" w:sz="2" w:space="0" w:color="D9D9E3"/>
                                              </w:divBdr>
                                              <w:divsChild>
                                                <w:div w:id="130901234">
                                                  <w:marLeft w:val="0"/>
                                                  <w:marRight w:val="0"/>
                                                  <w:marTop w:val="0"/>
                                                  <w:marBottom w:val="0"/>
                                                  <w:divBdr>
                                                    <w:top w:val="single" w:sz="2" w:space="0" w:color="D9D9E3"/>
                                                    <w:left w:val="single" w:sz="2" w:space="0" w:color="D9D9E3"/>
                                                    <w:bottom w:val="single" w:sz="2" w:space="0" w:color="D9D9E3"/>
                                                    <w:right w:val="single" w:sz="2" w:space="0" w:color="D9D9E3"/>
                                                  </w:divBdr>
                                                  <w:divsChild>
                                                    <w:div w:id="1208378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83125260">
          <w:marLeft w:val="0"/>
          <w:marRight w:val="0"/>
          <w:marTop w:val="0"/>
          <w:marBottom w:val="0"/>
          <w:divBdr>
            <w:top w:val="none" w:sz="0" w:space="0" w:color="auto"/>
            <w:left w:val="none" w:sz="0" w:space="0" w:color="auto"/>
            <w:bottom w:val="none" w:sz="0" w:space="0" w:color="auto"/>
            <w:right w:val="none" w:sz="0" w:space="0" w:color="auto"/>
          </w:divBdr>
        </w:div>
      </w:divsChild>
    </w:div>
    <w:div w:id="1526947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rser.2020.109948" TargetMode="External"/><Relationship Id="rId18" Type="http://schemas.openxmlformats.org/officeDocument/2006/relationships/hyperlink" Target="https://doi.org/10.1080/1350293X.2010.525949" TargetMode="External"/><Relationship Id="rId26" Type="http://schemas.openxmlformats.org/officeDocument/2006/relationships/hyperlink" Target="https://digitalcommons.usf.edu/cgi/viewcontent.cgi?article=1179&amp;context=m3publishing" TargetMode="External"/><Relationship Id="rId3" Type="http://schemas.openxmlformats.org/officeDocument/2006/relationships/webSettings" Target="webSettings.xml"/><Relationship Id="rId21" Type="http://schemas.openxmlformats.org/officeDocument/2006/relationships/hyperlink" Target="https://www.rics.org/news-insights/octopus-energy-showcase-using-technological-innovations-to-impro" TargetMode="External"/><Relationship Id="rId34" Type="http://schemas.openxmlformats.org/officeDocument/2006/relationships/footer" Target="footer1.xml"/><Relationship Id="rId7" Type="http://schemas.openxmlformats.org/officeDocument/2006/relationships/hyperlink" Target="https://doi.org/10.1016/j.jbusres.2020.01.040" TargetMode="External"/><Relationship Id="rId12" Type="http://schemas.openxmlformats.org/officeDocument/2006/relationships/hyperlink" Target="https://doi.org/10.1542/peds.2018-3348" TargetMode="External"/><Relationship Id="rId17" Type="http://schemas.openxmlformats.org/officeDocument/2006/relationships/hyperlink" Target="https://doi.org/10.1080/10598650.2018.1483159" TargetMode="External"/><Relationship Id="rId25" Type="http://schemas.openxmlformats.org/officeDocument/2006/relationships/hyperlink" Target="https://doi.org/10.1080/21568316.2021.1928739" TargetMode="External"/><Relationship Id="rId33" Type="http://schemas.openxmlformats.org/officeDocument/2006/relationships/image" Target="media/image5.png"/><Relationship Id="rId2" Type="http://schemas.openxmlformats.org/officeDocument/2006/relationships/settings" Target="settings.xml"/><Relationship Id="rId16" Type="http://schemas.openxmlformats.org/officeDocument/2006/relationships/hyperlink" Target="https://doi.org/10.1016/j.ijhm.2019.102328" TargetMode="External"/><Relationship Id="rId20" Type="http://schemas.openxmlformats.org/officeDocument/2006/relationships/hyperlink" Target="https://doi.org/10.1016/j.compedu.2016.01.009" TargetMode="External"/><Relationship Id="rId29" Type="http://schemas.openxmlformats.org/officeDocument/2006/relationships/hyperlink" Target="https://www.mdpi.com/2071-1050/13/5/2512/pdf"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doi.org/10.1016/j.appet.2023.106597" TargetMode="External"/><Relationship Id="rId24" Type="http://schemas.openxmlformats.org/officeDocument/2006/relationships/hyperlink" Target="https://www.similarweb.com/" TargetMode="External"/><Relationship Id="rId32"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hyperlink" Target="https://doi.org/10.1016/j.jbusres.2021.02.008" TargetMode="External"/><Relationship Id="rId23" Type="http://schemas.openxmlformats.org/officeDocument/2006/relationships/hyperlink" Target="https://doi.org/10.1016/j.renene.2021.09.064" TargetMode="External"/><Relationship Id="rId28" Type="http://schemas.openxmlformats.org/officeDocument/2006/relationships/hyperlink" Target="https://doi.org/10.1016/j.annals.2017.05.008" TargetMode="External"/><Relationship Id="rId36" Type="http://schemas.openxmlformats.org/officeDocument/2006/relationships/theme" Target="theme/theme1.xml"/><Relationship Id="rId10" Type="http://schemas.openxmlformats.org/officeDocument/2006/relationships/hyperlink" Target="https://www.familyvacationcritic.com/best-eco-friendly-hotels-for-families/art/" TargetMode="External"/><Relationship Id="rId19" Type="http://schemas.openxmlformats.org/officeDocument/2006/relationships/hyperlink" Target="https://www.mdpi.com/2073-445X/10/8/829/pdf" TargetMode="External"/><Relationship Id="rId31" Type="http://schemas.openxmlformats.org/officeDocument/2006/relationships/image" Target="media/image3.jpeg"/><Relationship Id="rId4" Type="http://schemas.openxmlformats.org/officeDocument/2006/relationships/footnotes" Target="footnotes.xml"/><Relationship Id="rId9" Type="http://schemas.openxmlformats.org/officeDocument/2006/relationships/hyperlink" Target="https://doi.org/10.1016/j.ijcci.2023.100582" TargetMode="External"/><Relationship Id="rId14" Type="http://schemas.openxmlformats.org/officeDocument/2006/relationships/hyperlink" Target="https://jest.vgtu.lt/index.php/CS/article/download/13468/11890" TargetMode="External"/><Relationship Id="rId22" Type="http://schemas.openxmlformats.org/officeDocument/2006/relationships/hyperlink" Target="https://doi.org/10.1080/16078055.2019.1669216" TargetMode="External"/><Relationship Id="rId27" Type="http://schemas.openxmlformats.org/officeDocument/2006/relationships/hyperlink" Target="https://doi.org/10.1016/j.ijhm.2021.103042" TargetMode="External"/><Relationship Id="rId30" Type="http://schemas.openxmlformats.org/officeDocument/2006/relationships/image" Target="media/image2.JPG"/><Relationship Id="rId35" Type="http://schemas.openxmlformats.org/officeDocument/2006/relationships/fontTable" Target="fontTable.xml"/><Relationship Id="rId8" Type="http://schemas.openxmlformats.org/officeDocument/2006/relationships/hyperlink" Target="https://doi.org/10.1016/j.jik.2022.1002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2771</Words>
  <Characters>18464</Characters>
  <Application>Microsoft Office Word</Application>
  <DocSecurity>0</DocSecurity>
  <Lines>331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2024-02-05T20:20:00Z</dcterms:created>
  <dcterms:modified xsi:type="dcterms:W3CDTF">2024-02-05T20:24:00Z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443b03e496ba96c7b4fbd43dca75759312e6800a33ea89bc88b7da7cac9b312a</vt:lpwstr>
  </property>
</Properties>
</file>