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B30E4" w14:textId="77777777" w:rsidR="000418BD" w:rsidRDefault="000418BD" w:rsidP="000418BD">
      <w:pPr>
        <w:rPr>
          <w:b/>
          <w:bCs/>
          <w:sz w:val="32"/>
          <w:szCs w:val="32"/>
        </w:rPr>
      </w:pPr>
    </w:p>
    <w:p w14:paraId="4CE037DB" w14:textId="7D4DE22F" w:rsidR="007E1108" w:rsidRPr="000418BD" w:rsidRDefault="007E1108" w:rsidP="000418BD">
      <w:pPr>
        <w:jc w:val="center"/>
        <w:rPr>
          <w:b/>
          <w:bCs/>
          <w:sz w:val="36"/>
          <w:szCs w:val="36"/>
        </w:rPr>
      </w:pPr>
      <w:r w:rsidRPr="000418BD">
        <w:rPr>
          <w:b/>
          <w:bCs/>
          <w:sz w:val="36"/>
          <w:szCs w:val="36"/>
        </w:rPr>
        <w:t>University of Wales Trinity St David</w:t>
      </w:r>
    </w:p>
    <w:p w14:paraId="326A69D2" w14:textId="4526D705" w:rsidR="007E1108" w:rsidRDefault="007E1108" w:rsidP="000418BD">
      <w:pPr>
        <w:jc w:val="center"/>
        <w:rPr>
          <w:b/>
          <w:bCs/>
        </w:rPr>
      </w:pPr>
      <w:r>
        <w:rPr>
          <w:b/>
          <w:bCs/>
        </w:rPr>
        <w:t>Wales Institute of Science &amp; Art</w:t>
      </w:r>
    </w:p>
    <w:p w14:paraId="4D010CF3" w14:textId="70A6DB4E" w:rsidR="007E1108" w:rsidRPr="007E1108" w:rsidRDefault="007E1108" w:rsidP="000418BD">
      <w:pPr>
        <w:jc w:val="center"/>
        <w:rPr>
          <w:b/>
          <w:bCs/>
        </w:rPr>
      </w:pPr>
    </w:p>
    <w:p w14:paraId="190325F4" w14:textId="77777777" w:rsidR="0063453F" w:rsidRDefault="0063453F" w:rsidP="000418BD">
      <w:pPr>
        <w:jc w:val="center"/>
      </w:pPr>
    </w:p>
    <w:p w14:paraId="607B67AB" w14:textId="77777777" w:rsidR="0063453F" w:rsidRDefault="0063453F" w:rsidP="000418BD">
      <w:pPr>
        <w:jc w:val="center"/>
      </w:pPr>
    </w:p>
    <w:p w14:paraId="641EB6E1" w14:textId="346E8296" w:rsidR="0063453F" w:rsidRDefault="00D442B8" w:rsidP="000418BD">
      <w:pPr>
        <w:jc w:val="center"/>
      </w:pPr>
      <w:r w:rsidRPr="00BA42F5">
        <w:rPr>
          <w:noProof/>
        </w:rPr>
        <w:drawing>
          <wp:anchor distT="0" distB="0" distL="114300" distR="114300" simplePos="0" relativeHeight="251658240" behindDoc="0" locked="0" layoutInCell="1" allowOverlap="1" wp14:anchorId="402C119F" wp14:editId="180688BB">
            <wp:simplePos x="0" y="0"/>
            <wp:positionH relativeFrom="margin">
              <wp:posOffset>552450</wp:posOffset>
            </wp:positionH>
            <wp:positionV relativeFrom="paragraph">
              <wp:posOffset>314960</wp:posOffset>
            </wp:positionV>
            <wp:extent cx="4615815" cy="1847850"/>
            <wp:effectExtent l="0" t="0" r="0" b="0"/>
            <wp:wrapTopAndBottom/>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615815" cy="1847850"/>
                    </a:xfrm>
                    <a:prstGeom prst="rect">
                      <a:avLst/>
                    </a:prstGeom>
                  </pic:spPr>
                </pic:pic>
              </a:graphicData>
            </a:graphic>
            <wp14:sizeRelH relativeFrom="margin">
              <wp14:pctWidth>0</wp14:pctWidth>
            </wp14:sizeRelH>
            <wp14:sizeRelV relativeFrom="margin">
              <wp14:pctHeight>0</wp14:pctHeight>
            </wp14:sizeRelV>
          </wp:anchor>
        </w:drawing>
      </w:r>
    </w:p>
    <w:p w14:paraId="376A5CD4" w14:textId="5FF4264F" w:rsidR="007E1108" w:rsidRDefault="007E1108" w:rsidP="000418BD">
      <w:pPr>
        <w:jc w:val="center"/>
      </w:pPr>
    </w:p>
    <w:p w14:paraId="497A3597" w14:textId="124A1D66" w:rsidR="007E1108" w:rsidRDefault="007E1108" w:rsidP="000418BD">
      <w:pPr>
        <w:jc w:val="center"/>
        <w:rPr>
          <w:b/>
          <w:bCs/>
          <w:sz w:val="40"/>
          <w:szCs w:val="40"/>
        </w:rPr>
      </w:pPr>
    </w:p>
    <w:p w14:paraId="6DCA0FD0" w14:textId="77777777" w:rsidR="0063453F" w:rsidRDefault="0063453F" w:rsidP="00D442B8">
      <w:pPr>
        <w:rPr>
          <w:b/>
          <w:bCs/>
          <w:sz w:val="40"/>
          <w:szCs w:val="40"/>
        </w:rPr>
      </w:pPr>
    </w:p>
    <w:p w14:paraId="06780C0F" w14:textId="70550E87" w:rsidR="007E1108" w:rsidRPr="0098570E" w:rsidRDefault="00A61AFE" w:rsidP="000418BD">
      <w:pPr>
        <w:jc w:val="center"/>
        <w:rPr>
          <w:b/>
          <w:bCs/>
          <w:sz w:val="40"/>
          <w:szCs w:val="40"/>
        </w:rPr>
      </w:pPr>
      <w:r>
        <w:rPr>
          <w:b/>
          <w:bCs/>
          <w:sz w:val="40"/>
          <w:szCs w:val="40"/>
        </w:rPr>
        <w:t>Use of Energy Carriers; Legislation &amp; Practicality Approach</w:t>
      </w:r>
    </w:p>
    <w:p w14:paraId="46734329" w14:textId="1044C6E6" w:rsidR="007E1108" w:rsidRDefault="00D442B8" w:rsidP="000418BD">
      <w:pPr>
        <w:jc w:val="center"/>
        <w:rPr>
          <w:b/>
          <w:bCs/>
          <w:sz w:val="24"/>
          <w:szCs w:val="24"/>
        </w:rPr>
      </w:pPr>
      <w:r>
        <w:rPr>
          <w:b/>
          <w:bCs/>
          <w:sz w:val="24"/>
          <w:szCs w:val="24"/>
        </w:rPr>
        <w:t>Automotive Materials &amp; Sustainability</w:t>
      </w:r>
      <w:r w:rsidR="00B77335">
        <w:rPr>
          <w:b/>
          <w:bCs/>
          <w:sz w:val="24"/>
          <w:szCs w:val="24"/>
        </w:rPr>
        <w:t xml:space="preserve"> (ACHA</w:t>
      </w:r>
      <w:r>
        <w:rPr>
          <w:b/>
          <w:bCs/>
          <w:sz w:val="24"/>
          <w:szCs w:val="24"/>
        </w:rPr>
        <w:t>6012</w:t>
      </w:r>
      <w:r w:rsidR="00B77335">
        <w:rPr>
          <w:b/>
          <w:bCs/>
          <w:sz w:val="24"/>
          <w:szCs w:val="24"/>
        </w:rPr>
        <w:t>)</w:t>
      </w:r>
    </w:p>
    <w:p w14:paraId="3D6E751B" w14:textId="518F6CB7" w:rsidR="000418BD" w:rsidRDefault="000418BD" w:rsidP="000418BD">
      <w:pPr>
        <w:jc w:val="center"/>
        <w:rPr>
          <w:b/>
          <w:bCs/>
          <w:sz w:val="24"/>
          <w:szCs w:val="24"/>
        </w:rPr>
      </w:pPr>
    </w:p>
    <w:p w14:paraId="064A9581" w14:textId="7656345A" w:rsidR="000418BD" w:rsidRDefault="000418BD" w:rsidP="000418BD">
      <w:pPr>
        <w:jc w:val="center"/>
        <w:rPr>
          <w:b/>
          <w:bCs/>
          <w:sz w:val="24"/>
          <w:szCs w:val="24"/>
        </w:rPr>
      </w:pPr>
    </w:p>
    <w:p w14:paraId="567EF09D" w14:textId="77777777" w:rsidR="0063453F" w:rsidRDefault="0063453F" w:rsidP="000418BD">
      <w:pPr>
        <w:jc w:val="center"/>
        <w:rPr>
          <w:sz w:val="24"/>
          <w:szCs w:val="24"/>
        </w:rPr>
      </w:pPr>
    </w:p>
    <w:p w14:paraId="1EFCAABF" w14:textId="4F8530DA" w:rsidR="0063453F" w:rsidRPr="0063453F" w:rsidRDefault="0063453F" w:rsidP="0063453F">
      <w:pPr>
        <w:rPr>
          <w:rFonts w:asciiTheme="majorHAnsi" w:eastAsiaTheme="majorEastAsia" w:hAnsiTheme="majorHAnsi" w:cstheme="majorBidi"/>
          <w:color w:val="2F5496" w:themeColor="accent1" w:themeShade="BF"/>
          <w:sz w:val="26"/>
          <w:szCs w:val="26"/>
        </w:rPr>
      </w:pPr>
    </w:p>
    <w:p w14:paraId="16B676BC" w14:textId="77777777" w:rsidR="0063453F" w:rsidRDefault="0063453F" w:rsidP="00D442B8">
      <w:pPr>
        <w:rPr>
          <w:sz w:val="24"/>
          <w:szCs w:val="24"/>
        </w:rPr>
      </w:pPr>
    </w:p>
    <w:p w14:paraId="71D21F52" w14:textId="77777777" w:rsidR="00D442B8" w:rsidRDefault="00D442B8" w:rsidP="00D442B8">
      <w:pPr>
        <w:rPr>
          <w:sz w:val="24"/>
          <w:szCs w:val="24"/>
        </w:rPr>
      </w:pPr>
    </w:p>
    <w:p w14:paraId="04B50442" w14:textId="7F2F5E74" w:rsidR="007E1108" w:rsidRPr="00B32DEB" w:rsidRDefault="0063453F" w:rsidP="0063453F">
      <w:pPr>
        <w:ind w:left="2880"/>
        <w:rPr>
          <w:sz w:val="24"/>
          <w:szCs w:val="24"/>
        </w:rPr>
      </w:pPr>
      <w:r>
        <w:rPr>
          <w:sz w:val="24"/>
          <w:szCs w:val="24"/>
        </w:rPr>
        <w:t xml:space="preserve">       </w:t>
      </w:r>
      <w:r w:rsidR="007E1108" w:rsidRPr="00B32DEB">
        <w:rPr>
          <w:sz w:val="24"/>
          <w:szCs w:val="24"/>
        </w:rPr>
        <w:t>Byron Christopher Davies</w:t>
      </w:r>
    </w:p>
    <w:p w14:paraId="2F710A41" w14:textId="77777777" w:rsidR="007E1108" w:rsidRPr="00B32DEB" w:rsidRDefault="007E1108" w:rsidP="000418BD">
      <w:pPr>
        <w:jc w:val="center"/>
        <w:rPr>
          <w:sz w:val="24"/>
          <w:szCs w:val="24"/>
        </w:rPr>
      </w:pPr>
      <w:r w:rsidRPr="00B32DEB">
        <w:rPr>
          <w:sz w:val="24"/>
          <w:szCs w:val="24"/>
        </w:rPr>
        <w:t>2005899</w:t>
      </w:r>
    </w:p>
    <w:p w14:paraId="52B3D0C8" w14:textId="49449032" w:rsidR="00A34898" w:rsidRDefault="00D442B8" w:rsidP="0063453F">
      <w:pPr>
        <w:jc w:val="center"/>
        <w:rPr>
          <w:sz w:val="24"/>
          <w:szCs w:val="24"/>
        </w:rPr>
      </w:pPr>
      <w:r>
        <w:rPr>
          <w:sz w:val="24"/>
          <w:szCs w:val="24"/>
        </w:rPr>
        <w:t>March 2023</w:t>
      </w:r>
    </w:p>
    <w:p w14:paraId="17E36D50" w14:textId="665CB7A9" w:rsidR="00A34898" w:rsidRDefault="00A34898">
      <w:pPr>
        <w:rPr>
          <w:sz w:val="24"/>
          <w:szCs w:val="24"/>
        </w:rPr>
      </w:pPr>
    </w:p>
    <w:sdt>
      <w:sdtPr>
        <w:rPr>
          <w:rFonts w:asciiTheme="minorHAnsi" w:eastAsiaTheme="minorHAnsi" w:hAnsiTheme="minorHAnsi" w:cstheme="minorBidi"/>
          <w:color w:val="auto"/>
          <w:sz w:val="22"/>
          <w:szCs w:val="22"/>
          <w:lang w:val="en-GB"/>
        </w:rPr>
        <w:id w:val="-496106070"/>
        <w:docPartObj>
          <w:docPartGallery w:val="Table of Contents"/>
          <w:docPartUnique/>
        </w:docPartObj>
      </w:sdtPr>
      <w:sdtEndPr>
        <w:rPr>
          <w:b/>
          <w:bCs/>
          <w:noProof/>
        </w:rPr>
      </w:sdtEndPr>
      <w:sdtContent>
        <w:p w14:paraId="0449FBC5" w14:textId="09252637" w:rsidR="00A34898" w:rsidRDefault="00A34898">
          <w:pPr>
            <w:pStyle w:val="TOCHeading"/>
          </w:pPr>
          <w:r>
            <w:t>Contents</w:t>
          </w:r>
        </w:p>
        <w:p w14:paraId="65C2CF6F" w14:textId="5E689CE4" w:rsidR="00D23457" w:rsidRDefault="00A34898">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31264922" w:history="1">
            <w:r w:rsidR="00D23457" w:rsidRPr="00AF06B5">
              <w:rPr>
                <w:rStyle w:val="Hyperlink"/>
                <w:noProof/>
              </w:rPr>
              <w:t>2</w:t>
            </w:r>
            <w:r w:rsidR="00D23457">
              <w:rPr>
                <w:rFonts w:eastAsiaTheme="minorEastAsia"/>
                <w:noProof/>
                <w:lang w:eastAsia="en-GB"/>
              </w:rPr>
              <w:tab/>
            </w:r>
            <w:r w:rsidR="00D23457" w:rsidRPr="00AF06B5">
              <w:rPr>
                <w:rStyle w:val="Hyperlink"/>
                <w:noProof/>
              </w:rPr>
              <w:t>Introduction</w:t>
            </w:r>
            <w:r w:rsidR="00D23457">
              <w:rPr>
                <w:noProof/>
                <w:webHidden/>
              </w:rPr>
              <w:tab/>
            </w:r>
            <w:r w:rsidR="00D23457">
              <w:rPr>
                <w:noProof/>
                <w:webHidden/>
              </w:rPr>
              <w:fldChar w:fldCharType="begin"/>
            </w:r>
            <w:r w:rsidR="00D23457">
              <w:rPr>
                <w:noProof/>
                <w:webHidden/>
              </w:rPr>
              <w:instrText xml:space="preserve"> PAGEREF _Toc131264922 \h </w:instrText>
            </w:r>
            <w:r w:rsidR="00D23457">
              <w:rPr>
                <w:noProof/>
                <w:webHidden/>
              </w:rPr>
            </w:r>
            <w:r w:rsidR="00D23457">
              <w:rPr>
                <w:noProof/>
                <w:webHidden/>
              </w:rPr>
              <w:fldChar w:fldCharType="separate"/>
            </w:r>
            <w:r w:rsidR="00D23457">
              <w:rPr>
                <w:noProof/>
                <w:webHidden/>
              </w:rPr>
              <w:t>2</w:t>
            </w:r>
            <w:r w:rsidR="00D23457">
              <w:rPr>
                <w:noProof/>
                <w:webHidden/>
              </w:rPr>
              <w:fldChar w:fldCharType="end"/>
            </w:r>
          </w:hyperlink>
        </w:p>
        <w:p w14:paraId="7D9CC75D" w14:textId="569F7EB2" w:rsidR="00D23457" w:rsidRDefault="00D23457">
          <w:pPr>
            <w:pStyle w:val="TOC1"/>
            <w:tabs>
              <w:tab w:val="left" w:pos="440"/>
              <w:tab w:val="right" w:leader="dot" w:pos="9016"/>
            </w:tabs>
            <w:rPr>
              <w:rFonts w:eastAsiaTheme="minorEastAsia"/>
              <w:noProof/>
              <w:lang w:eastAsia="en-GB"/>
            </w:rPr>
          </w:pPr>
          <w:hyperlink w:anchor="_Toc131264923" w:history="1">
            <w:r w:rsidRPr="00AF06B5">
              <w:rPr>
                <w:rStyle w:val="Hyperlink"/>
                <w:noProof/>
              </w:rPr>
              <w:t>3</w:t>
            </w:r>
            <w:r>
              <w:rPr>
                <w:rFonts w:eastAsiaTheme="minorEastAsia"/>
                <w:noProof/>
                <w:lang w:eastAsia="en-GB"/>
              </w:rPr>
              <w:tab/>
            </w:r>
            <w:r w:rsidRPr="00AF06B5">
              <w:rPr>
                <w:rStyle w:val="Hyperlink"/>
                <w:noProof/>
              </w:rPr>
              <w:t>Current &amp; Future Legislation and its Effect on the UK Fleet and Transport Network</w:t>
            </w:r>
            <w:r>
              <w:rPr>
                <w:noProof/>
                <w:webHidden/>
              </w:rPr>
              <w:tab/>
            </w:r>
            <w:r>
              <w:rPr>
                <w:noProof/>
                <w:webHidden/>
              </w:rPr>
              <w:fldChar w:fldCharType="begin"/>
            </w:r>
            <w:r>
              <w:rPr>
                <w:noProof/>
                <w:webHidden/>
              </w:rPr>
              <w:instrText xml:space="preserve"> PAGEREF _Toc131264923 \h </w:instrText>
            </w:r>
            <w:r>
              <w:rPr>
                <w:noProof/>
                <w:webHidden/>
              </w:rPr>
            </w:r>
            <w:r>
              <w:rPr>
                <w:noProof/>
                <w:webHidden/>
              </w:rPr>
              <w:fldChar w:fldCharType="separate"/>
            </w:r>
            <w:r>
              <w:rPr>
                <w:noProof/>
                <w:webHidden/>
              </w:rPr>
              <w:t>3</w:t>
            </w:r>
            <w:r>
              <w:rPr>
                <w:noProof/>
                <w:webHidden/>
              </w:rPr>
              <w:fldChar w:fldCharType="end"/>
            </w:r>
          </w:hyperlink>
        </w:p>
        <w:p w14:paraId="02992629" w14:textId="078F2461" w:rsidR="00D23457" w:rsidRDefault="00D23457">
          <w:pPr>
            <w:pStyle w:val="TOC1"/>
            <w:tabs>
              <w:tab w:val="left" w:pos="440"/>
              <w:tab w:val="right" w:leader="dot" w:pos="9016"/>
            </w:tabs>
            <w:rPr>
              <w:rFonts w:eastAsiaTheme="minorEastAsia"/>
              <w:noProof/>
              <w:lang w:eastAsia="en-GB"/>
            </w:rPr>
          </w:pPr>
          <w:hyperlink w:anchor="_Toc131264924" w:history="1">
            <w:r w:rsidRPr="00AF06B5">
              <w:rPr>
                <w:rStyle w:val="Hyperlink"/>
                <w:noProof/>
              </w:rPr>
              <w:t>4</w:t>
            </w:r>
            <w:r>
              <w:rPr>
                <w:rFonts w:eastAsiaTheme="minorEastAsia"/>
                <w:noProof/>
                <w:lang w:eastAsia="en-GB"/>
              </w:rPr>
              <w:tab/>
            </w:r>
            <w:r w:rsidRPr="00AF06B5">
              <w:rPr>
                <w:rStyle w:val="Hyperlink"/>
                <w:noProof/>
              </w:rPr>
              <w:t>Achieving Sustainable and Environmental Targets</w:t>
            </w:r>
            <w:r>
              <w:rPr>
                <w:noProof/>
                <w:webHidden/>
              </w:rPr>
              <w:tab/>
            </w:r>
            <w:r>
              <w:rPr>
                <w:noProof/>
                <w:webHidden/>
              </w:rPr>
              <w:fldChar w:fldCharType="begin"/>
            </w:r>
            <w:r>
              <w:rPr>
                <w:noProof/>
                <w:webHidden/>
              </w:rPr>
              <w:instrText xml:space="preserve"> PAGEREF _Toc131264924 \h </w:instrText>
            </w:r>
            <w:r>
              <w:rPr>
                <w:noProof/>
                <w:webHidden/>
              </w:rPr>
            </w:r>
            <w:r>
              <w:rPr>
                <w:noProof/>
                <w:webHidden/>
              </w:rPr>
              <w:fldChar w:fldCharType="separate"/>
            </w:r>
            <w:r>
              <w:rPr>
                <w:noProof/>
                <w:webHidden/>
              </w:rPr>
              <w:t>5</w:t>
            </w:r>
            <w:r>
              <w:rPr>
                <w:noProof/>
                <w:webHidden/>
              </w:rPr>
              <w:fldChar w:fldCharType="end"/>
            </w:r>
          </w:hyperlink>
        </w:p>
        <w:p w14:paraId="4859B19C" w14:textId="335B0089" w:rsidR="00D23457" w:rsidRDefault="00D23457">
          <w:pPr>
            <w:pStyle w:val="TOC1"/>
            <w:tabs>
              <w:tab w:val="left" w:pos="440"/>
              <w:tab w:val="right" w:leader="dot" w:pos="9016"/>
            </w:tabs>
            <w:rPr>
              <w:rFonts w:eastAsiaTheme="minorEastAsia"/>
              <w:noProof/>
              <w:lang w:eastAsia="en-GB"/>
            </w:rPr>
          </w:pPr>
          <w:hyperlink w:anchor="_Toc131264925" w:history="1">
            <w:r w:rsidRPr="00AF06B5">
              <w:rPr>
                <w:rStyle w:val="Hyperlink"/>
                <w:noProof/>
              </w:rPr>
              <w:t>5</w:t>
            </w:r>
            <w:r>
              <w:rPr>
                <w:rFonts w:eastAsiaTheme="minorEastAsia"/>
                <w:noProof/>
                <w:lang w:eastAsia="en-GB"/>
              </w:rPr>
              <w:tab/>
            </w:r>
            <w:r w:rsidRPr="00AF06B5">
              <w:rPr>
                <w:rStyle w:val="Hyperlink"/>
                <w:noProof/>
              </w:rPr>
              <w:t>Energy Carriers</w:t>
            </w:r>
            <w:r>
              <w:rPr>
                <w:noProof/>
                <w:webHidden/>
              </w:rPr>
              <w:tab/>
            </w:r>
            <w:r>
              <w:rPr>
                <w:noProof/>
                <w:webHidden/>
              </w:rPr>
              <w:fldChar w:fldCharType="begin"/>
            </w:r>
            <w:r>
              <w:rPr>
                <w:noProof/>
                <w:webHidden/>
              </w:rPr>
              <w:instrText xml:space="preserve"> PAGEREF _Toc131264925 \h </w:instrText>
            </w:r>
            <w:r>
              <w:rPr>
                <w:noProof/>
                <w:webHidden/>
              </w:rPr>
            </w:r>
            <w:r>
              <w:rPr>
                <w:noProof/>
                <w:webHidden/>
              </w:rPr>
              <w:fldChar w:fldCharType="separate"/>
            </w:r>
            <w:r>
              <w:rPr>
                <w:noProof/>
                <w:webHidden/>
              </w:rPr>
              <w:t>6</w:t>
            </w:r>
            <w:r>
              <w:rPr>
                <w:noProof/>
                <w:webHidden/>
              </w:rPr>
              <w:fldChar w:fldCharType="end"/>
            </w:r>
          </w:hyperlink>
        </w:p>
        <w:p w14:paraId="33FF88CA" w14:textId="138DF609" w:rsidR="00D23457" w:rsidRDefault="00D23457">
          <w:pPr>
            <w:pStyle w:val="TOC2"/>
            <w:tabs>
              <w:tab w:val="left" w:pos="880"/>
              <w:tab w:val="right" w:leader="dot" w:pos="9016"/>
            </w:tabs>
            <w:rPr>
              <w:rFonts w:eastAsiaTheme="minorEastAsia"/>
              <w:noProof/>
              <w:lang w:eastAsia="en-GB"/>
            </w:rPr>
          </w:pPr>
          <w:hyperlink w:anchor="_Toc131264926" w:history="1">
            <w:r w:rsidRPr="00AF06B5">
              <w:rPr>
                <w:rStyle w:val="Hyperlink"/>
                <w:noProof/>
              </w:rPr>
              <w:t>5.1</w:t>
            </w:r>
            <w:r>
              <w:rPr>
                <w:rFonts w:eastAsiaTheme="minorEastAsia"/>
                <w:noProof/>
                <w:lang w:eastAsia="en-GB"/>
              </w:rPr>
              <w:tab/>
            </w:r>
            <w:r w:rsidRPr="00AF06B5">
              <w:rPr>
                <w:rStyle w:val="Hyperlink"/>
                <w:noProof/>
              </w:rPr>
              <w:t>Electric Powertrain</w:t>
            </w:r>
            <w:r>
              <w:rPr>
                <w:noProof/>
                <w:webHidden/>
              </w:rPr>
              <w:tab/>
            </w:r>
            <w:r>
              <w:rPr>
                <w:noProof/>
                <w:webHidden/>
              </w:rPr>
              <w:fldChar w:fldCharType="begin"/>
            </w:r>
            <w:r>
              <w:rPr>
                <w:noProof/>
                <w:webHidden/>
              </w:rPr>
              <w:instrText xml:space="preserve"> PAGEREF _Toc131264926 \h </w:instrText>
            </w:r>
            <w:r>
              <w:rPr>
                <w:noProof/>
                <w:webHidden/>
              </w:rPr>
            </w:r>
            <w:r>
              <w:rPr>
                <w:noProof/>
                <w:webHidden/>
              </w:rPr>
              <w:fldChar w:fldCharType="separate"/>
            </w:r>
            <w:r>
              <w:rPr>
                <w:noProof/>
                <w:webHidden/>
              </w:rPr>
              <w:t>6</w:t>
            </w:r>
            <w:r>
              <w:rPr>
                <w:noProof/>
                <w:webHidden/>
              </w:rPr>
              <w:fldChar w:fldCharType="end"/>
            </w:r>
          </w:hyperlink>
        </w:p>
        <w:p w14:paraId="6D2F7310" w14:textId="4BD4633E" w:rsidR="00D23457" w:rsidRDefault="00D23457">
          <w:pPr>
            <w:pStyle w:val="TOC2"/>
            <w:tabs>
              <w:tab w:val="left" w:pos="880"/>
              <w:tab w:val="right" w:leader="dot" w:pos="9016"/>
            </w:tabs>
            <w:rPr>
              <w:rFonts w:eastAsiaTheme="minorEastAsia"/>
              <w:noProof/>
              <w:lang w:eastAsia="en-GB"/>
            </w:rPr>
          </w:pPr>
          <w:hyperlink w:anchor="_Toc131264927" w:history="1">
            <w:r w:rsidRPr="00AF06B5">
              <w:rPr>
                <w:rStyle w:val="Hyperlink"/>
                <w:noProof/>
              </w:rPr>
              <w:t>5.2</w:t>
            </w:r>
            <w:r>
              <w:rPr>
                <w:rFonts w:eastAsiaTheme="minorEastAsia"/>
                <w:noProof/>
                <w:lang w:eastAsia="en-GB"/>
              </w:rPr>
              <w:tab/>
            </w:r>
            <w:r w:rsidRPr="00AF06B5">
              <w:rPr>
                <w:rStyle w:val="Hyperlink"/>
                <w:noProof/>
              </w:rPr>
              <w:t>Hydrogen Fuel Cells</w:t>
            </w:r>
            <w:r>
              <w:rPr>
                <w:noProof/>
                <w:webHidden/>
              </w:rPr>
              <w:tab/>
            </w:r>
            <w:r>
              <w:rPr>
                <w:noProof/>
                <w:webHidden/>
              </w:rPr>
              <w:fldChar w:fldCharType="begin"/>
            </w:r>
            <w:r>
              <w:rPr>
                <w:noProof/>
                <w:webHidden/>
              </w:rPr>
              <w:instrText xml:space="preserve"> PAGEREF _Toc131264927 \h </w:instrText>
            </w:r>
            <w:r>
              <w:rPr>
                <w:noProof/>
                <w:webHidden/>
              </w:rPr>
            </w:r>
            <w:r>
              <w:rPr>
                <w:noProof/>
                <w:webHidden/>
              </w:rPr>
              <w:fldChar w:fldCharType="separate"/>
            </w:r>
            <w:r>
              <w:rPr>
                <w:noProof/>
                <w:webHidden/>
              </w:rPr>
              <w:t>7</w:t>
            </w:r>
            <w:r>
              <w:rPr>
                <w:noProof/>
                <w:webHidden/>
              </w:rPr>
              <w:fldChar w:fldCharType="end"/>
            </w:r>
          </w:hyperlink>
        </w:p>
        <w:p w14:paraId="505E2A2B" w14:textId="474B4DCD" w:rsidR="00D23457" w:rsidRDefault="00D23457">
          <w:pPr>
            <w:pStyle w:val="TOC2"/>
            <w:tabs>
              <w:tab w:val="left" w:pos="880"/>
              <w:tab w:val="right" w:leader="dot" w:pos="9016"/>
            </w:tabs>
            <w:rPr>
              <w:rFonts w:eastAsiaTheme="minorEastAsia"/>
              <w:noProof/>
              <w:lang w:eastAsia="en-GB"/>
            </w:rPr>
          </w:pPr>
          <w:hyperlink w:anchor="_Toc131264928" w:history="1">
            <w:r w:rsidRPr="00AF06B5">
              <w:rPr>
                <w:rStyle w:val="Hyperlink"/>
                <w:noProof/>
              </w:rPr>
              <w:t>5.3</w:t>
            </w:r>
            <w:r>
              <w:rPr>
                <w:rFonts w:eastAsiaTheme="minorEastAsia"/>
                <w:noProof/>
                <w:lang w:eastAsia="en-GB"/>
              </w:rPr>
              <w:tab/>
            </w:r>
            <w:r w:rsidRPr="00AF06B5">
              <w:rPr>
                <w:rStyle w:val="Hyperlink"/>
                <w:noProof/>
              </w:rPr>
              <w:t>Biofuels</w:t>
            </w:r>
            <w:r>
              <w:rPr>
                <w:noProof/>
                <w:webHidden/>
              </w:rPr>
              <w:tab/>
            </w:r>
            <w:r>
              <w:rPr>
                <w:noProof/>
                <w:webHidden/>
              </w:rPr>
              <w:fldChar w:fldCharType="begin"/>
            </w:r>
            <w:r>
              <w:rPr>
                <w:noProof/>
                <w:webHidden/>
              </w:rPr>
              <w:instrText xml:space="preserve"> PAGEREF _Toc131264928 \h </w:instrText>
            </w:r>
            <w:r>
              <w:rPr>
                <w:noProof/>
                <w:webHidden/>
              </w:rPr>
            </w:r>
            <w:r>
              <w:rPr>
                <w:noProof/>
                <w:webHidden/>
              </w:rPr>
              <w:fldChar w:fldCharType="separate"/>
            </w:r>
            <w:r>
              <w:rPr>
                <w:noProof/>
                <w:webHidden/>
              </w:rPr>
              <w:t>7</w:t>
            </w:r>
            <w:r>
              <w:rPr>
                <w:noProof/>
                <w:webHidden/>
              </w:rPr>
              <w:fldChar w:fldCharType="end"/>
            </w:r>
          </w:hyperlink>
        </w:p>
        <w:p w14:paraId="4784891D" w14:textId="4AC95712" w:rsidR="00D23457" w:rsidRDefault="00D23457">
          <w:pPr>
            <w:pStyle w:val="TOC1"/>
            <w:tabs>
              <w:tab w:val="left" w:pos="440"/>
              <w:tab w:val="right" w:leader="dot" w:pos="9016"/>
            </w:tabs>
            <w:rPr>
              <w:rFonts w:eastAsiaTheme="minorEastAsia"/>
              <w:noProof/>
              <w:lang w:eastAsia="en-GB"/>
            </w:rPr>
          </w:pPr>
          <w:hyperlink w:anchor="_Toc131264929" w:history="1">
            <w:r w:rsidRPr="00AF06B5">
              <w:rPr>
                <w:rStyle w:val="Hyperlink"/>
                <w:noProof/>
              </w:rPr>
              <w:t>6</w:t>
            </w:r>
            <w:r>
              <w:rPr>
                <w:rFonts w:eastAsiaTheme="minorEastAsia"/>
                <w:noProof/>
                <w:lang w:eastAsia="en-GB"/>
              </w:rPr>
              <w:tab/>
            </w:r>
            <w:r w:rsidRPr="00AF06B5">
              <w:rPr>
                <w:rStyle w:val="Hyperlink"/>
                <w:noProof/>
              </w:rPr>
              <w:t>Consumer Engagement in the Motorsport Industry</w:t>
            </w:r>
            <w:r>
              <w:rPr>
                <w:noProof/>
                <w:webHidden/>
              </w:rPr>
              <w:tab/>
            </w:r>
            <w:r>
              <w:rPr>
                <w:noProof/>
                <w:webHidden/>
              </w:rPr>
              <w:fldChar w:fldCharType="begin"/>
            </w:r>
            <w:r>
              <w:rPr>
                <w:noProof/>
                <w:webHidden/>
              </w:rPr>
              <w:instrText xml:space="preserve"> PAGEREF _Toc131264929 \h </w:instrText>
            </w:r>
            <w:r>
              <w:rPr>
                <w:noProof/>
                <w:webHidden/>
              </w:rPr>
            </w:r>
            <w:r>
              <w:rPr>
                <w:noProof/>
                <w:webHidden/>
              </w:rPr>
              <w:fldChar w:fldCharType="separate"/>
            </w:r>
            <w:r>
              <w:rPr>
                <w:noProof/>
                <w:webHidden/>
              </w:rPr>
              <w:t>9</w:t>
            </w:r>
            <w:r>
              <w:rPr>
                <w:noProof/>
                <w:webHidden/>
              </w:rPr>
              <w:fldChar w:fldCharType="end"/>
            </w:r>
          </w:hyperlink>
        </w:p>
        <w:p w14:paraId="428D010A" w14:textId="70FE8BBF" w:rsidR="00D23457" w:rsidRDefault="00D23457">
          <w:pPr>
            <w:pStyle w:val="TOC1"/>
            <w:tabs>
              <w:tab w:val="left" w:pos="440"/>
              <w:tab w:val="right" w:leader="dot" w:pos="9016"/>
            </w:tabs>
            <w:rPr>
              <w:rFonts w:eastAsiaTheme="minorEastAsia"/>
              <w:noProof/>
              <w:lang w:eastAsia="en-GB"/>
            </w:rPr>
          </w:pPr>
          <w:hyperlink w:anchor="_Toc131264930" w:history="1">
            <w:r w:rsidRPr="00AF06B5">
              <w:rPr>
                <w:rStyle w:val="Hyperlink"/>
                <w:noProof/>
              </w:rPr>
              <w:t>7</w:t>
            </w:r>
            <w:r>
              <w:rPr>
                <w:rFonts w:eastAsiaTheme="minorEastAsia"/>
                <w:noProof/>
                <w:lang w:eastAsia="en-GB"/>
              </w:rPr>
              <w:tab/>
            </w:r>
            <w:r w:rsidRPr="00AF06B5">
              <w:rPr>
                <w:rStyle w:val="Hyperlink"/>
                <w:noProof/>
              </w:rPr>
              <w:t>Conclusion</w:t>
            </w:r>
            <w:r>
              <w:rPr>
                <w:noProof/>
                <w:webHidden/>
              </w:rPr>
              <w:tab/>
            </w:r>
            <w:r>
              <w:rPr>
                <w:noProof/>
                <w:webHidden/>
              </w:rPr>
              <w:fldChar w:fldCharType="begin"/>
            </w:r>
            <w:r>
              <w:rPr>
                <w:noProof/>
                <w:webHidden/>
              </w:rPr>
              <w:instrText xml:space="preserve"> PAGEREF _Toc131264930 \h </w:instrText>
            </w:r>
            <w:r>
              <w:rPr>
                <w:noProof/>
                <w:webHidden/>
              </w:rPr>
            </w:r>
            <w:r>
              <w:rPr>
                <w:noProof/>
                <w:webHidden/>
              </w:rPr>
              <w:fldChar w:fldCharType="separate"/>
            </w:r>
            <w:r>
              <w:rPr>
                <w:noProof/>
                <w:webHidden/>
              </w:rPr>
              <w:t>10</w:t>
            </w:r>
            <w:r>
              <w:rPr>
                <w:noProof/>
                <w:webHidden/>
              </w:rPr>
              <w:fldChar w:fldCharType="end"/>
            </w:r>
          </w:hyperlink>
        </w:p>
        <w:p w14:paraId="366DBEDD" w14:textId="40FFC8CA" w:rsidR="00D23457" w:rsidRDefault="00D23457">
          <w:pPr>
            <w:pStyle w:val="TOC1"/>
            <w:tabs>
              <w:tab w:val="left" w:pos="440"/>
              <w:tab w:val="right" w:leader="dot" w:pos="9016"/>
            </w:tabs>
            <w:rPr>
              <w:rFonts w:eastAsiaTheme="minorEastAsia"/>
              <w:noProof/>
              <w:lang w:eastAsia="en-GB"/>
            </w:rPr>
          </w:pPr>
          <w:hyperlink w:anchor="_Toc131264931" w:history="1">
            <w:r w:rsidRPr="00AF06B5">
              <w:rPr>
                <w:rStyle w:val="Hyperlink"/>
                <w:noProof/>
              </w:rPr>
              <w:t>8</w:t>
            </w:r>
            <w:r>
              <w:rPr>
                <w:rFonts w:eastAsiaTheme="minorEastAsia"/>
                <w:noProof/>
                <w:lang w:eastAsia="en-GB"/>
              </w:rPr>
              <w:tab/>
            </w:r>
            <w:r w:rsidRPr="00AF06B5">
              <w:rPr>
                <w:rStyle w:val="Hyperlink"/>
                <w:noProof/>
              </w:rPr>
              <w:t>References</w:t>
            </w:r>
            <w:r>
              <w:rPr>
                <w:noProof/>
                <w:webHidden/>
              </w:rPr>
              <w:tab/>
            </w:r>
            <w:r>
              <w:rPr>
                <w:noProof/>
                <w:webHidden/>
              </w:rPr>
              <w:fldChar w:fldCharType="begin"/>
            </w:r>
            <w:r>
              <w:rPr>
                <w:noProof/>
                <w:webHidden/>
              </w:rPr>
              <w:instrText xml:space="preserve"> PAGEREF _Toc131264931 \h </w:instrText>
            </w:r>
            <w:r>
              <w:rPr>
                <w:noProof/>
                <w:webHidden/>
              </w:rPr>
            </w:r>
            <w:r>
              <w:rPr>
                <w:noProof/>
                <w:webHidden/>
              </w:rPr>
              <w:fldChar w:fldCharType="separate"/>
            </w:r>
            <w:r>
              <w:rPr>
                <w:noProof/>
                <w:webHidden/>
              </w:rPr>
              <w:t>11</w:t>
            </w:r>
            <w:r>
              <w:rPr>
                <w:noProof/>
                <w:webHidden/>
              </w:rPr>
              <w:fldChar w:fldCharType="end"/>
            </w:r>
          </w:hyperlink>
        </w:p>
        <w:p w14:paraId="254C69D8" w14:textId="2B400325" w:rsidR="00A34898" w:rsidRDefault="00A34898">
          <w:r>
            <w:rPr>
              <w:b/>
              <w:bCs/>
              <w:noProof/>
            </w:rPr>
            <w:fldChar w:fldCharType="end"/>
          </w:r>
        </w:p>
      </w:sdtContent>
    </w:sdt>
    <w:p w14:paraId="7C978045" w14:textId="77777777" w:rsidR="0063453F" w:rsidRDefault="0063453F" w:rsidP="0063453F">
      <w:pPr>
        <w:jc w:val="center"/>
        <w:rPr>
          <w:sz w:val="24"/>
          <w:szCs w:val="24"/>
        </w:rPr>
      </w:pPr>
    </w:p>
    <w:p w14:paraId="2FCBE690" w14:textId="77777777" w:rsidR="0063453F" w:rsidRDefault="0063453F">
      <w:pPr>
        <w:rPr>
          <w:sz w:val="24"/>
          <w:szCs w:val="24"/>
        </w:rPr>
      </w:pPr>
      <w:r>
        <w:rPr>
          <w:sz w:val="24"/>
          <w:szCs w:val="24"/>
        </w:rPr>
        <w:br w:type="page"/>
      </w:r>
    </w:p>
    <w:p w14:paraId="1C22A589" w14:textId="08B5054D" w:rsidR="0063453F" w:rsidRDefault="0063453F" w:rsidP="00A34898">
      <w:pPr>
        <w:pStyle w:val="Heading1"/>
      </w:pPr>
      <w:bookmarkStart w:id="0" w:name="_Toc131264922"/>
      <w:r>
        <w:lastRenderedPageBreak/>
        <w:t>Introduction</w:t>
      </w:r>
      <w:bookmarkEnd w:id="0"/>
    </w:p>
    <w:p w14:paraId="33F17E17" w14:textId="261A6186" w:rsidR="0063453F" w:rsidRDefault="002A5615" w:rsidP="002A5615">
      <w:pPr>
        <w:ind w:firstLine="432"/>
        <w:jc w:val="both"/>
        <w:rPr>
          <w:rFonts w:asciiTheme="majorHAnsi" w:eastAsiaTheme="majorEastAsia" w:hAnsiTheme="majorHAnsi" w:cstheme="majorBidi"/>
          <w:color w:val="2F5496" w:themeColor="accent1" w:themeShade="BF"/>
          <w:sz w:val="32"/>
          <w:szCs w:val="32"/>
        </w:rPr>
      </w:pPr>
      <w:r w:rsidRPr="002A5615">
        <w:t>The world is currently facing significant challenges related to energy, including the depletion of fossil fuels, environmental pollution, and climate change. To address these challenges, many countries have adopted policies and legislation to promote the use of cleaner and more sustainable energy sources, including renewable energy and alternative energy carriers. In recent years, there has been a growing interest in the use of energy carriers, such as hydrogen, biofuels, and synthetic fuels, as a means of decarbonizing the transportation sector. However, there are still many practical challenges associated with the widespread adoption of these energy carriers, including infrastructure development, cost, and energy efficiency. This paper will explore the use of energy carriers in the context of current legislation and practicality concerns, examining the potential benefits and challenges of these technologies, and discussing strategies for promoting their adoption on a larger scale.</w:t>
      </w:r>
      <w:r w:rsidR="0063453F">
        <w:br w:type="page"/>
      </w:r>
    </w:p>
    <w:p w14:paraId="5314E343" w14:textId="1AC072FA" w:rsidR="0063453F" w:rsidRDefault="00790C73" w:rsidP="00F03B01">
      <w:pPr>
        <w:pStyle w:val="Heading1"/>
      </w:pPr>
      <w:bookmarkStart w:id="1" w:name="_Toc131264923"/>
      <w:r>
        <w:lastRenderedPageBreak/>
        <w:t>Current &amp; Future Legislation</w:t>
      </w:r>
      <w:r w:rsidR="00270141">
        <w:t xml:space="preserve"> and its </w:t>
      </w:r>
      <w:r w:rsidR="002341BC">
        <w:t>Effect on the UK Fleet and Transport Network</w:t>
      </w:r>
      <w:bookmarkEnd w:id="1"/>
      <w:r w:rsidR="002341BC">
        <w:t xml:space="preserve"> </w:t>
      </w:r>
    </w:p>
    <w:p w14:paraId="244FB506" w14:textId="476977C2" w:rsidR="00D30E4D" w:rsidRDefault="000D20E9" w:rsidP="00545D4C">
      <w:pPr>
        <w:ind w:firstLine="432"/>
        <w:jc w:val="both"/>
      </w:pPr>
      <w:r w:rsidRPr="000D20E9">
        <w:t xml:space="preserve">The Welsh Government has made </w:t>
      </w:r>
      <w:r w:rsidR="004302E9" w:rsidRPr="000D20E9">
        <w:t>several</w:t>
      </w:r>
      <w:r w:rsidRPr="000D20E9">
        <w:t xml:space="preserve"> improvements to the nation's transportation infrastructure. One such programme that was started in 2021 is the </w:t>
      </w:r>
      <w:r w:rsidRPr="000D20E9">
        <w:t>Southwest</w:t>
      </w:r>
      <w:r w:rsidRPr="000D20E9">
        <w:t xml:space="preserve"> Wales Transport Consortium (SWWTC). In the </w:t>
      </w:r>
      <w:r w:rsidRPr="000D20E9">
        <w:t>Southwest</w:t>
      </w:r>
      <w:r w:rsidRPr="000D20E9">
        <w:t xml:space="preserve"> Wales region, the SWWTC seeks to enhance transportation options and build a more integrated, sustainable transportation network (</w:t>
      </w:r>
      <w:r w:rsidR="00D13140">
        <w:t>Welsh Government</w:t>
      </w:r>
      <w:r w:rsidRPr="000D20E9">
        <w:t>, 2021</w:t>
      </w:r>
      <w:r w:rsidR="00D13140">
        <w:t>a</w:t>
      </w:r>
      <w:r w:rsidRPr="000D20E9">
        <w:t>).</w:t>
      </w:r>
    </w:p>
    <w:p w14:paraId="1A003661" w14:textId="0896E858" w:rsidR="002337C7" w:rsidRDefault="00D30E4D" w:rsidP="00545D4C">
      <w:pPr>
        <w:ind w:firstLine="432"/>
        <w:jc w:val="both"/>
      </w:pPr>
      <w:r w:rsidRPr="00D30E4D">
        <w:t xml:space="preserve">The </w:t>
      </w:r>
      <w:r w:rsidR="00161EBF" w:rsidRPr="00D30E4D">
        <w:t>Southwest</w:t>
      </w:r>
      <w:r w:rsidRPr="00D30E4D">
        <w:t xml:space="preserve"> Wales Corporate Joint Committee Rules 2021 have also been introduced, allowing the SWWTC ideas to be put into practise. The regulations outline the powers of local authorities in connection to the Joint Committee as well as the creation of the Joint Committee and its roles. The Joint Committee will be crucial in carrying out the transportation recommendations made by the SWWTC (</w:t>
      </w:r>
      <w:r w:rsidR="00D13140">
        <w:t>Welsh Government, 2021b</w:t>
      </w:r>
      <w:r w:rsidRPr="00D30E4D">
        <w:t>).</w:t>
      </w:r>
    </w:p>
    <w:p w14:paraId="0554EE3E" w14:textId="01A8BA84" w:rsidR="00F02136" w:rsidRDefault="002337C7" w:rsidP="00545D4C">
      <w:pPr>
        <w:ind w:firstLine="432"/>
        <w:jc w:val="both"/>
      </w:pPr>
      <w:r w:rsidRPr="002337C7">
        <w:t>A variety of initiatives and programmes to lower carbon emissions in the transportation industry have also been released by the UK government. The government's aim for a better, safer, and more dependable transportation system is laid forth in the Future of Mobility strategy. The plan aims to lessen carbon emissions, enhance air quality, and promote the growth of new technology</w:t>
      </w:r>
      <w:r w:rsidR="00CB5204">
        <w:t xml:space="preserve"> </w:t>
      </w:r>
      <w:r w:rsidRPr="002337C7">
        <w:t>(</w:t>
      </w:r>
      <w:r w:rsidR="00D13140">
        <w:t>UK Government, 201</w:t>
      </w:r>
      <w:r w:rsidR="00606D56">
        <w:t>9</w:t>
      </w:r>
      <w:r w:rsidR="00CB5204">
        <w:t>).</w:t>
      </w:r>
    </w:p>
    <w:p w14:paraId="7E024B26" w14:textId="5A30C110" w:rsidR="000770DA" w:rsidRDefault="00F02136" w:rsidP="00545D4C">
      <w:pPr>
        <w:ind w:firstLine="432"/>
        <w:jc w:val="both"/>
      </w:pPr>
      <w:proofErr w:type="gramStart"/>
      <w:r w:rsidRPr="00F02136">
        <w:t>Similar to</w:t>
      </w:r>
      <w:proofErr w:type="gramEnd"/>
      <w:r w:rsidRPr="00F02136">
        <w:t xml:space="preserve"> this, the policy paper Decarbonising Transport: A Better, Greener Britain outlines the government's goals for lowering UK transportation emissions. The plan outlines initiatives including funding more environmentally friendly public transportation, encouraging bicycling and walking, and aiding the development of low-emission automobiles (</w:t>
      </w:r>
      <w:r w:rsidR="00606D56">
        <w:t>UK Government, 2021a</w:t>
      </w:r>
      <w:r w:rsidRPr="00F02136">
        <w:t>).</w:t>
      </w:r>
    </w:p>
    <w:p w14:paraId="0A5BFD6A" w14:textId="14407B5F" w:rsidR="00156955" w:rsidRDefault="000770DA" w:rsidP="00545D4C">
      <w:pPr>
        <w:ind w:firstLine="432"/>
        <w:jc w:val="both"/>
      </w:pPr>
      <w:r w:rsidRPr="000770DA">
        <w:t>These rules and tactics have a considerable impact on the UK fleet and transportation system. According to the Transport Statistics Great Britain 2021 report, the rise in electric and hybrid vehicles has contributed significantly to a 4% decline in greenhouse gas emissions from road transportation since 2019. (</w:t>
      </w:r>
      <w:r w:rsidR="00606D56">
        <w:t>UK Government, 2021b</w:t>
      </w:r>
      <w:r w:rsidRPr="000770DA">
        <w:t>). A zero-emission vehicle (ZEV) requirement has also been proposed by the government, which would require that by 2030, a specific proportion of new car and van sales be zero-emission cars. The adoption of electric and other low-emission vehicles would be aided by this (UK Government, 2022</w:t>
      </w:r>
      <w:r w:rsidR="00D45870">
        <w:t>a</w:t>
      </w:r>
      <w:r w:rsidRPr="000770DA">
        <w:t>).</w:t>
      </w:r>
    </w:p>
    <w:p w14:paraId="7E12B769" w14:textId="77777777" w:rsidR="007060D5" w:rsidRDefault="00156955" w:rsidP="00545D4C">
      <w:pPr>
        <w:ind w:firstLine="432"/>
        <w:jc w:val="both"/>
      </w:pPr>
      <w:r w:rsidRPr="00156955">
        <w:t>In Wales, the government's long-term goal for the nation's transportation system is outlined in the Transport for Wales (</w:t>
      </w:r>
      <w:proofErr w:type="spellStart"/>
      <w:r w:rsidRPr="00156955">
        <w:t>TfW</w:t>
      </w:r>
      <w:proofErr w:type="spellEnd"/>
      <w:r w:rsidRPr="00156955">
        <w:t>) corporate strategy. The policy emphasises enhancing connectivity, fostering economic expansion, and encouraging environmentally friendly transportation solutions. The development of active travel infrastructure, the electrification of the rail network, and the introduction of new trains and buses are important steps (Transport for Wales, 2022).</w:t>
      </w:r>
    </w:p>
    <w:p w14:paraId="7C911B22" w14:textId="77777777" w:rsidR="004302E9" w:rsidRDefault="007060D5" w:rsidP="00545D4C">
      <w:pPr>
        <w:ind w:firstLine="432"/>
        <w:jc w:val="both"/>
      </w:pPr>
      <w:r w:rsidRPr="007060D5">
        <w:t xml:space="preserve">These activities and policies have an effect beyond just the transportation industry. The Road Freight Statistics report demonstrates the importance of the freight industry to the economy by </w:t>
      </w:r>
      <w:r w:rsidRPr="007060D5">
        <w:lastRenderedPageBreak/>
        <w:t xml:space="preserve">revealing a 2% increase in the number of domestic road freight movements between October 2021 and September 2022. (UK Government, 2022b). By reducing the number of cars on the roads and increasing space for walking and cycling, Transport for London's </w:t>
      </w:r>
      <w:proofErr w:type="spellStart"/>
      <w:r w:rsidRPr="007060D5">
        <w:t>Streetspace</w:t>
      </w:r>
      <w:proofErr w:type="spellEnd"/>
      <w:r w:rsidRPr="007060D5">
        <w:t xml:space="preserve"> financing project seeks to improve city life (Transport for London, n.d.).</w:t>
      </w:r>
    </w:p>
    <w:p w14:paraId="53559733" w14:textId="2FCA9E5A" w:rsidR="00563B42" w:rsidRDefault="004302E9" w:rsidP="00545D4C">
      <w:pPr>
        <w:ind w:firstLine="432"/>
        <w:jc w:val="both"/>
      </w:pPr>
      <w:r w:rsidRPr="004302E9">
        <w:t xml:space="preserve">In conclusion, the Welsh government has made substantial advancements in the nation's transportation infrastructure. Important projects that will contribute to the development of a more integrated and sustainable transportation system in the </w:t>
      </w:r>
      <w:r w:rsidRPr="004302E9">
        <w:t>Southwest</w:t>
      </w:r>
      <w:r w:rsidRPr="004302E9">
        <w:t xml:space="preserve"> Wales region include the SWWTC and the South West Wales Corporate Joint Committee Rules 2021. The UK fleet and transportation network will be significantly impacted by the UK government's policies and plans to reduce carbon emissions in the transportation sector, supporting the use of low-emission vehicles and promoting sustainable transportation options. Another illustration of the government's dedication to enhancing connectivity and supporting sustainable transportation options in the UK is the </w:t>
      </w:r>
      <w:proofErr w:type="spellStart"/>
      <w:r w:rsidRPr="004302E9">
        <w:t>Streetspace</w:t>
      </w:r>
      <w:proofErr w:type="spellEnd"/>
      <w:r w:rsidRPr="004302E9">
        <w:t xml:space="preserve"> funding programme and the corporate plan for Transport for Wales.</w:t>
      </w:r>
      <w:r w:rsidR="00563B42">
        <w:br w:type="page"/>
      </w:r>
    </w:p>
    <w:p w14:paraId="5EE5F5E6" w14:textId="77777777" w:rsidR="00F03B01" w:rsidRPr="00F03B01" w:rsidRDefault="00F03B01" w:rsidP="00F03B01"/>
    <w:p w14:paraId="16DFEB3E" w14:textId="645D27EA" w:rsidR="0063453F" w:rsidRDefault="00026A78" w:rsidP="0063453F">
      <w:pPr>
        <w:pStyle w:val="Heading1"/>
      </w:pPr>
      <w:bookmarkStart w:id="2" w:name="_Toc131264924"/>
      <w:r>
        <w:t xml:space="preserve">Achieving </w:t>
      </w:r>
      <w:r w:rsidR="00293A4B">
        <w:t>Sustainable and Environmental Targets</w:t>
      </w:r>
      <w:bookmarkEnd w:id="2"/>
    </w:p>
    <w:p w14:paraId="071D7571" w14:textId="77777777" w:rsidR="001D1DC1" w:rsidRDefault="00B33C55" w:rsidP="00B33C55">
      <w:pPr>
        <w:ind w:firstLine="432"/>
        <w:jc w:val="both"/>
      </w:pPr>
      <w:r w:rsidRPr="00B33C55">
        <w:t>To meet sustainability and environmental goals, the automotive sector is always studying and creating new technology. One business that prioritises sustainability is BMW, which wants to have a carbon-neutral production network in place by 2021. (BMW Group, n.d.). The business uses cutting-edge manufacturing techniques to lessen its impact on the environment, such as waterless painting technology that uses up to 90% less water than traditional paint shops (BMW Group, n.d.).</w:t>
      </w:r>
    </w:p>
    <w:p w14:paraId="21B389F0" w14:textId="77777777" w:rsidR="00D14F32" w:rsidRDefault="001D1DC1" w:rsidP="00B33C55">
      <w:pPr>
        <w:ind w:firstLine="432"/>
        <w:jc w:val="both"/>
      </w:pPr>
      <w:r w:rsidRPr="001D1DC1">
        <w:t xml:space="preserve">Using recycled materials is another area of innovation for the automotive industry. Ford, for instance, recycles more than 1.2 billion plastic bottles annually to make auto parts, such as wheel liners and underbody shields for their F-Series trucks (CNBC, 2019). By doing so, they </w:t>
      </w:r>
      <w:r w:rsidRPr="001D1DC1">
        <w:t>can</w:t>
      </w:r>
      <w:r w:rsidRPr="001D1DC1">
        <w:t xml:space="preserve"> produce less plastic waste and increase the sustainability of their production methods.</w:t>
      </w:r>
    </w:p>
    <w:p w14:paraId="5F61308C" w14:textId="77777777" w:rsidR="00472D5F" w:rsidRDefault="00D14F32" w:rsidP="00B33C55">
      <w:pPr>
        <w:ind w:firstLine="432"/>
        <w:jc w:val="both"/>
      </w:pPr>
      <w:r w:rsidRPr="00D14F32">
        <w:t>Another key area of the automotive industry's sustainability initiatives is the development of electric cars (EVs). According to the Global EV Outlook 2021 report from the International Energy Agency, 145 million EVs are anticipated to be in use worldwide by 2030. (IEA, 2021). This switch to electric vehicles will lessen greenhouse gas emissions and enhance air quality.</w:t>
      </w:r>
    </w:p>
    <w:p w14:paraId="6AE907B5" w14:textId="77777777" w:rsidR="008C68B4" w:rsidRDefault="00472D5F" w:rsidP="00B33C55">
      <w:pPr>
        <w:ind w:firstLine="432"/>
        <w:jc w:val="both"/>
      </w:pPr>
      <w:r w:rsidRPr="00472D5F">
        <w:t>The car industry is investigating the possibility of autonomous driving technologies in addition to EVs. According to a McKinsey &amp; Company analysis, autonomous driving could increase fuel economy by up to 20% while cutting CO2 emissions by up to 60%. (McKinsey &amp; Company, 2018). Also, this technology might contribute to lessening traffic congestion and enhancing road safety.</w:t>
      </w:r>
    </w:p>
    <w:p w14:paraId="779F67CC" w14:textId="0DDDE77D" w:rsidR="0063453F" w:rsidRDefault="008C68B4" w:rsidP="00B33C55">
      <w:pPr>
        <w:ind w:firstLine="432"/>
        <w:jc w:val="both"/>
        <w:rPr>
          <w:rFonts w:asciiTheme="majorHAnsi" w:eastAsiaTheme="majorEastAsia" w:hAnsiTheme="majorHAnsi" w:cstheme="majorBidi"/>
          <w:color w:val="2F5496" w:themeColor="accent1" w:themeShade="BF"/>
          <w:sz w:val="32"/>
          <w:szCs w:val="32"/>
        </w:rPr>
      </w:pPr>
      <w:r w:rsidRPr="008C68B4">
        <w:t>In conclusion, the automobile sector is always investigating and creating cutting-edge technology in order to meet sustainability and environmental goals. The auto industry is making attempts to be more sustainable, as seen by BMW's waterless painting technique, Ford's use of recycled materials, the growing uptake of EVs, and the promise of autonomous driving technology.</w:t>
      </w:r>
      <w:r w:rsidR="0063453F">
        <w:br w:type="page"/>
      </w:r>
    </w:p>
    <w:p w14:paraId="39259F61" w14:textId="4784A61F" w:rsidR="00F86F75" w:rsidRDefault="008A12A3" w:rsidP="00307CF6">
      <w:pPr>
        <w:pStyle w:val="Heading1"/>
      </w:pPr>
      <w:bookmarkStart w:id="3" w:name="_Toc131264925"/>
      <w:r>
        <w:lastRenderedPageBreak/>
        <w:t>Energy Carriers</w:t>
      </w:r>
      <w:bookmarkEnd w:id="3"/>
    </w:p>
    <w:p w14:paraId="50ACD6E5" w14:textId="77777777" w:rsidR="008A12A3" w:rsidRDefault="008A12A3" w:rsidP="008A12A3">
      <w:pPr>
        <w:pStyle w:val="Heading2"/>
      </w:pPr>
      <w:bookmarkStart w:id="4" w:name="_Toc131264926"/>
      <w:r>
        <w:t>Electric Powertrain</w:t>
      </w:r>
      <w:bookmarkEnd w:id="4"/>
    </w:p>
    <w:p w14:paraId="041C431C" w14:textId="282F74D1" w:rsidR="00BE4610" w:rsidRDefault="00307CF6" w:rsidP="00F86F75">
      <w:pPr>
        <w:ind w:firstLine="576"/>
        <w:jc w:val="both"/>
      </w:pPr>
      <w:r w:rsidRPr="00307CF6">
        <w:t>One of the main sources of greenhouse gas emissions, which cause climate change and global warming, is the transportation sector. It is necessary to switch to cleaner and more sustainable energy sources for transportation in order to lessen this issue. Due to its ability to lower emissions and increase energy efficiency, electric powertrain is one of the choices that has become more well-liked. The operating and efficiency levels, emissions, performance, and energy outputs that are possible for electric powertrain will all be critically examined in this article as an alternative energy carrier.</w:t>
      </w:r>
    </w:p>
    <w:p w14:paraId="47925E93" w14:textId="5916E4FB" w:rsidR="009B13C4" w:rsidRDefault="009B13C4" w:rsidP="00F86F75">
      <w:pPr>
        <w:ind w:firstLine="576"/>
        <w:jc w:val="both"/>
      </w:pPr>
      <w:r w:rsidRPr="009B13C4">
        <w:t>An electric motor, a battery, and a power management system make up the electric powertrain. The electric motor propels the car by converting electrical energy from the battery to mechanical energy. The electric motor's battery stores its electrical energy. The electric motor's energy supply is controlled by the power control unit. The efficiency of an electric powertrain can reach up to 90%, compared to 20–25% for conventional internal combustion engines (ICEs), according to a report on EVs from the International Energy Agency (IEA) (IEA, 2021).</w:t>
      </w:r>
      <w:r w:rsidR="00AD21E0" w:rsidRPr="00AD21E0">
        <w:t xml:space="preserve"> </w:t>
      </w:r>
      <w:r w:rsidR="00AD21E0" w:rsidRPr="00AD21E0">
        <w:t xml:space="preserve">The higher efficiency of electric powertrains is </w:t>
      </w:r>
      <w:r w:rsidR="00AD21E0" w:rsidRPr="00AD21E0">
        <w:t>since</w:t>
      </w:r>
      <w:r w:rsidR="00AD21E0" w:rsidRPr="00AD21E0">
        <w:t xml:space="preserve"> they convert a larger portion of the energy stored in the battery into mechanical energy that propels the vehicle forward. This means that EVs can travel longer distances on the same amount of energy as ICE vehicles.</w:t>
      </w:r>
    </w:p>
    <w:p w14:paraId="783B5D58" w14:textId="040A8BFE" w:rsidR="00513ACA" w:rsidRDefault="00513ACA" w:rsidP="00F86F75">
      <w:pPr>
        <w:ind w:firstLine="576"/>
        <w:jc w:val="both"/>
      </w:pPr>
      <w:r w:rsidRPr="00513ACA">
        <w:t xml:space="preserve">Electric powertrains can produce their full power right away because they have immediate torque. High performance and rapid acceleration are the results. An improved driving experience may result from improved vehicle acceleration, handling, and braking provided by electric powertrains, claims a McKinsey &amp; Company analysis (McKinsey &amp; Company, </w:t>
      </w:r>
      <w:r w:rsidR="006F52B5">
        <w:t>2023</w:t>
      </w:r>
      <w:r w:rsidRPr="00513ACA">
        <w:t>). However, the efficiency of electric powertrains is influenced by the battery's level of charge, the outside temperature, and other elements that can change the output of the electric motor. The energy density of the batteries also contributes to the short range of EVs in comparison to ICE vehicles.</w:t>
      </w:r>
    </w:p>
    <w:p w14:paraId="36796FC7" w14:textId="3E7AB481" w:rsidR="00F64D66" w:rsidRDefault="00F64D66" w:rsidP="00F86F75">
      <w:pPr>
        <w:ind w:firstLine="576"/>
        <w:jc w:val="both"/>
      </w:pPr>
      <w:r w:rsidRPr="00F64D66">
        <w:t xml:space="preserve">The absence of tailpipe emissions from electric powertrains versus internal combustion engines (ICE) is a key advantage. On the other hand, the type of electricity utilised to charge the battery in EVs affects their emissions. The emissions are almost </w:t>
      </w:r>
      <w:r w:rsidR="00EE44AA" w:rsidRPr="00F64D66">
        <w:t>non-existent</w:t>
      </w:r>
      <w:r w:rsidRPr="00F64D66">
        <w:t xml:space="preserve"> if the electricity is generated by renewable energy sources like solar or wind. The emissions are still lower than ICE vehicles even if the electricity is generated using fossil fuels like coal or natural gas; nonetheless, they are not zero. The US Environmental Protection Agency (EPA) estimates that EV emissions are approximately 4 times lower than ICE car emissions when powered by grid electricity (EPA, n.d.). This demonstrates how the use of electric powertrains might drastically cut down on transportation-related pollution.</w:t>
      </w:r>
    </w:p>
    <w:p w14:paraId="11E9C772" w14:textId="7A639BE8" w:rsidR="00D9024E" w:rsidRDefault="00D9024E" w:rsidP="00F86F75">
      <w:pPr>
        <w:ind w:firstLine="576"/>
        <w:jc w:val="both"/>
      </w:pPr>
      <w:r w:rsidRPr="00D9024E">
        <w:t xml:space="preserve">Electric powertrains' energy output is determined by the battery's kilowatt-hour (kWh) capacity (kWh). The more energy a battery can hold, the further an electric vehicle can travel. The average </w:t>
      </w:r>
      <w:r w:rsidRPr="00D9024E">
        <w:lastRenderedPageBreak/>
        <w:t>battery capacity of EVs sold in 2020, according to the IEA research on EVs, was 55 kWh, which is adequate for everyday driving requirements (IEA, 2021). Electric powertrains still produce less energy than ICE vehicles, which can cover greater distances on a single tank of petrol. This is due to the fact that batteries have a substantially lower energy density than gasoline or diesel. Nonetheless, improvements in battery technology and charging infrastructure have led to an increase in the energy output and range of EVs over time.</w:t>
      </w:r>
    </w:p>
    <w:p w14:paraId="72344847" w14:textId="77777777" w:rsidR="001B082D" w:rsidRPr="00F86F75" w:rsidRDefault="001B082D" w:rsidP="00F86F75">
      <w:pPr>
        <w:ind w:firstLine="576"/>
        <w:jc w:val="both"/>
      </w:pPr>
    </w:p>
    <w:p w14:paraId="63E9C96E" w14:textId="77777777" w:rsidR="00400BDE" w:rsidRDefault="00400BDE" w:rsidP="008A12A3">
      <w:pPr>
        <w:pStyle w:val="Heading2"/>
      </w:pPr>
      <w:bookmarkStart w:id="5" w:name="_Toc131264927"/>
      <w:r>
        <w:t>Hydrogen Fuel Cells</w:t>
      </w:r>
      <w:bookmarkEnd w:id="5"/>
    </w:p>
    <w:p w14:paraId="0B77AE31" w14:textId="1656A1B6" w:rsidR="00D34253" w:rsidRDefault="00EB5A51" w:rsidP="00B60021">
      <w:pPr>
        <w:ind w:firstLine="576"/>
        <w:jc w:val="both"/>
      </w:pPr>
      <w:r w:rsidRPr="00EB5A51">
        <w:t xml:space="preserve">Due to their potential to provide low-emission powertrains with significant energy outputs, hydrogen fuel cells have recently come to be recognised as a promising alternative energy carrier to gasoline and diesel. </w:t>
      </w:r>
      <w:r w:rsidR="00D34253" w:rsidRPr="00D34253">
        <w:t>Hydrogen fuel cells are extremely effective, with a theoretical efficiency of 83% and a practical efficiency of up to 60%, according to the International Energy Agency's assessment (IEA, 2021). The quality of the fuel cell, the kind of fuel used, and the operating circumstances are only a few of the variables that affect how efficient hydrogen fuel cells are.</w:t>
      </w:r>
    </w:p>
    <w:p w14:paraId="70BF5F53" w14:textId="5439E770" w:rsidR="00216447" w:rsidRDefault="00216447" w:rsidP="00B60021">
      <w:pPr>
        <w:ind w:firstLine="576"/>
        <w:jc w:val="both"/>
      </w:pPr>
      <w:r w:rsidRPr="00216447">
        <w:t>The fact that hydrogen fuel cells only emit water and heat as hazardous emissions is one of their key benefits (BMW</w:t>
      </w:r>
      <w:r w:rsidR="00EE44AA">
        <w:t xml:space="preserve"> Group</w:t>
      </w:r>
      <w:r w:rsidRPr="00216447">
        <w:t xml:space="preserve">, </w:t>
      </w:r>
      <w:r w:rsidR="00EE44AA">
        <w:t>n.d.</w:t>
      </w:r>
      <w:r w:rsidRPr="00216447">
        <w:t>). This makes them a desirable alternative for lowering air pollution and greenhouse gas emissions, which are significant environmental problems. Contrarily, vehicles powered by gasoline or diesel release a variety of pollutants, including carbon dioxide, nitrogen oxides, and particulates, which are harmful to both the environment and human health (EPA, n.d.).</w:t>
      </w:r>
    </w:p>
    <w:p w14:paraId="490245A5" w14:textId="01907407" w:rsidR="0095413A" w:rsidRDefault="0095413A" w:rsidP="00B60021">
      <w:pPr>
        <w:ind w:firstLine="576"/>
        <w:jc w:val="both"/>
      </w:pPr>
      <w:r w:rsidRPr="0095413A">
        <w:t>The potential for high-performance powertrains with rapid torque and smooth acceleration offered by hydrogen fuel cells is huge (Business Insider, 2019). This is because they can produce electricity without burning fuel using a chemical interaction between hydrogen and oxygen. In addition, hydrogen fuel cells can produce significant power outputs, making them appropriate for a variety of uses, including heavy-duty vehicles like trucks and buses (Green Car Congress, 2021).</w:t>
      </w:r>
    </w:p>
    <w:p w14:paraId="012204EF" w14:textId="70BB0AAA" w:rsidR="005244EF" w:rsidRDefault="005244EF" w:rsidP="00B60021">
      <w:pPr>
        <w:ind w:firstLine="576"/>
        <w:jc w:val="both"/>
      </w:pPr>
      <w:r w:rsidRPr="005244EF">
        <w:t xml:space="preserve">The energy outputs that hydrogen fuel cells </w:t>
      </w:r>
      <w:r w:rsidR="00F83FB9" w:rsidRPr="005244EF">
        <w:t>can produce</w:t>
      </w:r>
      <w:r w:rsidRPr="005244EF">
        <w:t xml:space="preserve"> depend on </w:t>
      </w:r>
      <w:r w:rsidR="00F83FB9" w:rsidRPr="005244EF">
        <w:t>several</w:t>
      </w:r>
      <w:r w:rsidRPr="005244EF">
        <w:t xml:space="preserve"> variables, including the fuel capacity, operating conditions, and the size and type of the fuel cell. In comparison to traditional batteries, hydrogen fuel cells can provide energy densities of up to 1.6 kWh/l, according to the BMW Group's sustainability report (</w:t>
      </w:r>
      <w:r w:rsidR="00EE44AA" w:rsidRPr="00216447">
        <w:t>BMW</w:t>
      </w:r>
      <w:r w:rsidR="00EE44AA">
        <w:t xml:space="preserve"> Group</w:t>
      </w:r>
      <w:r w:rsidR="00EE44AA" w:rsidRPr="00216447">
        <w:t xml:space="preserve">, </w:t>
      </w:r>
      <w:r w:rsidR="00EE44AA">
        <w:t>n.d</w:t>
      </w:r>
      <w:r w:rsidR="00EE44AA">
        <w:t>.</w:t>
      </w:r>
      <w:r w:rsidRPr="005244EF">
        <w:t>). This qualifies hydrogen fuel cells for long-distance purposes like buses and commercial trucks.</w:t>
      </w:r>
    </w:p>
    <w:p w14:paraId="4647EB19" w14:textId="77777777" w:rsidR="001B082D" w:rsidRPr="0033095A" w:rsidRDefault="001B082D" w:rsidP="00B60021">
      <w:pPr>
        <w:ind w:firstLine="576"/>
        <w:jc w:val="both"/>
      </w:pPr>
    </w:p>
    <w:p w14:paraId="5FEE08E1" w14:textId="77777777" w:rsidR="00BE4610" w:rsidRDefault="00400BDE" w:rsidP="008A12A3">
      <w:pPr>
        <w:pStyle w:val="Heading2"/>
      </w:pPr>
      <w:bookmarkStart w:id="6" w:name="_Toc131264928"/>
      <w:r>
        <w:t>Biofuels</w:t>
      </w:r>
      <w:bookmarkEnd w:id="6"/>
    </w:p>
    <w:p w14:paraId="0ADF5787" w14:textId="46C21C54" w:rsidR="00161DB2" w:rsidRDefault="009566C0" w:rsidP="00313B88">
      <w:pPr>
        <w:ind w:firstLine="432"/>
        <w:jc w:val="both"/>
      </w:pPr>
      <w:r w:rsidRPr="009566C0">
        <w:t xml:space="preserve">The utilisation of alternative energy sources like biofuels has been hailed </w:t>
      </w:r>
      <w:proofErr w:type="gramStart"/>
      <w:r w:rsidRPr="009566C0">
        <w:t>as a way to</w:t>
      </w:r>
      <w:proofErr w:type="gramEnd"/>
      <w:r w:rsidRPr="009566C0">
        <w:t xml:space="preserve"> cut down on greenhouse gas emissions from the transportation industry (IEA, 2021). Biofuels can be used in </w:t>
      </w:r>
      <w:r w:rsidRPr="009566C0">
        <w:lastRenderedPageBreak/>
        <w:t>place of fossil fuels to power cars because they are made from renewable biomass sources like plants, algae, and trash (McKinsey &amp; Company, 2021).</w:t>
      </w:r>
    </w:p>
    <w:p w14:paraId="4C18AB23" w14:textId="1DF557AF" w:rsidR="00B0643A" w:rsidRDefault="00B0643A" w:rsidP="00B0643A">
      <w:pPr>
        <w:ind w:firstLine="432"/>
        <w:jc w:val="both"/>
      </w:pPr>
      <w:r>
        <w:t xml:space="preserve">The fact that biofuels may be produced from a variety of feedstocks, making them a flexible energy source, is one of their key advantages (BMW Group, n.d.). Moreover, biofuels are a flexible fuel choice that can be utilised in </w:t>
      </w:r>
      <w:r w:rsidR="006B0AB1">
        <w:t>several</w:t>
      </w:r>
      <w:r>
        <w:t xml:space="preserve"> vehicles because they may be blended with fossil fuels or used in their pure form (</w:t>
      </w:r>
      <w:r w:rsidR="006B0AB1">
        <w:t>Prakash</w:t>
      </w:r>
      <w:r>
        <w:t>, 1998).</w:t>
      </w:r>
    </w:p>
    <w:p w14:paraId="0C0FFD7F" w14:textId="48983731" w:rsidR="00B0643A" w:rsidRDefault="00B0643A" w:rsidP="00B0643A">
      <w:pPr>
        <w:ind w:firstLine="432"/>
        <w:jc w:val="both"/>
      </w:pPr>
      <w:r>
        <w:t>However, there are certain difficulties related to biofuels as well. Depending on the type of feedstock used and the manufacturing technique, the efficiency of biofuels can change (BMW Group, n.d.). Moreover, the feedstock and manufacturing process might affect the emissions linked to biofuels (</w:t>
      </w:r>
      <w:r w:rsidR="006B0AB1">
        <w:t>Prakash</w:t>
      </w:r>
      <w:r>
        <w:t>, 1998).</w:t>
      </w:r>
    </w:p>
    <w:p w14:paraId="3458134A" w14:textId="2BDD936A" w:rsidR="00185D9D" w:rsidRDefault="006959BB" w:rsidP="00B0643A">
      <w:pPr>
        <w:ind w:firstLine="432"/>
        <w:jc w:val="both"/>
      </w:pPr>
      <w:r w:rsidRPr="006959BB">
        <w:t>Despite various obstacles, biofuels have the potential to significantly reduce the amount of greenhouse gases emitted by the transportation industry. It is expected that biofuels will become a more significant alternative energy source in the years to come as research and development are carried out.</w:t>
      </w:r>
    </w:p>
    <w:p w14:paraId="5D473C1E" w14:textId="77777777" w:rsidR="00185D9D" w:rsidRDefault="00185D9D">
      <w:r>
        <w:br w:type="page"/>
      </w:r>
    </w:p>
    <w:p w14:paraId="3C01BF77" w14:textId="77777777" w:rsidR="00AF11F0" w:rsidRDefault="00AF11F0" w:rsidP="00185D9D">
      <w:pPr>
        <w:pStyle w:val="Heading1"/>
      </w:pPr>
      <w:bookmarkStart w:id="7" w:name="_Toc131264929"/>
      <w:r>
        <w:lastRenderedPageBreak/>
        <w:t>Consumer Engagement in the Motorsport Industry</w:t>
      </w:r>
      <w:bookmarkEnd w:id="7"/>
    </w:p>
    <w:p w14:paraId="595A1098" w14:textId="09C92092" w:rsidR="00AF11F0" w:rsidRDefault="00AF11F0" w:rsidP="00AF11F0">
      <w:pPr>
        <w:ind w:firstLine="432"/>
        <w:jc w:val="both"/>
      </w:pPr>
      <w:r>
        <w:t xml:space="preserve">The development of new technologies and racing series in the motorsport industry can have a significant impact on consumer engagement. One example of this is the growth of electric racing series such as Formula E, which has helped to raise awareness of electric vehicles and promote sustainable mobility (Car and Driver, </w:t>
      </w:r>
      <w:r w:rsidR="00242436">
        <w:t>2022</w:t>
      </w:r>
      <w:r>
        <w:t>). By showcasing the performance and capabilities of electric vehicles in a racing context, Formula E has helped to break down some of the stereotypes and misconceptions around electric vehicles and encourage consumers to consider them as a viable option.</w:t>
      </w:r>
    </w:p>
    <w:p w14:paraId="59753B34" w14:textId="34BFF8A4" w:rsidR="00AF11F0" w:rsidRDefault="00AF11F0" w:rsidP="00AF11F0">
      <w:pPr>
        <w:ind w:firstLine="432"/>
        <w:jc w:val="both"/>
      </w:pPr>
      <w:r>
        <w:t>In addition to racing series, the motorsport industry is also a hotbed of technological innovation. Many of the technologies developed for motorsports have the potential to be applied to consumer vehicles, such as improved aerodynamics, lighter materials, and more efficient powertrains (</w:t>
      </w:r>
      <w:proofErr w:type="spellStart"/>
      <w:r>
        <w:t>Autonews</w:t>
      </w:r>
      <w:proofErr w:type="spellEnd"/>
      <w:r>
        <w:t xml:space="preserve"> Europe, 202</w:t>
      </w:r>
      <w:r w:rsidR="00242436">
        <w:t>3</w:t>
      </w:r>
      <w:r>
        <w:t>). By highlighting the benefits of these technologies in a racing context, manufacturers can build excitement and interest around their consumer vehicles and encourage consumers to consider them as a more exciting and technologically advanced option.</w:t>
      </w:r>
    </w:p>
    <w:p w14:paraId="5242C1F7" w14:textId="5083BFA4" w:rsidR="008A6754" w:rsidRPr="001F224D" w:rsidRDefault="00AF11F0" w:rsidP="00AF11F0">
      <w:pPr>
        <w:ind w:firstLine="432"/>
        <w:jc w:val="both"/>
      </w:pPr>
      <w:r>
        <w:t>Furthermore, the use of motorsport as a testing ground for new technologies and materials can also lead to innovations that benefit society more broadly. For example, advances in safety technology developed for racing cars can be applied to road cars, making them safer for all drivers and passengers (Green Car Congress, 2021).</w:t>
      </w:r>
      <w:r>
        <w:t xml:space="preserve"> </w:t>
      </w:r>
      <w:r w:rsidR="00185D9D">
        <w:br w:type="page"/>
      </w:r>
    </w:p>
    <w:p w14:paraId="3E168628" w14:textId="2E823E44" w:rsidR="00A34898" w:rsidRDefault="00A34898" w:rsidP="00A34898">
      <w:pPr>
        <w:pStyle w:val="Heading1"/>
      </w:pPr>
      <w:bookmarkStart w:id="8" w:name="_Toc131264930"/>
      <w:r>
        <w:lastRenderedPageBreak/>
        <w:t>Conclusion</w:t>
      </w:r>
      <w:bookmarkEnd w:id="8"/>
    </w:p>
    <w:p w14:paraId="5AA45589" w14:textId="180A731B" w:rsidR="00933985" w:rsidRDefault="00733CCB" w:rsidP="00733CCB">
      <w:pPr>
        <w:ind w:firstLine="432"/>
        <w:jc w:val="both"/>
      </w:pPr>
      <w:r w:rsidRPr="00733CCB">
        <w:t xml:space="preserve">In conclusion, the motorsports sector is a hive of technical innovation with the potential to positively impact society in </w:t>
      </w:r>
      <w:r w:rsidR="00933985" w:rsidRPr="00733CCB">
        <w:t>several</w:t>
      </w:r>
      <w:r w:rsidRPr="00733CCB">
        <w:t xml:space="preserve"> ways, as well as a source of enjoyment for millions of fans worldwide. The motorsport business has a lot to offer, from increasing safety technology for all drivers to creating more environmentally friendly and effective vehicles.</w:t>
      </w:r>
    </w:p>
    <w:p w14:paraId="3FA16789" w14:textId="0593306B" w:rsidR="00D23457" w:rsidRDefault="00933985" w:rsidP="00733CCB">
      <w:pPr>
        <w:ind w:firstLine="432"/>
        <w:jc w:val="both"/>
      </w:pPr>
      <w:r w:rsidRPr="00933985">
        <w:t xml:space="preserve">The UK governing body is particularly interested in building the infrastructure for electric racing. The popularity of electric racing series like Formula E has aided in spreading knowledge about electric cars and sustainable transportation. Formula E has contributed to dispelling several myths and prejudices about electric vehicles and influencing consumers to view them as an option by displaying their performance and capabilities in a racing situation. Additionally, the usage of electric vehicles in racing can spur scientific advancement in the creation of more effective and potent batteries as well as charging infrastructure, both of which may have significant positive effects on </w:t>
      </w:r>
      <w:r w:rsidR="00D23457" w:rsidRPr="00933985">
        <w:t>society</w:t>
      </w:r>
      <w:r w:rsidRPr="00933985">
        <w:t>.</w:t>
      </w:r>
    </w:p>
    <w:p w14:paraId="2611A85C" w14:textId="15EFCA90" w:rsidR="00D23457" w:rsidRDefault="00D23457" w:rsidP="00D23457">
      <w:pPr>
        <w:ind w:firstLine="432"/>
        <w:jc w:val="both"/>
      </w:pPr>
      <w:r>
        <w:t>The UK's governing body should strive to assist the development of technologies and materials that can benefit both the motorsports sector and society at large in addition to electric racing. These could include improvements in aerodynamics, lighter materials, and safety systems that can be applied to consumer automobiles to make them safer, more technologically advanced, and more efficient.</w:t>
      </w:r>
    </w:p>
    <w:p w14:paraId="4F025167" w14:textId="0E749FCD" w:rsidR="00A34898" w:rsidRPr="005C066E" w:rsidRDefault="00D23457" w:rsidP="00D23457">
      <w:pPr>
        <w:ind w:firstLine="432"/>
        <w:jc w:val="both"/>
        <w:rPr>
          <w:rFonts w:asciiTheme="majorHAnsi" w:eastAsiaTheme="majorEastAsia" w:hAnsiTheme="majorHAnsi" w:cstheme="majorBidi"/>
          <w:color w:val="2F5496" w:themeColor="accent1" w:themeShade="BF"/>
          <w:sz w:val="32"/>
          <w:szCs w:val="32"/>
        </w:rPr>
      </w:pPr>
      <w:r>
        <w:t>In conclusion, the UK regulating body may encourage innovation and enhance the sustainability, safety, and performance of vehicles both on and off the track by investing in the growth of electric racing and fostering the development of new technologies and materials. This might be advantageous for society at large as well as the motorsports sector, making it an investment that will pay out in the long run.</w:t>
      </w:r>
      <w:r w:rsidR="00A34898">
        <w:br w:type="page"/>
      </w:r>
    </w:p>
    <w:p w14:paraId="282ED04B" w14:textId="24DBC487" w:rsidR="00A34898" w:rsidRDefault="00A34898" w:rsidP="00A34898">
      <w:pPr>
        <w:pStyle w:val="Heading1"/>
      </w:pPr>
      <w:bookmarkStart w:id="9" w:name="_Toc131264931"/>
      <w:r>
        <w:lastRenderedPageBreak/>
        <w:t>References</w:t>
      </w:r>
      <w:bookmarkEnd w:id="9"/>
    </w:p>
    <w:p w14:paraId="660127AC" w14:textId="03942A69" w:rsidR="00447304" w:rsidRDefault="00447304" w:rsidP="00447304">
      <w:proofErr w:type="spellStart"/>
      <w:r>
        <w:t>Auto</w:t>
      </w:r>
      <w:r w:rsidR="00242436">
        <w:t>n</w:t>
      </w:r>
      <w:r>
        <w:t>ews</w:t>
      </w:r>
      <w:proofErr w:type="spellEnd"/>
      <w:r>
        <w:t xml:space="preserve"> Europe. (2023). </w:t>
      </w:r>
      <w:r w:rsidRPr="007D5610">
        <w:rPr>
          <w:i/>
          <w:iCs/>
        </w:rPr>
        <w:t>BMW bets on design and recycling, not mining, to lower battery costs</w:t>
      </w:r>
      <w:r>
        <w:rPr>
          <w:i/>
          <w:iCs/>
        </w:rPr>
        <w:t>.</w:t>
      </w:r>
      <w:r>
        <w:t xml:space="preserve"> Available at: </w:t>
      </w:r>
      <w:hyperlink r:id="rId12" w:history="1">
        <w:r w:rsidRPr="008B1C85">
          <w:rPr>
            <w:rStyle w:val="Hyperlink"/>
          </w:rPr>
          <w:t>https://europe.autonews.com/automakers/how-bmw-plans-lower-batte</w:t>
        </w:r>
        <w:r w:rsidRPr="008B1C85">
          <w:rPr>
            <w:rStyle w:val="Hyperlink"/>
          </w:rPr>
          <w:t>r</w:t>
        </w:r>
        <w:r w:rsidRPr="008B1C85">
          <w:rPr>
            <w:rStyle w:val="Hyperlink"/>
          </w:rPr>
          <w:t>y-costs-electric-cars</w:t>
        </w:r>
      </w:hyperlink>
      <w:r>
        <w:t xml:space="preserve"> (Accessed: 1 April 2023)</w:t>
      </w:r>
    </w:p>
    <w:p w14:paraId="2A52CEAE" w14:textId="526C6F86" w:rsidR="00D5408D" w:rsidRDefault="00D5408D" w:rsidP="00D5408D">
      <w:r>
        <w:t xml:space="preserve">BMW Group. (n.d.). </w:t>
      </w:r>
      <w:r w:rsidRPr="00B51A85">
        <w:rPr>
          <w:i/>
          <w:iCs/>
        </w:rPr>
        <w:t>Sustainability</w:t>
      </w:r>
      <w:r>
        <w:t xml:space="preserve">. </w:t>
      </w:r>
      <w:r w:rsidR="00885F84">
        <w:t xml:space="preserve">Available at: </w:t>
      </w:r>
      <w:hyperlink r:id="rId13" w:history="1">
        <w:r w:rsidRPr="008B1C85">
          <w:rPr>
            <w:rStyle w:val="Hyperlink"/>
          </w:rPr>
          <w:t>https://www.bmwgroup.com/en/sustainability.html</w:t>
        </w:r>
      </w:hyperlink>
      <w:r>
        <w:t xml:space="preserve"> </w:t>
      </w:r>
      <w:r w:rsidR="00885F84">
        <w:t xml:space="preserve">(Accessed: </w:t>
      </w:r>
      <w:r w:rsidR="00447304">
        <w:t>29 March 2023)</w:t>
      </w:r>
    </w:p>
    <w:p w14:paraId="05FFA0E3" w14:textId="77777777" w:rsidR="00447304" w:rsidRDefault="00447304" w:rsidP="00447304">
      <w:r>
        <w:t xml:space="preserve">Caldwell, A. (2020). </w:t>
      </w:r>
      <w:r>
        <w:rPr>
          <w:i/>
          <w:iCs/>
        </w:rPr>
        <w:t>Why hydrogen cars will be Tesla’s biggest threat.</w:t>
      </w:r>
      <w:r>
        <w:t xml:space="preserve"> Available at:</w:t>
      </w:r>
      <w:r w:rsidRPr="00185B93">
        <w:t xml:space="preserve"> </w:t>
      </w:r>
      <w:hyperlink r:id="rId14" w:history="1">
        <w:r w:rsidRPr="008B1C85">
          <w:rPr>
            <w:rStyle w:val="Hyperlink"/>
          </w:rPr>
          <w:t>https://www.businessinsider.com/hyd</w:t>
        </w:r>
        <w:r w:rsidRPr="008B1C85">
          <w:rPr>
            <w:rStyle w:val="Hyperlink"/>
          </w:rPr>
          <w:t>r</w:t>
        </w:r>
        <w:r w:rsidRPr="008B1C85">
          <w:rPr>
            <w:rStyle w:val="Hyperlink"/>
          </w:rPr>
          <w:t>ogen-fuel-cell-cars-teslas-biggest-threat-2019-12?r=US&amp;IR=T</w:t>
        </w:r>
      </w:hyperlink>
      <w:r>
        <w:t xml:space="preserve"> (Accessed: 1 April 2023)</w:t>
      </w:r>
    </w:p>
    <w:p w14:paraId="45CFBE41" w14:textId="35FD1726" w:rsidR="00D5408D" w:rsidRDefault="00447304" w:rsidP="00D5408D">
      <w:r>
        <w:t xml:space="preserve">Car and Driver. (2022). </w:t>
      </w:r>
      <w:r>
        <w:rPr>
          <w:i/>
          <w:iCs/>
        </w:rPr>
        <w:t>Pros and Cons of Electric Cars.</w:t>
      </w:r>
      <w:r>
        <w:t xml:space="preserve"> Available at:</w:t>
      </w:r>
      <w:r w:rsidRPr="00F663E5">
        <w:t xml:space="preserve"> </w:t>
      </w:r>
      <w:hyperlink r:id="rId15" w:history="1">
        <w:r w:rsidRPr="008B1C85">
          <w:rPr>
            <w:rStyle w:val="Hyperlink"/>
          </w:rPr>
          <w:t>https://</w:t>
        </w:r>
        <w:r w:rsidRPr="008B1C85">
          <w:rPr>
            <w:rStyle w:val="Hyperlink"/>
          </w:rPr>
          <w:t>w</w:t>
        </w:r>
        <w:r w:rsidRPr="008B1C85">
          <w:rPr>
            <w:rStyle w:val="Hyperlink"/>
          </w:rPr>
          <w:t>ww.caranddriver.com/features/a41001087/pros-and-cons-electric-cars/</w:t>
        </w:r>
      </w:hyperlink>
      <w:r>
        <w:t xml:space="preserve"> (Accessed: 1 April 2023)</w:t>
      </w:r>
    </w:p>
    <w:p w14:paraId="4DC2A3AC" w14:textId="3733B3CA" w:rsidR="00D5408D" w:rsidRDefault="00D5408D" w:rsidP="00D5408D">
      <w:r>
        <w:t xml:space="preserve">CNBC. (2019, May 31). </w:t>
      </w:r>
      <w:r w:rsidRPr="00B51A85">
        <w:rPr>
          <w:i/>
          <w:iCs/>
        </w:rPr>
        <w:t>Ford recycles 1.2 billion plastic bottles a year for auto parts</w:t>
      </w:r>
      <w:r>
        <w:t xml:space="preserve">. </w:t>
      </w:r>
      <w:r w:rsidR="00885F84">
        <w:t xml:space="preserve">Available at: </w:t>
      </w:r>
      <w:hyperlink r:id="rId16" w:anchor=":~:text=Ford%20is%20trying%20to%20reduce%20its%20carbon%20footprint,well%20as%20the%20wheel%20liners%20on%20F-Series%20trucks" w:history="1">
        <w:r w:rsidRPr="008B1C85">
          <w:rPr>
            <w:rStyle w:val="Hyperlink"/>
          </w:rPr>
          <w:t>https://www.cnbc.com/2019/05/31/ford-recycles1point2-billion-plastic-bottles-a-year-for-auto-parts.html#:~:text=Ford%20is%20trying%20to%20reduce%20its%20carbon%20footprint,well%20as%20the%20wheel%20liners%20on%20F-Series%20trucks</w:t>
        </w:r>
      </w:hyperlink>
      <w:r>
        <w:t xml:space="preserve">. </w:t>
      </w:r>
      <w:r w:rsidR="00885F84">
        <w:t>(Accessed: 29 March 2023)</w:t>
      </w:r>
    </w:p>
    <w:p w14:paraId="6E73AFA7" w14:textId="2E9BC475" w:rsidR="00447304" w:rsidRDefault="00447304" w:rsidP="00447304">
      <w:r>
        <w:t xml:space="preserve">Green Car Congress. (2021). </w:t>
      </w:r>
      <w:r w:rsidRPr="00E1338D">
        <w:rPr>
          <w:i/>
          <w:iCs/>
        </w:rPr>
        <w:t>Intelligent regenerative braking on the Volkswagen ID.4; coasting a priority</w:t>
      </w:r>
      <w:r>
        <w:rPr>
          <w:i/>
          <w:iCs/>
        </w:rPr>
        <w:t xml:space="preserve">. </w:t>
      </w:r>
      <w:r>
        <w:t>Available at:</w:t>
      </w:r>
      <w:r w:rsidRPr="00E1338D">
        <w:t xml:space="preserve"> </w:t>
      </w:r>
      <w:hyperlink r:id="rId17" w:history="1">
        <w:r w:rsidRPr="008B1C85">
          <w:rPr>
            <w:rStyle w:val="Hyperlink"/>
          </w:rPr>
          <w:t>https://www.greencarcongress.com/2021/01/20210107-id4.html</w:t>
        </w:r>
      </w:hyperlink>
      <w:r>
        <w:t xml:space="preserve"> (Accessed: 1 April 2023</w:t>
      </w:r>
      <w:r>
        <w:t>)</w:t>
      </w:r>
    </w:p>
    <w:p w14:paraId="7E2A4967" w14:textId="239D6F3A" w:rsidR="008A6754" w:rsidRPr="00447304" w:rsidRDefault="008A6754" w:rsidP="00447304">
      <w:r>
        <w:t xml:space="preserve">International Energy Agency. (2021). </w:t>
      </w:r>
      <w:r w:rsidRPr="00B51A85">
        <w:rPr>
          <w:i/>
          <w:iCs/>
        </w:rPr>
        <w:t>Global EV Outlook 2021.</w:t>
      </w:r>
      <w:r>
        <w:t xml:space="preserve"> Available at: </w:t>
      </w:r>
      <w:hyperlink r:id="rId18" w:history="1">
        <w:r w:rsidRPr="008B1C85">
          <w:rPr>
            <w:rStyle w:val="Hyperlink"/>
          </w:rPr>
          <w:t>https://www.iea.org/reports/global-ev-outlook-2021</w:t>
        </w:r>
      </w:hyperlink>
      <w:r>
        <w:t xml:space="preserve"> (Accessed: 29 March 2023)</w:t>
      </w:r>
    </w:p>
    <w:p w14:paraId="7A1BE5C9" w14:textId="12DC5443" w:rsidR="00447304" w:rsidRDefault="00447304" w:rsidP="00D5408D">
      <w:r>
        <w:t>I</w:t>
      </w:r>
      <w:r w:rsidR="00DF4B00">
        <w:t>nternational Energy Agency</w:t>
      </w:r>
      <w:r>
        <w:t xml:space="preserve">. (2022). </w:t>
      </w:r>
      <w:r>
        <w:rPr>
          <w:i/>
          <w:iCs/>
        </w:rPr>
        <w:t xml:space="preserve">Electric Vehicles. </w:t>
      </w:r>
      <w:r>
        <w:t xml:space="preserve">Available at: </w:t>
      </w:r>
      <w:hyperlink r:id="rId19" w:history="1">
        <w:r w:rsidRPr="008B1C85">
          <w:rPr>
            <w:rStyle w:val="Hyperlink"/>
          </w:rPr>
          <w:t>https://</w:t>
        </w:r>
        <w:r w:rsidRPr="008B1C85">
          <w:rPr>
            <w:rStyle w:val="Hyperlink"/>
          </w:rPr>
          <w:t>w</w:t>
        </w:r>
        <w:r w:rsidRPr="008B1C85">
          <w:rPr>
            <w:rStyle w:val="Hyperlink"/>
          </w:rPr>
          <w:t>ww.iea.org/reports/electric-vehicles</w:t>
        </w:r>
      </w:hyperlink>
      <w:r>
        <w:t xml:space="preserve"> (Accessed: 1 April 2023)</w:t>
      </w:r>
    </w:p>
    <w:p w14:paraId="51C8F848" w14:textId="77777777" w:rsidR="00447304" w:rsidRDefault="00447304" w:rsidP="00447304">
      <w:r>
        <w:t xml:space="preserve">McKinsey &amp; Company. (2023). </w:t>
      </w:r>
      <w:r>
        <w:rPr>
          <w:i/>
          <w:iCs/>
        </w:rPr>
        <w:t xml:space="preserve"> Autonomous driving’s future: Convenient and connected. </w:t>
      </w:r>
      <w:r>
        <w:t>Available at:</w:t>
      </w:r>
      <w:r w:rsidRPr="004C0EB7">
        <w:t xml:space="preserve"> </w:t>
      </w:r>
      <w:hyperlink r:id="rId20" w:history="1">
        <w:r w:rsidRPr="008B1C85">
          <w:rPr>
            <w:rStyle w:val="Hyperlink"/>
          </w:rPr>
          <w:t>http</w:t>
        </w:r>
        <w:r w:rsidRPr="008B1C85">
          <w:rPr>
            <w:rStyle w:val="Hyperlink"/>
          </w:rPr>
          <w:t>s</w:t>
        </w:r>
        <w:r w:rsidRPr="008B1C85">
          <w:rPr>
            <w:rStyle w:val="Hyperlink"/>
          </w:rPr>
          <w:t>://www.mckinsey.com/industries/automotive-and-assembly/our-insights/autonomous-drivings-future-convenient-and-connected</w:t>
        </w:r>
      </w:hyperlink>
      <w:r>
        <w:t xml:space="preserve"> (Accessed: 1 April 2023)</w:t>
      </w:r>
    </w:p>
    <w:p w14:paraId="702836BE" w14:textId="5FD379BD" w:rsidR="00447304" w:rsidRDefault="00447304" w:rsidP="00D5408D">
      <w:r>
        <w:t xml:space="preserve">Prakash, C. B. (1998). </w:t>
      </w:r>
      <w:r w:rsidRPr="00655933">
        <w:rPr>
          <w:i/>
          <w:iCs/>
        </w:rPr>
        <w:t>A CRITICAL REVIEW OF BIODIESEL AS A TRANSPORTATION FUEL IN CANADA</w:t>
      </w:r>
      <w:r>
        <w:rPr>
          <w:i/>
          <w:iCs/>
        </w:rPr>
        <w:t xml:space="preserve">. </w:t>
      </w:r>
      <w:r>
        <w:t>Available at:</w:t>
      </w:r>
      <w:r w:rsidRPr="005107AD">
        <w:t xml:space="preserve"> </w:t>
      </w:r>
      <w:hyperlink r:id="rId21" w:history="1">
        <w:r w:rsidRPr="008B1C85">
          <w:rPr>
            <w:rStyle w:val="Hyperlink"/>
          </w:rPr>
          <w:t>https://www.diesel</w:t>
        </w:r>
        <w:r w:rsidRPr="008B1C85">
          <w:rPr>
            <w:rStyle w:val="Hyperlink"/>
          </w:rPr>
          <w:t>d</w:t>
        </w:r>
        <w:r w:rsidRPr="008B1C85">
          <w:rPr>
            <w:rStyle w:val="Hyperlink"/>
          </w:rPr>
          <w:t>uck.info/library/05%20environmental/1998%20Biodiesel%20in%20Canada.pdf</w:t>
        </w:r>
      </w:hyperlink>
      <w:r>
        <w:t xml:space="preserve"> (Accessed: 1 April 2023)</w:t>
      </w:r>
    </w:p>
    <w:p w14:paraId="53CA22B2" w14:textId="32938441" w:rsidR="00885F84" w:rsidRDefault="00447304" w:rsidP="00D5408D">
      <w:r>
        <w:t xml:space="preserve">Renewable Energy World. (2020). </w:t>
      </w:r>
      <w:r>
        <w:rPr>
          <w:i/>
          <w:iCs/>
        </w:rPr>
        <w:t>Is the future of EV charging bidirectional?</w:t>
      </w:r>
      <w:r>
        <w:t xml:space="preserve"> Available at:</w:t>
      </w:r>
      <w:r w:rsidRPr="0004226E">
        <w:t xml:space="preserve"> </w:t>
      </w:r>
      <w:hyperlink r:id="rId22" w:history="1">
        <w:r w:rsidRPr="008B1C85">
          <w:rPr>
            <w:rStyle w:val="Hyperlink"/>
          </w:rPr>
          <w:t>https:</w:t>
        </w:r>
        <w:r w:rsidRPr="008B1C85">
          <w:rPr>
            <w:rStyle w:val="Hyperlink"/>
          </w:rPr>
          <w:t>/</w:t>
        </w:r>
        <w:r w:rsidRPr="008B1C85">
          <w:rPr>
            <w:rStyle w:val="Hyperlink"/>
          </w:rPr>
          <w:t>/www.renewableenergyworld.com/storage/is-the-future-of-ev-charging-bidirectional/</w:t>
        </w:r>
      </w:hyperlink>
      <w:r>
        <w:t xml:space="preserve"> (Accessed: 1 April 2023)</w:t>
      </w:r>
    </w:p>
    <w:p w14:paraId="135B02A0" w14:textId="5F7D9B44" w:rsidR="00851361" w:rsidRDefault="00851361" w:rsidP="00851361">
      <w:r>
        <w:lastRenderedPageBreak/>
        <w:t xml:space="preserve">Transport for London. (n.d.). </w:t>
      </w:r>
      <w:proofErr w:type="spellStart"/>
      <w:r w:rsidRPr="00B51A85">
        <w:rPr>
          <w:i/>
          <w:iCs/>
        </w:rPr>
        <w:t>Streetspace</w:t>
      </w:r>
      <w:proofErr w:type="spellEnd"/>
      <w:r w:rsidRPr="00B51A85">
        <w:rPr>
          <w:i/>
          <w:iCs/>
        </w:rPr>
        <w:t xml:space="preserve"> funding.</w:t>
      </w:r>
      <w:r>
        <w:t xml:space="preserve"> </w:t>
      </w:r>
      <w:r w:rsidR="00885F84">
        <w:t>Available at:</w:t>
      </w:r>
      <w:r>
        <w:t xml:space="preserve"> </w:t>
      </w:r>
      <w:hyperlink r:id="rId23" w:history="1">
        <w:r w:rsidR="00AB7DDF" w:rsidRPr="008B1C85">
          <w:rPr>
            <w:rStyle w:val="Hyperlink"/>
          </w:rPr>
          <w:t>https://tfl.gov.uk/info-for/boroughs-and-communities/streetspace-funding</w:t>
        </w:r>
      </w:hyperlink>
      <w:r w:rsidR="00AB7DDF">
        <w:t xml:space="preserve"> </w:t>
      </w:r>
      <w:r w:rsidR="00885F84">
        <w:t>(Accessed: 30 March 2023)</w:t>
      </w:r>
    </w:p>
    <w:p w14:paraId="48A6410B" w14:textId="0AFB00AF" w:rsidR="00851361" w:rsidRDefault="00851361" w:rsidP="00851361">
      <w:r>
        <w:t xml:space="preserve">Transport for Wales. (2022). </w:t>
      </w:r>
      <w:r w:rsidRPr="00B51A85">
        <w:rPr>
          <w:i/>
          <w:iCs/>
        </w:rPr>
        <w:t>Transport for Wales corporate strategy</w:t>
      </w:r>
      <w:r>
        <w:t xml:space="preserve">. </w:t>
      </w:r>
      <w:r w:rsidR="00885F84">
        <w:t xml:space="preserve">Available at: </w:t>
      </w:r>
      <w:hyperlink r:id="rId24" w:history="1">
        <w:r w:rsidR="00AB7DDF" w:rsidRPr="008B1C85">
          <w:rPr>
            <w:rStyle w:val="Hyperlink"/>
          </w:rPr>
          <w:t>https://tfw.wales/sites/default/files/2022-12/ENG_Final-Corporate-Strategy.pdf</w:t>
        </w:r>
      </w:hyperlink>
      <w:r w:rsidR="00AB7DDF">
        <w:t xml:space="preserve"> </w:t>
      </w:r>
      <w:r w:rsidR="00885F84">
        <w:t>(Accessed: 1 April 2023)</w:t>
      </w:r>
    </w:p>
    <w:p w14:paraId="5BB1C7DB" w14:textId="52C90C09" w:rsidR="00851361" w:rsidRDefault="00851361" w:rsidP="00851361">
      <w:r>
        <w:t xml:space="preserve">UK Government. (2019). </w:t>
      </w:r>
      <w:r w:rsidRPr="00B51A85">
        <w:rPr>
          <w:i/>
          <w:iCs/>
        </w:rPr>
        <w:t>Future of mobility: urban strategy</w:t>
      </w:r>
      <w:r>
        <w:t xml:space="preserve">. </w:t>
      </w:r>
      <w:r w:rsidR="001B1042">
        <w:t xml:space="preserve">Available at: </w:t>
      </w:r>
      <w:r>
        <w:t xml:space="preserve"> </w:t>
      </w:r>
      <w:hyperlink r:id="rId25" w:history="1">
        <w:r w:rsidR="00AB7DDF" w:rsidRPr="008B1C85">
          <w:rPr>
            <w:rStyle w:val="Hyperlink"/>
          </w:rPr>
          <w:t>https://assets.publishing.service.gov.uk/government/uploads/system/uploads/attachment_data/file/846593/future-of-mobility-strategy.pdf</w:t>
        </w:r>
      </w:hyperlink>
      <w:r w:rsidR="00AB7DDF">
        <w:t xml:space="preserve"> </w:t>
      </w:r>
      <w:r w:rsidR="001B1042">
        <w:t xml:space="preserve">(Accessed: </w:t>
      </w:r>
      <w:r w:rsidR="00885F84">
        <w:t>29 March 2023)</w:t>
      </w:r>
    </w:p>
    <w:p w14:paraId="7B41C574" w14:textId="152C5B98" w:rsidR="00851361" w:rsidRDefault="00851361" w:rsidP="00851361">
      <w:r>
        <w:t>UK Government. (2021</w:t>
      </w:r>
      <w:r w:rsidR="0002187A">
        <w:t>a</w:t>
      </w:r>
      <w:r>
        <w:t xml:space="preserve">). </w:t>
      </w:r>
      <w:r w:rsidRPr="00B51A85">
        <w:rPr>
          <w:i/>
          <w:iCs/>
        </w:rPr>
        <w:t>Decarbonising transport: a better, greener Britain.</w:t>
      </w:r>
      <w:r>
        <w:t xml:space="preserve"> </w:t>
      </w:r>
      <w:r w:rsidR="001B1042">
        <w:t>Available at:</w:t>
      </w:r>
      <w:r>
        <w:t xml:space="preserve"> </w:t>
      </w:r>
      <w:hyperlink r:id="rId26" w:history="1">
        <w:r w:rsidR="00AB7DDF" w:rsidRPr="008B1C85">
          <w:rPr>
            <w:rStyle w:val="Hyperlink"/>
          </w:rPr>
          <w:t>https://assets.publishing.service.gov.uk/government/uploads/system/uploads/attachment_data/file/1009448/decarbonising-transport-a-better-greener-britain.pdf</w:t>
        </w:r>
      </w:hyperlink>
      <w:r w:rsidR="00AB7DDF">
        <w:t xml:space="preserve"> </w:t>
      </w:r>
      <w:r w:rsidR="001B1042">
        <w:t>(Accessed: 29 March 2023)</w:t>
      </w:r>
    </w:p>
    <w:p w14:paraId="47AA69F4" w14:textId="4589E512" w:rsidR="00851361" w:rsidRDefault="00851361" w:rsidP="00851361">
      <w:r>
        <w:t>UK Government. (2021</w:t>
      </w:r>
      <w:r w:rsidR="0002187A">
        <w:t>a</w:t>
      </w:r>
      <w:r>
        <w:t xml:space="preserve">). </w:t>
      </w:r>
      <w:r w:rsidRPr="00B51A85">
        <w:rPr>
          <w:i/>
          <w:iCs/>
        </w:rPr>
        <w:t>Transport statistics Great Britain 2021</w:t>
      </w:r>
      <w:r>
        <w:t xml:space="preserve">. </w:t>
      </w:r>
      <w:r w:rsidR="001B1042">
        <w:t xml:space="preserve">Available at: </w:t>
      </w:r>
      <w:hyperlink r:id="rId27" w:history="1">
        <w:r w:rsidR="00AB7DDF" w:rsidRPr="008B1C85">
          <w:rPr>
            <w:rStyle w:val="Hyperlink"/>
          </w:rPr>
          <w:t>https://www.gov.uk/government/statistics/transport-statistics-great-britain-2021/transport-statistics-great-britain-2021</w:t>
        </w:r>
      </w:hyperlink>
      <w:r w:rsidR="00AB7DDF">
        <w:t xml:space="preserve"> </w:t>
      </w:r>
      <w:r w:rsidR="001B1042">
        <w:t>(Accessed: 30 March 2023)</w:t>
      </w:r>
    </w:p>
    <w:p w14:paraId="3EF4BE47" w14:textId="6ACE3F12" w:rsidR="00851361" w:rsidRDefault="00851361" w:rsidP="00851361">
      <w:r>
        <w:t xml:space="preserve">UK Government. (2022a). </w:t>
      </w:r>
      <w:r w:rsidRPr="00B51A85">
        <w:rPr>
          <w:i/>
          <w:iCs/>
        </w:rPr>
        <w:t>Zero emission vehicle (ZEV) mandate and CO2 emissions regulation: consultation document</w:t>
      </w:r>
      <w:r>
        <w:t xml:space="preserve">. </w:t>
      </w:r>
      <w:r w:rsidR="00414E10">
        <w:t xml:space="preserve">Available at: </w:t>
      </w:r>
      <w:hyperlink r:id="rId28" w:history="1">
        <w:r w:rsidR="00AB7DDF" w:rsidRPr="008B1C85">
          <w:rPr>
            <w:rStyle w:val="Hyperlink"/>
          </w:rPr>
          <w:t>https://assets.publishing.service.gov.uk/government/uploads/system/uploads/attachment_data/file/1147356/zev-mandate-co2-emissions-regulation-consultation-document.pdf</w:t>
        </w:r>
      </w:hyperlink>
      <w:r w:rsidR="00AB7DDF">
        <w:t xml:space="preserve"> </w:t>
      </w:r>
      <w:r w:rsidR="00414E10">
        <w:t xml:space="preserve">(Accessed: </w:t>
      </w:r>
      <w:r w:rsidR="001B1042">
        <w:t>29 March 2023)</w:t>
      </w:r>
    </w:p>
    <w:p w14:paraId="4E346FB3" w14:textId="232A84D9" w:rsidR="00851361" w:rsidRDefault="00851361" w:rsidP="00851361">
      <w:r>
        <w:t xml:space="preserve">UK Government. (2022b). </w:t>
      </w:r>
      <w:r w:rsidRPr="00B51A85">
        <w:rPr>
          <w:i/>
          <w:iCs/>
        </w:rPr>
        <w:t>Road freight statistics: October 2021 to September 2022 domestic road freight statistics.</w:t>
      </w:r>
      <w:r>
        <w:t xml:space="preserve"> </w:t>
      </w:r>
      <w:r w:rsidR="00414E10">
        <w:t>Available at:</w:t>
      </w:r>
      <w:r>
        <w:t xml:space="preserve"> </w:t>
      </w:r>
      <w:hyperlink r:id="rId29" w:history="1">
        <w:r w:rsidR="00AB7DDF" w:rsidRPr="008B1C85">
          <w:rPr>
            <w:rStyle w:val="Hyperlink"/>
          </w:rPr>
          <w:t>https://www.gov.uk/government/statistics/road-freight-statistics-october-2021-to-september-2022/domestic-road-freight-statistics-october-2021-to-september-2022</w:t>
        </w:r>
      </w:hyperlink>
      <w:r w:rsidR="00AB7DDF">
        <w:t xml:space="preserve">  </w:t>
      </w:r>
      <w:r w:rsidR="00414E10">
        <w:t>(Accessed: 1 April 2023)</w:t>
      </w:r>
    </w:p>
    <w:p w14:paraId="30E1BA72" w14:textId="77777777" w:rsidR="00447304" w:rsidRDefault="00447304" w:rsidP="00447304">
      <w:r>
        <w:t xml:space="preserve">U.S Department of Energy. (n.d.). </w:t>
      </w:r>
      <w:r w:rsidRPr="002F4B8B">
        <w:rPr>
          <w:i/>
          <w:iCs/>
        </w:rPr>
        <w:t>Alternative Fuels Data Centre</w:t>
      </w:r>
      <w:r>
        <w:rPr>
          <w:i/>
          <w:iCs/>
        </w:rPr>
        <w:t>.</w:t>
      </w:r>
      <w:r>
        <w:t xml:space="preserve"> Available at: </w:t>
      </w:r>
      <w:hyperlink r:id="rId30" w:history="1">
        <w:r w:rsidRPr="008B1C85">
          <w:rPr>
            <w:rStyle w:val="Hyperlink"/>
          </w:rPr>
          <w:t>https://afdc.energy.gov/</w:t>
        </w:r>
      </w:hyperlink>
      <w:r>
        <w:t xml:space="preserve"> (Accessed: 1 April 2023) </w:t>
      </w:r>
    </w:p>
    <w:p w14:paraId="4CAE11EC" w14:textId="04D92CA8" w:rsidR="00851361" w:rsidRDefault="00447304" w:rsidP="00851361">
      <w:r>
        <w:t xml:space="preserve">U.S. Environmental Protection Agency. (2022). </w:t>
      </w:r>
      <w:r w:rsidRPr="00417D46">
        <w:rPr>
          <w:i/>
          <w:iCs/>
        </w:rPr>
        <w:t>Fast Facts on Transportation Greenhouse Gas Emissions</w:t>
      </w:r>
      <w:r>
        <w:rPr>
          <w:i/>
          <w:iCs/>
        </w:rPr>
        <w:t xml:space="preserve">. </w:t>
      </w:r>
      <w:r>
        <w:t xml:space="preserve">Available at: </w:t>
      </w:r>
      <w:hyperlink r:id="rId31" w:history="1">
        <w:r w:rsidRPr="008B1C85">
          <w:rPr>
            <w:rStyle w:val="Hyperlink"/>
          </w:rPr>
          <w:t>https://www</w:t>
        </w:r>
        <w:r w:rsidRPr="008B1C85">
          <w:rPr>
            <w:rStyle w:val="Hyperlink"/>
          </w:rPr>
          <w:t>.</w:t>
        </w:r>
        <w:r w:rsidRPr="008B1C85">
          <w:rPr>
            <w:rStyle w:val="Hyperlink"/>
          </w:rPr>
          <w:t>epa.gov/greenvehicles/fast-facts-transportation-greenhouse-gas-emissions</w:t>
        </w:r>
      </w:hyperlink>
      <w:r>
        <w:t xml:space="preserve"> (Accessed: 1 April 2023)</w:t>
      </w:r>
    </w:p>
    <w:p w14:paraId="0D4507D5" w14:textId="566CD781" w:rsidR="00851361" w:rsidRDefault="00851361" w:rsidP="00851361">
      <w:r>
        <w:t>Welsh Government. (2021a</w:t>
      </w:r>
      <w:r w:rsidRPr="00B51A85">
        <w:rPr>
          <w:i/>
          <w:iCs/>
        </w:rPr>
        <w:t xml:space="preserve">). </w:t>
      </w:r>
      <w:r w:rsidR="002E245D" w:rsidRPr="00B51A85">
        <w:rPr>
          <w:i/>
          <w:iCs/>
        </w:rPr>
        <w:t>Southwest</w:t>
      </w:r>
      <w:r w:rsidRPr="00B51A85">
        <w:rPr>
          <w:i/>
          <w:iCs/>
        </w:rPr>
        <w:t xml:space="preserve"> Wales Transport Consortium.</w:t>
      </w:r>
      <w:r>
        <w:t xml:space="preserve"> </w:t>
      </w:r>
      <w:r w:rsidR="00414E10">
        <w:t xml:space="preserve">Available at: </w:t>
      </w:r>
      <w:hyperlink r:id="rId32" w:history="1">
        <w:r w:rsidR="00AB7DDF" w:rsidRPr="008B1C85">
          <w:rPr>
            <w:rStyle w:val="Hyperlink"/>
          </w:rPr>
          <w:t>https://gov.wales/south-west-wales-transport-consortium</w:t>
        </w:r>
      </w:hyperlink>
      <w:r w:rsidR="00AB7DDF">
        <w:t xml:space="preserve"> </w:t>
      </w:r>
      <w:r w:rsidR="00414E10">
        <w:t>(Accessed: 1 April 2023)</w:t>
      </w:r>
    </w:p>
    <w:p w14:paraId="1D18A5B6" w14:textId="244B1271" w:rsidR="00370D37" w:rsidRDefault="00851361" w:rsidP="00851361">
      <w:r>
        <w:t xml:space="preserve">Welsh Government. (2021b). </w:t>
      </w:r>
      <w:r w:rsidR="002E245D" w:rsidRPr="00B51A85">
        <w:rPr>
          <w:i/>
          <w:iCs/>
        </w:rPr>
        <w:t>Southwest</w:t>
      </w:r>
      <w:r w:rsidRPr="00B51A85">
        <w:rPr>
          <w:i/>
          <w:iCs/>
        </w:rPr>
        <w:t xml:space="preserve"> Wales Corporate Joint Committee Regulations 2021.</w:t>
      </w:r>
      <w:r w:rsidR="00414E10">
        <w:t xml:space="preserve"> Available at: </w:t>
      </w:r>
      <w:hyperlink r:id="rId33" w:history="1">
        <w:r w:rsidR="00414E10" w:rsidRPr="008B1C85">
          <w:rPr>
            <w:rStyle w:val="Hyperlink"/>
          </w:rPr>
          <w:t>https://www.legislation.gov.uk/wsi/2021/352/made</w:t>
        </w:r>
      </w:hyperlink>
      <w:r w:rsidR="00AB7DDF">
        <w:t xml:space="preserve"> </w:t>
      </w:r>
      <w:r w:rsidR="00414E10">
        <w:t>(Accessed: 1 April 2023)</w:t>
      </w:r>
    </w:p>
    <w:p w14:paraId="7B062554" w14:textId="77777777" w:rsidR="00EF01B5" w:rsidRDefault="00EF01B5" w:rsidP="00851361"/>
    <w:p w14:paraId="1AF73242" w14:textId="4A12C5B2" w:rsidR="00ED0040" w:rsidRDefault="00ED0040" w:rsidP="00851361"/>
    <w:p w14:paraId="7B976062" w14:textId="59688F11" w:rsidR="00655933" w:rsidRDefault="00655933" w:rsidP="00851361"/>
    <w:p w14:paraId="2CD926C9" w14:textId="22AC4815" w:rsidR="00806AA3" w:rsidRDefault="00806AA3" w:rsidP="00851361"/>
    <w:p w14:paraId="022C8742" w14:textId="3434451D" w:rsidR="007C20FB" w:rsidRDefault="007C20FB" w:rsidP="00851361"/>
    <w:p w14:paraId="7D6FB072" w14:textId="083E3559" w:rsidR="004C0EB7" w:rsidRPr="004C0EB7" w:rsidRDefault="004C0EB7" w:rsidP="00851361"/>
    <w:p w14:paraId="328F0685" w14:textId="77777777" w:rsidR="00806AA3" w:rsidRDefault="00806AA3" w:rsidP="00851361"/>
    <w:p w14:paraId="3C88E34D" w14:textId="77777777" w:rsidR="00D73283" w:rsidRDefault="00D73283" w:rsidP="00851361"/>
    <w:p w14:paraId="27CC12EA" w14:textId="3E1A9842" w:rsidR="0091410B" w:rsidRPr="00D73283" w:rsidRDefault="0091410B" w:rsidP="00D73283">
      <w:pPr>
        <w:rPr>
          <w:rFonts w:asciiTheme="majorHAnsi" w:eastAsiaTheme="majorEastAsia" w:hAnsiTheme="majorHAnsi" w:cstheme="majorBidi"/>
          <w:color w:val="2F5496" w:themeColor="accent1" w:themeShade="BF"/>
          <w:sz w:val="32"/>
          <w:szCs w:val="32"/>
        </w:rPr>
      </w:pPr>
    </w:p>
    <w:sectPr w:rsidR="0091410B" w:rsidRPr="00D73283" w:rsidSect="00372108">
      <w:footerReference w:type="default" r:id="rId34"/>
      <w:footerReference w:type="firs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BBB017" w14:textId="77777777" w:rsidR="00093165" w:rsidRDefault="00093165" w:rsidP="007E1108">
      <w:pPr>
        <w:spacing w:line="240" w:lineRule="auto"/>
      </w:pPr>
      <w:r>
        <w:separator/>
      </w:r>
    </w:p>
  </w:endnote>
  <w:endnote w:type="continuationSeparator" w:id="0">
    <w:p w14:paraId="6D419413" w14:textId="77777777" w:rsidR="00093165" w:rsidRDefault="00093165" w:rsidP="007E1108">
      <w:pPr>
        <w:spacing w:line="240" w:lineRule="auto"/>
      </w:pPr>
      <w:r>
        <w:continuationSeparator/>
      </w:r>
    </w:p>
  </w:endnote>
  <w:endnote w:type="continuationNotice" w:id="1">
    <w:p w14:paraId="662F048F" w14:textId="77777777" w:rsidR="00093165" w:rsidRDefault="0009316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7348949"/>
      <w:docPartObj>
        <w:docPartGallery w:val="Page Numbers (Bottom of Page)"/>
        <w:docPartUnique/>
      </w:docPartObj>
    </w:sdtPr>
    <w:sdtEndPr>
      <w:rPr>
        <w:noProof/>
      </w:rPr>
    </w:sdtEndPr>
    <w:sdtContent>
      <w:p w14:paraId="560D4C3F" w14:textId="593A032D" w:rsidR="00A34898" w:rsidRDefault="00A348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F0CE1A" w14:textId="77777777" w:rsidR="00E757D4" w:rsidRDefault="00E757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215DA" w14:textId="0E4E11A0" w:rsidR="00A34898" w:rsidRDefault="00A34898">
    <w:pPr>
      <w:pStyle w:val="Footer"/>
    </w:pPr>
  </w:p>
  <w:p w14:paraId="6406DDE5" w14:textId="77777777" w:rsidR="00A34898" w:rsidRDefault="00A348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53B74" w14:textId="77777777" w:rsidR="00093165" w:rsidRDefault="00093165" w:rsidP="007E1108">
      <w:pPr>
        <w:spacing w:line="240" w:lineRule="auto"/>
      </w:pPr>
      <w:r>
        <w:separator/>
      </w:r>
    </w:p>
  </w:footnote>
  <w:footnote w:type="continuationSeparator" w:id="0">
    <w:p w14:paraId="2DC25E7E" w14:textId="77777777" w:rsidR="00093165" w:rsidRDefault="00093165" w:rsidP="007E1108">
      <w:pPr>
        <w:spacing w:line="240" w:lineRule="auto"/>
      </w:pPr>
      <w:r>
        <w:continuationSeparator/>
      </w:r>
    </w:p>
  </w:footnote>
  <w:footnote w:type="continuationNotice" w:id="1">
    <w:p w14:paraId="38E8274C" w14:textId="77777777" w:rsidR="00093165" w:rsidRDefault="00093165">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A0F3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3D44D68"/>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213809068">
    <w:abstractNumId w:val="0"/>
  </w:num>
  <w:num w:numId="2" w16cid:durableId="1490512960">
    <w:abstractNumId w:val="1"/>
  </w:num>
  <w:num w:numId="3" w16cid:durableId="7642303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108"/>
    <w:rsid w:val="0002187A"/>
    <w:rsid w:val="00024674"/>
    <w:rsid w:val="00026A78"/>
    <w:rsid w:val="000418BD"/>
    <w:rsid w:val="0004226E"/>
    <w:rsid w:val="000512EC"/>
    <w:rsid w:val="0006152F"/>
    <w:rsid w:val="000770DA"/>
    <w:rsid w:val="00092924"/>
    <w:rsid w:val="00093165"/>
    <w:rsid w:val="000A4752"/>
    <w:rsid w:val="000B2232"/>
    <w:rsid w:val="000D20E9"/>
    <w:rsid w:val="000E25AB"/>
    <w:rsid w:val="000E371B"/>
    <w:rsid w:val="000F1E6D"/>
    <w:rsid w:val="001207E0"/>
    <w:rsid w:val="00124769"/>
    <w:rsid w:val="00125AD1"/>
    <w:rsid w:val="001319A7"/>
    <w:rsid w:val="001422C1"/>
    <w:rsid w:val="00156955"/>
    <w:rsid w:val="00161DB2"/>
    <w:rsid w:val="00161EBF"/>
    <w:rsid w:val="00163E10"/>
    <w:rsid w:val="00180691"/>
    <w:rsid w:val="00182295"/>
    <w:rsid w:val="00185B93"/>
    <w:rsid w:val="00185D9D"/>
    <w:rsid w:val="001A3122"/>
    <w:rsid w:val="001B082D"/>
    <w:rsid w:val="001B1042"/>
    <w:rsid w:val="001B1FAD"/>
    <w:rsid w:val="001C0F34"/>
    <w:rsid w:val="001D1DC1"/>
    <w:rsid w:val="001D7F66"/>
    <w:rsid w:val="001F224D"/>
    <w:rsid w:val="00216447"/>
    <w:rsid w:val="002337C7"/>
    <w:rsid w:val="002341BC"/>
    <w:rsid w:val="00242436"/>
    <w:rsid w:val="00244A60"/>
    <w:rsid w:val="00270141"/>
    <w:rsid w:val="00281138"/>
    <w:rsid w:val="00293A4B"/>
    <w:rsid w:val="002A5615"/>
    <w:rsid w:val="002C420E"/>
    <w:rsid w:val="002E245D"/>
    <w:rsid w:val="002F18E5"/>
    <w:rsid w:val="002F4B8B"/>
    <w:rsid w:val="00307CF6"/>
    <w:rsid w:val="00313237"/>
    <w:rsid w:val="00313252"/>
    <w:rsid w:val="00313B88"/>
    <w:rsid w:val="0032366E"/>
    <w:rsid w:val="0033095A"/>
    <w:rsid w:val="00344121"/>
    <w:rsid w:val="00370D37"/>
    <w:rsid w:val="00372108"/>
    <w:rsid w:val="003933D5"/>
    <w:rsid w:val="00393BAE"/>
    <w:rsid w:val="00400BDE"/>
    <w:rsid w:val="00413C78"/>
    <w:rsid w:val="00414E10"/>
    <w:rsid w:val="00417D46"/>
    <w:rsid w:val="004302E9"/>
    <w:rsid w:val="00447304"/>
    <w:rsid w:val="004628F4"/>
    <w:rsid w:val="00472D5F"/>
    <w:rsid w:val="004745E1"/>
    <w:rsid w:val="004A7957"/>
    <w:rsid w:val="004B19DB"/>
    <w:rsid w:val="004B31BD"/>
    <w:rsid w:val="004C0EB7"/>
    <w:rsid w:val="004D4463"/>
    <w:rsid w:val="004E2BB3"/>
    <w:rsid w:val="004E6D17"/>
    <w:rsid w:val="00500661"/>
    <w:rsid w:val="00504B86"/>
    <w:rsid w:val="00505795"/>
    <w:rsid w:val="005107AD"/>
    <w:rsid w:val="00511D4D"/>
    <w:rsid w:val="00513ACA"/>
    <w:rsid w:val="005244EF"/>
    <w:rsid w:val="00524869"/>
    <w:rsid w:val="005348F9"/>
    <w:rsid w:val="005359A0"/>
    <w:rsid w:val="00540BFE"/>
    <w:rsid w:val="00545D4C"/>
    <w:rsid w:val="00563B42"/>
    <w:rsid w:val="00582846"/>
    <w:rsid w:val="005A1465"/>
    <w:rsid w:val="005A2877"/>
    <w:rsid w:val="005C066E"/>
    <w:rsid w:val="005D1AB0"/>
    <w:rsid w:val="0060303D"/>
    <w:rsid w:val="00606D56"/>
    <w:rsid w:val="00620C8C"/>
    <w:rsid w:val="0062748C"/>
    <w:rsid w:val="0063453F"/>
    <w:rsid w:val="006374C1"/>
    <w:rsid w:val="00646769"/>
    <w:rsid w:val="00655933"/>
    <w:rsid w:val="00681FA5"/>
    <w:rsid w:val="00682380"/>
    <w:rsid w:val="006959BB"/>
    <w:rsid w:val="006A1FA6"/>
    <w:rsid w:val="006A65F0"/>
    <w:rsid w:val="006B0AB1"/>
    <w:rsid w:val="006C41A8"/>
    <w:rsid w:val="006C56F9"/>
    <w:rsid w:val="006E127C"/>
    <w:rsid w:val="006F52B5"/>
    <w:rsid w:val="007060D5"/>
    <w:rsid w:val="00733CCB"/>
    <w:rsid w:val="00744AA8"/>
    <w:rsid w:val="00750F6D"/>
    <w:rsid w:val="00752BBF"/>
    <w:rsid w:val="00790C73"/>
    <w:rsid w:val="007A4C9C"/>
    <w:rsid w:val="007C20FB"/>
    <w:rsid w:val="007C73B7"/>
    <w:rsid w:val="007D0AA8"/>
    <w:rsid w:val="007D1281"/>
    <w:rsid w:val="007D1DBA"/>
    <w:rsid w:val="007D5610"/>
    <w:rsid w:val="007E1108"/>
    <w:rsid w:val="007F10B0"/>
    <w:rsid w:val="007F23B6"/>
    <w:rsid w:val="007F278A"/>
    <w:rsid w:val="008022E7"/>
    <w:rsid w:val="00806AA3"/>
    <w:rsid w:val="00832BB7"/>
    <w:rsid w:val="008364C8"/>
    <w:rsid w:val="00851361"/>
    <w:rsid w:val="00856F83"/>
    <w:rsid w:val="0086755A"/>
    <w:rsid w:val="00882A4F"/>
    <w:rsid w:val="00885F84"/>
    <w:rsid w:val="00892FDB"/>
    <w:rsid w:val="008A12A3"/>
    <w:rsid w:val="008A2128"/>
    <w:rsid w:val="008A4E7C"/>
    <w:rsid w:val="008A6754"/>
    <w:rsid w:val="008B0032"/>
    <w:rsid w:val="008C68B4"/>
    <w:rsid w:val="008C6E85"/>
    <w:rsid w:val="008D191A"/>
    <w:rsid w:val="0091299D"/>
    <w:rsid w:val="0091410B"/>
    <w:rsid w:val="00922602"/>
    <w:rsid w:val="00933985"/>
    <w:rsid w:val="0095413A"/>
    <w:rsid w:val="009566C0"/>
    <w:rsid w:val="00995929"/>
    <w:rsid w:val="009A04D4"/>
    <w:rsid w:val="009B0EA0"/>
    <w:rsid w:val="009B13C4"/>
    <w:rsid w:val="009D3B4D"/>
    <w:rsid w:val="009F5154"/>
    <w:rsid w:val="009F75FB"/>
    <w:rsid w:val="00A34898"/>
    <w:rsid w:val="00A35AC9"/>
    <w:rsid w:val="00A55B3B"/>
    <w:rsid w:val="00A614EA"/>
    <w:rsid w:val="00A61AFE"/>
    <w:rsid w:val="00A90B71"/>
    <w:rsid w:val="00AB7DDF"/>
    <w:rsid w:val="00AD21E0"/>
    <w:rsid w:val="00AE5D2B"/>
    <w:rsid w:val="00AE7B99"/>
    <w:rsid w:val="00AF11F0"/>
    <w:rsid w:val="00AF5997"/>
    <w:rsid w:val="00AF7BF3"/>
    <w:rsid w:val="00B0643A"/>
    <w:rsid w:val="00B25F49"/>
    <w:rsid w:val="00B33C55"/>
    <w:rsid w:val="00B46FB0"/>
    <w:rsid w:val="00B51A85"/>
    <w:rsid w:val="00B60021"/>
    <w:rsid w:val="00B77335"/>
    <w:rsid w:val="00BE2FEF"/>
    <w:rsid w:val="00BE4430"/>
    <w:rsid w:val="00BE4610"/>
    <w:rsid w:val="00BF335C"/>
    <w:rsid w:val="00BF39F4"/>
    <w:rsid w:val="00C054EB"/>
    <w:rsid w:val="00C608CD"/>
    <w:rsid w:val="00C80A42"/>
    <w:rsid w:val="00C9640D"/>
    <w:rsid w:val="00C96EBE"/>
    <w:rsid w:val="00CA2886"/>
    <w:rsid w:val="00CA4FE8"/>
    <w:rsid w:val="00CB2914"/>
    <w:rsid w:val="00CB4A12"/>
    <w:rsid w:val="00CB5204"/>
    <w:rsid w:val="00CC4962"/>
    <w:rsid w:val="00CC6925"/>
    <w:rsid w:val="00CF0BC4"/>
    <w:rsid w:val="00CF4560"/>
    <w:rsid w:val="00CF54FA"/>
    <w:rsid w:val="00CF6C50"/>
    <w:rsid w:val="00D05ECC"/>
    <w:rsid w:val="00D13140"/>
    <w:rsid w:val="00D14F32"/>
    <w:rsid w:val="00D23457"/>
    <w:rsid w:val="00D27D94"/>
    <w:rsid w:val="00D30E4D"/>
    <w:rsid w:val="00D34253"/>
    <w:rsid w:val="00D442B8"/>
    <w:rsid w:val="00D45870"/>
    <w:rsid w:val="00D51C97"/>
    <w:rsid w:val="00D5408D"/>
    <w:rsid w:val="00D64EE2"/>
    <w:rsid w:val="00D73283"/>
    <w:rsid w:val="00D83569"/>
    <w:rsid w:val="00D9024E"/>
    <w:rsid w:val="00D972BF"/>
    <w:rsid w:val="00D9741A"/>
    <w:rsid w:val="00DA01CC"/>
    <w:rsid w:val="00DB3973"/>
    <w:rsid w:val="00DB5655"/>
    <w:rsid w:val="00DB6E95"/>
    <w:rsid w:val="00DC6603"/>
    <w:rsid w:val="00DE69BA"/>
    <w:rsid w:val="00DF4B00"/>
    <w:rsid w:val="00E0097F"/>
    <w:rsid w:val="00E041F4"/>
    <w:rsid w:val="00E1338D"/>
    <w:rsid w:val="00E23EBD"/>
    <w:rsid w:val="00E73799"/>
    <w:rsid w:val="00E757D4"/>
    <w:rsid w:val="00EB5A51"/>
    <w:rsid w:val="00EC4FAC"/>
    <w:rsid w:val="00ED0040"/>
    <w:rsid w:val="00ED6734"/>
    <w:rsid w:val="00EE03D4"/>
    <w:rsid w:val="00EE44AA"/>
    <w:rsid w:val="00EF01B5"/>
    <w:rsid w:val="00F02136"/>
    <w:rsid w:val="00F03B01"/>
    <w:rsid w:val="00F34668"/>
    <w:rsid w:val="00F405E6"/>
    <w:rsid w:val="00F433EF"/>
    <w:rsid w:val="00F6428B"/>
    <w:rsid w:val="00F64D66"/>
    <w:rsid w:val="00F663E5"/>
    <w:rsid w:val="00F71164"/>
    <w:rsid w:val="00F83FB9"/>
    <w:rsid w:val="00F86F75"/>
    <w:rsid w:val="00FA3A67"/>
    <w:rsid w:val="00FA72D9"/>
    <w:rsid w:val="00FC44DB"/>
    <w:rsid w:val="00FE037C"/>
    <w:rsid w:val="00FF5F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5DAAC"/>
  <w15:chartTrackingRefBased/>
  <w15:docId w15:val="{1B8146FA-168A-459E-8202-48AC87312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108"/>
  </w:style>
  <w:style w:type="paragraph" w:styleId="Heading1">
    <w:name w:val="heading 1"/>
    <w:basedOn w:val="Normal"/>
    <w:next w:val="Normal"/>
    <w:link w:val="Heading1Char"/>
    <w:uiPriority w:val="9"/>
    <w:qFormat/>
    <w:rsid w:val="000418BD"/>
    <w:pPr>
      <w:keepNext/>
      <w:keepLines/>
      <w:numPr>
        <w:numId w:val="2"/>
      </w:numPr>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418BD"/>
    <w:pPr>
      <w:keepNext/>
      <w:keepLines/>
      <w:numPr>
        <w:ilvl w:val="1"/>
        <w:numId w:val="2"/>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3453F"/>
    <w:pPr>
      <w:keepNext/>
      <w:keepLines/>
      <w:numPr>
        <w:ilvl w:val="2"/>
        <w:numId w:val="2"/>
      </w:numPr>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3453F"/>
    <w:pPr>
      <w:keepNext/>
      <w:keepLines/>
      <w:numPr>
        <w:ilvl w:val="3"/>
        <w:numId w:val="2"/>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3453F"/>
    <w:pPr>
      <w:keepNext/>
      <w:keepLines/>
      <w:numPr>
        <w:ilvl w:val="4"/>
        <w:numId w:val="2"/>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3453F"/>
    <w:pPr>
      <w:keepNext/>
      <w:keepLines/>
      <w:numPr>
        <w:ilvl w:val="5"/>
        <w:numId w:val="2"/>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3453F"/>
    <w:pPr>
      <w:keepNext/>
      <w:keepLines/>
      <w:numPr>
        <w:ilvl w:val="6"/>
        <w:numId w:val="2"/>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3453F"/>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3453F"/>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1108"/>
    <w:rPr>
      <w:color w:val="0563C1" w:themeColor="hyperlink"/>
      <w:u w:val="single"/>
    </w:rPr>
  </w:style>
  <w:style w:type="paragraph" w:styleId="EndnoteText">
    <w:name w:val="endnote text"/>
    <w:basedOn w:val="Normal"/>
    <w:link w:val="EndnoteTextChar"/>
    <w:uiPriority w:val="99"/>
    <w:unhideWhenUsed/>
    <w:rsid w:val="007E1108"/>
    <w:pPr>
      <w:spacing w:line="240" w:lineRule="auto"/>
    </w:pPr>
    <w:rPr>
      <w:sz w:val="20"/>
      <w:szCs w:val="20"/>
    </w:rPr>
  </w:style>
  <w:style w:type="character" w:customStyle="1" w:styleId="EndnoteTextChar">
    <w:name w:val="Endnote Text Char"/>
    <w:basedOn w:val="DefaultParagraphFont"/>
    <w:link w:val="EndnoteText"/>
    <w:uiPriority w:val="99"/>
    <w:rsid w:val="007E1108"/>
    <w:rPr>
      <w:sz w:val="20"/>
      <w:szCs w:val="20"/>
    </w:rPr>
  </w:style>
  <w:style w:type="character" w:styleId="EndnoteReference">
    <w:name w:val="endnote reference"/>
    <w:basedOn w:val="DefaultParagraphFont"/>
    <w:uiPriority w:val="99"/>
    <w:semiHidden/>
    <w:unhideWhenUsed/>
    <w:rsid w:val="007E1108"/>
    <w:rPr>
      <w:vertAlign w:val="superscript"/>
    </w:rPr>
  </w:style>
  <w:style w:type="character" w:customStyle="1" w:styleId="Heading1Char">
    <w:name w:val="Heading 1 Char"/>
    <w:basedOn w:val="DefaultParagraphFont"/>
    <w:link w:val="Heading1"/>
    <w:uiPriority w:val="9"/>
    <w:rsid w:val="000418B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418BD"/>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6A1FA6"/>
    <w:pPr>
      <w:ind w:left="720"/>
      <w:contextualSpacing/>
    </w:pPr>
  </w:style>
  <w:style w:type="paragraph" w:styleId="Header">
    <w:name w:val="header"/>
    <w:basedOn w:val="Normal"/>
    <w:link w:val="HeaderChar"/>
    <w:uiPriority w:val="99"/>
    <w:unhideWhenUsed/>
    <w:rsid w:val="00E757D4"/>
    <w:pPr>
      <w:tabs>
        <w:tab w:val="center" w:pos="4513"/>
        <w:tab w:val="right" w:pos="9026"/>
      </w:tabs>
      <w:spacing w:line="240" w:lineRule="auto"/>
    </w:pPr>
  </w:style>
  <w:style w:type="character" w:customStyle="1" w:styleId="HeaderChar">
    <w:name w:val="Header Char"/>
    <w:basedOn w:val="DefaultParagraphFont"/>
    <w:link w:val="Header"/>
    <w:uiPriority w:val="99"/>
    <w:rsid w:val="00E757D4"/>
  </w:style>
  <w:style w:type="paragraph" w:styleId="Footer">
    <w:name w:val="footer"/>
    <w:basedOn w:val="Normal"/>
    <w:link w:val="FooterChar"/>
    <w:uiPriority w:val="99"/>
    <w:unhideWhenUsed/>
    <w:rsid w:val="00E757D4"/>
    <w:pPr>
      <w:tabs>
        <w:tab w:val="center" w:pos="4513"/>
        <w:tab w:val="right" w:pos="9026"/>
      </w:tabs>
      <w:spacing w:line="240" w:lineRule="auto"/>
    </w:pPr>
  </w:style>
  <w:style w:type="character" w:customStyle="1" w:styleId="FooterChar">
    <w:name w:val="Footer Char"/>
    <w:basedOn w:val="DefaultParagraphFont"/>
    <w:link w:val="Footer"/>
    <w:uiPriority w:val="99"/>
    <w:rsid w:val="00E757D4"/>
  </w:style>
  <w:style w:type="paragraph" w:styleId="TOCHeading">
    <w:name w:val="TOC Heading"/>
    <w:basedOn w:val="Heading1"/>
    <w:next w:val="Normal"/>
    <w:uiPriority w:val="39"/>
    <w:unhideWhenUsed/>
    <w:qFormat/>
    <w:rsid w:val="00D83569"/>
    <w:pPr>
      <w:spacing w:line="259" w:lineRule="auto"/>
      <w:outlineLvl w:val="9"/>
    </w:pPr>
    <w:rPr>
      <w:lang w:val="en-US"/>
    </w:rPr>
  </w:style>
  <w:style w:type="paragraph" w:styleId="TOC1">
    <w:name w:val="toc 1"/>
    <w:basedOn w:val="Normal"/>
    <w:next w:val="Normal"/>
    <w:autoRedefine/>
    <w:uiPriority w:val="39"/>
    <w:unhideWhenUsed/>
    <w:rsid w:val="00D83569"/>
    <w:pPr>
      <w:spacing w:after="100"/>
    </w:pPr>
  </w:style>
  <w:style w:type="character" w:customStyle="1" w:styleId="Heading3Char">
    <w:name w:val="Heading 3 Char"/>
    <w:basedOn w:val="DefaultParagraphFont"/>
    <w:link w:val="Heading3"/>
    <w:uiPriority w:val="9"/>
    <w:semiHidden/>
    <w:rsid w:val="0063453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3453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3453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3453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63453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63453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3453F"/>
    <w:rPr>
      <w:rFonts w:asciiTheme="majorHAnsi" w:eastAsiaTheme="majorEastAsia" w:hAnsiTheme="majorHAnsi" w:cstheme="majorBidi"/>
      <w:i/>
      <w:iCs/>
      <w:color w:val="272727" w:themeColor="text1" w:themeTint="D8"/>
      <w:sz w:val="21"/>
      <w:szCs w:val="21"/>
    </w:rPr>
  </w:style>
  <w:style w:type="character" w:styleId="UnresolvedMention">
    <w:name w:val="Unresolved Mention"/>
    <w:basedOn w:val="DefaultParagraphFont"/>
    <w:uiPriority w:val="99"/>
    <w:semiHidden/>
    <w:unhideWhenUsed/>
    <w:rsid w:val="006A65F0"/>
    <w:rPr>
      <w:color w:val="605E5C"/>
      <w:shd w:val="clear" w:color="auto" w:fill="E1DFDD"/>
    </w:rPr>
  </w:style>
  <w:style w:type="paragraph" w:styleId="TOC2">
    <w:name w:val="toc 2"/>
    <w:basedOn w:val="Normal"/>
    <w:next w:val="Normal"/>
    <w:autoRedefine/>
    <w:uiPriority w:val="39"/>
    <w:unhideWhenUsed/>
    <w:rsid w:val="000B2232"/>
    <w:pPr>
      <w:spacing w:after="100"/>
      <w:ind w:left="220"/>
    </w:pPr>
  </w:style>
  <w:style w:type="character" w:styleId="FollowedHyperlink">
    <w:name w:val="FollowedHyperlink"/>
    <w:basedOn w:val="DefaultParagraphFont"/>
    <w:uiPriority w:val="99"/>
    <w:semiHidden/>
    <w:unhideWhenUsed/>
    <w:rsid w:val="00DE69B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333328">
      <w:bodyDiv w:val="1"/>
      <w:marLeft w:val="0"/>
      <w:marRight w:val="0"/>
      <w:marTop w:val="0"/>
      <w:marBottom w:val="0"/>
      <w:divBdr>
        <w:top w:val="none" w:sz="0" w:space="0" w:color="auto"/>
        <w:left w:val="none" w:sz="0" w:space="0" w:color="auto"/>
        <w:bottom w:val="none" w:sz="0" w:space="0" w:color="auto"/>
        <w:right w:val="none" w:sz="0" w:space="0" w:color="auto"/>
      </w:divBdr>
    </w:div>
    <w:div w:id="208032924">
      <w:bodyDiv w:val="1"/>
      <w:marLeft w:val="0"/>
      <w:marRight w:val="0"/>
      <w:marTop w:val="0"/>
      <w:marBottom w:val="0"/>
      <w:divBdr>
        <w:top w:val="none" w:sz="0" w:space="0" w:color="auto"/>
        <w:left w:val="none" w:sz="0" w:space="0" w:color="auto"/>
        <w:bottom w:val="none" w:sz="0" w:space="0" w:color="auto"/>
        <w:right w:val="none" w:sz="0" w:space="0" w:color="auto"/>
      </w:divBdr>
    </w:div>
    <w:div w:id="809514572">
      <w:bodyDiv w:val="1"/>
      <w:marLeft w:val="0"/>
      <w:marRight w:val="0"/>
      <w:marTop w:val="0"/>
      <w:marBottom w:val="0"/>
      <w:divBdr>
        <w:top w:val="none" w:sz="0" w:space="0" w:color="auto"/>
        <w:left w:val="none" w:sz="0" w:space="0" w:color="auto"/>
        <w:bottom w:val="none" w:sz="0" w:space="0" w:color="auto"/>
        <w:right w:val="none" w:sz="0" w:space="0" w:color="auto"/>
      </w:divBdr>
    </w:div>
    <w:div w:id="846941496">
      <w:bodyDiv w:val="1"/>
      <w:marLeft w:val="0"/>
      <w:marRight w:val="0"/>
      <w:marTop w:val="0"/>
      <w:marBottom w:val="0"/>
      <w:divBdr>
        <w:top w:val="none" w:sz="0" w:space="0" w:color="auto"/>
        <w:left w:val="none" w:sz="0" w:space="0" w:color="auto"/>
        <w:bottom w:val="none" w:sz="0" w:space="0" w:color="auto"/>
        <w:right w:val="none" w:sz="0" w:space="0" w:color="auto"/>
      </w:divBdr>
    </w:div>
    <w:div w:id="1337343191">
      <w:bodyDiv w:val="1"/>
      <w:marLeft w:val="0"/>
      <w:marRight w:val="0"/>
      <w:marTop w:val="0"/>
      <w:marBottom w:val="0"/>
      <w:divBdr>
        <w:top w:val="none" w:sz="0" w:space="0" w:color="auto"/>
        <w:left w:val="none" w:sz="0" w:space="0" w:color="auto"/>
        <w:bottom w:val="none" w:sz="0" w:space="0" w:color="auto"/>
        <w:right w:val="none" w:sz="0" w:space="0" w:color="auto"/>
      </w:divBdr>
    </w:div>
    <w:div w:id="2066486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mwgroup.com/en/sustainability.html" TargetMode="External"/><Relationship Id="rId18" Type="http://schemas.openxmlformats.org/officeDocument/2006/relationships/hyperlink" Target="https://www.iea.org/reports/global-ev-outlook-2021" TargetMode="External"/><Relationship Id="rId26" Type="http://schemas.openxmlformats.org/officeDocument/2006/relationships/hyperlink" Target="https://assets.publishing.service.gov.uk/government/uploads/system/uploads/attachment_data/file/1009448/decarbonising-transport-a-better-greener-britain.pdf" TargetMode="External"/><Relationship Id="rId21" Type="http://schemas.openxmlformats.org/officeDocument/2006/relationships/hyperlink" Target="https://www.dieselduck.info/library/05%20environmental/1998%20Biodiesel%20in%20Canada.pdf"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urope.autonews.com/automakers/how-bmw-plans-lower-battery-costs-electric-cars" TargetMode="External"/><Relationship Id="rId17" Type="http://schemas.openxmlformats.org/officeDocument/2006/relationships/hyperlink" Target="https://www.greencarcongress.com/2021/01/20210107-id4.html" TargetMode="External"/><Relationship Id="rId25" Type="http://schemas.openxmlformats.org/officeDocument/2006/relationships/hyperlink" Target="https://assets.publishing.service.gov.uk/government/uploads/system/uploads/attachment_data/file/846593/future-of-mobility-strategy.pdf" TargetMode="External"/><Relationship Id="rId33" Type="http://schemas.openxmlformats.org/officeDocument/2006/relationships/hyperlink" Target="https://www.legislation.gov.uk/wsi/2021/352/made" TargetMode="External"/><Relationship Id="rId2" Type="http://schemas.openxmlformats.org/officeDocument/2006/relationships/customXml" Target="../customXml/item2.xml"/><Relationship Id="rId16" Type="http://schemas.openxmlformats.org/officeDocument/2006/relationships/hyperlink" Target="https://www.cnbc.com/2019/05/31/ford-recycles1point2-billion-plastic-bottles-a-year-for-auto-parts.html" TargetMode="External"/><Relationship Id="rId20" Type="http://schemas.openxmlformats.org/officeDocument/2006/relationships/hyperlink" Target="https://www.mckinsey.com/industries/automotive-and-assembly/our-insights/autonomous-drivings-future-convenient-and-connected" TargetMode="External"/><Relationship Id="rId29" Type="http://schemas.openxmlformats.org/officeDocument/2006/relationships/hyperlink" Target="https://www.gov.uk/government/statistics/road-freight-statistics-october-2021-to-september-2022/domestic-road-freight-statistics-october-2021-to-september-202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tfw.wales/sites/default/files/2022-12/ENG_Final-Corporate-Strategy.pdf" TargetMode="External"/><Relationship Id="rId32" Type="http://schemas.openxmlformats.org/officeDocument/2006/relationships/hyperlink" Target="https://gov.wales/south-west-wales-transport-consortium"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aranddriver.com/features/a41001087/pros-and-cons-electric-cars/" TargetMode="External"/><Relationship Id="rId23" Type="http://schemas.openxmlformats.org/officeDocument/2006/relationships/hyperlink" Target="https://tfl.gov.uk/info-for/boroughs-and-communities/streetspace-funding" TargetMode="External"/><Relationship Id="rId28" Type="http://schemas.openxmlformats.org/officeDocument/2006/relationships/hyperlink" Target="https://assets.publishing.service.gov.uk/government/uploads/system/uploads/attachment_data/file/1147356/zev-mandate-co2-emissions-regulation-consultation-document.pdf"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iea.org/reports/electric-vehicles" TargetMode="External"/><Relationship Id="rId31" Type="http://schemas.openxmlformats.org/officeDocument/2006/relationships/hyperlink" Target="https://www.epa.gov/greenvehicles/fast-facts-transportation-greenhouse-gas-emission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usinessinsider.com/hydrogen-fuel-cell-cars-teslas-biggest-threat-2019-12?r=US&amp;IR=T" TargetMode="External"/><Relationship Id="rId22" Type="http://schemas.openxmlformats.org/officeDocument/2006/relationships/hyperlink" Target="https://www.renewableenergyworld.com/storage/is-the-future-of-ev-charging-bidirectional/" TargetMode="External"/><Relationship Id="rId27" Type="http://schemas.openxmlformats.org/officeDocument/2006/relationships/hyperlink" Target="https://www.gov.uk/government/statistics/transport-statistics-great-britain-2021/transport-statistics-great-britain-2021" TargetMode="External"/><Relationship Id="rId30" Type="http://schemas.openxmlformats.org/officeDocument/2006/relationships/hyperlink" Target="https://afdc.energy.gov/" TargetMode="External"/><Relationship Id="rId35"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6" ma:contentTypeDescription="Create a new document." ma:contentTypeScope="" ma:versionID="de86591e8e469ef898b595b1cdaae8b4">
  <xsd:schema xmlns:xsd="http://www.w3.org/2001/XMLSchema" xmlns:xs="http://www.w3.org/2001/XMLSchema" xmlns:p="http://schemas.microsoft.com/office/2006/metadata/properties" xmlns:ns3="7b23fa32-4003-4364-bee1-595462966394" targetNamespace="http://schemas.microsoft.com/office/2006/metadata/properties" ma:root="true" ma:fieldsID="e3fbf57d04e1a199c72974a7b0c03436"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701557-D1AE-4DC1-BF41-62B0E54C8D10}">
  <ds:schemaRefs>
    <ds:schemaRef ds:uri="http://schemas.microsoft.com/sharepoint/v3/contenttype/forms"/>
  </ds:schemaRefs>
</ds:datastoreItem>
</file>

<file path=customXml/itemProps2.xml><?xml version="1.0" encoding="utf-8"?>
<ds:datastoreItem xmlns:ds="http://schemas.openxmlformats.org/officeDocument/2006/customXml" ds:itemID="{FD2E34BF-6616-4394-B1BF-5945B3F418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443C7A-6D10-44D8-B40D-A0ADFD7C6B36}">
  <ds:schemaRefs>
    <ds:schemaRef ds:uri="http://schemas.openxmlformats.org/officeDocument/2006/bibliography"/>
  </ds:schemaRefs>
</ds:datastoreItem>
</file>

<file path=customXml/itemProps4.xml><?xml version="1.0" encoding="utf-8"?>
<ds:datastoreItem xmlns:ds="http://schemas.openxmlformats.org/officeDocument/2006/customXml" ds:itemID="{FF066816-730D-4D90-9D38-557EA63F5B7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3162</TotalTime>
  <Pages>14</Pages>
  <Words>3864</Words>
  <Characters>22027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25840</CharactersWithSpaces>
  <SharedDoc>false</SharedDoc>
  <HLinks>
    <vt:vector size="126" baseType="variant">
      <vt:variant>
        <vt:i4>1572928</vt:i4>
      </vt:variant>
      <vt:variant>
        <vt:i4>87</vt:i4>
      </vt:variant>
      <vt:variant>
        <vt:i4>0</vt:i4>
      </vt:variant>
      <vt:variant>
        <vt:i4>5</vt:i4>
      </vt:variant>
      <vt:variant>
        <vt:lpwstr>https://www.legislation.gov.uk/wsi/2021/352/made</vt:lpwstr>
      </vt:variant>
      <vt:variant>
        <vt:lpwstr/>
      </vt:variant>
      <vt:variant>
        <vt:i4>2752611</vt:i4>
      </vt:variant>
      <vt:variant>
        <vt:i4>84</vt:i4>
      </vt:variant>
      <vt:variant>
        <vt:i4>0</vt:i4>
      </vt:variant>
      <vt:variant>
        <vt:i4>5</vt:i4>
      </vt:variant>
      <vt:variant>
        <vt:lpwstr>https://gov.wales/south-west-wales-transport-consortium</vt:lpwstr>
      </vt:variant>
      <vt:variant>
        <vt:lpwstr/>
      </vt:variant>
      <vt:variant>
        <vt:i4>7733297</vt:i4>
      </vt:variant>
      <vt:variant>
        <vt:i4>81</vt:i4>
      </vt:variant>
      <vt:variant>
        <vt:i4>0</vt:i4>
      </vt:variant>
      <vt:variant>
        <vt:i4>5</vt:i4>
      </vt:variant>
      <vt:variant>
        <vt:lpwstr>https://www.gov.uk/government/statistics/road-freight-statistics-october-2021-to-september-2022/domestic-road-freight-statistics-october-2021-to-september-2022</vt:lpwstr>
      </vt:variant>
      <vt:variant>
        <vt:lpwstr/>
      </vt:variant>
      <vt:variant>
        <vt:i4>196667</vt:i4>
      </vt:variant>
      <vt:variant>
        <vt:i4>78</vt:i4>
      </vt:variant>
      <vt:variant>
        <vt:i4>0</vt:i4>
      </vt:variant>
      <vt:variant>
        <vt:i4>5</vt:i4>
      </vt:variant>
      <vt:variant>
        <vt:lpwstr>https://assets.publishing.service.gov.uk/government/uploads/system/uploads/attachment_data/file/1147356/zev-mandate-co2-emissions-regulation-consultation-document.pdf</vt:lpwstr>
      </vt:variant>
      <vt:variant>
        <vt:lpwstr/>
      </vt:variant>
      <vt:variant>
        <vt:i4>4456466</vt:i4>
      </vt:variant>
      <vt:variant>
        <vt:i4>75</vt:i4>
      </vt:variant>
      <vt:variant>
        <vt:i4>0</vt:i4>
      </vt:variant>
      <vt:variant>
        <vt:i4>5</vt:i4>
      </vt:variant>
      <vt:variant>
        <vt:lpwstr>https://www.gov.uk/government/statistics/transport-statistics-great-britain-2021/transport-statistics-great-britain-2021</vt:lpwstr>
      </vt:variant>
      <vt:variant>
        <vt:lpwstr/>
      </vt:variant>
      <vt:variant>
        <vt:i4>7798877</vt:i4>
      </vt:variant>
      <vt:variant>
        <vt:i4>72</vt:i4>
      </vt:variant>
      <vt:variant>
        <vt:i4>0</vt:i4>
      </vt:variant>
      <vt:variant>
        <vt:i4>5</vt:i4>
      </vt:variant>
      <vt:variant>
        <vt:lpwstr>https://assets.publishing.service.gov.uk/government/uploads/system/uploads/attachment_data/file/1009448/decarbonising-transport-a-better-greener-britain.pdf</vt:lpwstr>
      </vt:variant>
      <vt:variant>
        <vt:lpwstr/>
      </vt:variant>
      <vt:variant>
        <vt:i4>1048676</vt:i4>
      </vt:variant>
      <vt:variant>
        <vt:i4>69</vt:i4>
      </vt:variant>
      <vt:variant>
        <vt:i4>0</vt:i4>
      </vt:variant>
      <vt:variant>
        <vt:i4>5</vt:i4>
      </vt:variant>
      <vt:variant>
        <vt:lpwstr>https://assets.publishing.service.gov.uk/government/uploads/system/uploads/attachment_data/file/846593/future-of-mobility-strategy.pdf</vt:lpwstr>
      </vt:variant>
      <vt:variant>
        <vt:lpwstr/>
      </vt:variant>
      <vt:variant>
        <vt:i4>1441918</vt:i4>
      </vt:variant>
      <vt:variant>
        <vt:i4>66</vt:i4>
      </vt:variant>
      <vt:variant>
        <vt:i4>0</vt:i4>
      </vt:variant>
      <vt:variant>
        <vt:i4>5</vt:i4>
      </vt:variant>
      <vt:variant>
        <vt:lpwstr>https://tfw.wales/sites/default/files/2022-12/ENG_Final-Corporate-Strategy.pdf</vt:lpwstr>
      </vt:variant>
      <vt:variant>
        <vt:lpwstr/>
      </vt:variant>
      <vt:variant>
        <vt:i4>1900563</vt:i4>
      </vt:variant>
      <vt:variant>
        <vt:i4>63</vt:i4>
      </vt:variant>
      <vt:variant>
        <vt:i4>0</vt:i4>
      </vt:variant>
      <vt:variant>
        <vt:i4>5</vt:i4>
      </vt:variant>
      <vt:variant>
        <vt:lpwstr>https://tfl.gov.uk/info-for/boroughs-and-communities/streetspace-funding</vt:lpwstr>
      </vt:variant>
      <vt:variant>
        <vt:lpwstr/>
      </vt:variant>
      <vt:variant>
        <vt:i4>327760</vt:i4>
      </vt:variant>
      <vt:variant>
        <vt:i4>60</vt:i4>
      </vt:variant>
      <vt:variant>
        <vt:i4>0</vt:i4>
      </vt:variant>
      <vt:variant>
        <vt:i4>5</vt:i4>
      </vt:variant>
      <vt:variant>
        <vt:lpwstr>https://www.mckinsey.com/industries/automotive-and-assembly/our-insights/autonomous-drivings-future-convenient-and-connected</vt:lpwstr>
      </vt:variant>
      <vt:variant>
        <vt:lpwstr/>
      </vt:variant>
      <vt:variant>
        <vt:i4>8323182</vt:i4>
      </vt:variant>
      <vt:variant>
        <vt:i4>57</vt:i4>
      </vt:variant>
      <vt:variant>
        <vt:i4>0</vt:i4>
      </vt:variant>
      <vt:variant>
        <vt:i4>5</vt:i4>
      </vt:variant>
      <vt:variant>
        <vt:lpwstr>https://www.iea.org/reports/global-ev-outlook-2021</vt:lpwstr>
      </vt:variant>
      <vt:variant>
        <vt:lpwstr/>
      </vt:variant>
      <vt:variant>
        <vt:i4>3342395</vt:i4>
      </vt:variant>
      <vt:variant>
        <vt:i4>54</vt:i4>
      </vt:variant>
      <vt:variant>
        <vt:i4>0</vt:i4>
      </vt:variant>
      <vt:variant>
        <vt:i4>5</vt:i4>
      </vt:variant>
      <vt:variant>
        <vt:lpwstr>https://www.cnbc.com/2019/05/31/ford-recycles1point2-billion-plastic-bottles-a-year-for-auto-parts.html</vt:lpwstr>
      </vt:variant>
      <vt:variant>
        <vt:lpwstr>:~:text=Ford%20is%20trying%20to%20reduce%20its%20carbon%20footprint,well%20as%20the%20wheel%20liners%20on%20F-Series%20trucks</vt:lpwstr>
      </vt:variant>
      <vt:variant>
        <vt:i4>7078013</vt:i4>
      </vt:variant>
      <vt:variant>
        <vt:i4>51</vt:i4>
      </vt:variant>
      <vt:variant>
        <vt:i4>0</vt:i4>
      </vt:variant>
      <vt:variant>
        <vt:i4>5</vt:i4>
      </vt:variant>
      <vt:variant>
        <vt:lpwstr>https://www.bmwgroup.com/en/sustainability.html</vt:lpwstr>
      </vt:variant>
      <vt:variant>
        <vt:lpwstr/>
      </vt:variant>
      <vt:variant>
        <vt:i4>1835058</vt:i4>
      </vt:variant>
      <vt:variant>
        <vt:i4>44</vt:i4>
      </vt:variant>
      <vt:variant>
        <vt:i4>0</vt:i4>
      </vt:variant>
      <vt:variant>
        <vt:i4>5</vt:i4>
      </vt:variant>
      <vt:variant>
        <vt:lpwstr/>
      </vt:variant>
      <vt:variant>
        <vt:lpwstr>_Toc131069417</vt:lpwstr>
      </vt:variant>
      <vt:variant>
        <vt:i4>1835058</vt:i4>
      </vt:variant>
      <vt:variant>
        <vt:i4>38</vt:i4>
      </vt:variant>
      <vt:variant>
        <vt:i4>0</vt:i4>
      </vt:variant>
      <vt:variant>
        <vt:i4>5</vt:i4>
      </vt:variant>
      <vt:variant>
        <vt:lpwstr/>
      </vt:variant>
      <vt:variant>
        <vt:lpwstr>_Toc131069416</vt:lpwstr>
      </vt:variant>
      <vt:variant>
        <vt:i4>1835058</vt:i4>
      </vt:variant>
      <vt:variant>
        <vt:i4>32</vt:i4>
      </vt:variant>
      <vt:variant>
        <vt:i4>0</vt:i4>
      </vt:variant>
      <vt:variant>
        <vt:i4>5</vt:i4>
      </vt:variant>
      <vt:variant>
        <vt:lpwstr/>
      </vt:variant>
      <vt:variant>
        <vt:lpwstr>_Toc131069415</vt:lpwstr>
      </vt:variant>
      <vt:variant>
        <vt:i4>1835058</vt:i4>
      </vt:variant>
      <vt:variant>
        <vt:i4>26</vt:i4>
      </vt:variant>
      <vt:variant>
        <vt:i4>0</vt:i4>
      </vt:variant>
      <vt:variant>
        <vt:i4>5</vt:i4>
      </vt:variant>
      <vt:variant>
        <vt:lpwstr/>
      </vt:variant>
      <vt:variant>
        <vt:lpwstr>_Toc131069414</vt:lpwstr>
      </vt:variant>
      <vt:variant>
        <vt:i4>1835058</vt:i4>
      </vt:variant>
      <vt:variant>
        <vt:i4>20</vt:i4>
      </vt:variant>
      <vt:variant>
        <vt:i4>0</vt:i4>
      </vt:variant>
      <vt:variant>
        <vt:i4>5</vt:i4>
      </vt:variant>
      <vt:variant>
        <vt:lpwstr/>
      </vt:variant>
      <vt:variant>
        <vt:lpwstr>_Toc131069413</vt:lpwstr>
      </vt:variant>
      <vt:variant>
        <vt:i4>1835058</vt:i4>
      </vt:variant>
      <vt:variant>
        <vt:i4>14</vt:i4>
      </vt:variant>
      <vt:variant>
        <vt:i4>0</vt:i4>
      </vt:variant>
      <vt:variant>
        <vt:i4>5</vt:i4>
      </vt:variant>
      <vt:variant>
        <vt:lpwstr/>
      </vt:variant>
      <vt:variant>
        <vt:lpwstr>_Toc131069412</vt:lpwstr>
      </vt:variant>
      <vt:variant>
        <vt:i4>1835058</vt:i4>
      </vt:variant>
      <vt:variant>
        <vt:i4>8</vt:i4>
      </vt:variant>
      <vt:variant>
        <vt:i4>0</vt:i4>
      </vt:variant>
      <vt:variant>
        <vt:i4>5</vt:i4>
      </vt:variant>
      <vt:variant>
        <vt:lpwstr/>
      </vt:variant>
      <vt:variant>
        <vt:lpwstr>_Toc131069411</vt:lpwstr>
      </vt:variant>
      <vt:variant>
        <vt:i4>1835058</vt:i4>
      </vt:variant>
      <vt:variant>
        <vt:i4>2</vt:i4>
      </vt:variant>
      <vt:variant>
        <vt:i4>0</vt:i4>
      </vt:variant>
      <vt:variant>
        <vt:i4>5</vt:i4>
      </vt:variant>
      <vt:variant>
        <vt:lpwstr/>
      </vt:variant>
      <vt:variant>
        <vt:lpwstr>_Toc131069410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Byron Christopher</dc:creator>
  <cp:keywords/>
  <dc:description/>
  <cp:lastModifiedBy>Byron</cp:lastModifiedBy>
  <cp:revision>154</cp:revision>
  <dcterms:created xsi:type="dcterms:W3CDTF">2023-03-30T10:47:00Z</dcterms:created>
  <dcterms:modified xsi:type="dcterms:W3CDTF">2023-04-01T17:11:00Z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