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BA35E" w14:textId="77777777" w:rsidR="00B2572A" w:rsidRDefault="00B2572A" w:rsidP="00B2572A">
      <w:pPr>
        <w:pStyle w:val="Heading1"/>
        <w:jc w:val="both"/>
        <w:rPr>
          <w:rFonts w:ascii="Arial" w:eastAsia="Times New Roman" w:hAnsi="Arial" w:cs="Arial"/>
          <w:color w:val="000000" w:themeColor="text1"/>
          <w:sz w:val="22"/>
          <w:szCs w:val="22"/>
        </w:rPr>
      </w:pPr>
    </w:p>
    <w:p w14:paraId="22270B31" w14:textId="77777777" w:rsidR="00B2572A" w:rsidRDefault="00B2572A" w:rsidP="00B2572A">
      <w:pPr>
        <w:pStyle w:val="Heading1"/>
        <w:jc w:val="center"/>
        <w:rPr>
          <w:rFonts w:ascii="Arial" w:eastAsia="Times New Roman" w:hAnsi="Arial" w:cs="Arial"/>
          <w:color w:val="000000" w:themeColor="text1"/>
          <w:sz w:val="22"/>
          <w:szCs w:val="22"/>
          <w:lang w:val="en-US"/>
        </w:rPr>
      </w:pPr>
      <w:r w:rsidRPr="006E6B38">
        <w:rPr>
          <w:rFonts w:ascii="Arial" w:eastAsia="Times New Roman" w:hAnsi="Arial" w:cs="Arial"/>
          <w:noProof/>
          <w:color w:val="000000" w:themeColor="text1"/>
          <w:sz w:val="22"/>
          <w:szCs w:val="22"/>
        </w:rPr>
        <w:drawing>
          <wp:inline distT="0" distB="0" distL="0" distR="0" wp14:anchorId="6AA8FBB8" wp14:editId="6FCD9EE7">
            <wp:extent cx="3346450" cy="1138071"/>
            <wp:effectExtent l="0" t="0" r="6350" b="5080"/>
            <wp:docPr id="2"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389424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6450" cy="113807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EE51990" w14:textId="77777777" w:rsidR="00B2572A" w:rsidRDefault="00B2572A" w:rsidP="00B2572A">
      <w:pPr>
        <w:pStyle w:val="Heading1"/>
        <w:jc w:val="both"/>
        <w:rPr>
          <w:rFonts w:ascii="Arial" w:eastAsia="Times New Roman" w:hAnsi="Arial" w:cs="Arial"/>
          <w:color w:val="000000" w:themeColor="text1"/>
          <w:sz w:val="22"/>
          <w:szCs w:val="22"/>
          <w:lang w:val="en-US"/>
        </w:rPr>
      </w:pPr>
    </w:p>
    <w:p w14:paraId="3458F06E" w14:textId="77777777" w:rsidR="00C72FC6" w:rsidRDefault="00B2572A" w:rsidP="00B2572A">
      <w:pPr>
        <w:pStyle w:val="Heading1"/>
        <w:jc w:val="center"/>
        <w:rPr>
          <w:rFonts w:ascii="Arial" w:eastAsia="Times New Roman" w:hAnsi="Arial" w:cs="Arial"/>
          <w:color w:val="000000" w:themeColor="text1"/>
          <w:sz w:val="22"/>
          <w:szCs w:val="22"/>
          <w:lang w:val="en-US"/>
        </w:rPr>
      </w:pPr>
      <w:r w:rsidRPr="006E6B38">
        <w:rPr>
          <w:rFonts w:ascii="Arial" w:eastAsia="Times New Roman" w:hAnsi="Arial" w:cs="Arial"/>
          <w:color w:val="000000" w:themeColor="text1"/>
          <w:sz w:val="22"/>
          <w:szCs w:val="22"/>
          <w:lang w:val="en-US"/>
        </w:rPr>
        <w:t xml:space="preserve">Module Name: Health, Wellbeing and Sustainable Development </w:t>
      </w:r>
    </w:p>
    <w:p w14:paraId="46127D15" w14:textId="530C831A" w:rsidR="00B2572A" w:rsidRPr="006E6B38" w:rsidRDefault="00B2572A" w:rsidP="00B2572A">
      <w:pPr>
        <w:pStyle w:val="Heading1"/>
        <w:jc w:val="center"/>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(BMHP6030_BIRM)</w:t>
      </w:r>
    </w:p>
    <w:p w14:paraId="4E556B51" w14:textId="77777777" w:rsidR="00B2572A" w:rsidRPr="006E6B38" w:rsidRDefault="00B2572A" w:rsidP="00B2572A">
      <w:pPr>
        <w:pStyle w:val="Heading1"/>
        <w:jc w:val="center"/>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 xml:space="preserve">Component </w:t>
      </w:r>
      <w:r>
        <w:rPr>
          <w:rFonts w:ascii="Arial" w:eastAsia="Times New Roman" w:hAnsi="Arial" w:cs="Arial"/>
          <w:color w:val="000000" w:themeColor="text1"/>
          <w:sz w:val="22"/>
          <w:szCs w:val="22"/>
          <w:lang w:val="en-US"/>
        </w:rPr>
        <w:t>2</w:t>
      </w:r>
    </w:p>
    <w:p w14:paraId="3E02D05A" w14:textId="77777777" w:rsidR="00B2572A" w:rsidRPr="006E6B38" w:rsidRDefault="00B2572A" w:rsidP="00B2572A">
      <w:pPr>
        <w:pStyle w:val="Heading1"/>
        <w:jc w:val="center"/>
        <w:rPr>
          <w:rFonts w:ascii="Arial" w:eastAsia="Times New Roman" w:hAnsi="Arial" w:cs="Arial"/>
          <w:color w:val="000000" w:themeColor="text1"/>
          <w:sz w:val="22"/>
          <w:szCs w:val="22"/>
        </w:rPr>
      </w:pPr>
      <w:r>
        <w:rPr>
          <w:rFonts w:ascii="Arial" w:eastAsia="Times New Roman" w:hAnsi="Arial" w:cs="Arial"/>
          <w:color w:val="000000" w:themeColor="text1"/>
          <w:sz w:val="22"/>
          <w:szCs w:val="22"/>
          <w:lang w:val="en-US"/>
        </w:rPr>
        <w:t>Report</w:t>
      </w:r>
    </w:p>
    <w:p w14:paraId="0CFFE2F1" w14:textId="7F366663" w:rsidR="00B2572A" w:rsidRPr="00DB43AD" w:rsidRDefault="00B2572A" w:rsidP="00B2572A">
      <w:pPr>
        <w:pStyle w:val="Heading1"/>
        <w:spacing w:line="360" w:lineRule="auto"/>
        <w:jc w:val="both"/>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 xml:space="preserve">Title of </w:t>
      </w:r>
      <w:r>
        <w:rPr>
          <w:rFonts w:ascii="Arial" w:eastAsia="Times New Roman" w:hAnsi="Arial" w:cs="Arial"/>
          <w:color w:val="000000" w:themeColor="text1"/>
          <w:sz w:val="22"/>
          <w:szCs w:val="22"/>
          <w:lang w:val="en-US"/>
        </w:rPr>
        <w:t xml:space="preserve">the Report </w:t>
      </w:r>
      <w:r w:rsidRPr="006E6B38">
        <w:rPr>
          <w:rFonts w:ascii="Arial" w:eastAsia="Times New Roman" w:hAnsi="Arial" w:cs="Arial"/>
          <w:color w:val="000000" w:themeColor="text1"/>
          <w:sz w:val="22"/>
          <w:szCs w:val="22"/>
          <w:lang w:val="en-US"/>
        </w:rPr>
        <w:t xml:space="preserve">: </w:t>
      </w:r>
      <w:r w:rsidRPr="00DB43AD">
        <w:rPr>
          <w:rFonts w:ascii="Arial" w:eastAsia="Times New Roman" w:hAnsi="Arial" w:cs="Arial"/>
          <w:color w:val="000000" w:themeColor="text1"/>
          <w:sz w:val="22"/>
          <w:szCs w:val="22"/>
        </w:rPr>
        <w:t>A Critical Evaluation of Sustainable Development Goal 3 (Good Health and Wellbeing) and Sustainable Development Goal 10 (Reduced Inequalities)</w:t>
      </w:r>
    </w:p>
    <w:p w14:paraId="4FB1EDA6" w14:textId="77777777" w:rsidR="00B2572A" w:rsidRPr="006E6B38" w:rsidRDefault="00B2572A" w:rsidP="00B2572A">
      <w:pPr>
        <w:pStyle w:val="Heading1"/>
        <w:spacing w:line="360" w:lineRule="auto"/>
        <w:jc w:val="center"/>
        <w:rPr>
          <w:rFonts w:ascii="Arial" w:eastAsia="Times New Roman" w:hAnsi="Arial" w:cs="Arial"/>
          <w:color w:val="000000" w:themeColor="text1"/>
          <w:sz w:val="22"/>
          <w:szCs w:val="22"/>
        </w:rPr>
      </w:pPr>
    </w:p>
    <w:p w14:paraId="77F6D8AF" w14:textId="77777777" w:rsidR="00B2572A" w:rsidRPr="006E6B38" w:rsidRDefault="00B2572A" w:rsidP="00B2572A">
      <w:pPr>
        <w:pStyle w:val="Heading1"/>
        <w:jc w:val="center"/>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Student Name: Hana Kiros</w:t>
      </w:r>
    </w:p>
    <w:p w14:paraId="53E3BA8B" w14:textId="77777777" w:rsidR="00B2572A" w:rsidRPr="006E6B38" w:rsidRDefault="00B2572A" w:rsidP="00B2572A">
      <w:pPr>
        <w:pStyle w:val="Heading1"/>
        <w:jc w:val="center"/>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Student Number: 2316483</w:t>
      </w:r>
    </w:p>
    <w:p w14:paraId="627841D5" w14:textId="77777777" w:rsidR="00B2572A" w:rsidRPr="006E6B38" w:rsidRDefault="00B2572A" w:rsidP="00B2572A">
      <w:pPr>
        <w:pStyle w:val="Heading1"/>
        <w:jc w:val="center"/>
        <w:rPr>
          <w:rFonts w:ascii="Arial" w:eastAsia="Times New Roman" w:hAnsi="Arial" w:cs="Arial"/>
          <w:color w:val="000000" w:themeColor="text1"/>
          <w:sz w:val="22"/>
          <w:szCs w:val="22"/>
        </w:rPr>
      </w:pPr>
    </w:p>
    <w:p w14:paraId="3A827254" w14:textId="77777777" w:rsidR="00B2572A" w:rsidRPr="006E6B38" w:rsidRDefault="00B2572A" w:rsidP="00B2572A">
      <w:pPr>
        <w:pStyle w:val="Heading1"/>
        <w:jc w:val="center"/>
        <w:rPr>
          <w:rFonts w:ascii="Arial" w:eastAsia="Times New Roman" w:hAnsi="Arial" w:cs="Arial"/>
          <w:color w:val="000000" w:themeColor="text1"/>
          <w:sz w:val="22"/>
          <w:szCs w:val="22"/>
        </w:rPr>
      </w:pPr>
      <w:r w:rsidRPr="006E6B38">
        <w:rPr>
          <w:rFonts w:ascii="Arial" w:eastAsia="Times New Roman" w:hAnsi="Arial" w:cs="Arial"/>
          <w:color w:val="000000" w:themeColor="text1"/>
          <w:sz w:val="22"/>
          <w:szCs w:val="22"/>
          <w:lang w:val="en-US"/>
        </w:rPr>
        <w:t>Lecturer Name:  Philip Jones</w:t>
      </w:r>
    </w:p>
    <w:p w14:paraId="3968D436" w14:textId="77777777" w:rsidR="00B2572A" w:rsidRDefault="00B2572A" w:rsidP="00B2572A">
      <w:pPr>
        <w:pStyle w:val="Heading1"/>
        <w:jc w:val="center"/>
        <w:rPr>
          <w:rFonts w:ascii="Arial" w:eastAsia="Times New Roman" w:hAnsi="Arial" w:cs="Arial"/>
          <w:color w:val="000000" w:themeColor="text1"/>
          <w:sz w:val="22"/>
          <w:szCs w:val="22"/>
        </w:rPr>
      </w:pPr>
    </w:p>
    <w:p w14:paraId="0E5FE6C1" w14:textId="77777777" w:rsidR="00B2572A" w:rsidRDefault="00B2572A" w:rsidP="00D81355">
      <w:pPr>
        <w:pStyle w:val="Heading2"/>
        <w:spacing w:line="360" w:lineRule="auto"/>
        <w:jc w:val="both"/>
        <w:rPr>
          <w:rFonts w:ascii="Times New Roman" w:eastAsiaTheme="minorEastAsia" w:hAnsi="Times New Roman" w:cs="Times New Roman"/>
          <w:b w:val="0"/>
          <w:bCs w:val="0"/>
          <w:color w:val="auto"/>
          <w:sz w:val="24"/>
          <w:szCs w:val="24"/>
        </w:rPr>
      </w:pPr>
    </w:p>
    <w:p w14:paraId="220E5FCD" w14:textId="77777777" w:rsidR="00C72FC6" w:rsidRPr="00C72FC6" w:rsidRDefault="00C72FC6" w:rsidP="00C72FC6"/>
    <w:p w14:paraId="102433BD" w14:textId="77777777" w:rsidR="00B2572A" w:rsidRPr="00C72FC6" w:rsidRDefault="00B2572A" w:rsidP="003E73B4">
      <w:pPr>
        <w:pStyle w:val="Heading2"/>
        <w:spacing w:line="360" w:lineRule="auto"/>
        <w:jc w:val="both"/>
        <w:rPr>
          <w:rFonts w:ascii="Arial" w:eastAsia="Times New Roman" w:hAnsi="Arial" w:cs="Arial"/>
          <w:color w:val="000000" w:themeColor="text1"/>
          <w:sz w:val="22"/>
          <w:szCs w:val="22"/>
        </w:rPr>
      </w:pPr>
      <w:r w:rsidRPr="00C72FC6">
        <w:rPr>
          <w:rFonts w:ascii="Arial" w:eastAsia="Times New Roman" w:hAnsi="Arial" w:cs="Arial"/>
          <w:color w:val="000000" w:themeColor="text1"/>
          <w:sz w:val="22"/>
          <w:szCs w:val="22"/>
        </w:rPr>
        <w:lastRenderedPageBreak/>
        <w:t>Introduction</w:t>
      </w:r>
    </w:p>
    <w:p w14:paraId="57E180EC" w14:textId="77777777" w:rsidR="00B2572A" w:rsidRPr="00C72FC6" w:rsidRDefault="00B2572A" w:rsidP="003E73B4">
      <w:pPr>
        <w:pStyle w:val="Heading2"/>
        <w:spacing w:line="360" w:lineRule="auto"/>
        <w:jc w:val="both"/>
        <w:rPr>
          <w:rFonts w:ascii="Arial" w:eastAsia="Times New Roman" w:hAnsi="Arial" w:cs="Arial"/>
          <w:color w:val="000000" w:themeColor="text1"/>
          <w:sz w:val="22"/>
          <w:szCs w:val="22"/>
        </w:rPr>
      </w:pPr>
      <w:r w:rsidRPr="00C72FC6">
        <w:rPr>
          <w:rFonts w:ascii="Arial" w:eastAsia="Times New Roman" w:hAnsi="Arial" w:cs="Arial"/>
          <w:b w:val="0"/>
          <w:color w:val="000000" w:themeColor="text1"/>
          <w:sz w:val="22"/>
          <w:szCs w:val="22"/>
        </w:rPr>
        <w:t xml:space="preserve">There has been a growing convergence between health, wellbeing and sustainable development in contemporary health and social care policy. The United Nations Sustainable Development Goals (SDGs) set a world-wide development agenda to enhance health and social, economic and environmental sustainability (United Nations, 2015). </w:t>
      </w:r>
    </w:p>
    <w:p w14:paraId="011BBE79" w14:textId="77777777" w:rsidR="00B2572A" w:rsidRPr="00C72FC6" w:rsidRDefault="00B2572A" w:rsidP="003E73B4">
      <w:pPr>
        <w:pStyle w:val="Heading2"/>
        <w:spacing w:line="360" w:lineRule="auto"/>
        <w:jc w:val="both"/>
        <w:rPr>
          <w:rFonts w:ascii="Arial" w:eastAsia="Times New Roman" w:hAnsi="Arial" w:cs="Arial"/>
          <w:b w:val="0"/>
          <w:color w:val="000000" w:themeColor="text1"/>
          <w:sz w:val="22"/>
          <w:szCs w:val="22"/>
        </w:rPr>
      </w:pPr>
      <w:r w:rsidRPr="00C72FC6">
        <w:rPr>
          <w:rFonts w:ascii="Arial" w:eastAsia="Times New Roman" w:hAnsi="Arial" w:cs="Arial"/>
          <w:b w:val="0"/>
          <w:color w:val="000000" w:themeColor="text1"/>
          <w:sz w:val="22"/>
          <w:szCs w:val="22"/>
        </w:rPr>
        <w:t>Although significant progress has been made in medical care, there are still great disparities in the UK and around the world. The COVID-19 pandemic made existing inequities in access to healthcare and long-term health outcomes and socio-economic conditions, especially for disadvantaged groups, evident (World Health Organization, 2023; Marmot et al., 2020). Hence, prevention and early intervention and health inequalities have come to the current health policy.</w:t>
      </w:r>
    </w:p>
    <w:p w14:paraId="2066C82E" w14:textId="77777777" w:rsidR="00B2572A" w:rsidRPr="00C72FC6" w:rsidRDefault="00B2572A" w:rsidP="003E73B4">
      <w:pPr>
        <w:pStyle w:val="Heading2"/>
        <w:spacing w:line="360" w:lineRule="auto"/>
        <w:jc w:val="both"/>
        <w:rPr>
          <w:rFonts w:ascii="Arial" w:eastAsia="Times New Roman" w:hAnsi="Arial" w:cs="Arial"/>
          <w:b w:val="0"/>
          <w:color w:val="000000" w:themeColor="text1"/>
          <w:sz w:val="22"/>
          <w:szCs w:val="22"/>
        </w:rPr>
      </w:pPr>
      <w:r w:rsidRPr="00C72FC6">
        <w:rPr>
          <w:rFonts w:ascii="Arial" w:eastAsia="Times New Roman" w:hAnsi="Arial" w:cs="Arial"/>
          <w:b w:val="0"/>
          <w:color w:val="000000" w:themeColor="text1"/>
          <w:sz w:val="22"/>
          <w:szCs w:val="22"/>
        </w:rPr>
        <w:t>In England, policies are underway to encourage integrated care, prevention and partnership working between health and social care to reduce inequalities, including the NHS Long Term Plan (2019) and the Department of Health and Social Care's 10 Year Health Plan (2025). At the local level, Birmingham has successfully developed partnerships between the local authority, NHS organisations and voluntary sector providers to enhance population health and reduce inequalities at the local level (Birmingham City Council, 2024; University Hospitals Birmingham NHS Foundation Trust, 2024).</w:t>
      </w:r>
    </w:p>
    <w:p w14:paraId="221A443C" w14:textId="77777777" w:rsidR="00B2572A" w:rsidRDefault="00B2572A" w:rsidP="003E73B4">
      <w:pPr>
        <w:pStyle w:val="Heading2"/>
        <w:spacing w:line="360" w:lineRule="auto"/>
        <w:jc w:val="both"/>
        <w:rPr>
          <w:rFonts w:ascii="Arial" w:eastAsia="Times New Roman" w:hAnsi="Arial" w:cs="Arial"/>
          <w:b w:val="0"/>
          <w:color w:val="000000" w:themeColor="text1"/>
          <w:sz w:val="22"/>
          <w:szCs w:val="22"/>
        </w:rPr>
      </w:pPr>
      <w:r w:rsidRPr="00C72FC6">
        <w:rPr>
          <w:rFonts w:ascii="Arial" w:eastAsia="Times New Roman" w:hAnsi="Arial" w:cs="Arial"/>
          <w:b w:val="0"/>
          <w:color w:val="000000" w:themeColor="text1"/>
          <w:sz w:val="22"/>
          <w:szCs w:val="22"/>
        </w:rPr>
        <w:t>This report critically assesses SDG 3 and SDG 10 at the global, national and Birmingham local scale. Behaviours and the environment's influence on policy implementation and health outcomes is explained through the Health Belief Model (Rosenstock, 1974) and Social Cognitive Theory (Bandura, 1986).</w:t>
      </w:r>
    </w:p>
    <w:p w14:paraId="6B521632" w14:textId="77777777" w:rsidR="00C72FC6" w:rsidRDefault="00C72FC6" w:rsidP="00C72FC6"/>
    <w:p w14:paraId="472A6F2E" w14:textId="77777777" w:rsidR="00C72FC6" w:rsidRDefault="00C72FC6" w:rsidP="00C72FC6"/>
    <w:p w14:paraId="41F80AA8" w14:textId="77777777" w:rsidR="00C72FC6" w:rsidRDefault="00C72FC6" w:rsidP="00C72FC6"/>
    <w:p w14:paraId="63BDABCA" w14:textId="77777777" w:rsidR="00C72FC6" w:rsidRDefault="00C72FC6" w:rsidP="00C72FC6"/>
    <w:p w14:paraId="7E745FA3" w14:textId="77777777" w:rsidR="00C72FC6" w:rsidRDefault="00C72FC6" w:rsidP="00C72FC6"/>
    <w:p w14:paraId="5185E8B3" w14:textId="77777777" w:rsidR="00C72FC6" w:rsidRDefault="00C72FC6" w:rsidP="00C72FC6"/>
    <w:p w14:paraId="193CF7DE" w14:textId="77777777" w:rsidR="00C72FC6" w:rsidRDefault="00C72FC6" w:rsidP="00C72FC6"/>
    <w:p w14:paraId="52FDB525" w14:textId="77777777" w:rsidR="00C72FC6" w:rsidRPr="00C72FC6" w:rsidRDefault="00C72FC6" w:rsidP="00C72FC6"/>
    <w:p w14:paraId="64B887A0" w14:textId="77777777" w:rsidR="00B2572A" w:rsidRPr="00C72FC6" w:rsidRDefault="00B2572A" w:rsidP="003E73B4">
      <w:pPr>
        <w:spacing w:line="360" w:lineRule="auto"/>
        <w:jc w:val="both"/>
        <w:rPr>
          <w:rFonts w:ascii="Arial" w:hAnsi="Arial" w:cs="Arial"/>
        </w:rPr>
      </w:pPr>
    </w:p>
    <w:p w14:paraId="1637F4CF" w14:textId="77777777" w:rsidR="00B2572A" w:rsidRPr="00C72FC6" w:rsidRDefault="00B2572A" w:rsidP="003E73B4">
      <w:pPr>
        <w:pStyle w:val="Heading2"/>
        <w:spacing w:line="360" w:lineRule="auto"/>
        <w:jc w:val="both"/>
        <w:rPr>
          <w:rFonts w:ascii="Arial" w:eastAsia="Times New Roman" w:hAnsi="Arial" w:cs="Arial"/>
          <w:color w:val="000000" w:themeColor="text1"/>
          <w:sz w:val="22"/>
          <w:szCs w:val="22"/>
        </w:rPr>
      </w:pPr>
      <w:r w:rsidRPr="00C72FC6">
        <w:rPr>
          <w:rFonts w:ascii="Arial" w:eastAsia="Times New Roman" w:hAnsi="Arial" w:cs="Arial"/>
          <w:color w:val="000000" w:themeColor="text1"/>
          <w:sz w:val="22"/>
          <w:szCs w:val="22"/>
        </w:rPr>
        <w:t>Sustainable Development Goal 3: Good Health and Wellbeing</w:t>
      </w:r>
    </w:p>
    <w:p w14:paraId="7BB765BD" w14:textId="77777777"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SDG 3 aims to achieve healthy lives and promote wellbeing for all at all ages through reducing premature death, strengthening health systems, improving maternal and child health, controlling communicable and non-communicable diseases, ensuring mental health and achieving universal health coverage (United Nations, 2024). Indeed, SDG 3 recognises that much of the causes of ill health are socioeconomic, environmental and behavioural, and therefore requires a multi-sectorial approach involving multiple levels of government, healthcare systems and communities—and not focusing exclusively on infectious diseases as the primary concern of global health programmes (World Heath Organization, 2023).</w:t>
      </w:r>
    </w:p>
    <w:p w14:paraId="45C6FADF" w14:textId="77777777"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The World Health Organisation (WHO) recommends scaling up at the global level via the Triple Billion Targets, Universal Health Coverage initiatives, and the Global Action Plan for Healthy Lives and Wellbeing for All (World Heath Organization, 2023) The programs aim to enhance disease prevention, strengthen primary healthcare, and provide equitable access to essential care. Strong primary care has been associated with early diagnosis, better population health and reduced unnecessary hospital admissions. In many low-income and middle-income countries, however, implementation remains constrained by the need for more workers and insufficient infrastructure and budget. However, sustainable investment and national political commitment are still required to make this a reality, even though it provides a common framework of international policies.</w:t>
      </w:r>
    </w:p>
    <w:p w14:paraId="6CC33F08" w14:textId="419472A0" w:rsidR="00484B2B" w:rsidRPr="00C72FC6" w:rsidRDefault="00484B2B" w:rsidP="00484B2B">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 xml:space="preserve">The Health Belief Model suggests that World Heath Organization health promotion programs increase awareness of disease threat, perceived benefits of immunization and of better health behaviours to encourage better health behaviours. But other factors in the wider society, such as poverty, poor housing, food insecurity and limited access to health care could be a barrier to behaviour change. It highlights an important deficiency in the model, which is its focus on individual decision making, instead of systemic factors that impact health (Rosenstock, </w:t>
      </w:r>
      <w:r w:rsidR="00C72FC6" w:rsidRPr="00C72FC6">
        <w:rPr>
          <w:rFonts w:ascii="Arial" w:hAnsi="Arial" w:cs="Arial"/>
          <w:color w:val="000000" w:themeColor="text1"/>
          <w:sz w:val="22"/>
          <w:szCs w:val="22"/>
        </w:rPr>
        <w:t>1974)</w:t>
      </w:r>
    </w:p>
    <w:p w14:paraId="75F3EF30" w14:textId="13512D43" w:rsidR="00484B2B" w:rsidRPr="00C72FC6" w:rsidRDefault="00484B2B" w:rsidP="00484B2B">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 xml:space="preserve">Social Cognitive Theory is an all-encompassing model that sets in motion the interdependence of people and their social environments (Bandura, </w:t>
      </w:r>
      <w:r w:rsidR="00C72FC6" w:rsidRPr="00C72FC6">
        <w:rPr>
          <w:rFonts w:ascii="Arial" w:hAnsi="Arial" w:cs="Arial"/>
          <w:color w:val="000000" w:themeColor="text1"/>
          <w:sz w:val="22"/>
          <w:szCs w:val="22"/>
        </w:rPr>
        <w:t>1986</w:t>
      </w:r>
      <w:r w:rsidRPr="00C72FC6">
        <w:rPr>
          <w:rFonts w:ascii="Arial" w:hAnsi="Arial" w:cs="Arial"/>
          <w:color w:val="000000" w:themeColor="text1"/>
          <w:sz w:val="22"/>
          <w:szCs w:val="22"/>
        </w:rPr>
        <w:t>). Developing self-efficacy and encouraging behaviour change are the arena of community-based therapy, peer education and social prescribing. Community strengthening programs tend to have a greater impact than those that focus on the person's responsibility, because they take into account factors beyond the person's control.</w:t>
      </w:r>
    </w:p>
    <w:p w14:paraId="06B3EA0A" w14:textId="77777777" w:rsidR="006F0E6E"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In England, SDG 3 is championed through national policies which support integrated and preventative care, and the prevention of preventable diseases. The NHS Long Term Plan focuses on better cancer survival, mental health, prevention of cardiovascular disease, digital health and community services (NHS England, 2019). The Core20PLUS5 strategy also tackles healthcare inequities by distributing resources to marginalised and disadvantaged communities (NHS England, 2023).</w:t>
      </w:r>
    </w:p>
    <w:p w14:paraId="1BBCC8A1" w14:textId="3F262436"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The 10 Year Health Plan for England echoes these goals, identifying three key transitions that must take place: moving from hospital to community care, analogue to digital health services and from treating illness to preventing disease (DHSC, 2025). These have supported the sustainability of the NHS in the longer term, but a lack of staff, increased demand and financial pressures have been a barrier to implementation (Health Foundation, 2024).</w:t>
      </w:r>
    </w:p>
    <w:p w14:paraId="34697CCA" w14:textId="16935BB1"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Behavioural theories provide an explanation of the differences in th</w:t>
      </w:r>
      <w:r w:rsidR="006F0E6E" w:rsidRPr="00C72FC6">
        <w:rPr>
          <w:rFonts w:ascii="Arial" w:hAnsi="Arial" w:cs="Arial"/>
          <w:color w:val="000000" w:themeColor="text1"/>
          <w:sz w:val="22"/>
          <w:szCs w:val="22"/>
        </w:rPr>
        <w:t>e use of preventive healthcare.</w:t>
      </w:r>
      <w:r w:rsidR="003E73B4" w:rsidRPr="00C72FC6">
        <w:rPr>
          <w:rFonts w:ascii="Arial" w:hAnsi="Arial" w:cs="Arial"/>
          <w:color w:val="000000" w:themeColor="text1"/>
          <w:sz w:val="22"/>
          <w:szCs w:val="22"/>
        </w:rPr>
        <w:t xml:space="preserve"> </w:t>
      </w:r>
      <w:r w:rsidRPr="00C72FC6">
        <w:rPr>
          <w:rFonts w:ascii="Arial" w:hAnsi="Arial" w:cs="Arial"/>
          <w:color w:val="000000" w:themeColor="text1"/>
          <w:sz w:val="22"/>
          <w:szCs w:val="22"/>
        </w:rPr>
        <w:t>The NHS Health Check and cancer screening is more likely to be undertaken if individuals recognise their risk of developing cancer and the benefits of early detection. Despite the national participation drive (OHID, 2024) however, engagement levels among disadvantaged groups remain low, suggesting that there is still a socio-economic disparity that is difficult to overcome to achieve behaviour change. The social cognitive theory provides an example of how interdisciplinary primary care teams, community pharmacies, and digital technologies can increase confidence and support adherence to desired health behaviours when people are provided with ongoing support. On the other hand, it reduces the chances of using these services due to digital marginalisation, language barriers and social isolation (Bandura, 1986).</w:t>
      </w:r>
    </w:p>
    <w:p w14:paraId="4DE522FB" w14:textId="2B4490E1"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Birmingham is a highly diverse community with significant health inequalities, and is a prime example of how SDG 3 is being put into practice. Birmingham City Council's public health strategy focuses on obesity prevention, early intervention and support in partnership with NHS organisations, smoking cessation, physical activity and mental health (Birmingham City Council, 2024).These locally tailored programs complement the participation in the community and healthy living practices, and illustrate the tenets of Social</w:t>
      </w:r>
      <w:r w:rsidR="001F7CAB" w:rsidRPr="00C72FC6">
        <w:rPr>
          <w:rFonts w:ascii="Arial" w:hAnsi="Arial" w:cs="Arial"/>
          <w:color w:val="000000" w:themeColor="text1"/>
          <w:sz w:val="22"/>
          <w:szCs w:val="22"/>
        </w:rPr>
        <w:t xml:space="preserve"> Cognitive Theory (Bandura, 1986</w:t>
      </w:r>
      <w:r w:rsidRPr="00C72FC6">
        <w:rPr>
          <w:rFonts w:ascii="Arial" w:hAnsi="Arial" w:cs="Arial"/>
          <w:color w:val="000000" w:themeColor="text1"/>
          <w:sz w:val="22"/>
          <w:szCs w:val="22"/>
        </w:rPr>
        <w:t>). However, despite progress, there are continued inequalities in healthy life expectancy, childhood obesity and chronic conditions, as well as a lack of the public health budget and an under-resourced public health workforce (OHID, 2024; The King's Fund, 2024).</w:t>
      </w:r>
    </w:p>
    <w:p w14:paraId="668D1E7F" w14:textId="4ED7E306" w:rsidR="00C72FC6"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To conclude, SDG 3 has strengthened preventive, integrated health care and recognised the role at global, national and local level. Strategies that incorporate with interventions that focus on the broader social determinants of health are required to achieve permanent changes. The Health Belief Model plus Social Cognitive Theory signifies that promoting health is not just a matter of increasing individual motivation, but also creating the stimulating conditions that allow for healthier options. Reducing health inequalities is key in the Sustainable Achievement of SDG 3.</w:t>
      </w:r>
    </w:p>
    <w:p w14:paraId="29F211A8" w14:textId="569D8177"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b/>
          <w:color w:val="000000" w:themeColor="text1"/>
          <w:sz w:val="22"/>
          <w:szCs w:val="22"/>
        </w:rPr>
        <w:t>Sustainable Develop</w:t>
      </w:r>
      <w:r w:rsidR="00850505" w:rsidRPr="00C72FC6">
        <w:rPr>
          <w:rFonts w:ascii="Arial" w:hAnsi="Arial" w:cs="Arial"/>
          <w:b/>
          <w:color w:val="000000" w:themeColor="text1"/>
          <w:sz w:val="22"/>
          <w:szCs w:val="22"/>
        </w:rPr>
        <w:t xml:space="preserve">ment Goal 10 : </w:t>
      </w:r>
      <w:r w:rsidRPr="00C72FC6">
        <w:rPr>
          <w:rFonts w:ascii="Arial" w:hAnsi="Arial" w:cs="Arial"/>
          <w:b/>
          <w:color w:val="000000" w:themeColor="text1"/>
          <w:sz w:val="22"/>
          <w:szCs w:val="22"/>
        </w:rPr>
        <w:t xml:space="preserve">Reduced Inequalities </w:t>
      </w:r>
    </w:p>
    <w:p w14:paraId="04705CAB" w14:textId="3CF44363" w:rsidR="003E73B4" w:rsidRPr="00C72FC6" w:rsidRDefault="003E73B4"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Goal 10 focuses on tackling inequalities within and between countries, including those related to access to justice, through social, economic and political inclusion and participation of all on an equal and fair basis, on the basis of equal opportunities, and irrespective of age, disability, ethnicity, gender, income, or other attributes (United Nations, 2015). SDG 10 also acknowledges that there are other important influences on health, e.g., education, employment, housing, discrimination, access to resources, which are not addressed by SDG 3. Therefore, addressing inequality is crucial for improving population health, as marginalised groups suffer from health disparities and health services are constantly difficult for them to access, with low quality and shorter life expectancy (World Health Organization, 2023).</w:t>
      </w:r>
    </w:p>
    <w:p w14:paraId="04101512" w14:textId="627F48C1"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 xml:space="preserve">The United Nations and the World Health Organization promote </w:t>
      </w:r>
      <w:r w:rsidR="00B771C2" w:rsidRPr="00C72FC6">
        <w:rPr>
          <w:rFonts w:ascii="Arial" w:hAnsi="Arial" w:cs="Arial"/>
          <w:color w:val="000000" w:themeColor="text1"/>
          <w:sz w:val="22"/>
          <w:szCs w:val="22"/>
        </w:rPr>
        <w:t>Universal Health Coverage</w:t>
      </w:r>
      <w:r w:rsidR="006934A1" w:rsidRPr="00C72FC6">
        <w:rPr>
          <w:rFonts w:ascii="Arial" w:hAnsi="Arial" w:cs="Arial"/>
          <w:color w:val="000000" w:themeColor="text1"/>
          <w:sz w:val="22"/>
          <w:szCs w:val="22"/>
        </w:rPr>
        <w:t>,</w:t>
      </w:r>
      <w:r w:rsidRPr="00C72FC6">
        <w:rPr>
          <w:rFonts w:ascii="Arial" w:hAnsi="Arial" w:cs="Arial"/>
          <w:color w:val="000000" w:themeColor="text1"/>
          <w:sz w:val="22"/>
          <w:szCs w:val="22"/>
        </w:rPr>
        <w:t xml:space="preserve"> fair financing for health and policies that tackle social determinants of health (World Health Organization2023</w:t>
      </w:r>
      <w:r w:rsidR="0038492D" w:rsidRPr="00C72FC6">
        <w:rPr>
          <w:rFonts w:ascii="Arial" w:hAnsi="Arial" w:cs="Arial"/>
          <w:color w:val="000000" w:themeColor="text1"/>
          <w:sz w:val="22"/>
          <w:szCs w:val="22"/>
        </w:rPr>
        <w:t>,;</w:t>
      </w:r>
      <w:r w:rsidRPr="00C72FC6">
        <w:rPr>
          <w:rFonts w:ascii="Arial" w:hAnsi="Arial" w:cs="Arial"/>
          <w:color w:val="000000" w:themeColor="text1"/>
          <w:sz w:val="22"/>
          <w:szCs w:val="22"/>
        </w:rPr>
        <w:t xml:space="preserve">United Nations, 2024). The goal of </w:t>
      </w:r>
      <w:r w:rsidR="0038492D" w:rsidRPr="00C72FC6">
        <w:rPr>
          <w:rFonts w:ascii="Arial" w:hAnsi="Arial" w:cs="Arial"/>
          <w:color w:val="000000" w:themeColor="text1"/>
          <w:sz w:val="22"/>
          <w:szCs w:val="22"/>
        </w:rPr>
        <w:t>Universal health Coverage (</w:t>
      </w:r>
      <w:r w:rsidRPr="00C72FC6">
        <w:rPr>
          <w:rFonts w:ascii="Arial" w:hAnsi="Arial" w:cs="Arial"/>
          <w:color w:val="000000" w:themeColor="text1"/>
          <w:sz w:val="22"/>
          <w:szCs w:val="22"/>
        </w:rPr>
        <w:t>UHC</w:t>
      </w:r>
      <w:r w:rsidR="0038492D" w:rsidRPr="00C72FC6">
        <w:rPr>
          <w:rFonts w:ascii="Arial" w:hAnsi="Arial" w:cs="Arial"/>
          <w:color w:val="000000" w:themeColor="text1"/>
          <w:sz w:val="22"/>
          <w:szCs w:val="22"/>
        </w:rPr>
        <w:t xml:space="preserve">) </w:t>
      </w:r>
      <w:r w:rsidRPr="00C72FC6">
        <w:rPr>
          <w:rFonts w:ascii="Arial" w:hAnsi="Arial" w:cs="Arial"/>
          <w:color w:val="000000" w:themeColor="text1"/>
          <w:sz w:val="22"/>
          <w:szCs w:val="22"/>
        </w:rPr>
        <w:t xml:space="preserve"> is to ensure that everyone has access to essential health care services without facing financial hardship. However, many</w:t>
      </w:r>
      <w:r w:rsidR="009804D9" w:rsidRPr="00C72FC6">
        <w:rPr>
          <w:rFonts w:ascii="Arial" w:hAnsi="Arial" w:cs="Arial"/>
          <w:color w:val="000000" w:themeColor="text1"/>
          <w:sz w:val="22"/>
          <w:szCs w:val="22"/>
        </w:rPr>
        <w:t xml:space="preserve"> </w:t>
      </w:r>
      <w:r w:rsidR="0082504D" w:rsidRPr="00C72FC6">
        <w:rPr>
          <w:rFonts w:ascii="Arial" w:hAnsi="Arial" w:cs="Arial"/>
          <w:color w:val="000000" w:themeColor="text1"/>
          <w:sz w:val="22"/>
          <w:szCs w:val="22"/>
        </w:rPr>
        <w:t>Low-</w:t>
      </w:r>
      <w:r w:rsidR="009804D9" w:rsidRPr="00C72FC6">
        <w:rPr>
          <w:rFonts w:ascii="Arial" w:hAnsi="Arial" w:cs="Arial"/>
          <w:color w:val="000000" w:themeColor="text1"/>
          <w:sz w:val="22"/>
          <w:szCs w:val="22"/>
        </w:rPr>
        <w:t>and middle-</w:t>
      </w:r>
      <w:r w:rsidR="0082504D" w:rsidRPr="00C72FC6">
        <w:rPr>
          <w:rFonts w:ascii="Arial" w:hAnsi="Arial" w:cs="Arial"/>
          <w:color w:val="000000" w:themeColor="text1"/>
          <w:sz w:val="22"/>
          <w:szCs w:val="22"/>
        </w:rPr>
        <w:t xml:space="preserve">income countries </w:t>
      </w:r>
      <w:r w:rsidR="009804D9" w:rsidRPr="00C72FC6">
        <w:rPr>
          <w:rFonts w:ascii="Arial" w:hAnsi="Arial" w:cs="Arial"/>
          <w:color w:val="000000" w:themeColor="text1"/>
          <w:sz w:val="22"/>
          <w:szCs w:val="22"/>
        </w:rPr>
        <w:t>(</w:t>
      </w:r>
      <w:r w:rsidRPr="00C72FC6">
        <w:rPr>
          <w:rFonts w:ascii="Arial" w:hAnsi="Arial" w:cs="Arial"/>
          <w:color w:val="000000" w:themeColor="text1"/>
          <w:sz w:val="22"/>
          <w:szCs w:val="22"/>
        </w:rPr>
        <w:t>LMICs</w:t>
      </w:r>
      <w:r w:rsidR="009804D9" w:rsidRPr="00C72FC6">
        <w:rPr>
          <w:rFonts w:ascii="Arial" w:hAnsi="Arial" w:cs="Arial"/>
          <w:color w:val="000000" w:themeColor="text1"/>
          <w:sz w:val="22"/>
          <w:szCs w:val="22"/>
        </w:rPr>
        <w:t>)</w:t>
      </w:r>
      <w:r w:rsidRPr="00C72FC6">
        <w:rPr>
          <w:rFonts w:ascii="Arial" w:hAnsi="Arial" w:cs="Arial"/>
          <w:color w:val="000000" w:themeColor="text1"/>
          <w:sz w:val="22"/>
          <w:szCs w:val="22"/>
        </w:rPr>
        <w:t xml:space="preserve"> continue to struggle with inequitable health system financing, shortages of skilled staff and access to essential medicines. Furthermore, the worsening inequalities after the outbreak of COVID-19 have worsened food insecurity, unemployment, and mental health problems, affecting progress towards SDG targets (United Nations, 2024; World Health Organization, 2024).</w:t>
      </w:r>
    </w:p>
    <w:p w14:paraId="7804FFD2" w14:textId="4B3DB90C"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International strategies support progress in education, employment, housing, gender equality and social protection, showing that social, economic and environmental factors have significant impacts on health outcomes (The Health Foundation, 2024). This holistic perspective aligns with the Social Cognitive Theory (Bandura, 1986) which posits that positive environments help to develop</w:t>
      </w:r>
      <w:r w:rsidR="006934A1" w:rsidRPr="00C72FC6">
        <w:rPr>
          <w:rFonts w:ascii="Arial" w:hAnsi="Arial" w:cs="Arial"/>
          <w:color w:val="000000" w:themeColor="text1"/>
          <w:sz w:val="22"/>
          <w:szCs w:val="22"/>
        </w:rPr>
        <w:t xml:space="preserve"> more </w:t>
      </w:r>
      <w:r w:rsidRPr="00C72FC6">
        <w:rPr>
          <w:rFonts w:ascii="Arial" w:hAnsi="Arial" w:cs="Arial"/>
          <w:color w:val="000000" w:themeColor="text1"/>
          <w:sz w:val="22"/>
          <w:szCs w:val="22"/>
        </w:rPr>
        <w:t>healthy behaviours through increased opportunities, observation learning, and increasing self-efficacy. Disadvantaged environments, on the other hand, often worsen poor health by way of the constant stress, lack of resources, and decrease in social supports.</w:t>
      </w:r>
    </w:p>
    <w:p w14:paraId="72D7028A" w14:textId="77777777"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 xml:space="preserve">In England, it is a key objective of national health policy to reduce health inequalities. The NHS Long Term Plan focuses on prevention, improving access to community services and closing inequalities for disadvantaged people (NHS England, 2019). Neighbourhood-based healthcare models, which bring together primary healthcare, social care and community services, are encouraged by the (Department of Health and Social Care, 2025) to improve access for marginalised communities. These policies reflect the findings of the Marmot review, which found </w:t>
      </w:r>
      <w:bookmarkStart w:id="0" w:name="_GoBack"/>
      <w:bookmarkEnd w:id="0"/>
      <w:r w:rsidRPr="00C72FC6">
        <w:rPr>
          <w:rFonts w:ascii="Arial" w:hAnsi="Arial" w:cs="Arial"/>
          <w:color w:val="000000" w:themeColor="text1"/>
          <w:sz w:val="22"/>
          <w:szCs w:val="22"/>
        </w:rPr>
        <w:t>that tackling inequalities required a coordinated approach to education, employment, housing, income and early childhood development, and not just to health services (Marmot et al., 2020).</w:t>
      </w:r>
    </w:p>
    <w:p w14:paraId="1D2C251B" w14:textId="71F73BCD" w:rsidR="00342998" w:rsidRPr="00342998" w:rsidRDefault="00342998" w:rsidP="00342998">
      <w:pPr>
        <w:pStyle w:val="NormalWeb"/>
        <w:spacing w:line="360" w:lineRule="auto"/>
        <w:jc w:val="both"/>
        <w:rPr>
          <w:rFonts w:ascii="Arial" w:hAnsi="Arial" w:cs="Arial"/>
          <w:color w:val="000000" w:themeColor="text1"/>
          <w:sz w:val="22"/>
          <w:szCs w:val="22"/>
        </w:rPr>
      </w:pPr>
      <w:r w:rsidRPr="00342998">
        <w:rPr>
          <w:rFonts w:ascii="Arial" w:hAnsi="Arial" w:cs="Arial"/>
          <w:color w:val="000000" w:themeColor="text1"/>
          <w:sz w:val="22"/>
          <w:szCs w:val="22"/>
        </w:rPr>
        <w:t xml:space="preserve">Despite the presence of a universal health care system, there are significant inequalities in health. The Health Belief Model explains these differences by positing that people are more likely to take preventive action if they perceive a threat to their health, understand the benefits of taking action, and find little barriers to receiving help (Rosenstock, </w:t>
      </w:r>
      <w:r>
        <w:rPr>
          <w:rFonts w:ascii="Arial" w:hAnsi="Arial" w:cs="Arial"/>
          <w:color w:val="000000" w:themeColor="text1"/>
          <w:sz w:val="22"/>
          <w:szCs w:val="22"/>
        </w:rPr>
        <w:t>1974</w:t>
      </w:r>
      <w:r w:rsidRPr="00342998">
        <w:rPr>
          <w:rFonts w:ascii="Arial" w:hAnsi="Arial" w:cs="Arial"/>
          <w:color w:val="000000" w:themeColor="text1"/>
          <w:sz w:val="22"/>
          <w:szCs w:val="22"/>
        </w:rPr>
        <w:t>). Financial pressures, insecure employment, language difficulties and low health literacy could prevent people from going for screening, participating in immunisation programmes and making lifestyle changes (Office for Health Impr</w:t>
      </w:r>
      <w:r>
        <w:rPr>
          <w:rFonts w:ascii="Arial" w:hAnsi="Arial" w:cs="Arial"/>
          <w:color w:val="000000" w:themeColor="text1"/>
          <w:sz w:val="22"/>
          <w:szCs w:val="22"/>
        </w:rPr>
        <w:t>ovement and Disparities, 2023).</w:t>
      </w:r>
    </w:p>
    <w:p w14:paraId="1C856EF2" w14:textId="61D10EB2" w:rsidR="00342998" w:rsidRPr="00C72FC6" w:rsidRDefault="00342998" w:rsidP="003E73B4">
      <w:pPr>
        <w:pStyle w:val="NormalWeb"/>
        <w:spacing w:line="360" w:lineRule="auto"/>
        <w:jc w:val="both"/>
        <w:rPr>
          <w:rFonts w:ascii="Arial" w:hAnsi="Arial" w:cs="Arial"/>
          <w:color w:val="000000" w:themeColor="text1"/>
          <w:sz w:val="22"/>
          <w:szCs w:val="22"/>
        </w:rPr>
      </w:pPr>
      <w:r w:rsidRPr="00342998">
        <w:rPr>
          <w:rFonts w:ascii="Arial" w:hAnsi="Arial" w:cs="Arial"/>
          <w:color w:val="000000" w:themeColor="text1"/>
          <w:sz w:val="22"/>
          <w:szCs w:val="22"/>
        </w:rPr>
        <w:t xml:space="preserve">It may be more effective to provide assistance to those groups who are most in need than to take a standardised approach. The Core20PLUS5 concept focuses on the proportionate intervention of the most disadvantaged and at-risk target groups in key clinical areas in line with the idea of proportionate intervention that is recommended in research on health disparities (Marmot et al., </w:t>
      </w:r>
      <w:r>
        <w:rPr>
          <w:rFonts w:ascii="Arial" w:hAnsi="Arial" w:cs="Arial"/>
          <w:color w:val="000000" w:themeColor="text1"/>
          <w:sz w:val="22"/>
          <w:szCs w:val="22"/>
        </w:rPr>
        <w:t>2020</w:t>
      </w:r>
      <w:r w:rsidRPr="00342998">
        <w:rPr>
          <w:rFonts w:ascii="Arial" w:hAnsi="Arial" w:cs="Arial"/>
          <w:color w:val="000000" w:themeColor="text1"/>
          <w:sz w:val="22"/>
          <w:szCs w:val="22"/>
        </w:rPr>
        <w:t xml:space="preserve">; NHS England, </w:t>
      </w:r>
      <w:r>
        <w:rPr>
          <w:rFonts w:ascii="Arial" w:hAnsi="Arial" w:cs="Arial"/>
          <w:color w:val="000000" w:themeColor="text1"/>
          <w:sz w:val="22"/>
          <w:szCs w:val="22"/>
        </w:rPr>
        <w:t>2023</w:t>
      </w:r>
      <w:r w:rsidRPr="00342998">
        <w:rPr>
          <w:rFonts w:ascii="Arial" w:hAnsi="Arial" w:cs="Arial"/>
          <w:color w:val="000000" w:themeColor="text1"/>
          <w:sz w:val="22"/>
          <w:szCs w:val="22"/>
        </w:rPr>
        <w:t xml:space="preserve">). However, it is not yet consistently applied in a large number of services. Despite such disruptions, the execution is still being affected by a shortage of staff, increasing demand, financial pressures and the risk that there will be a further increase in digital exclusion if increasing reliance on digital healthcare is to be avoided (The King's Fund, </w:t>
      </w:r>
      <w:r>
        <w:rPr>
          <w:rFonts w:ascii="Arial" w:hAnsi="Arial" w:cs="Arial"/>
          <w:color w:val="000000" w:themeColor="text1"/>
          <w:sz w:val="22"/>
          <w:szCs w:val="22"/>
        </w:rPr>
        <w:t>2024</w:t>
      </w:r>
      <w:r w:rsidRPr="00342998">
        <w:rPr>
          <w:rFonts w:ascii="Arial" w:hAnsi="Arial" w:cs="Arial"/>
          <w:color w:val="000000" w:themeColor="text1"/>
          <w:sz w:val="22"/>
          <w:szCs w:val="22"/>
        </w:rPr>
        <w:t>).</w:t>
      </w:r>
    </w:p>
    <w:p w14:paraId="57752B07" w14:textId="57463044" w:rsidR="00B2572A" w:rsidRPr="00C72FC6" w:rsidRDefault="00B2572A" w:rsidP="003E73B4">
      <w:pPr>
        <w:pStyle w:val="NormalWeb"/>
        <w:spacing w:line="360" w:lineRule="auto"/>
        <w:ind w:hanging="142"/>
        <w:jc w:val="both"/>
        <w:rPr>
          <w:rFonts w:ascii="Arial" w:hAnsi="Arial" w:cs="Arial"/>
          <w:color w:val="000000" w:themeColor="text1"/>
          <w:sz w:val="22"/>
          <w:szCs w:val="22"/>
        </w:rPr>
      </w:pPr>
      <w:r w:rsidRPr="00C72FC6">
        <w:rPr>
          <w:rFonts w:ascii="Arial" w:hAnsi="Arial" w:cs="Arial"/>
          <w:color w:val="000000" w:themeColor="text1"/>
          <w:sz w:val="22"/>
          <w:szCs w:val="22"/>
        </w:rPr>
        <w:t xml:space="preserve">  Birmingham City Council's Health and Wellbeing Strategy has focus on early intervention, prevention, engaging with communities and working together to tackle imbalances due to deprivation, ethnicity and poor housing outcomes (Birmingham City Council, 2024</w:t>
      </w:r>
      <w:r w:rsidR="00B94F0A" w:rsidRPr="00C72FC6">
        <w:rPr>
          <w:rFonts w:ascii="Arial" w:hAnsi="Arial" w:cs="Arial"/>
          <w:color w:val="000000" w:themeColor="text1"/>
          <w:sz w:val="22"/>
          <w:szCs w:val="22"/>
        </w:rPr>
        <w:t xml:space="preserve">) </w:t>
      </w:r>
      <w:r w:rsidRPr="00C72FC6">
        <w:rPr>
          <w:rFonts w:ascii="Arial" w:hAnsi="Arial" w:cs="Arial"/>
          <w:color w:val="000000" w:themeColor="text1"/>
          <w:sz w:val="22"/>
          <w:szCs w:val="22"/>
        </w:rPr>
        <w:t xml:space="preserve"> University Hospitals Birmingham NHS Foundation Trust has also increased its provision of community based services and linked treatment provision in a more accessible way to ensure that marginalised groups can access services more easily (University Hospitals Birmingham NHS Foundation Trust, 2024). These projects demonstrate inter-agency cooperation and community engagement and represent the importance of using social cognitive theory to increase social support and promote healthy behaviours (Bandura, 1986). Despite this, poverty, unemployment, poor quality housing, restricted public funding continue to pose a significant and long-term barrier to progress and many voluntary organisations are dependent on short term income, meaning the sustainability of long-term services remains in question (Birmingham City Council 2024; The King's Fund, 2024).</w:t>
      </w:r>
    </w:p>
    <w:p w14:paraId="45009531" w14:textId="77777777" w:rsidR="00B2572A" w:rsidRPr="00C72FC6" w:rsidRDefault="00B2572A" w:rsidP="003E73B4">
      <w:pPr>
        <w:pStyle w:val="NormalWeb"/>
        <w:spacing w:line="360" w:lineRule="auto"/>
        <w:jc w:val="both"/>
        <w:rPr>
          <w:rFonts w:ascii="Arial" w:hAnsi="Arial" w:cs="Arial"/>
          <w:color w:val="000000" w:themeColor="text1"/>
          <w:sz w:val="22"/>
          <w:szCs w:val="22"/>
        </w:rPr>
      </w:pPr>
      <w:r w:rsidRPr="00C72FC6">
        <w:rPr>
          <w:rFonts w:ascii="Arial" w:hAnsi="Arial" w:cs="Arial"/>
          <w:color w:val="000000" w:themeColor="text1"/>
          <w:sz w:val="22"/>
          <w:szCs w:val="22"/>
        </w:rPr>
        <w:t xml:space="preserve">While SDG 10 highlights the need to make efforts beyond healthcare services to mitigate inequality. While the importance of addressing social determinants more comprehensively and through more integrated and community-based approaches in global, national and local policies is growing, the socioeconomic inequalities remain an impediment to effective implementation. Incorporation of Health Belief Model with Social Cognitive Theory explains that the longer lasting improvements in health require personal behaviour change and positive social environments. </w:t>
      </w:r>
    </w:p>
    <w:p w14:paraId="426856FC"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C72FC6">
        <w:rPr>
          <w:rFonts w:ascii="Arial" w:eastAsia="Times New Roman" w:hAnsi="Arial" w:cs="Arial"/>
          <w:b/>
          <w:bCs/>
          <w:color w:val="000000" w:themeColor="text1"/>
          <w:sz w:val="22"/>
          <w:szCs w:val="22"/>
        </w:rPr>
        <w:t xml:space="preserve">Recommendations </w:t>
      </w:r>
    </w:p>
    <w:p w14:paraId="37DDE7C0"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C72FC6">
        <w:rPr>
          <w:rFonts w:ascii="Arial" w:eastAsia="Times New Roman" w:hAnsi="Arial" w:cs="Arial"/>
          <w:b/>
          <w:bCs/>
          <w:color w:val="000000" w:themeColor="text1"/>
          <w:sz w:val="22"/>
          <w:szCs w:val="22"/>
        </w:rPr>
        <w:t>Recommendation 1</w:t>
      </w:r>
    </w:p>
    <w:p w14:paraId="439210D7" w14:textId="69276CF2" w:rsidR="001B1050" w:rsidRPr="00FF672D"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C72FC6">
        <w:rPr>
          <w:rFonts w:ascii="Arial" w:eastAsia="Times New Roman" w:hAnsi="Arial" w:cs="Arial"/>
          <w:bCs/>
          <w:color w:val="000000" w:themeColor="text1"/>
          <w:sz w:val="22"/>
          <w:szCs w:val="22"/>
        </w:rPr>
        <w:t>Governments should keep making the transition from hospital to primary, preventative and community-based care. Enhance the support offered to help people quit smoking, to maintain a healthy weight, access mental health services and utilise social prescribing services, which could help to reduce chronic conditions, improve the wellbeing of the population and lower avoidable hospital admissions (Office for Health Improvement and Disparities, 2023; Department of Health and Social Care, 2025 World Health Organization,2024).</w:t>
      </w:r>
    </w:p>
    <w:p w14:paraId="2F3D2491"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C72FC6">
        <w:rPr>
          <w:rFonts w:ascii="Arial" w:eastAsia="Times New Roman" w:hAnsi="Arial" w:cs="Arial"/>
          <w:b/>
          <w:bCs/>
          <w:color w:val="000000" w:themeColor="text1"/>
          <w:sz w:val="22"/>
          <w:szCs w:val="22"/>
        </w:rPr>
        <w:t>Recommendation 2</w:t>
      </w:r>
    </w:p>
    <w:p w14:paraId="57B08DFD" w14:textId="69535C38" w:rsidR="00B2572A" w:rsidRPr="00C72FC6"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C72FC6">
        <w:rPr>
          <w:rFonts w:ascii="Arial" w:eastAsia="Times New Roman" w:hAnsi="Arial" w:cs="Arial"/>
          <w:bCs/>
          <w:color w:val="000000" w:themeColor="text1"/>
          <w:sz w:val="22"/>
          <w:szCs w:val="22"/>
        </w:rPr>
        <w:t>A need for better collaboration across the health sector, housing, education, employment and non-profit sector to tackle health inequalities. The root causes of poor health and how to enhance long-term outcomes must be tackled stronger and better in the context of ICSs (The Health Foundation 2024</w:t>
      </w:r>
      <w:r w:rsidR="008311A0" w:rsidRPr="00C72FC6">
        <w:rPr>
          <w:rFonts w:ascii="Arial" w:eastAsia="Times New Roman" w:hAnsi="Arial" w:cs="Arial"/>
          <w:bCs/>
          <w:color w:val="000000" w:themeColor="text1"/>
          <w:sz w:val="22"/>
          <w:szCs w:val="22"/>
        </w:rPr>
        <w:t>; NHS England</w:t>
      </w:r>
      <w:r w:rsidRPr="00C72FC6">
        <w:rPr>
          <w:rFonts w:ascii="Arial" w:eastAsia="Times New Roman" w:hAnsi="Arial" w:cs="Arial"/>
          <w:bCs/>
          <w:color w:val="000000" w:themeColor="text1"/>
          <w:sz w:val="22"/>
          <w:szCs w:val="22"/>
        </w:rPr>
        <w:t>, 2024).</w:t>
      </w:r>
    </w:p>
    <w:p w14:paraId="2B440F68"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C72FC6">
        <w:rPr>
          <w:rFonts w:ascii="Arial" w:eastAsia="Times New Roman" w:hAnsi="Arial" w:cs="Arial"/>
          <w:b/>
          <w:bCs/>
          <w:color w:val="000000" w:themeColor="text1"/>
          <w:sz w:val="22"/>
          <w:szCs w:val="22"/>
        </w:rPr>
        <w:t>Recommendation 3</w:t>
      </w:r>
    </w:p>
    <w:p w14:paraId="6D0FE338"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C72FC6">
        <w:rPr>
          <w:rFonts w:ascii="Arial" w:eastAsia="Times New Roman" w:hAnsi="Arial" w:cs="Arial"/>
          <w:bCs/>
          <w:color w:val="000000" w:themeColor="text1"/>
          <w:sz w:val="22"/>
          <w:szCs w:val="22"/>
        </w:rPr>
        <w:t>In order to achieve these objectives, there needs to be a continuous and focused approach to prioritizing and improving culturally-relevant services, maintaining interpreters on staff, providing access to digital tools and fostering community engagement. The use of the HBM and SCT concepts could be effective in reducing barriers, improving self-efficacy and increasing the use of prevention treatments, particularly in disadvantaged settings (Rosenstock, 1974; Bandura, 1986).</w:t>
      </w:r>
    </w:p>
    <w:p w14:paraId="158CBE67" w14:textId="77777777" w:rsidR="00B2572A" w:rsidRPr="00C72FC6" w:rsidRDefault="00B2572A" w:rsidP="003E73B4">
      <w:pPr>
        <w:spacing w:before="100" w:beforeAutospacing="1" w:after="100" w:afterAutospacing="1" w:line="360" w:lineRule="auto"/>
        <w:jc w:val="both"/>
        <w:outlineLvl w:val="2"/>
        <w:rPr>
          <w:rFonts w:ascii="Arial" w:eastAsia="Times New Roman" w:hAnsi="Arial" w:cs="Arial"/>
          <w:b/>
          <w:bCs/>
          <w:color w:val="000000" w:themeColor="text1"/>
          <w:sz w:val="22"/>
          <w:szCs w:val="22"/>
        </w:rPr>
      </w:pPr>
      <w:r w:rsidRPr="00C72FC6">
        <w:rPr>
          <w:rFonts w:ascii="Arial" w:eastAsia="Times New Roman" w:hAnsi="Arial" w:cs="Arial"/>
          <w:b/>
          <w:bCs/>
          <w:color w:val="000000" w:themeColor="text1"/>
          <w:sz w:val="22"/>
          <w:szCs w:val="22"/>
        </w:rPr>
        <w:t xml:space="preserve"> Conclusion </w:t>
      </w:r>
    </w:p>
    <w:p w14:paraId="53712DFD" w14:textId="12C563E7" w:rsidR="00B2572A" w:rsidRPr="00C72FC6"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C72FC6">
        <w:rPr>
          <w:rFonts w:ascii="Arial" w:eastAsia="Times New Roman" w:hAnsi="Arial" w:cs="Arial"/>
          <w:bCs/>
          <w:color w:val="000000" w:themeColor="text1"/>
          <w:sz w:val="22"/>
          <w:szCs w:val="22"/>
        </w:rPr>
        <w:t>This article has comprehensively evaluated Sustainable Development Goal 3 (Good Health and Wellbeing) and SDG 10 (Reduced Inequalities) at a global, national and Birmingham local level. The study indicates that these goals have enhanced preventive care, integrated care, and acknowledgement of wider health determinants via</w:t>
      </w:r>
      <w:r w:rsidR="00E6317C" w:rsidRPr="00C72FC6">
        <w:rPr>
          <w:rFonts w:ascii="Arial" w:eastAsia="Times New Roman" w:hAnsi="Arial" w:cs="Arial"/>
          <w:bCs/>
          <w:color w:val="000000" w:themeColor="text1"/>
          <w:sz w:val="22"/>
          <w:szCs w:val="22"/>
        </w:rPr>
        <w:t xml:space="preserve"> coordinated policy formulation</w:t>
      </w:r>
      <w:r w:rsidR="00633459">
        <w:rPr>
          <w:rFonts w:ascii="Arial" w:eastAsia="Times New Roman" w:hAnsi="Arial" w:cs="Arial"/>
          <w:bCs/>
          <w:color w:val="000000" w:themeColor="text1"/>
          <w:sz w:val="22"/>
          <w:szCs w:val="22"/>
        </w:rPr>
        <w:t xml:space="preserve"> </w:t>
      </w:r>
      <w:r w:rsidR="00DD70AA">
        <w:rPr>
          <w:rFonts w:ascii="Arial" w:eastAsia="Times New Roman" w:hAnsi="Arial" w:cs="Arial"/>
          <w:bCs/>
          <w:color w:val="000000" w:themeColor="text1"/>
          <w:sz w:val="22"/>
          <w:szCs w:val="22"/>
        </w:rPr>
        <w:t>(United Nation</w:t>
      </w:r>
      <w:r w:rsidR="00E6317C" w:rsidRPr="00C72FC6">
        <w:rPr>
          <w:rFonts w:ascii="Arial" w:eastAsia="Times New Roman" w:hAnsi="Arial" w:cs="Arial"/>
          <w:bCs/>
          <w:color w:val="000000" w:themeColor="text1"/>
          <w:sz w:val="22"/>
          <w:szCs w:val="22"/>
        </w:rPr>
        <w:t>, 2024;</w:t>
      </w:r>
      <w:r w:rsidR="007F55FA">
        <w:rPr>
          <w:rFonts w:ascii="Arial" w:eastAsia="Times New Roman" w:hAnsi="Arial" w:cs="Arial"/>
          <w:bCs/>
          <w:color w:val="000000" w:themeColor="text1"/>
          <w:sz w:val="22"/>
          <w:szCs w:val="22"/>
        </w:rPr>
        <w:t xml:space="preserve"> </w:t>
      </w:r>
      <w:r w:rsidR="00E6317C" w:rsidRPr="00C72FC6">
        <w:rPr>
          <w:rFonts w:ascii="Arial" w:eastAsia="Times New Roman" w:hAnsi="Arial" w:cs="Arial"/>
          <w:bCs/>
          <w:color w:val="000000" w:themeColor="text1"/>
          <w:sz w:val="22"/>
          <w:szCs w:val="22"/>
        </w:rPr>
        <w:t>World Health Organization, 2024).</w:t>
      </w:r>
    </w:p>
    <w:p w14:paraId="37FE2212" w14:textId="378DD74A" w:rsidR="00B2572A" w:rsidRPr="00C72FC6"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r w:rsidRPr="00C72FC6">
        <w:rPr>
          <w:rFonts w:ascii="Arial" w:eastAsia="Times New Roman" w:hAnsi="Arial" w:cs="Arial"/>
          <w:bCs/>
          <w:color w:val="000000" w:themeColor="text1"/>
          <w:sz w:val="22"/>
          <w:szCs w:val="22"/>
        </w:rPr>
        <w:t xml:space="preserve">Despite the strategic direction that is given at the global level through organisations, a number of issues such as shortage of personnel, budget constraints and ongoing social and economic disparities exist at the national and local level. </w:t>
      </w:r>
      <w:r w:rsidR="00E6317C" w:rsidRPr="00C72FC6">
        <w:rPr>
          <w:rFonts w:ascii="Arial" w:eastAsia="Times New Roman" w:hAnsi="Arial" w:cs="Arial"/>
          <w:bCs/>
          <w:color w:val="000000" w:themeColor="text1"/>
          <w:sz w:val="22"/>
          <w:szCs w:val="22"/>
        </w:rPr>
        <w:t>(Depar</w:t>
      </w:r>
      <w:r w:rsidR="00DD70AA">
        <w:rPr>
          <w:rFonts w:ascii="Arial" w:eastAsia="Times New Roman" w:hAnsi="Arial" w:cs="Arial"/>
          <w:bCs/>
          <w:color w:val="000000" w:themeColor="text1"/>
          <w:sz w:val="22"/>
          <w:szCs w:val="22"/>
        </w:rPr>
        <w:t>tment of Health and Social Care</w:t>
      </w:r>
      <w:r w:rsidR="00E6317C" w:rsidRPr="00C72FC6">
        <w:rPr>
          <w:rFonts w:ascii="Arial" w:eastAsia="Times New Roman" w:hAnsi="Arial" w:cs="Arial"/>
          <w:bCs/>
          <w:color w:val="000000" w:themeColor="text1"/>
          <w:sz w:val="22"/>
          <w:szCs w:val="22"/>
        </w:rPr>
        <w:t>,2025 ; NHS England, 2024)</w:t>
      </w:r>
      <w:r w:rsidRPr="00C72FC6">
        <w:rPr>
          <w:rFonts w:ascii="Arial" w:eastAsia="Times New Roman" w:hAnsi="Arial" w:cs="Arial"/>
          <w:bCs/>
          <w:color w:val="000000" w:themeColor="text1"/>
          <w:sz w:val="22"/>
          <w:szCs w:val="22"/>
        </w:rPr>
        <w:t>The results show that health disparities can only be overcome with a comprehensive transformation of education, housing, job, and social inclusion, and not by health services alone. Investment in both collaborative and preventive efforts, coupled with evidence-based practices, will continue to be key to maintaining sustainabl</w:t>
      </w:r>
      <w:r w:rsidR="00E6317C" w:rsidRPr="00C72FC6">
        <w:rPr>
          <w:rFonts w:ascii="Arial" w:eastAsia="Times New Roman" w:hAnsi="Arial" w:cs="Arial"/>
          <w:bCs/>
          <w:color w:val="000000" w:themeColor="text1"/>
          <w:sz w:val="22"/>
          <w:szCs w:val="22"/>
        </w:rPr>
        <w:t>e health and w</w:t>
      </w:r>
      <w:r w:rsidR="00DD70AA">
        <w:rPr>
          <w:rFonts w:ascii="Arial" w:eastAsia="Times New Roman" w:hAnsi="Arial" w:cs="Arial"/>
          <w:bCs/>
          <w:color w:val="000000" w:themeColor="text1"/>
          <w:sz w:val="22"/>
          <w:szCs w:val="22"/>
        </w:rPr>
        <w:t>ell-being by 2030(United Nation</w:t>
      </w:r>
      <w:r w:rsidR="00E6317C" w:rsidRPr="00C72FC6">
        <w:rPr>
          <w:rFonts w:ascii="Arial" w:eastAsia="Times New Roman" w:hAnsi="Arial" w:cs="Arial"/>
          <w:bCs/>
          <w:color w:val="000000" w:themeColor="text1"/>
          <w:sz w:val="22"/>
          <w:szCs w:val="22"/>
        </w:rPr>
        <w:t>, 2024;World health Organization,2024).</w:t>
      </w:r>
    </w:p>
    <w:p w14:paraId="2B6DDA3E" w14:textId="77777777" w:rsidR="00B2572A" w:rsidRDefault="00B2572A" w:rsidP="003E73B4">
      <w:pPr>
        <w:spacing w:before="100" w:beforeAutospacing="1" w:after="100" w:afterAutospacing="1" w:line="360" w:lineRule="auto"/>
        <w:jc w:val="both"/>
        <w:outlineLvl w:val="2"/>
        <w:rPr>
          <w:rFonts w:ascii="Arial" w:eastAsia="Times New Roman" w:hAnsi="Arial" w:cs="Arial"/>
          <w:bCs/>
          <w:color w:val="000000" w:themeColor="text1"/>
          <w:sz w:val="22"/>
          <w:szCs w:val="22"/>
        </w:rPr>
      </w:pPr>
    </w:p>
    <w:p w14:paraId="647A142E" w14:textId="77777777" w:rsidR="00B2572A" w:rsidRPr="00B32090" w:rsidRDefault="00B2572A" w:rsidP="00B2572A">
      <w:pPr>
        <w:spacing w:before="100" w:beforeAutospacing="1" w:after="100" w:afterAutospacing="1" w:line="360" w:lineRule="auto"/>
        <w:jc w:val="both"/>
        <w:outlineLvl w:val="2"/>
        <w:rPr>
          <w:rFonts w:ascii="Arial" w:eastAsia="Times New Roman" w:hAnsi="Arial" w:cs="Arial"/>
          <w:bCs/>
          <w:color w:val="000000" w:themeColor="text1"/>
          <w:sz w:val="22"/>
          <w:szCs w:val="22"/>
        </w:rPr>
      </w:pPr>
    </w:p>
    <w:p w14:paraId="0E0220BB" w14:textId="1DE7C03E" w:rsidR="00FF672D" w:rsidRPr="00DD70AA" w:rsidRDefault="00A43EEB" w:rsidP="00FF672D">
      <w:pPr>
        <w:spacing w:line="360" w:lineRule="auto"/>
        <w:jc w:val="both"/>
        <w:rPr>
          <w:rFonts w:ascii="Arial" w:eastAsia="Times New Roman" w:hAnsi="Arial" w:cs="Arial"/>
          <w:b/>
          <w:color w:val="000000" w:themeColor="text1"/>
          <w:sz w:val="22"/>
          <w:szCs w:val="22"/>
        </w:rPr>
      </w:pPr>
      <w:r w:rsidRPr="00DD70AA">
        <w:rPr>
          <w:rFonts w:ascii="Arial" w:eastAsia="Times New Roman" w:hAnsi="Arial" w:cs="Arial"/>
          <w:b/>
          <w:color w:val="000000" w:themeColor="text1"/>
          <w:sz w:val="22"/>
          <w:szCs w:val="22"/>
        </w:rPr>
        <w:t>References</w:t>
      </w:r>
    </w:p>
    <w:p w14:paraId="02AE6E65" w14:textId="77777777" w:rsidR="00FF672D" w:rsidRPr="00DD70AA" w:rsidRDefault="00FF672D" w:rsidP="00D830BB">
      <w:pPr>
        <w:pStyle w:val="pdq2pgselectionanchorcontainer"/>
        <w:spacing w:line="360" w:lineRule="auto"/>
        <w:jc w:val="both"/>
        <w:rPr>
          <w:rFonts w:ascii="Arial" w:hAnsi="Arial" w:cs="Arial"/>
          <w:sz w:val="22"/>
          <w:szCs w:val="22"/>
        </w:rPr>
      </w:pPr>
      <w:r w:rsidRPr="00DD70AA">
        <w:rPr>
          <w:rFonts w:ascii="Arial" w:hAnsi="Arial" w:cs="Arial"/>
          <w:sz w:val="22"/>
          <w:szCs w:val="22"/>
        </w:rPr>
        <w:t xml:space="preserve">Bandura, A. (1986) </w:t>
      </w:r>
      <w:r w:rsidRPr="00DD70AA">
        <w:rPr>
          <w:rStyle w:val="Emphasis"/>
          <w:rFonts w:ascii="Arial" w:hAnsi="Arial" w:cs="Arial"/>
          <w:sz w:val="22"/>
          <w:szCs w:val="22"/>
        </w:rPr>
        <w:t>Social foundations of thought and action: A social cognitive theory</w:t>
      </w:r>
      <w:r w:rsidRPr="00DD70AA">
        <w:rPr>
          <w:rFonts w:ascii="Arial" w:hAnsi="Arial" w:cs="Arial"/>
          <w:sz w:val="22"/>
          <w:szCs w:val="22"/>
        </w:rPr>
        <w:t>. Englewood Cliffs, NJ: Prentice-Hall.</w:t>
      </w:r>
    </w:p>
    <w:p w14:paraId="78CDBE9A"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Birmingham City Council (2024) </w:t>
      </w:r>
      <w:r w:rsidRPr="00DD70AA">
        <w:rPr>
          <w:rStyle w:val="Emphasis"/>
          <w:rFonts w:ascii="Arial" w:hAnsi="Arial" w:cs="Arial"/>
          <w:sz w:val="22"/>
          <w:szCs w:val="22"/>
        </w:rPr>
        <w:t>Birmingham Health and Wellbeing Strategy 2024–2030</w:t>
      </w:r>
      <w:r w:rsidRPr="00DD70AA">
        <w:rPr>
          <w:rFonts w:ascii="Arial" w:hAnsi="Arial" w:cs="Arial"/>
          <w:sz w:val="22"/>
          <w:szCs w:val="22"/>
        </w:rPr>
        <w:t xml:space="preserve">. Available at: </w:t>
      </w:r>
      <w:hyperlink r:id="rId7" w:tgtFrame="_new" w:history="1">
        <w:r w:rsidRPr="00DD70AA">
          <w:rPr>
            <w:rStyle w:val="Hyperlink"/>
            <w:rFonts w:ascii="Arial" w:hAnsi="Arial" w:cs="Arial"/>
            <w:sz w:val="22"/>
            <w:szCs w:val="22"/>
          </w:rPr>
          <w:t>https://www.birmingham.gov.uk</w:t>
        </w:r>
      </w:hyperlink>
      <w:r w:rsidRPr="00DD70AA">
        <w:rPr>
          <w:rFonts w:ascii="Arial" w:hAnsi="Arial" w:cs="Arial"/>
          <w:sz w:val="22"/>
          <w:szCs w:val="22"/>
        </w:rPr>
        <w:t xml:space="preserve"> (Accessed:1 July 2026).</w:t>
      </w:r>
    </w:p>
    <w:p w14:paraId="081616B5"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Department of Health and Social Care (2025) </w:t>
      </w:r>
      <w:r w:rsidRPr="00DD70AA">
        <w:rPr>
          <w:rStyle w:val="Emphasis"/>
          <w:rFonts w:ascii="Arial" w:hAnsi="Arial" w:cs="Arial"/>
          <w:sz w:val="22"/>
          <w:szCs w:val="22"/>
        </w:rPr>
        <w:t>Fit for the future:10 year health plan for England</w:t>
      </w:r>
      <w:r w:rsidRPr="00DD70AA">
        <w:rPr>
          <w:rFonts w:ascii="Arial" w:hAnsi="Arial" w:cs="Arial"/>
          <w:sz w:val="22"/>
          <w:szCs w:val="22"/>
        </w:rPr>
        <w:t xml:space="preserve">. Available at: </w:t>
      </w:r>
      <w:hyperlink r:id="rId8" w:tgtFrame="_new" w:history="1">
        <w:r w:rsidRPr="00DD70AA">
          <w:rPr>
            <w:rStyle w:val="Hyperlink"/>
            <w:rFonts w:ascii="Arial" w:hAnsi="Arial" w:cs="Arial"/>
            <w:sz w:val="22"/>
            <w:szCs w:val="22"/>
          </w:rPr>
          <w:t>https://www.gov.uk/government/publications/10-year-health-plan-for-england-fit-for-the-future</w:t>
        </w:r>
      </w:hyperlink>
      <w:r w:rsidRPr="00DD70AA">
        <w:rPr>
          <w:rFonts w:ascii="Arial" w:hAnsi="Arial" w:cs="Arial"/>
          <w:sz w:val="22"/>
          <w:szCs w:val="22"/>
        </w:rPr>
        <w:t xml:space="preserve"> (Accessed:1 July 2026).</w:t>
      </w:r>
    </w:p>
    <w:p w14:paraId="73A29409" w14:textId="77777777" w:rsidR="00FF672D" w:rsidRPr="00DD70AA" w:rsidRDefault="00FF672D" w:rsidP="00FF672D">
      <w:pPr>
        <w:spacing w:line="360" w:lineRule="auto"/>
        <w:jc w:val="both"/>
        <w:rPr>
          <w:rFonts w:ascii="Arial" w:eastAsia="Times New Roman" w:hAnsi="Arial" w:cs="Arial"/>
          <w:color w:val="000000" w:themeColor="text1"/>
          <w:sz w:val="22"/>
          <w:szCs w:val="22"/>
        </w:rPr>
      </w:pPr>
      <w:r w:rsidRPr="00DD70AA">
        <w:rPr>
          <w:rFonts w:ascii="Arial" w:eastAsia="Times New Roman" w:hAnsi="Arial" w:cs="Arial"/>
          <w:sz w:val="22"/>
          <w:szCs w:val="22"/>
        </w:rPr>
        <w:t xml:space="preserve">Marmot, M., Allen, J., Boyce, T., Goldblatt, P. and Morrison, J. (2020) </w:t>
      </w:r>
      <w:r w:rsidRPr="00DD70AA">
        <w:rPr>
          <w:rStyle w:val="Emphasis"/>
          <w:rFonts w:ascii="Arial" w:eastAsia="Times New Roman" w:hAnsi="Arial" w:cs="Arial"/>
          <w:sz w:val="22"/>
          <w:szCs w:val="22"/>
        </w:rPr>
        <w:t xml:space="preserve">Health </w:t>
      </w:r>
      <w:r w:rsidRPr="00DD70AA">
        <w:rPr>
          <w:rStyle w:val="Emphasis"/>
          <w:rFonts w:ascii="Arial" w:eastAsia="Times New Roman" w:hAnsi="Arial" w:cs="Arial"/>
          <w:color w:val="000000" w:themeColor="text1"/>
          <w:sz w:val="22"/>
          <w:szCs w:val="22"/>
        </w:rPr>
        <w:t>equity in England: The Marmot Review 10 years on</w:t>
      </w:r>
      <w:r w:rsidRPr="00DD70AA">
        <w:rPr>
          <w:rFonts w:ascii="Arial" w:eastAsia="Times New Roman" w:hAnsi="Arial" w:cs="Arial"/>
          <w:color w:val="000000" w:themeColor="text1"/>
          <w:sz w:val="22"/>
          <w:szCs w:val="22"/>
        </w:rPr>
        <w:t xml:space="preserve">. London: Institute of Health Equity. </w:t>
      </w:r>
    </w:p>
    <w:p w14:paraId="3F160173"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NHS England (2019) </w:t>
      </w:r>
      <w:r w:rsidRPr="00DD70AA">
        <w:rPr>
          <w:rStyle w:val="Emphasis"/>
          <w:rFonts w:ascii="Arial" w:hAnsi="Arial" w:cs="Arial"/>
          <w:sz w:val="22"/>
          <w:szCs w:val="22"/>
        </w:rPr>
        <w:t>The NHS Long Term Plan</w:t>
      </w:r>
      <w:r w:rsidRPr="00DD70AA">
        <w:rPr>
          <w:rFonts w:ascii="Arial" w:hAnsi="Arial" w:cs="Arial"/>
          <w:sz w:val="22"/>
          <w:szCs w:val="22"/>
        </w:rPr>
        <w:t xml:space="preserve">. Available at: </w:t>
      </w:r>
      <w:hyperlink r:id="rId9" w:tgtFrame="_new" w:history="1">
        <w:r w:rsidRPr="00DD70AA">
          <w:rPr>
            <w:rStyle w:val="Hyperlink"/>
            <w:rFonts w:ascii="Arial" w:hAnsi="Arial" w:cs="Arial"/>
            <w:sz w:val="22"/>
            <w:szCs w:val="22"/>
          </w:rPr>
          <w:t>https://www.longtermplan.nhs.uk/publication/nhs-long-term-plan/</w:t>
        </w:r>
      </w:hyperlink>
      <w:r w:rsidRPr="00DD70AA">
        <w:rPr>
          <w:rFonts w:ascii="Arial" w:hAnsi="Arial" w:cs="Arial"/>
          <w:sz w:val="22"/>
          <w:szCs w:val="22"/>
        </w:rPr>
        <w:t xml:space="preserve"> (Accessed: 20 Jun 2026).</w:t>
      </w:r>
    </w:p>
    <w:p w14:paraId="4A426D12" w14:textId="0DB82688" w:rsidR="00FF672D" w:rsidRPr="00DD70AA" w:rsidRDefault="00A43EEB" w:rsidP="00D830BB">
      <w:pPr>
        <w:pStyle w:val="NormalWeb"/>
        <w:spacing w:line="360" w:lineRule="auto"/>
        <w:jc w:val="both"/>
        <w:rPr>
          <w:rFonts w:ascii="Arial" w:hAnsi="Arial" w:cs="Arial"/>
          <w:sz w:val="22"/>
          <w:szCs w:val="22"/>
        </w:rPr>
      </w:pPr>
      <w:r w:rsidRPr="00DD70AA">
        <w:rPr>
          <w:rFonts w:ascii="Arial" w:hAnsi="Arial" w:cs="Arial"/>
          <w:sz w:val="22"/>
          <w:szCs w:val="22"/>
        </w:rPr>
        <w:t>NHS England (2023</w:t>
      </w:r>
      <w:r w:rsidR="00FF672D" w:rsidRPr="00DD70AA">
        <w:rPr>
          <w:rFonts w:ascii="Arial" w:hAnsi="Arial" w:cs="Arial"/>
          <w:sz w:val="22"/>
          <w:szCs w:val="22"/>
        </w:rPr>
        <w:t xml:space="preserve">) </w:t>
      </w:r>
      <w:r w:rsidR="00FF672D" w:rsidRPr="00DD70AA">
        <w:rPr>
          <w:rStyle w:val="Emphasis"/>
          <w:rFonts w:ascii="Arial" w:hAnsi="Arial" w:cs="Arial"/>
          <w:sz w:val="22"/>
          <w:szCs w:val="22"/>
        </w:rPr>
        <w:t>Core20PLUS5: An approach to reducing healthcare inequalities</w:t>
      </w:r>
      <w:r w:rsidR="00FF672D" w:rsidRPr="00DD70AA">
        <w:rPr>
          <w:rFonts w:ascii="Arial" w:hAnsi="Arial" w:cs="Arial"/>
          <w:sz w:val="22"/>
          <w:szCs w:val="22"/>
        </w:rPr>
        <w:t xml:space="preserve">. Available at: </w:t>
      </w:r>
      <w:hyperlink r:id="rId10" w:tgtFrame="_new" w:history="1">
        <w:r w:rsidR="00FF672D" w:rsidRPr="00DD70AA">
          <w:rPr>
            <w:rStyle w:val="Hyperlink"/>
            <w:rFonts w:ascii="Arial" w:hAnsi="Arial" w:cs="Arial"/>
            <w:sz w:val="22"/>
            <w:szCs w:val="22"/>
          </w:rPr>
          <w:t>https://www.england.nhs.uk/about/equality/core20plus5/</w:t>
        </w:r>
      </w:hyperlink>
      <w:r w:rsidR="00FF672D" w:rsidRPr="00DD70AA">
        <w:rPr>
          <w:rFonts w:ascii="Arial" w:hAnsi="Arial" w:cs="Arial"/>
          <w:sz w:val="22"/>
          <w:szCs w:val="22"/>
        </w:rPr>
        <w:t xml:space="preserve"> (Accessed: 2 July 2026).</w:t>
      </w:r>
    </w:p>
    <w:p w14:paraId="6C269504"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NHS England (2024) </w:t>
      </w:r>
      <w:r w:rsidRPr="00DD70AA">
        <w:rPr>
          <w:rStyle w:val="Emphasis"/>
          <w:rFonts w:ascii="Arial" w:hAnsi="Arial" w:cs="Arial"/>
          <w:sz w:val="22"/>
          <w:szCs w:val="22"/>
        </w:rPr>
        <w:t>Integrated care systems: Design framework</w:t>
      </w:r>
      <w:r w:rsidRPr="00DD70AA">
        <w:rPr>
          <w:rFonts w:ascii="Arial" w:hAnsi="Arial" w:cs="Arial"/>
          <w:sz w:val="22"/>
          <w:szCs w:val="22"/>
        </w:rPr>
        <w:t xml:space="preserve">. Available at: </w:t>
      </w:r>
      <w:hyperlink r:id="rId11" w:tgtFrame="_new" w:history="1">
        <w:r w:rsidRPr="00DD70AA">
          <w:rPr>
            <w:rStyle w:val="Hyperlink"/>
            <w:rFonts w:ascii="Arial" w:hAnsi="Arial" w:cs="Arial"/>
            <w:sz w:val="22"/>
            <w:szCs w:val="22"/>
          </w:rPr>
          <w:t>https://www.england.nhs.uk/integratedcare/what-is-integrated-care/</w:t>
        </w:r>
      </w:hyperlink>
      <w:r w:rsidRPr="00DD70AA">
        <w:rPr>
          <w:rFonts w:ascii="Arial" w:hAnsi="Arial" w:cs="Arial"/>
          <w:sz w:val="22"/>
          <w:szCs w:val="22"/>
        </w:rPr>
        <w:t xml:space="preserve"> (Accessed: 4 July 2026).</w:t>
      </w:r>
    </w:p>
    <w:p w14:paraId="1F2FB9C2"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Office for Health Improvement and Disparities (2023) </w:t>
      </w:r>
      <w:r w:rsidRPr="00DD70AA">
        <w:rPr>
          <w:rStyle w:val="Emphasis"/>
          <w:rFonts w:ascii="Arial" w:hAnsi="Arial" w:cs="Arial"/>
          <w:sz w:val="22"/>
          <w:szCs w:val="22"/>
        </w:rPr>
        <w:t>Health disparities dashboard</w:t>
      </w:r>
      <w:r w:rsidRPr="00DD70AA">
        <w:rPr>
          <w:rFonts w:ascii="Arial" w:hAnsi="Arial" w:cs="Arial"/>
          <w:sz w:val="22"/>
          <w:szCs w:val="22"/>
        </w:rPr>
        <w:t xml:space="preserve">. Available at: </w:t>
      </w:r>
      <w:hyperlink r:id="rId12" w:tgtFrame="_new" w:history="1">
        <w:r w:rsidRPr="00DD70AA">
          <w:rPr>
            <w:rStyle w:val="Hyperlink"/>
            <w:rFonts w:ascii="Arial" w:hAnsi="Arial" w:cs="Arial"/>
            <w:sz w:val="22"/>
            <w:szCs w:val="22"/>
          </w:rPr>
          <w:t>https://www.gov.uk/government/collections/health-disparities-dashboard</w:t>
        </w:r>
      </w:hyperlink>
      <w:r w:rsidRPr="00DD70AA">
        <w:rPr>
          <w:rFonts w:ascii="Arial" w:hAnsi="Arial" w:cs="Arial"/>
          <w:sz w:val="22"/>
          <w:szCs w:val="22"/>
        </w:rPr>
        <w:t xml:space="preserve"> (Accessed: 7 July 2026).</w:t>
      </w:r>
    </w:p>
    <w:p w14:paraId="6F2A0BF6" w14:textId="73C5FEA6"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Office for Health Improvemen</w:t>
      </w:r>
      <w:r w:rsidR="00A43EEB" w:rsidRPr="00DD70AA">
        <w:rPr>
          <w:rFonts w:ascii="Arial" w:hAnsi="Arial" w:cs="Arial"/>
          <w:sz w:val="22"/>
          <w:szCs w:val="22"/>
        </w:rPr>
        <w:t>t and Disparities (2024</w:t>
      </w:r>
      <w:r w:rsidRPr="00DD70AA">
        <w:rPr>
          <w:rFonts w:ascii="Arial" w:hAnsi="Arial" w:cs="Arial"/>
          <w:sz w:val="22"/>
          <w:szCs w:val="22"/>
        </w:rPr>
        <w:t xml:space="preserve">) </w:t>
      </w:r>
      <w:r w:rsidRPr="00DD70AA">
        <w:rPr>
          <w:rStyle w:val="Emphasis"/>
          <w:rFonts w:ascii="Arial" w:hAnsi="Arial" w:cs="Arial"/>
          <w:sz w:val="22"/>
          <w:szCs w:val="22"/>
        </w:rPr>
        <w:t>Health inequalities: Place-based approaches to reduce inequalities</w:t>
      </w:r>
      <w:r w:rsidRPr="00DD70AA">
        <w:rPr>
          <w:rFonts w:ascii="Arial" w:hAnsi="Arial" w:cs="Arial"/>
          <w:sz w:val="22"/>
          <w:szCs w:val="22"/>
        </w:rPr>
        <w:t xml:space="preserve">. Available at: </w:t>
      </w:r>
      <w:hyperlink r:id="rId13" w:tgtFrame="_new" w:history="1">
        <w:r w:rsidRPr="00DD70AA">
          <w:rPr>
            <w:rStyle w:val="Hyperlink"/>
            <w:rFonts w:ascii="Arial" w:hAnsi="Arial" w:cs="Arial"/>
            <w:sz w:val="22"/>
            <w:szCs w:val="22"/>
          </w:rPr>
          <w:t>https://www.gov.uk/government/publications/health-inequalities-place-based-approaches-to-reduce-inequalities</w:t>
        </w:r>
      </w:hyperlink>
      <w:r w:rsidRPr="00DD70AA">
        <w:rPr>
          <w:rFonts w:ascii="Arial" w:hAnsi="Arial" w:cs="Arial"/>
          <w:sz w:val="22"/>
          <w:szCs w:val="22"/>
        </w:rPr>
        <w:t xml:space="preserve"> (Accessed: 4 July 2026).</w:t>
      </w:r>
    </w:p>
    <w:p w14:paraId="672781B4" w14:textId="4E6ADC13" w:rsidR="00FF672D" w:rsidRPr="00DD70AA" w:rsidRDefault="00FF672D" w:rsidP="00A43EEB">
      <w:pPr>
        <w:pStyle w:val="NormalWeb"/>
        <w:spacing w:line="360" w:lineRule="auto"/>
        <w:jc w:val="both"/>
        <w:rPr>
          <w:rFonts w:ascii="Arial" w:hAnsi="Arial" w:cs="Arial"/>
          <w:sz w:val="22"/>
          <w:szCs w:val="22"/>
        </w:rPr>
      </w:pPr>
      <w:r w:rsidRPr="00DD70AA">
        <w:rPr>
          <w:rFonts w:ascii="Arial" w:hAnsi="Arial" w:cs="Arial"/>
          <w:sz w:val="22"/>
          <w:szCs w:val="22"/>
        </w:rPr>
        <w:t xml:space="preserve">Office for National Statistics (2024) </w:t>
      </w:r>
      <w:r w:rsidRPr="00DD70AA">
        <w:rPr>
          <w:rStyle w:val="Emphasis"/>
          <w:rFonts w:ascii="Arial" w:hAnsi="Arial" w:cs="Arial"/>
          <w:sz w:val="22"/>
          <w:szCs w:val="22"/>
        </w:rPr>
        <w:t>Health state life expectancies by national deprivation deciles, England: 2021 to 2023</w:t>
      </w:r>
      <w:r w:rsidRPr="00DD70AA">
        <w:rPr>
          <w:rFonts w:ascii="Arial" w:hAnsi="Arial" w:cs="Arial"/>
          <w:sz w:val="22"/>
          <w:szCs w:val="22"/>
        </w:rPr>
        <w:t xml:space="preserve">. Available at: </w:t>
      </w:r>
      <w:hyperlink r:id="rId14" w:tgtFrame="_new" w:history="1">
        <w:r w:rsidRPr="00DD70AA">
          <w:rPr>
            <w:rStyle w:val="Hyperlink"/>
            <w:rFonts w:ascii="Arial" w:hAnsi="Arial" w:cs="Arial"/>
            <w:sz w:val="22"/>
            <w:szCs w:val="22"/>
          </w:rPr>
          <w:t>https://www.ons.gov.uk/peoplepopulationandcommunity/healthandsocialcare/healthinequalities</w:t>
        </w:r>
      </w:hyperlink>
      <w:r w:rsidRPr="00DD70AA">
        <w:rPr>
          <w:rFonts w:ascii="Arial" w:hAnsi="Arial" w:cs="Arial"/>
          <w:sz w:val="22"/>
          <w:szCs w:val="22"/>
        </w:rPr>
        <w:t xml:space="preserve"> (Accessed: 15 July 2026)</w:t>
      </w:r>
      <w:r w:rsidR="00A43EEB" w:rsidRPr="00DD70AA">
        <w:rPr>
          <w:rFonts w:ascii="Arial" w:hAnsi="Arial" w:cs="Arial"/>
          <w:sz w:val="22"/>
          <w:szCs w:val="22"/>
        </w:rPr>
        <w:t>.</w:t>
      </w:r>
    </w:p>
    <w:p w14:paraId="71A7B6E5"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Rosenstock, I.M. (1974) 'Historical origins of the Health Belief Model', </w:t>
      </w:r>
      <w:r w:rsidRPr="00DD70AA">
        <w:rPr>
          <w:rStyle w:val="Emphasis"/>
          <w:rFonts w:ascii="Arial" w:hAnsi="Arial" w:cs="Arial"/>
          <w:sz w:val="22"/>
          <w:szCs w:val="22"/>
        </w:rPr>
        <w:t>Health Education Monographs</w:t>
      </w:r>
      <w:r w:rsidRPr="00DD70AA">
        <w:rPr>
          <w:rFonts w:ascii="Arial" w:hAnsi="Arial" w:cs="Arial"/>
          <w:sz w:val="22"/>
          <w:szCs w:val="22"/>
        </w:rPr>
        <w:t>, 2(4), pp. 328–335.</w:t>
      </w:r>
    </w:p>
    <w:p w14:paraId="59194A8A"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The Health Foundation (2024) </w:t>
      </w:r>
      <w:r w:rsidRPr="00DD70AA">
        <w:rPr>
          <w:rStyle w:val="Emphasis"/>
          <w:rFonts w:ascii="Arial" w:hAnsi="Arial" w:cs="Arial"/>
          <w:sz w:val="22"/>
          <w:szCs w:val="22"/>
        </w:rPr>
        <w:t>Health in 2040: Better health within an economically sustainable health and care system</w:t>
      </w:r>
      <w:r w:rsidRPr="00DD70AA">
        <w:rPr>
          <w:rFonts w:ascii="Arial" w:hAnsi="Arial" w:cs="Arial"/>
          <w:sz w:val="22"/>
          <w:szCs w:val="22"/>
        </w:rPr>
        <w:t xml:space="preserve">. Available at: </w:t>
      </w:r>
      <w:hyperlink r:id="rId15" w:tgtFrame="_new" w:history="1">
        <w:r w:rsidRPr="00DD70AA">
          <w:rPr>
            <w:rStyle w:val="Hyperlink"/>
            <w:rFonts w:ascii="Arial" w:hAnsi="Arial" w:cs="Arial"/>
            <w:sz w:val="22"/>
            <w:szCs w:val="22"/>
          </w:rPr>
          <w:t>https://www.health.org.uk</w:t>
        </w:r>
      </w:hyperlink>
      <w:r w:rsidRPr="00DD70AA">
        <w:rPr>
          <w:rFonts w:ascii="Arial" w:hAnsi="Arial" w:cs="Arial"/>
          <w:sz w:val="22"/>
          <w:szCs w:val="22"/>
        </w:rPr>
        <w:t xml:space="preserve"> (Accessed: 14 July 2026).</w:t>
      </w:r>
    </w:p>
    <w:p w14:paraId="3A4D86AC"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The King's Fund (2024) </w:t>
      </w:r>
      <w:r w:rsidRPr="00DD70AA">
        <w:rPr>
          <w:rStyle w:val="Emphasis"/>
          <w:rFonts w:ascii="Arial" w:hAnsi="Arial" w:cs="Arial"/>
          <w:sz w:val="22"/>
          <w:szCs w:val="22"/>
        </w:rPr>
        <w:t>The NHS workforce in England</w:t>
      </w:r>
      <w:r w:rsidRPr="00DD70AA">
        <w:rPr>
          <w:rFonts w:ascii="Arial" w:hAnsi="Arial" w:cs="Arial"/>
          <w:sz w:val="22"/>
          <w:szCs w:val="22"/>
        </w:rPr>
        <w:t xml:space="preserve">. Available at: </w:t>
      </w:r>
      <w:hyperlink r:id="rId16" w:tgtFrame="_new" w:history="1">
        <w:r w:rsidRPr="00DD70AA">
          <w:rPr>
            <w:rStyle w:val="Hyperlink"/>
            <w:rFonts w:ascii="Arial" w:hAnsi="Arial" w:cs="Arial"/>
            <w:sz w:val="22"/>
            <w:szCs w:val="22"/>
          </w:rPr>
          <w:t>https://www.kingsfund.org.uk</w:t>
        </w:r>
      </w:hyperlink>
      <w:r w:rsidRPr="00DD70AA">
        <w:rPr>
          <w:rFonts w:ascii="Arial" w:hAnsi="Arial" w:cs="Arial"/>
          <w:sz w:val="22"/>
          <w:szCs w:val="22"/>
        </w:rPr>
        <w:t xml:space="preserve"> (Accessed: 5 July 2026).</w:t>
      </w:r>
    </w:p>
    <w:p w14:paraId="2CF90281"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United Nations (2015) </w:t>
      </w:r>
      <w:r w:rsidRPr="00DD70AA">
        <w:rPr>
          <w:rStyle w:val="Emphasis"/>
          <w:rFonts w:ascii="Arial" w:hAnsi="Arial" w:cs="Arial"/>
          <w:sz w:val="22"/>
          <w:szCs w:val="22"/>
        </w:rPr>
        <w:t>Transforming our world: The 2030 Agenda for Sustainable Development</w:t>
      </w:r>
      <w:r w:rsidRPr="00DD70AA">
        <w:rPr>
          <w:rFonts w:ascii="Arial" w:hAnsi="Arial" w:cs="Arial"/>
          <w:sz w:val="22"/>
          <w:szCs w:val="22"/>
        </w:rPr>
        <w:t xml:space="preserve">. Available at: </w:t>
      </w:r>
      <w:hyperlink r:id="rId17" w:tgtFrame="_new" w:history="1">
        <w:r w:rsidRPr="00DD70AA">
          <w:rPr>
            <w:rStyle w:val="Hyperlink"/>
            <w:rFonts w:ascii="Arial" w:hAnsi="Arial" w:cs="Arial"/>
            <w:sz w:val="22"/>
            <w:szCs w:val="22"/>
          </w:rPr>
          <w:t>https://sdgs.un.org/2030agenda</w:t>
        </w:r>
      </w:hyperlink>
      <w:r w:rsidRPr="00DD70AA">
        <w:rPr>
          <w:rFonts w:ascii="Arial" w:hAnsi="Arial" w:cs="Arial"/>
          <w:sz w:val="22"/>
          <w:szCs w:val="22"/>
        </w:rPr>
        <w:t xml:space="preserve"> (Accessed: 10 July 2026).</w:t>
      </w:r>
    </w:p>
    <w:p w14:paraId="67E1D31F"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United Nations (2024) </w:t>
      </w:r>
      <w:r w:rsidRPr="00DD70AA">
        <w:rPr>
          <w:rStyle w:val="Emphasis"/>
          <w:rFonts w:ascii="Arial" w:hAnsi="Arial" w:cs="Arial"/>
          <w:sz w:val="22"/>
          <w:szCs w:val="22"/>
        </w:rPr>
        <w:t>The Sustainable Development Goals Report 2024</w:t>
      </w:r>
      <w:r w:rsidRPr="00DD70AA">
        <w:rPr>
          <w:rFonts w:ascii="Arial" w:hAnsi="Arial" w:cs="Arial"/>
          <w:sz w:val="22"/>
          <w:szCs w:val="22"/>
        </w:rPr>
        <w:t xml:space="preserve">. Available at: </w:t>
      </w:r>
      <w:hyperlink r:id="rId18" w:tgtFrame="_new" w:history="1">
        <w:r w:rsidRPr="00DD70AA">
          <w:rPr>
            <w:rStyle w:val="Hyperlink"/>
            <w:rFonts w:ascii="Arial" w:hAnsi="Arial" w:cs="Arial"/>
            <w:sz w:val="22"/>
            <w:szCs w:val="22"/>
          </w:rPr>
          <w:t>https://unstats.un.org/sdgs/report/2024/</w:t>
        </w:r>
      </w:hyperlink>
      <w:r w:rsidRPr="00DD70AA">
        <w:rPr>
          <w:rFonts w:ascii="Arial" w:hAnsi="Arial" w:cs="Arial"/>
          <w:sz w:val="22"/>
          <w:szCs w:val="22"/>
        </w:rPr>
        <w:t xml:space="preserve"> (Accessed: 10 Jun 2026).</w:t>
      </w:r>
    </w:p>
    <w:p w14:paraId="5D6D384F"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University Hospitals Birmingham NHS Foundation Trust (2024) </w:t>
      </w:r>
      <w:r w:rsidRPr="00DD70AA">
        <w:rPr>
          <w:rStyle w:val="Emphasis"/>
          <w:rFonts w:ascii="Arial" w:hAnsi="Arial" w:cs="Arial"/>
          <w:sz w:val="22"/>
          <w:szCs w:val="22"/>
        </w:rPr>
        <w:t>Annual report and accounts 2023/24</w:t>
      </w:r>
      <w:r w:rsidRPr="00DD70AA">
        <w:rPr>
          <w:rFonts w:ascii="Arial" w:hAnsi="Arial" w:cs="Arial"/>
          <w:sz w:val="22"/>
          <w:szCs w:val="22"/>
        </w:rPr>
        <w:t xml:space="preserve">. Available at: </w:t>
      </w:r>
      <w:hyperlink r:id="rId19" w:tgtFrame="_new" w:history="1">
        <w:r w:rsidRPr="00DD70AA">
          <w:rPr>
            <w:rStyle w:val="Hyperlink"/>
            <w:rFonts w:ascii="Arial" w:hAnsi="Arial" w:cs="Arial"/>
            <w:sz w:val="22"/>
            <w:szCs w:val="22"/>
          </w:rPr>
          <w:t>https://www.uhb.nhs.uk</w:t>
        </w:r>
      </w:hyperlink>
      <w:r w:rsidRPr="00DD70AA">
        <w:rPr>
          <w:rFonts w:ascii="Arial" w:hAnsi="Arial" w:cs="Arial"/>
          <w:sz w:val="22"/>
          <w:szCs w:val="22"/>
        </w:rPr>
        <w:t xml:space="preserve"> (Accessed: 11 July 2026).</w:t>
      </w:r>
    </w:p>
    <w:p w14:paraId="421605B1" w14:textId="60DD76B3" w:rsidR="00FF672D" w:rsidRPr="00DD70AA" w:rsidRDefault="00A43EEB" w:rsidP="00D830BB">
      <w:pPr>
        <w:pStyle w:val="NormalWeb"/>
        <w:spacing w:line="360" w:lineRule="auto"/>
        <w:jc w:val="both"/>
        <w:rPr>
          <w:rFonts w:ascii="Arial" w:hAnsi="Arial" w:cs="Arial"/>
          <w:sz w:val="22"/>
          <w:szCs w:val="22"/>
        </w:rPr>
      </w:pPr>
      <w:r w:rsidRPr="00DD70AA">
        <w:rPr>
          <w:rFonts w:ascii="Arial" w:hAnsi="Arial" w:cs="Arial"/>
          <w:sz w:val="22"/>
          <w:szCs w:val="22"/>
        </w:rPr>
        <w:t>World Health Organization (2023</w:t>
      </w:r>
      <w:r w:rsidR="00FF672D" w:rsidRPr="00DD70AA">
        <w:rPr>
          <w:rFonts w:ascii="Arial" w:hAnsi="Arial" w:cs="Arial"/>
          <w:sz w:val="22"/>
          <w:szCs w:val="22"/>
        </w:rPr>
        <w:t xml:space="preserve">) </w:t>
      </w:r>
      <w:r w:rsidR="00FF672D" w:rsidRPr="00DD70AA">
        <w:rPr>
          <w:rStyle w:val="Emphasis"/>
          <w:rFonts w:ascii="Arial" w:hAnsi="Arial" w:cs="Arial"/>
          <w:sz w:val="22"/>
          <w:szCs w:val="22"/>
        </w:rPr>
        <w:t>Global action plan for healthy lives and well-being for all: Progress report 2023</w:t>
      </w:r>
      <w:r w:rsidR="00FF672D" w:rsidRPr="00DD70AA">
        <w:rPr>
          <w:rFonts w:ascii="Arial" w:hAnsi="Arial" w:cs="Arial"/>
          <w:sz w:val="22"/>
          <w:szCs w:val="22"/>
        </w:rPr>
        <w:t xml:space="preserve">. Geneva: World Health Organization. Available at: </w:t>
      </w:r>
      <w:hyperlink r:id="rId20" w:tgtFrame="_new" w:history="1">
        <w:r w:rsidR="00FF672D" w:rsidRPr="00DD70AA">
          <w:rPr>
            <w:rStyle w:val="Hyperlink"/>
            <w:rFonts w:ascii="Arial" w:hAnsi="Arial" w:cs="Arial"/>
            <w:sz w:val="22"/>
            <w:szCs w:val="22"/>
          </w:rPr>
          <w:t>https://www.who.int</w:t>
        </w:r>
      </w:hyperlink>
      <w:r w:rsidR="00FF672D" w:rsidRPr="00DD70AA">
        <w:rPr>
          <w:rFonts w:ascii="Arial" w:hAnsi="Arial" w:cs="Arial"/>
          <w:sz w:val="22"/>
          <w:szCs w:val="22"/>
        </w:rPr>
        <w:t xml:space="preserve"> (Accessed: 1 July 2026).</w:t>
      </w:r>
    </w:p>
    <w:p w14:paraId="61E52CB8" w14:textId="76699DEF" w:rsidR="00FF672D" w:rsidRPr="00DD70AA" w:rsidRDefault="00A43EEB" w:rsidP="00D830BB">
      <w:pPr>
        <w:pStyle w:val="NormalWeb"/>
        <w:spacing w:line="360" w:lineRule="auto"/>
        <w:jc w:val="both"/>
        <w:rPr>
          <w:rFonts w:ascii="Arial" w:hAnsi="Arial" w:cs="Arial"/>
          <w:sz w:val="22"/>
          <w:szCs w:val="22"/>
        </w:rPr>
      </w:pPr>
      <w:r w:rsidRPr="00DD70AA">
        <w:rPr>
          <w:rFonts w:ascii="Arial" w:hAnsi="Arial" w:cs="Arial"/>
          <w:sz w:val="22"/>
          <w:szCs w:val="22"/>
        </w:rPr>
        <w:t>World Health Organization (2024</w:t>
      </w:r>
      <w:r w:rsidR="00FF672D" w:rsidRPr="00DD70AA">
        <w:rPr>
          <w:rFonts w:ascii="Arial" w:hAnsi="Arial" w:cs="Arial"/>
          <w:sz w:val="22"/>
          <w:szCs w:val="22"/>
        </w:rPr>
        <w:t xml:space="preserve">) </w:t>
      </w:r>
      <w:r w:rsidR="00FF672D" w:rsidRPr="00DD70AA">
        <w:rPr>
          <w:rStyle w:val="Emphasis"/>
          <w:rFonts w:ascii="Arial" w:hAnsi="Arial" w:cs="Arial"/>
          <w:sz w:val="22"/>
          <w:szCs w:val="22"/>
        </w:rPr>
        <w:t>World health statistics 2024: Monitoring health for the SDGs</w:t>
      </w:r>
      <w:r w:rsidR="00FF672D" w:rsidRPr="00DD70AA">
        <w:rPr>
          <w:rFonts w:ascii="Arial" w:hAnsi="Arial" w:cs="Arial"/>
          <w:sz w:val="22"/>
          <w:szCs w:val="22"/>
        </w:rPr>
        <w:t xml:space="preserve">. Geneva: World Health Organization. Available at: </w:t>
      </w:r>
      <w:hyperlink r:id="rId21" w:tgtFrame="_new" w:history="1">
        <w:r w:rsidR="00FF672D" w:rsidRPr="00DD70AA">
          <w:rPr>
            <w:rStyle w:val="Hyperlink"/>
            <w:rFonts w:ascii="Arial" w:hAnsi="Arial" w:cs="Arial"/>
            <w:sz w:val="22"/>
            <w:szCs w:val="22"/>
          </w:rPr>
          <w:t>https://www.who.int/publications/i/item/9789240094703</w:t>
        </w:r>
      </w:hyperlink>
      <w:r w:rsidR="00FF672D" w:rsidRPr="00DD70AA">
        <w:rPr>
          <w:rFonts w:ascii="Arial" w:hAnsi="Arial" w:cs="Arial"/>
          <w:sz w:val="22"/>
          <w:szCs w:val="22"/>
        </w:rPr>
        <w:t xml:space="preserve"> (Accessed: 1 July 2026).</w:t>
      </w:r>
    </w:p>
    <w:p w14:paraId="2FF16B62" w14:textId="77777777" w:rsidR="00FF672D" w:rsidRPr="00DD70AA" w:rsidRDefault="00FF672D" w:rsidP="00D830BB">
      <w:pPr>
        <w:pStyle w:val="NormalWeb"/>
        <w:spacing w:line="360" w:lineRule="auto"/>
        <w:jc w:val="both"/>
        <w:rPr>
          <w:rFonts w:ascii="Arial" w:hAnsi="Arial" w:cs="Arial"/>
          <w:sz w:val="22"/>
          <w:szCs w:val="22"/>
        </w:rPr>
      </w:pPr>
      <w:r w:rsidRPr="00DD70AA">
        <w:rPr>
          <w:rFonts w:ascii="Arial" w:hAnsi="Arial" w:cs="Arial"/>
          <w:sz w:val="22"/>
          <w:szCs w:val="22"/>
        </w:rPr>
        <w:t xml:space="preserve">World Health Organization (2025) </w:t>
      </w:r>
      <w:r w:rsidRPr="00DD70AA">
        <w:rPr>
          <w:rStyle w:val="Emphasis"/>
          <w:rFonts w:ascii="Arial" w:hAnsi="Arial" w:cs="Arial"/>
          <w:sz w:val="22"/>
          <w:szCs w:val="22"/>
        </w:rPr>
        <w:t>Health promotion</w:t>
      </w:r>
      <w:r w:rsidRPr="00DD70AA">
        <w:rPr>
          <w:rFonts w:ascii="Arial" w:hAnsi="Arial" w:cs="Arial"/>
          <w:sz w:val="22"/>
          <w:szCs w:val="22"/>
        </w:rPr>
        <w:t xml:space="preserve">. Available at: </w:t>
      </w:r>
      <w:hyperlink r:id="rId22" w:tgtFrame="_new" w:history="1">
        <w:r w:rsidRPr="00DD70AA">
          <w:rPr>
            <w:rStyle w:val="Hyperlink"/>
            <w:rFonts w:ascii="Arial" w:hAnsi="Arial" w:cs="Arial"/>
            <w:sz w:val="22"/>
            <w:szCs w:val="22"/>
          </w:rPr>
          <w:t>https://www.who.int/health-topics/health-promotion</w:t>
        </w:r>
      </w:hyperlink>
      <w:r w:rsidRPr="00DD70AA">
        <w:rPr>
          <w:rFonts w:ascii="Arial" w:hAnsi="Arial" w:cs="Arial"/>
          <w:sz w:val="22"/>
          <w:szCs w:val="22"/>
        </w:rPr>
        <w:t xml:space="preserve"> (Accessed: 4 July 2026).</w:t>
      </w:r>
    </w:p>
    <w:p w14:paraId="288B7D0C" w14:textId="77777777" w:rsidR="00FF672D" w:rsidRPr="00D830BB" w:rsidRDefault="00FF672D" w:rsidP="00D830BB">
      <w:pPr>
        <w:pStyle w:val="NormalWeb"/>
        <w:spacing w:line="360" w:lineRule="auto"/>
        <w:jc w:val="both"/>
        <w:rPr>
          <w:rFonts w:ascii="Arial" w:hAnsi="Arial" w:cs="Arial"/>
        </w:rPr>
      </w:pPr>
    </w:p>
    <w:p w14:paraId="7B773275" w14:textId="77777777" w:rsidR="00C656B5" w:rsidRDefault="00E06DCC" w:rsidP="00D830BB">
      <w:pPr>
        <w:spacing w:line="360" w:lineRule="auto"/>
      </w:pPr>
    </w:p>
    <w:sectPr w:rsidR="00C656B5" w:rsidSect="00340AC9">
      <w:footerReference w:type="even" r:id="rId23"/>
      <w:footerReference w:type="default" r:id="rId24"/>
      <w:pgSz w:w="11900" w:h="16840"/>
      <w:pgMar w:top="1440" w:right="1813" w:bottom="1440" w:left="200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718E7C" w14:textId="77777777" w:rsidR="00E06DCC" w:rsidRDefault="00E06DCC">
      <w:r>
        <w:separator/>
      </w:r>
    </w:p>
  </w:endnote>
  <w:endnote w:type="continuationSeparator" w:id="0">
    <w:p w14:paraId="6A05D21A" w14:textId="77777777" w:rsidR="00E06DCC" w:rsidRDefault="00E06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5F4AF" w14:textId="77777777" w:rsidR="00FE0BB6" w:rsidRDefault="00D64C8A" w:rsidP="00FE0BB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98C5A7" w14:textId="77777777" w:rsidR="00FE0BB6" w:rsidRDefault="00E06DCC" w:rsidP="00FE0BB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E6854" w14:textId="77777777" w:rsidR="00FE0BB6" w:rsidRDefault="00D64C8A" w:rsidP="00FE0BB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06DCC">
      <w:rPr>
        <w:rStyle w:val="PageNumber"/>
        <w:noProof/>
      </w:rPr>
      <w:t>1</w:t>
    </w:r>
    <w:r>
      <w:rPr>
        <w:rStyle w:val="PageNumber"/>
      </w:rPr>
      <w:fldChar w:fldCharType="end"/>
    </w:r>
  </w:p>
  <w:p w14:paraId="49753E33" w14:textId="77777777" w:rsidR="00FE0BB6" w:rsidRDefault="00E06DCC" w:rsidP="00FE0BB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54687" w14:textId="77777777" w:rsidR="00E06DCC" w:rsidRDefault="00E06DCC">
      <w:r>
        <w:separator/>
      </w:r>
    </w:p>
  </w:footnote>
  <w:footnote w:type="continuationSeparator" w:id="0">
    <w:p w14:paraId="5B888EB0" w14:textId="77777777" w:rsidR="00E06DCC" w:rsidRDefault="00E06D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72A"/>
    <w:rsid w:val="00070F1A"/>
    <w:rsid w:val="001244FE"/>
    <w:rsid w:val="001B1050"/>
    <w:rsid w:val="001F7CAB"/>
    <w:rsid w:val="00342998"/>
    <w:rsid w:val="0038492D"/>
    <w:rsid w:val="003917E3"/>
    <w:rsid w:val="003A3D5F"/>
    <w:rsid w:val="003B1552"/>
    <w:rsid w:val="003E73B4"/>
    <w:rsid w:val="00450E94"/>
    <w:rsid w:val="00484B2B"/>
    <w:rsid w:val="00586599"/>
    <w:rsid w:val="005F13D8"/>
    <w:rsid w:val="005F2BC7"/>
    <w:rsid w:val="00633459"/>
    <w:rsid w:val="00653087"/>
    <w:rsid w:val="006934A1"/>
    <w:rsid w:val="006F0E6E"/>
    <w:rsid w:val="007A415C"/>
    <w:rsid w:val="007B0AC6"/>
    <w:rsid w:val="007C1F6B"/>
    <w:rsid w:val="007F55FA"/>
    <w:rsid w:val="0082504D"/>
    <w:rsid w:val="008311A0"/>
    <w:rsid w:val="008476D6"/>
    <w:rsid w:val="00850505"/>
    <w:rsid w:val="0087510C"/>
    <w:rsid w:val="009804D9"/>
    <w:rsid w:val="00A43EEB"/>
    <w:rsid w:val="00AA2C30"/>
    <w:rsid w:val="00B2572A"/>
    <w:rsid w:val="00B33BD0"/>
    <w:rsid w:val="00B771C2"/>
    <w:rsid w:val="00B94F0A"/>
    <w:rsid w:val="00C00DB7"/>
    <w:rsid w:val="00C12B49"/>
    <w:rsid w:val="00C72FC6"/>
    <w:rsid w:val="00CC03A8"/>
    <w:rsid w:val="00CE4690"/>
    <w:rsid w:val="00D4134E"/>
    <w:rsid w:val="00D64C8A"/>
    <w:rsid w:val="00D81355"/>
    <w:rsid w:val="00D830BB"/>
    <w:rsid w:val="00DD70AA"/>
    <w:rsid w:val="00E06DCC"/>
    <w:rsid w:val="00E21866"/>
    <w:rsid w:val="00E6317C"/>
    <w:rsid w:val="00EB7DF5"/>
    <w:rsid w:val="00F047F3"/>
    <w:rsid w:val="00F95E41"/>
    <w:rsid w:val="00FF255E"/>
    <w:rsid w:val="00FF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958C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72A"/>
    <w:rPr>
      <w:rFonts w:ascii="Times New Roman" w:eastAsiaTheme="minorEastAsia" w:hAnsi="Times New Roman" w:cs="Times New Roman"/>
      <w:lang w:eastAsia="en-GB"/>
    </w:rPr>
  </w:style>
  <w:style w:type="paragraph" w:styleId="Heading1">
    <w:name w:val="heading 1"/>
    <w:basedOn w:val="Normal"/>
    <w:next w:val="Normal"/>
    <w:link w:val="Heading1Char"/>
    <w:uiPriority w:val="9"/>
    <w:qFormat/>
    <w:rsid w:val="00B2572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2572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72A"/>
    <w:rPr>
      <w:rFonts w:asciiTheme="majorHAnsi" w:eastAsiaTheme="majorEastAsia" w:hAnsiTheme="majorHAnsi" w:cstheme="majorBidi"/>
      <w:b/>
      <w:bCs/>
      <w:color w:val="2E74B5" w:themeColor="accent1" w:themeShade="BF"/>
      <w:sz w:val="28"/>
      <w:szCs w:val="28"/>
      <w:lang w:eastAsia="en-GB"/>
    </w:rPr>
  </w:style>
  <w:style w:type="character" w:customStyle="1" w:styleId="Heading2Char">
    <w:name w:val="Heading 2 Char"/>
    <w:basedOn w:val="DefaultParagraphFont"/>
    <w:link w:val="Heading2"/>
    <w:uiPriority w:val="9"/>
    <w:rsid w:val="00B2572A"/>
    <w:rPr>
      <w:rFonts w:asciiTheme="majorHAnsi" w:eastAsiaTheme="majorEastAsia" w:hAnsiTheme="majorHAnsi" w:cstheme="majorBidi"/>
      <w:b/>
      <w:bCs/>
      <w:color w:val="5B9BD5" w:themeColor="accent1"/>
      <w:sz w:val="26"/>
      <w:szCs w:val="26"/>
      <w:lang w:eastAsia="en-GB"/>
    </w:rPr>
  </w:style>
  <w:style w:type="character" w:styleId="Emphasis">
    <w:name w:val="Emphasis"/>
    <w:basedOn w:val="DefaultParagraphFont"/>
    <w:uiPriority w:val="20"/>
    <w:qFormat/>
    <w:rsid w:val="00B2572A"/>
    <w:rPr>
      <w:i/>
      <w:iCs/>
    </w:rPr>
  </w:style>
  <w:style w:type="paragraph" w:styleId="NormalWeb">
    <w:name w:val="Normal (Web)"/>
    <w:basedOn w:val="Normal"/>
    <w:uiPriority w:val="99"/>
    <w:unhideWhenUsed/>
    <w:rsid w:val="00B2572A"/>
    <w:pPr>
      <w:spacing w:before="100" w:beforeAutospacing="1" w:after="100" w:afterAutospacing="1"/>
    </w:pPr>
  </w:style>
  <w:style w:type="paragraph" w:customStyle="1" w:styleId="pdq2pgselectionanchorcontainer">
    <w:name w:val="pdq2pg_selectionanchorcontainer"/>
    <w:basedOn w:val="Normal"/>
    <w:rsid w:val="00B2572A"/>
    <w:pPr>
      <w:spacing w:before="100" w:beforeAutospacing="1" w:after="100" w:afterAutospacing="1"/>
    </w:pPr>
    <w:rPr>
      <w:rFonts w:eastAsiaTheme="minorHAnsi"/>
    </w:rPr>
  </w:style>
  <w:style w:type="character" w:styleId="Hyperlink">
    <w:name w:val="Hyperlink"/>
    <w:basedOn w:val="DefaultParagraphFont"/>
    <w:uiPriority w:val="99"/>
    <w:unhideWhenUsed/>
    <w:rsid w:val="00B2572A"/>
    <w:rPr>
      <w:color w:val="0000FF"/>
      <w:u w:val="single"/>
    </w:rPr>
  </w:style>
  <w:style w:type="paragraph" w:styleId="Footer">
    <w:name w:val="footer"/>
    <w:basedOn w:val="Normal"/>
    <w:link w:val="FooterChar"/>
    <w:uiPriority w:val="99"/>
    <w:unhideWhenUsed/>
    <w:rsid w:val="00B2572A"/>
    <w:pPr>
      <w:tabs>
        <w:tab w:val="center" w:pos="4513"/>
        <w:tab w:val="right" w:pos="9026"/>
      </w:tabs>
    </w:pPr>
  </w:style>
  <w:style w:type="character" w:customStyle="1" w:styleId="FooterChar">
    <w:name w:val="Footer Char"/>
    <w:basedOn w:val="DefaultParagraphFont"/>
    <w:link w:val="Footer"/>
    <w:uiPriority w:val="99"/>
    <w:rsid w:val="00B2572A"/>
    <w:rPr>
      <w:rFonts w:ascii="Times New Roman" w:eastAsiaTheme="minorEastAsia" w:hAnsi="Times New Roman" w:cs="Times New Roman"/>
      <w:lang w:eastAsia="en-GB"/>
    </w:rPr>
  </w:style>
  <w:style w:type="character" w:styleId="PageNumber">
    <w:name w:val="page number"/>
    <w:basedOn w:val="DefaultParagraphFont"/>
    <w:uiPriority w:val="99"/>
    <w:semiHidden/>
    <w:unhideWhenUsed/>
    <w:rsid w:val="00B2572A"/>
  </w:style>
  <w:style w:type="paragraph" w:customStyle="1" w:styleId="isselectedend">
    <w:name w:val="isselectedend"/>
    <w:basedOn w:val="Normal"/>
    <w:rsid w:val="00342998"/>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934647">
      <w:bodyDiv w:val="1"/>
      <w:marLeft w:val="0"/>
      <w:marRight w:val="0"/>
      <w:marTop w:val="0"/>
      <w:marBottom w:val="0"/>
      <w:divBdr>
        <w:top w:val="none" w:sz="0" w:space="0" w:color="auto"/>
        <w:left w:val="none" w:sz="0" w:space="0" w:color="auto"/>
        <w:bottom w:val="none" w:sz="0" w:space="0" w:color="auto"/>
        <w:right w:val="none" w:sz="0" w:space="0" w:color="auto"/>
      </w:divBdr>
    </w:div>
    <w:div w:id="377433538">
      <w:bodyDiv w:val="1"/>
      <w:marLeft w:val="0"/>
      <w:marRight w:val="0"/>
      <w:marTop w:val="0"/>
      <w:marBottom w:val="0"/>
      <w:divBdr>
        <w:top w:val="none" w:sz="0" w:space="0" w:color="auto"/>
        <w:left w:val="none" w:sz="0" w:space="0" w:color="auto"/>
        <w:bottom w:val="none" w:sz="0" w:space="0" w:color="auto"/>
        <w:right w:val="none" w:sz="0" w:space="0" w:color="auto"/>
      </w:divBdr>
    </w:div>
    <w:div w:id="20082422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longtermplan.nhs.uk/publication/nhs-long-term-plan/" TargetMode="External"/><Relationship Id="rId20" Type="http://schemas.openxmlformats.org/officeDocument/2006/relationships/hyperlink" Target="https://www.who.int" TargetMode="External"/><Relationship Id="rId21" Type="http://schemas.openxmlformats.org/officeDocument/2006/relationships/hyperlink" Target="https://www.who.int/publications/i/item/9789240094703" TargetMode="External"/><Relationship Id="rId22" Type="http://schemas.openxmlformats.org/officeDocument/2006/relationships/hyperlink" Target="https://www.who.int/health-topics/health-promotion"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england.nhs.uk/about/equality/core20plus5/" TargetMode="External"/><Relationship Id="rId11" Type="http://schemas.openxmlformats.org/officeDocument/2006/relationships/hyperlink" Target="https://www.england.nhs.uk/integratedcare/what-is-integrated-care/" TargetMode="External"/><Relationship Id="rId12" Type="http://schemas.openxmlformats.org/officeDocument/2006/relationships/hyperlink" Target="https://www.gov.uk/government/collections/health-disparities-dashboard" TargetMode="External"/><Relationship Id="rId13" Type="http://schemas.openxmlformats.org/officeDocument/2006/relationships/hyperlink" Target="https://www.gov.uk/government/publications/health-inequalities-place-based-approaches-to-reduce-inequalities" TargetMode="External"/><Relationship Id="rId14" Type="http://schemas.openxmlformats.org/officeDocument/2006/relationships/hyperlink" Target="https://www.ons.gov.uk/peoplepopulationandcommunity/healthandsocialcare/healthinequalities" TargetMode="External"/><Relationship Id="rId15" Type="http://schemas.openxmlformats.org/officeDocument/2006/relationships/hyperlink" Target="https://www.health.org.uk" TargetMode="External"/><Relationship Id="rId16" Type="http://schemas.openxmlformats.org/officeDocument/2006/relationships/hyperlink" Target="https://www.kingsfund.org.uk" TargetMode="External"/><Relationship Id="rId17" Type="http://schemas.openxmlformats.org/officeDocument/2006/relationships/hyperlink" Target="https://sdgs.un.org/2030agenda" TargetMode="External"/><Relationship Id="rId18" Type="http://schemas.openxmlformats.org/officeDocument/2006/relationships/hyperlink" Target="https://unstats.un.org/sdgs/report/2024/" TargetMode="External"/><Relationship Id="rId19" Type="http://schemas.openxmlformats.org/officeDocument/2006/relationships/hyperlink" Target="https://www.uhb.nhs.uk"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s://www.birmingham.gov.uk" TargetMode="External"/><Relationship Id="rId8" Type="http://schemas.openxmlformats.org/officeDocument/2006/relationships/hyperlink" Target="https://www.gov.uk/government/publications/10-year-health-plan-for-england-fit-for-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Pages>
  <Words>3167</Words>
  <Characters>18058</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
      <vt:lpstr/>
      <vt:lpstr>/</vt:lpstr>
      <vt:lpstr/>
      <vt:lpstr>Module Name: Health, Wellbeing and Sustainable Development </vt:lpstr>
      <vt:lpstr>(BMHP6030_BIRM)</vt:lpstr>
      <vt:lpstr>Component 2</vt:lpstr>
      <vt:lpstr>Report</vt:lpstr>
      <vt:lpstr>Title of the Report : A Critical Evaluation of Sustainable Development Goal 3 (G</vt:lpstr>
      <vt:lpstr/>
      <vt:lpstr>Student Name: Hana Kiros</vt:lpstr>
      <vt:lpstr>Student Number: 2316483</vt:lpstr>
      <vt:lpstr/>
      <vt:lpstr>Lecturer Name:  Philip Jones</vt:lpstr>
      <vt:lpstr/>
      <vt:lpstr>    </vt:lpstr>
      <vt:lpstr>    Introduction</vt:lpstr>
      <vt:lpstr>    There has been a growing convergence between health, wellbeing and sustainable d</vt:lpstr>
      <vt:lpstr>    Although significant progress has been made in medical care, there are still gre</vt:lpstr>
      <vt:lpstr>    In England, policies are underway to encourage integrated care, prevention and p</vt:lpstr>
      <vt:lpstr>    This report critically assesses SDG 3 and SDG 10 at the global, national and Bir</vt:lpstr>
      <vt:lpstr>    Sustainable Development Goal 3: Good Health and Wellbeing</vt:lpstr>
      <vt:lpstr>        Recommendations </vt:lpstr>
      <vt:lpstr>        Recommendation 1</vt:lpstr>
      <vt:lpstr>        Governments should keep making the transition from hospital to primary, preventa</vt:lpstr>
      <vt:lpstr>        Recommendation 2</vt:lpstr>
      <vt:lpstr>        A need for better collaboration across the health sector, housing, education, em</vt:lpstr>
      <vt:lpstr>        Recommendation 3</vt:lpstr>
      <vt:lpstr>        In order to achieve these objectives, there needs to be a continuous and focused</vt:lpstr>
      <vt:lpstr>        Conclusion </vt:lpstr>
      <vt:lpstr>        This article has comprehensively evaluated Sustainable Development Goal 3 (Good </vt:lpstr>
      <vt:lpstr>        Despite the strategic direction that is given at the global level through organi</vt:lpstr>
      <vt:lpstr>        </vt:lpstr>
      <vt:lpstr>        </vt:lpstr>
      <vt:lpstr>        </vt:lpstr>
      <vt:lpstr>        References</vt:lpstr>
    </vt:vector>
  </TitlesOfParts>
  <LinksUpToDate>false</LinksUpToDate>
  <CharactersWithSpaces>21183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cp:revision>
  <dcterms:created xsi:type="dcterms:W3CDTF">2026-07-17T10:33:00Z</dcterms:created>
  <dcterms:modified xsi:type="dcterms:W3CDTF">2026-07-18T22:24:00Z</dcterms:modified>
</cp:coreProperties>
</file>