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E77A6" w:rsidRDefault="008E7E8F" w14:paraId="2A8ADE7C" w14:textId="77777777">
      <w:r w:rsidR="008E7E8F">
        <w:drawing>
          <wp:inline wp14:editId="7B19093F" wp14:anchorId="6288BBD3">
            <wp:extent cx="5189220" cy="1508760"/>
            <wp:effectExtent l="0" t="0" r="0" b="0"/>
            <wp:docPr id="1678635664" name="Picture 1" descr="Group 1,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descr="Group 1, Grouped object"/>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5189220" cy="1508760"/>
                    </a:xfrm>
                    <a:prstGeom prst="rect">
                      <a:avLst/>
                    </a:prstGeom>
                    <a:noFill/>
                    <a:ln>
                      <a:noFill/>
                    </a:ln>
                  </pic:spPr>
                </pic:pic>
              </a:graphicData>
            </a:graphic>
          </wp:inline>
        </w:drawing>
      </w:r>
    </w:p>
    <w:p w:rsidR="008E7E8F" w:rsidP="008E7E8F" w:rsidRDefault="008E7E8F" w14:paraId="6C7FA11F" w14:textId="0F54896F">
      <w:pPr>
        <w:rPr>
          <w:rFonts w:ascii="Arial" w:hAnsi="Arial" w:cs="Arial"/>
          <w:sz w:val="32"/>
          <w:szCs w:val="32"/>
        </w:rPr>
      </w:pPr>
      <w:r w:rsidRPr="6407B060" w:rsidR="008E7E8F">
        <w:rPr>
          <w:rFonts w:ascii="Arial" w:hAnsi="Arial" w:cs="Arial"/>
          <w:sz w:val="32"/>
          <w:szCs w:val="32"/>
        </w:rPr>
        <w:t xml:space="preserve">   </w:t>
      </w:r>
      <w:r w:rsidRPr="6407B060" w:rsidR="008E7E8F">
        <w:rPr>
          <w:rFonts w:ascii="Arial" w:hAnsi="Arial" w:cs="Arial"/>
          <w:sz w:val="32"/>
          <w:szCs w:val="32"/>
        </w:rPr>
        <w:t>Assignment Title: Financial performance and management</w:t>
      </w:r>
    </w:p>
    <w:p w:rsidR="008E7E8F" w:rsidP="008E7E8F" w:rsidRDefault="008E7E8F" w14:paraId="501E46A3" w14:textId="7BD7D07D">
      <w:pPr>
        <w:rPr>
          <w:rFonts w:ascii="Arial" w:hAnsi="Arial" w:cs="Arial"/>
          <w:sz w:val="32"/>
          <w:szCs w:val="32"/>
        </w:rPr>
      </w:pPr>
      <w:r w:rsidRPr="6407B060" w:rsidR="008E7E8F">
        <w:rPr>
          <w:rFonts w:ascii="Arial" w:hAnsi="Arial" w:cs="Arial"/>
          <w:sz w:val="32"/>
          <w:szCs w:val="32"/>
        </w:rPr>
        <w:t xml:space="preserve">                     Topic: Strategic CFO Challenge</w:t>
      </w:r>
    </w:p>
    <w:p w:rsidR="00D34DBC" w:rsidP="008E7E8F" w:rsidRDefault="00D34DBC" w14:paraId="1103A3C2" w14:textId="77777777">
      <w:pPr>
        <w:rPr>
          <w:rFonts w:ascii="Arial" w:hAnsi="Arial" w:cs="Arial"/>
          <w:sz w:val="32"/>
          <w:szCs w:val="32"/>
        </w:rPr>
      </w:pPr>
    </w:p>
    <w:p w:rsidRPr="008E7E8F" w:rsidR="00D34DBC" w:rsidP="008E7E8F" w:rsidRDefault="00D34DBC" w14:paraId="2FACC6F0" w14:textId="2D65C199">
      <w:pPr>
        <w:rPr>
          <w:rFonts w:ascii="Arial" w:hAnsi="Arial" w:cs="Arial"/>
          <w:sz w:val="32"/>
          <w:szCs w:val="32"/>
        </w:rPr>
      </w:pPr>
      <w:r w:rsidRPr="6407B060" w:rsidR="00D34DBC">
        <w:rPr>
          <w:rFonts w:ascii="Arial" w:hAnsi="Arial" w:cs="Arial"/>
          <w:sz w:val="32"/>
          <w:szCs w:val="32"/>
        </w:rPr>
        <w:t xml:space="preserve">                       </w:t>
      </w:r>
      <w:r w:rsidRPr="6407B060" w:rsidR="00572E25">
        <w:rPr>
          <w:rFonts w:ascii="Arial" w:hAnsi="Arial" w:cs="Arial"/>
          <w:sz w:val="32"/>
          <w:szCs w:val="32"/>
        </w:rPr>
        <w:t xml:space="preserve">   </w:t>
      </w:r>
      <w:r w:rsidRPr="6407B060" w:rsidR="00D34DBC">
        <w:rPr>
          <w:rFonts w:ascii="Arial" w:hAnsi="Arial" w:cs="Arial"/>
          <w:sz w:val="32"/>
          <w:szCs w:val="32"/>
        </w:rPr>
        <w:t>P</w:t>
      </w:r>
      <w:r w:rsidRPr="6407B060" w:rsidR="00D34DBC">
        <w:rPr>
          <w:rFonts w:ascii="Arial" w:hAnsi="Arial" w:cs="Arial"/>
          <w:sz w:val="32"/>
          <w:szCs w:val="32"/>
        </w:rPr>
        <w:t xml:space="preserve">rogramme </w:t>
      </w:r>
      <w:r w:rsidRPr="6407B060" w:rsidR="00D34DBC">
        <w:rPr>
          <w:rFonts w:ascii="Arial" w:hAnsi="Arial" w:cs="Arial"/>
          <w:sz w:val="32"/>
          <w:szCs w:val="32"/>
        </w:rPr>
        <w:t>N</w:t>
      </w:r>
      <w:r w:rsidRPr="6407B060" w:rsidR="00D34DBC">
        <w:rPr>
          <w:rFonts w:ascii="Arial" w:hAnsi="Arial" w:cs="Arial"/>
          <w:sz w:val="32"/>
          <w:szCs w:val="32"/>
        </w:rPr>
        <w:t>ame</w:t>
      </w:r>
      <w:r w:rsidRPr="6407B060" w:rsidR="00D34DBC">
        <w:rPr>
          <w:rFonts w:ascii="Arial" w:hAnsi="Arial" w:cs="Arial"/>
          <w:sz w:val="32"/>
          <w:szCs w:val="32"/>
        </w:rPr>
        <w:t>: MBA</w:t>
      </w:r>
    </w:p>
    <w:p w:rsidRPr="008E7E8F" w:rsidR="008E7E8F" w:rsidP="008E7E8F" w:rsidRDefault="008E7E8F" w14:paraId="77552083" w14:textId="77777777">
      <w:pPr>
        <w:rPr>
          <w:rFonts w:ascii="Arial" w:hAnsi="Arial" w:cs="Arial"/>
        </w:rPr>
      </w:pPr>
      <w:r w:rsidRPr="6407B060" w:rsidR="008E7E8F">
        <w:rPr>
          <w:rFonts w:ascii="Arial" w:hAnsi="Arial" w:cs="Arial"/>
        </w:rPr>
        <w:t>             </w:t>
      </w:r>
    </w:p>
    <w:p w:rsidRPr="008E7E8F" w:rsidR="008E7E8F" w:rsidP="008E7E8F" w:rsidRDefault="008E7E8F" w14:paraId="4262046A" w14:textId="6EF6DCEB">
      <w:pPr>
        <w:rPr>
          <w:rFonts w:ascii="Arial" w:hAnsi="Arial" w:cs="Arial"/>
          <w:sz w:val="32"/>
          <w:szCs w:val="32"/>
        </w:rPr>
      </w:pPr>
      <w:r w:rsidRPr="6407B060" w:rsidR="008E7E8F">
        <w:rPr>
          <w:rFonts w:ascii="Arial" w:hAnsi="Arial" w:cs="Arial"/>
        </w:rPr>
        <w:t>            </w:t>
      </w:r>
      <w:r w:rsidRPr="6407B060" w:rsidR="008E7E8F">
        <w:rPr>
          <w:rFonts w:ascii="Arial" w:hAnsi="Arial" w:cs="Arial"/>
        </w:rPr>
        <w:t xml:space="preserve">                              </w:t>
      </w:r>
      <w:r w:rsidRPr="6407B060" w:rsidR="008E7E8F">
        <w:rPr>
          <w:rFonts w:ascii="Arial" w:hAnsi="Arial" w:cs="Arial"/>
        </w:rPr>
        <w:t xml:space="preserve"> </w:t>
      </w:r>
      <w:r w:rsidRPr="6407B060" w:rsidR="00572E25">
        <w:rPr>
          <w:rFonts w:ascii="Arial" w:hAnsi="Arial" w:cs="Arial"/>
        </w:rPr>
        <w:t xml:space="preserve">      </w:t>
      </w:r>
      <w:r w:rsidRPr="6407B060" w:rsidR="008E7E8F">
        <w:rPr>
          <w:rFonts w:ascii="Arial" w:hAnsi="Arial" w:cs="Arial"/>
          <w:sz w:val="32"/>
          <w:szCs w:val="32"/>
        </w:rPr>
        <w:t>Module Name:   </w:t>
      </w:r>
    </w:p>
    <w:p w:rsidRPr="008E7E8F" w:rsidR="008E7E8F" w:rsidP="008E7E8F" w:rsidRDefault="008E7E8F" w14:paraId="45502D5A" w14:textId="4EF846F7">
      <w:pPr>
        <w:rPr>
          <w:rFonts w:ascii="Arial" w:hAnsi="Arial" w:cs="Arial"/>
          <w:sz w:val="32"/>
          <w:szCs w:val="32"/>
        </w:rPr>
      </w:pPr>
      <w:r w:rsidRPr="6407B060" w:rsidR="008E7E8F">
        <w:rPr>
          <w:rFonts w:ascii="Arial" w:hAnsi="Arial" w:cs="Arial"/>
          <w:sz w:val="32"/>
          <w:szCs w:val="32"/>
        </w:rPr>
        <w:t>                     </w:t>
      </w:r>
      <w:r w:rsidRPr="6407B060" w:rsidR="00572E25">
        <w:rPr>
          <w:rFonts w:ascii="Arial" w:hAnsi="Arial" w:cs="Arial"/>
          <w:sz w:val="32"/>
          <w:szCs w:val="32"/>
        </w:rPr>
        <w:t xml:space="preserve">      </w:t>
      </w:r>
      <w:r w:rsidRPr="6407B060" w:rsidR="008E7E8F">
        <w:rPr>
          <w:rFonts w:ascii="Arial" w:hAnsi="Arial" w:cs="Arial"/>
          <w:sz w:val="32"/>
          <w:szCs w:val="32"/>
        </w:rPr>
        <w:t> </w:t>
      </w:r>
      <w:r w:rsidRPr="6407B060" w:rsidR="5DA36796">
        <w:rPr>
          <w:rFonts w:ascii="Arial" w:hAnsi="Arial" w:cs="Arial"/>
          <w:sz w:val="32"/>
          <w:szCs w:val="32"/>
        </w:rPr>
        <w:t xml:space="preserve">     </w:t>
      </w:r>
      <w:r w:rsidRPr="6407B060" w:rsidR="008E7E8F">
        <w:rPr>
          <w:rFonts w:ascii="Arial" w:hAnsi="Arial" w:cs="Arial"/>
          <w:sz w:val="32"/>
          <w:szCs w:val="32"/>
        </w:rPr>
        <w:t>Financial</w:t>
      </w:r>
      <w:r w:rsidRPr="6407B060" w:rsidR="008E7E8F">
        <w:rPr>
          <w:rFonts w:ascii="Arial" w:hAnsi="Arial" w:cs="Arial"/>
          <w:sz w:val="32"/>
          <w:szCs w:val="32"/>
        </w:rPr>
        <w:t xml:space="preserve"> Management </w:t>
      </w:r>
    </w:p>
    <w:p w:rsidRPr="008E7E8F" w:rsidR="008E7E8F" w:rsidP="008E7E8F" w:rsidRDefault="008E7E8F" w14:paraId="2FE89D2E" w14:textId="77777777">
      <w:pPr>
        <w:rPr>
          <w:rFonts w:ascii="Arial" w:hAnsi="Arial" w:cs="Arial"/>
        </w:rPr>
      </w:pPr>
      <w:r w:rsidRPr="6407B060" w:rsidR="008E7E8F">
        <w:rPr>
          <w:rFonts w:ascii="Arial" w:hAnsi="Arial" w:cs="Arial"/>
        </w:rPr>
        <w:t>  </w:t>
      </w:r>
    </w:p>
    <w:p w:rsidRPr="008E7E8F" w:rsidR="008E7E8F" w:rsidP="008E7E8F" w:rsidRDefault="008E7E8F" w14:paraId="09E2AC21" w14:textId="6D37694A">
      <w:pPr>
        <w:rPr>
          <w:rFonts w:ascii="Arial" w:hAnsi="Arial" w:cs="Arial"/>
          <w:sz w:val="32"/>
          <w:szCs w:val="32"/>
        </w:rPr>
      </w:pPr>
      <w:r w:rsidRPr="6407B060" w:rsidR="008E7E8F">
        <w:rPr>
          <w:rFonts w:ascii="Arial" w:hAnsi="Arial" w:cs="Arial"/>
          <w:sz w:val="32"/>
          <w:szCs w:val="32"/>
        </w:rPr>
        <w:t>                        </w:t>
      </w:r>
      <w:r w:rsidRPr="6407B060" w:rsidR="00572E25">
        <w:rPr>
          <w:rFonts w:ascii="Arial" w:hAnsi="Arial" w:cs="Arial"/>
          <w:sz w:val="32"/>
          <w:szCs w:val="32"/>
        </w:rPr>
        <w:t xml:space="preserve">     </w:t>
      </w:r>
      <w:r w:rsidRPr="6407B060" w:rsidR="008E7E8F">
        <w:rPr>
          <w:rFonts w:ascii="Arial" w:hAnsi="Arial" w:cs="Arial"/>
          <w:sz w:val="32"/>
          <w:szCs w:val="32"/>
        </w:rPr>
        <w:t>Module Code: LCMB70</w:t>
      </w:r>
      <w:r w:rsidRPr="6407B060" w:rsidR="008E7E8F">
        <w:rPr>
          <w:rFonts w:ascii="Arial" w:hAnsi="Arial" w:cs="Arial"/>
          <w:sz w:val="32"/>
          <w:szCs w:val="32"/>
        </w:rPr>
        <w:t>02</w:t>
      </w:r>
      <w:r w:rsidRPr="6407B060" w:rsidR="008E7E8F">
        <w:rPr>
          <w:rFonts w:ascii="Arial" w:hAnsi="Arial" w:cs="Arial"/>
          <w:sz w:val="32"/>
          <w:szCs w:val="32"/>
        </w:rPr>
        <w:t> </w:t>
      </w:r>
    </w:p>
    <w:p w:rsidRPr="008E7E8F" w:rsidR="008E7E8F" w:rsidP="008E7E8F" w:rsidRDefault="008E7E8F" w14:paraId="57F22D3A" w14:textId="77777777">
      <w:pPr>
        <w:rPr>
          <w:rFonts w:ascii="Arial" w:hAnsi="Arial" w:cs="Arial"/>
        </w:rPr>
      </w:pPr>
      <w:r w:rsidRPr="6407B060" w:rsidR="008E7E8F">
        <w:rPr>
          <w:rFonts w:ascii="Arial" w:hAnsi="Arial" w:cs="Arial"/>
        </w:rPr>
        <w:t>                                </w:t>
      </w:r>
    </w:p>
    <w:p w:rsidRPr="008E7E8F" w:rsidR="008E7E8F" w:rsidP="008E7E8F" w:rsidRDefault="008E7E8F" w14:paraId="00BDEF9A" w14:textId="14C0B345">
      <w:pPr>
        <w:rPr>
          <w:rFonts w:ascii="Arial" w:hAnsi="Arial" w:cs="Arial"/>
          <w:sz w:val="32"/>
          <w:szCs w:val="32"/>
        </w:rPr>
      </w:pPr>
      <w:r w:rsidRPr="6407B060" w:rsidR="008E7E8F">
        <w:rPr>
          <w:rFonts w:ascii="Arial" w:hAnsi="Arial" w:cs="Arial"/>
        </w:rPr>
        <w:t>                        </w:t>
      </w:r>
      <w:r w:rsidRPr="6407B060" w:rsidR="00572E25">
        <w:rPr>
          <w:rFonts w:ascii="Arial" w:hAnsi="Arial" w:cs="Arial"/>
        </w:rPr>
        <w:t xml:space="preserve">        </w:t>
      </w:r>
      <w:r w:rsidRPr="6407B060" w:rsidR="008E7E8F">
        <w:rPr>
          <w:rFonts w:ascii="Arial" w:hAnsi="Arial" w:cs="Arial"/>
          <w:sz w:val="32"/>
          <w:szCs w:val="32"/>
        </w:rPr>
        <w:t>Student Name: Carmen Prodan   </w:t>
      </w:r>
    </w:p>
    <w:p w:rsidRPr="008E7E8F" w:rsidR="008E7E8F" w:rsidP="008E7E8F" w:rsidRDefault="008E7E8F" w14:paraId="119D9F25" w14:textId="77777777">
      <w:pPr>
        <w:rPr>
          <w:rFonts w:ascii="Arial" w:hAnsi="Arial" w:cs="Arial"/>
        </w:rPr>
      </w:pPr>
      <w:r w:rsidRPr="6407B060" w:rsidR="008E7E8F">
        <w:rPr>
          <w:rFonts w:ascii="Arial" w:hAnsi="Arial" w:cs="Arial"/>
        </w:rPr>
        <w:t>  </w:t>
      </w:r>
    </w:p>
    <w:p w:rsidRPr="008E7E8F" w:rsidR="008E7E8F" w:rsidP="008E7E8F" w:rsidRDefault="008E7E8F" w14:paraId="66EF0AC2" w14:textId="3FE89946">
      <w:pPr>
        <w:rPr>
          <w:rFonts w:ascii="Arial" w:hAnsi="Arial" w:cs="Arial"/>
          <w:sz w:val="32"/>
          <w:szCs w:val="32"/>
        </w:rPr>
      </w:pPr>
      <w:r w:rsidRPr="6407B060" w:rsidR="008E7E8F">
        <w:rPr>
          <w:rFonts w:ascii="Arial" w:hAnsi="Arial" w:cs="Arial"/>
        </w:rPr>
        <w:t>                               </w:t>
      </w:r>
      <w:r w:rsidRPr="6407B060" w:rsidR="008E7E8F">
        <w:rPr>
          <w:rFonts w:ascii="Arial" w:hAnsi="Arial" w:cs="Arial"/>
        </w:rPr>
        <w:t xml:space="preserve">     </w:t>
      </w:r>
      <w:r w:rsidRPr="6407B060" w:rsidR="00572E25">
        <w:rPr>
          <w:rFonts w:ascii="Arial" w:hAnsi="Arial" w:cs="Arial"/>
        </w:rPr>
        <w:t xml:space="preserve">         </w:t>
      </w:r>
      <w:r w:rsidRPr="6407B060" w:rsidR="008E7E8F">
        <w:rPr>
          <w:rFonts w:ascii="Arial" w:hAnsi="Arial" w:cs="Arial"/>
          <w:sz w:val="32"/>
          <w:szCs w:val="32"/>
        </w:rPr>
        <w:t>Student ID: 2223977  </w:t>
      </w:r>
    </w:p>
    <w:p w:rsidRPr="008E7E8F" w:rsidR="008E7E8F" w:rsidP="008E7E8F" w:rsidRDefault="008E7E8F" w14:paraId="7B7CA248" w14:textId="77777777">
      <w:pPr>
        <w:rPr>
          <w:rFonts w:ascii="Arial" w:hAnsi="Arial" w:cs="Arial"/>
        </w:rPr>
      </w:pPr>
      <w:r w:rsidRPr="6407B060" w:rsidR="008E7E8F">
        <w:rPr>
          <w:rFonts w:ascii="Arial" w:hAnsi="Arial" w:cs="Arial"/>
        </w:rPr>
        <w:t>  </w:t>
      </w:r>
    </w:p>
    <w:p w:rsidRPr="008E7E8F" w:rsidR="008E7E8F" w:rsidP="008E7E8F" w:rsidRDefault="008E7E8F" w14:paraId="776A9897" w14:textId="06B54D3B">
      <w:pPr>
        <w:rPr>
          <w:rFonts w:ascii="Arial" w:hAnsi="Arial" w:cs="Arial"/>
          <w:sz w:val="32"/>
          <w:szCs w:val="32"/>
        </w:rPr>
      </w:pPr>
      <w:r w:rsidRPr="6407B060" w:rsidR="008E7E8F">
        <w:rPr>
          <w:rFonts w:ascii="Arial" w:hAnsi="Arial" w:cs="Arial"/>
        </w:rPr>
        <w:t>                 </w:t>
      </w:r>
      <w:r w:rsidRPr="6407B060" w:rsidR="008E7E8F">
        <w:rPr>
          <w:rFonts w:ascii="Arial" w:hAnsi="Arial" w:cs="Arial"/>
        </w:rPr>
        <w:t xml:space="preserve">       </w:t>
      </w:r>
      <w:r w:rsidRPr="6407B060" w:rsidR="008E7E8F">
        <w:rPr>
          <w:rFonts w:ascii="Arial" w:hAnsi="Arial" w:cs="Arial"/>
          <w:sz w:val="32"/>
          <w:szCs w:val="32"/>
        </w:rPr>
        <w:t>Lecturer name: Dr Patrick Yeboah</w:t>
      </w:r>
    </w:p>
    <w:p w:rsidRPr="008E7E8F" w:rsidR="008E7E8F" w:rsidP="008E7E8F" w:rsidRDefault="008E7E8F" w14:paraId="4F6CE38C" w14:textId="77777777">
      <w:pPr>
        <w:rPr>
          <w:rFonts w:ascii="Arial" w:hAnsi="Arial" w:cs="Arial"/>
        </w:rPr>
      </w:pPr>
      <w:r w:rsidRPr="6407B060" w:rsidR="008E7E8F">
        <w:rPr>
          <w:rFonts w:ascii="Arial" w:hAnsi="Arial" w:cs="Arial"/>
        </w:rPr>
        <w:t>  </w:t>
      </w:r>
    </w:p>
    <w:p w:rsidR="008E7E8F" w:rsidP="008E7E8F" w:rsidRDefault="008E7E8F" w14:paraId="1F625418" w14:textId="7CB0C7DD">
      <w:pPr>
        <w:rPr>
          <w:rFonts w:ascii="Arial" w:hAnsi="Arial" w:cs="Arial"/>
          <w:sz w:val="28"/>
          <w:szCs w:val="28"/>
        </w:rPr>
      </w:pPr>
      <w:r w:rsidRPr="6407B060" w:rsidR="008E7E8F">
        <w:rPr>
          <w:rFonts w:ascii="Arial" w:hAnsi="Arial" w:cs="Arial"/>
        </w:rPr>
        <w:t xml:space="preserve">  </w:t>
      </w:r>
      <w:r w:rsidRPr="6407B060" w:rsidR="008E7E8F">
        <w:rPr>
          <w:rFonts w:ascii="Arial" w:hAnsi="Arial" w:cs="Arial"/>
        </w:rPr>
        <w:t xml:space="preserve">     </w:t>
      </w:r>
      <w:r w:rsidRPr="6407B060" w:rsidR="008E7E8F">
        <w:rPr>
          <w:rFonts w:ascii="Arial" w:hAnsi="Arial" w:cs="Arial"/>
          <w:sz w:val="28"/>
          <w:szCs w:val="28"/>
        </w:rPr>
        <w:t>Number of Words</w:t>
      </w:r>
      <w:r w:rsidRPr="6407B060" w:rsidR="008E7E8F">
        <w:rPr>
          <w:rFonts w:ascii="Arial" w:hAnsi="Arial" w:cs="Arial"/>
          <w:sz w:val="28"/>
          <w:szCs w:val="28"/>
        </w:rPr>
        <w:t>: </w:t>
      </w:r>
      <w:r w:rsidRPr="6407B060" w:rsidR="3D3E0A7A">
        <w:rPr>
          <w:rFonts w:ascii="Arial" w:hAnsi="Arial" w:cs="Arial"/>
          <w:sz w:val="28"/>
          <w:szCs w:val="28"/>
        </w:rPr>
        <w:t>77</w:t>
      </w:r>
      <w:r w:rsidRPr="6407B060" w:rsidR="6BBBF97D">
        <w:rPr>
          <w:rFonts w:ascii="Arial" w:hAnsi="Arial" w:cs="Arial"/>
          <w:sz w:val="28"/>
          <w:szCs w:val="28"/>
        </w:rPr>
        <w:t>99</w:t>
      </w:r>
      <w:r w:rsidRPr="6407B060" w:rsidR="3D3E0A7A">
        <w:rPr>
          <w:rFonts w:ascii="Arial" w:hAnsi="Arial" w:cs="Arial"/>
          <w:sz w:val="28"/>
          <w:szCs w:val="28"/>
        </w:rPr>
        <w:t xml:space="preserve"> </w:t>
      </w:r>
      <w:r w:rsidRPr="6407B060" w:rsidR="008E7E8F">
        <w:rPr>
          <w:rFonts w:ascii="Arial" w:hAnsi="Arial" w:cs="Arial"/>
          <w:sz w:val="28"/>
          <w:szCs w:val="28"/>
        </w:rPr>
        <w:t>(</w:t>
      </w:r>
      <w:r w:rsidRPr="6407B060" w:rsidR="008E7E8F">
        <w:rPr>
          <w:rFonts w:ascii="Arial" w:hAnsi="Arial" w:cs="Arial"/>
          <w:sz w:val="28"/>
          <w:szCs w:val="28"/>
        </w:rPr>
        <w:t xml:space="preserve">with </w:t>
      </w:r>
      <w:r w:rsidRPr="6407B060" w:rsidR="46F541E5">
        <w:rPr>
          <w:rFonts w:ascii="Arial" w:hAnsi="Arial" w:cs="Arial"/>
          <w:sz w:val="28"/>
          <w:szCs w:val="28"/>
        </w:rPr>
        <w:t xml:space="preserve">Abstract, </w:t>
      </w:r>
      <w:r w:rsidRPr="6407B060" w:rsidR="008E7E8F">
        <w:rPr>
          <w:rFonts w:ascii="Arial" w:hAnsi="Arial" w:cs="Arial"/>
          <w:sz w:val="28"/>
          <w:szCs w:val="28"/>
        </w:rPr>
        <w:t>References</w:t>
      </w:r>
      <w:r w:rsidRPr="6407B060" w:rsidR="5D32F7D8">
        <w:rPr>
          <w:rFonts w:ascii="Arial" w:hAnsi="Arial" w:cs="Arial"/>
          <w:sz w:val="28"/>
          <w:szCs w:val="28"/>
        </w:rPr>
        <w:t xml:space="preserve"> </w:t>
      </w:r>
      <w:r w:rsidRPr="6407B060" w:rsidR="008E7E8F">
        <w:rPr>
          <w:rFonts w:ascii="Arial" w:hAnsi="Arial" w:cs="Arial"/>
          <w:sz w:val="28"/>
          <w:szCs w:val="28"/>
        </w:rPr>
        <w:t>and Appendix) </w:t>
      </w:r>
    </w:p>
    <w:p w:rsidR="00D34DBC" w:rsidP="008E7E8F" w:rsidRDefault="00D34DBC" w14:paraId="336A414E" w14:textId="77777777">
      <w:pPr>
        <w:rPr>
          <w:rFonts w:ascii="Arial" w:hAnsi="Arial" w:cs="Arial"/>
          <w:sz w:val="28"/>
          <w:szCs w:val="28"/>
        </w:rPr>
      </w:pPr>
    </w:p>
    <w:p w:rsidRPr="008E7E8F" w:rsidR="00D34DBC" w:rsidP="008E7E8F" w:rsidRDefault="00D34DBC" w14:paraId="53807D50" w14:textId="72A60D3F">
      <w:pPr>
        <w:rPr>
          <w:rFonts w:ascii="Arial" w:hAnsi="Arial" w:cs="Arial"/>
          <w:sz w:val="28"/>
          <w:szCs w:val="28"/>
        </w:rPr>
      </w:pPr>
      <w:r w:rsidRPr="6407B060" w:rsidR="00D34DBC">
        <w:rPr>
          <w:rFonts w:ascii="Arial" w:hAnsi="Arial" w:cs="Arial"/>
          <w:sz w:val="28"/>
          <w:szCs w:val="28"/>
        </w:rPr>
        <w:t xml:space="preserve">                        Submission Date: March 2026</w:t>
      </w:r>
    </w:p>
    <w:p w:rsidRPr="008E7E8F" w:rsidR="008E7E8F" w:rsidP="008E7E8F" w:rsidRDefault="008E7E8F" w14:paraId="1A40D538" w14:textId="77777777">
      <w:r w:rsidR="008E7E8F">
        <w:rPr/>
        <w:t> </w:t>
      </w:r>
    </w:p>
    <w:p w:rsidR="008E7E8F" w:rsidRDefault="008E7E8F" w14:paraId="78965BD3" w14:textId="21664F83">
      <w:r>
        <w:br w:type="page"/>
      </w:r>
    </w:p>
    <w:p w:rsidR="008E7E8F" w:rsidP="008E7E8F" w:rsidRDefault="008E7E8F" w14:paraId="6D05110E" w14:textId="39060190">
      <w:pPr>
        <w:pStyle w:val="Heading1"/>
        <w:rPr>
          <w:rFonts w:ascii="Arial" w:hAnsi="Arial" w:cs="Arial"/>
          <w:sz w:val="32"/>
          <w:szCs w:val="32"/>
        </w:rPr>
      </w:pPr>
      <w:bookmarkStart w:name="_Toc1161415799" w:id="1043456245"/>
      <w:r w:rsidRPr="6407B060" w:rsidR="19CFF6ED">
        <w:rPr>
          <w:rFonts w:ascii="Arial" w:hAnsi="Arial" w:cs="Arial"/>
          <w:sz w:val="32"/>
          <w:szCs w:val="32"/>
        </w:rPr>
        <w:t>Abstract</w:t>
      </w:r>
      <w:bookmarkEnd w:id="1043456245"/>
      <w:r w:rsidRPr="6407B060" w:rsidR="19CFF6ED">
        <w:rPr>
          <w:rFonts w:ascii="Arial" w:hAnsi="Arial" w:cs="Arial"/>
          <w:sz w:val="32"/>
          <w:szCs w:val="32"/>
        </w:rPr>
        <w:t xml:space="preserve"> </w:t>
      </w:r>
    </w:p>
    <w:p w:rsidR="19CFF6ED" w:rsidP="6407B060" w:rsidRDefault="19CFF6ED" w14:paraId="176C7DFD" w14:textId="44CE62B5">
      <w:pPr>
        <w:pStyle w:val="Normal"/>
        <w:spacing w:line="360" w:lineRule="auto"/>
        <w:jc w:val="both"/>
        <w:rPr>
          <w:rFonts w:ascii="Arial" w:hAnsi="Arial" w:eastAsia="Arial" w:cs="Arial"/>
          <w:sz w:val="24"/>
          <w:szCs w:val="24"/>
        </w:rPr>
      </w:pPr>
      <w:r w:rsidRPr="6407B060" w:rsidR="19CFF6ED">
        <w:rPr>
          <w:rFonts w:ascii="Arial" w:hAnsi="Arial" w:eastAsia="Arial" w:cs="Arial"/>
          <w:sz w:val="24"/>
          <w:szCs w:val="24"/>
        </w:rPr>
        <w:t xml:space="preserve">This report evaluates the financial performance and strategic investment decisions of Volkswagen Group within the context of the global transition towards electric vehicles. The analysis begins with a financial health assessment covering the period 2020–2024, using ratio analysis to examine profitability, efficiency, liquidity, and financial structure. The findings highlight moderate but fluctuating profitability, stable operational efficiency, and a gradual tightening of liquidity, </w:t>
      </w:r>
      <w:r w:rsidRPr="6407B060" w:rsidR="19CFF6ED">
        <w:rPr>
          <w:rFonts w:ascii="Arial" w:hAnsi="Arial" w:eastAsia="Arial" w:cs="Arial"/>
          <w:sz w:val="24"/>
          <w:szCs w:val="24"/>
        </w:rPr>
        <w:t>indicating</w:t>
      </w:r>
      <w:r w:rsidRPr="6407B060" w:rsidR="19CFF6ED">
        <w:rPr>
          <w:rFonts w:ascii="Arial" w:hAnsi="Arial" w:eastAsia="Arial" w:cs="Arial"/>
          <w:sz w:val="24"/>
          <w:szCs w:val="24"/>
        </w:rPr>
        <w:t xml:space="preserve"> the need for improved working capital management. The report also evaluates three potential investment projects using capital budgeting techniques, including Payback Period (PBP), Accounting Rate of Return (ARR), Net Present Value (NPV), Profitability Index (PI), and Internal Rate of Return (IRR). The results </w:t>
      </w:r>
      <w:r w:rsidRPr="6407B060" w:rsidR="19CFF6ED">
        <w:rPr>
          <w:rFonts w:ascii="Arial" w:hAnsi="Arial" w:eastAsia="Arial" w:cs="Arial"/>
          <w:sz w:val="24"/>
          <w:szCs w:val="24"/>
        </w:rPr>
        <w:t>indicate</w:t>
      </w:r>
      <w:r w:rsidRPr="6407B060" w:rsidR="19CFF6ED">
        <w:rPr>
          <w:rFonts w:ascii="Arial" w:hAnsi="Arial" w:eastAsia="Arial" w:cs="Arial"/>
          <w:sz w:val="24"/>
          <w:szCs w:val="24"/>
        </w:rPr>
        <w:t xml:space="preserve"> that Project C performs most favourably across most financial metrics. Under capital rationing constraints, the </w:t>
      </w:r>
      <w:r w:rsidRPr="6407B060" w:rsidR="19CFF6ED">
        <w:rPr>
          <w:rFonts w:ascii="Arial" w:hAnsi="Arial" w:eastAsia="Arial" w:cs="Arial"/>
          <w:sz w:val="24"/>
          <w:szCs w:val="24"/>
        </w:rPr>
        <w:t>optimal</w:t>
      </w:r>
      <w:r w:rsidRPr="6407B060" w:rsidR="19CFF6ED">
        <w:rPr>
          <w:rFonts w:ascii="Arial" w:hAnsi="Arial" w:eastAsia="Arial" w:cs="Arial"/>
          <w:sz w:val="24"/>
          <w:szCs w:val="24"/>
        </w:rPr>
        <w:t xml:space="preserve"> investment portfolio consists of Projects B and C, maximising value within the £100 million investment limit. Overall, the analysis </w:t>
      </w:r>
      <w:r w:rsidRPr="6407B060" w:rsidR="19CFF6ED">
        <w:rPr>
          <w:rFonts w:ascii="Arial" w:hAnsi="Arial" w:eastAsia="Arial" w:cs="Arial"/>
          <w:sz w:val="24"/>
          <w:szCs w:val="24"/>
        </w:rPr>
        <w:t>demonstrates</w:t>
      </w:r>
      <w:r w:rsidRPr="6407B060" w:rsidR="19CFF6ED">
        <w:rPr>
          <w:rFonts w:ascii="Arial" w:hAnsi="Arial" w:eastAsia="Arial" w:cs="Arial"/>
          <w:sz w:val="24"/>
          <w:szCs w:val="24"/>
        </w:rPr>
        <w:t xml:space="preserve"> the importance of disciplined </w:t>
      </w:r>
      <w:r w:rsidRPr="6407B060" w:rsidR="19CFF6ED">
        <w:rPr>
          <w:rFonts w:ascii="Arial" w:hAnsi="Arial" w:eastAsia="Arial" w:cs="Arial"/>
          <w:sz w:val="24"/>
          <w:szCs w:val="24"/>
        </w:rPr>
        <w:t>financial management</w:t>
      </w:r>
      <w:r w:rsidRPr="6407B060" w:rsidR="19CFF6ED">
        <w:rPr>
          <w:rFonts w:ascii="Arial" w:hAnsi="Arial" w:eastAsia="Arial" w:cs="Arial"/>
          <w:sz w:val="24"/>
          <w:szCs w:val="24"/>
        </w:rPr>
        <w:t xml:space="preserve"> and rigorous investment appraisal to support long-term strategic transformation in the highly competitive electric vehicle industry.</w:t>
      </w:r>
    </w:p>
    <w:p w:rsidR="6407B060" w:rsidP="6407B060" w:rsidRDefault="6407B060" w14:paraId="59E48698" w14:textId="43E53E59">
      <w:pPr>
        <w:pStyle w:val="Normal"/>
      </w:pPr>
    </w:p>
    <w:p w:rsidRPr="00942790" w:rsidR="00942790" w:rsidP="00942790" w:rsidRDefault="00942790" w14:paraId="3346042F" w14:textId="77777777"/>
    <w:p w:rsidR="008E7E8F" w:rsidRDefault="008E7E8F" w14:paraId="5A96DD29" w14:textId="68AF4376">
      <w:r>
        <w:br w:type="page"/>
      </w:r>
    </w:p>
    <w:sdt>
      <w:sdtPr>
        <w:id w:val="1677014397"/>
        <w:docPartObj>
          <w:docPartGallery w:val="Table of Contents"/>
          <w:docPartUnique/>
        </w:docPartObj>
      </w:sdtPr>
      <w:sdtContent>
        <w:p w:rsidRPr="00D34DBC" w:rsidR="00D34DBC" w:rsidRDefault="00D34DBC" w14:paraId="3A2DC517" w14:textId="70C9FBEB">
          <w:pPr>
            <w:pStyle w:val="TOCHeading"/>
            <w:rPr>
              <w:rFonts w:ascii="Arial" w:hAnsi="Arial" w:cs="Arial"/>
            </w:rPr>
          </w:pPr>
          <w:r w:rsidRPr="6407B060" w:rsidR="00D34DBC">
            <w:rPr>
              <w:rFonts w:ascii="Arial" w:hAnsi="Arial" w:cs="Arial"/>
            </w:rPr>
            <w:t>Table of Contents</w:t>
          </w:r>
        </w:p>
        <w:p w:rsidR="00D34DBC" w:rsidP="6407B060" w:rsidRDefault="00D34DBC" w14:paraId="448A598C" w14:textId="41FC0934">
          <w:pPr>
            <w:pStyle w:val="TOC1"/>
            <w:tabs>
              <w:tab w:val="right" w:leader="dot" w:pos="9015"/>
            </w:tabs>
            <w:rPr>
              <w:rStyle w:val="Hyperlink"/>
              <w:noProof/>
              <w:lang w:eastAsia="en-GB"/>
            </w:rPr>
          </w:pPr>
          <w:r>
            <w:fldChar w:fldCharType="begin"/>
          </w:r>
          <w:r>
            <w:instrText xml:space="preserve">TOC \o "1-3" \z \u \h</w:instrText>
          </w:r>
          <w:r>
            <w:fldChar w:fldCharType="separate"/>
          </w:r>
          <w:hyperlink w:anchor="_Toc1161415799">
            <w:r w:rsidRPr="6407B060" w:rsidR="6407B060">
              <w:rPr>
                <w:rStyle w:val="Hyperlink"/>
              </w:rPr>
              <w:t>Abstract</w:t>
            </w:r>
            <w:r>
              <w:tab/>
            </w:r>
            <w:r>
              <w:fldChar w:fldCharType="begin"/>
            </w:r>
            <w:r>
              <w:instrText xml:space="preserve">PAGEREF _Toc1161415799 \h</w:instrText>
            </w:r>
            <w:r>
              <w:fldChar w:fldCharType="separate"/>
            </w:r>
            <w:r w:rsidRPr="6407B060" w:rsidR="6407B060">
              <w:rPr>
                <w:rStyle w:val="Hyperlink"/>
              </w:rPr>
              <w:t>1</w:t>
            </w:r>
            <w:r>
              <w:fldChar w:fldCharType="end"/>
            </w:r>
          </w:hyperlink>
        </w:p>
        <w:p w:rsidR="00D34DBC" w:rsidP="6407B060" w:rsidRDefault="00D34DBC" w14:paraId="0A9A29B4" w14:textId="274BCBB4">
          <w:pPr>
            <w:pStyle w:val="TOC1"/>
            <w:tabs>
              <w:tab w:val="right" w:leader="dot" w:pos="9015"/>
            </w:tabs>
            <w:rPr>
              <w:rStyle w:val="Hyperlink"/>
              <w:noProof/>
              <w:lang w:eastAsia="en-GB"/>
            </w:rPr>
          </w:pPr>
          <w:hyperlink w:anchor="_Toc756148376">
            <w:r w:rsidRPr="6407B060" w:rsidR="6407B060">
              <w:rPr>
                <w:rStyle w:val="Hyperlink"/>
              </w:rPr>
              <w:t>Introduction</w:t>
            </w:r>
            <w:r>
              <w:tab/>
            </w:r>
            <w:r>
              <w:fldChar w:fldCharType="begin"/>
            </w:r>
            <w:r>
              <w:instrText xml:space="preserve">PAGEREF _Toc756148376 \h</w:instrText>
            </w:r>
            <w:r>
              <w:fldChar w:fldCharType="separate"/>
            </w:r>
            <w:r w:rsidRPr="6407B060" w:rsidR="6407B060">
              <w:rPr>
                <w:rStyle w:val="Hyperlink"/>
              </w:rPr>
              <w:t>3</w:t>
            </w:r>
            <w:r>
              <w:fldChar w:fldCharType="end"/>
            </w:r>
          </w:hyperlink>
        </w:p>
        <w:p w:rsidR="6407B060" w:rsidP="6407B060" w:rsidRDefault="6407B060" w14:paraId="6A2C81CD" w14:textId="31AC0E7C">
          <w:pPr>
            <w:pStyle w:val="TOC1"/>
            <w:tabs>
              <w:tab w:val="right" w:leader="dot" w:pos="9015"/>
            </w:tabs>
            <w:rPr>
              <w:rStyle w:val="Hyperlink"/>
            </w:rPr>
          </w:pPr>
          <w:hyperlink w:anchor="_Toc265580183">
            <w:r w:rsidRPr="6407B060" w:rsidR="6407B060">
              <w:rPr>
                <w:rStyle w:val="Hyperlink"/>
              </w:rPr>
              <w:t>1. Financial Health Check</w:t>
            </w:r>
            <w:r>
              <w:tab/>
            </w:r>
            <w:r>
              <w:fldChar w:fldCharType="begin"/>
            </w:r>
            <w:r>
              <w:instrText xml:space="preserve">PAGEREF _Toc265580183 \h</w:instrText>
            </w:r>
            <w:r>
              <w:fldChar w:fldCharType="separate"/>
            </w:r>
            <w:r w:rsidRPr="6407B060" w:rsidR="6407B060">
              <w:rPr>
                <w:rStyle w:val="Hyperlink"/>
              </w:rPr>
              <w:t>5</w:t>
            </w:r>
            <w:r>
              <w:fldChar w:fldCharType="end"/>
            </w:r>
          </w:hyperlink>
        </w:p>
        <w:p w:rsidR="6407B060" w:rsidP="6407B060" w:rsidRDefault="6407B060" w14:paraId="57E8F6F4" w14:textId="76733E31">
          <w:pPr>
            <w:pStyle w:val="TOC2"/>
            <w:tabs>
              <w:tab w:val="right" w:leader="dot" w:pos="9015"/>
            </w:tabs>
            <w:rPr>
              <w:rStyle w:val="Hyperlink"/>
            </w:rPr>
          </w:pPr>
          <w:hyperlink w:anchor="_Toc439789759">
            <w:r w:rsidRPr="6407B060" w:rsidR="6407B060">
              <w:rPr>
                <w:rStyle w:val="Hyperlink"/>
              </w:rPr>
              <w:t>1.1 Profitability Ratios</w:t>
            </w:r>
            <w:r>
              <w:tab/>
            </w:r>
            <w:r>
              <w:fldChar w:fldCharType="begin"/>
            </w:r>
            <w:r>
              <w:instrText xml:space="preserve">PAGEREF _Toc439789759 \h</w:instrText>
            </w:r>
            <w:r>
              <w:fldChar w:fldCharType="separate"/>
            </w:r>
            <w:r w:rsidRPr="6407B060" w:rsidR="6407B060">
              <w:rPr>
                <w:rStyle w:val="Hyperlink"/>
              </w:rPr>
              <w:t>5</w:t>
            </w:r>
            <w:r>
              <w:fldChar w:fldCharType="end"/>
            </w:r>
          </w:hyperlink>
        </w:p>
        <w:p w:rsidR="6407B060" w:rsidP="6407B060" w:rsidRDefault="6407B060" w14:paraId="7478DEF2" w14:textId="546C12B7">
          <w:pPr>
            <w:pStyle w:val="TOC3"/>
            <w:tabs>
              <w:tab w:val="right" w:leader="dot" w:pos="9015"/>
            </w:tabs>
            <w:rPr>
              <w:rStyle w:val="Hyperlink"/>
            </w:rPr>
          </w:pPr>
          <w:hyperlink w:anchor="_Toc1742167977">
            <w:r w:rsidRPr="6407B060" w:rsidR="6407B060">
              <w:rPr>
                <w:rStyle w:val="Hyperlink"/>
              </w:rPr>
              <w:t>1.1.1 Return on Capital Employed (ROCE)</w:t>
            </w:r>
            <w:r>
              <w:tab/>
            </w:r>
            <w:r>
              <w:fldChar w:fldCharType="begin"/>
            </w:r>
            <w:r>
              <w:instrText xml:space="preserve">PAGEREF _Toc1742167977 \h</w:instrText>
            </w:r>
            <w:r>
              <w:fldChar w:fldCharType="separate"/>
            </w:r>
            <w:r w:rsidRPr="6407B060" w:rsidR="6407B060">
              <w:rPr>
                <w:rStyle w:val="Hyperlink"/>
              </w:rPr>
              <w:t>6</w:t>
            </w:r>
            <w:r>
              <w:fldChar w:fldCharType="end"/>
            </w:r>
          </w:hyperlink>
        </w:p>
        <w:p w:rsidR="6407B060" w:rsidP="6407B060" w:rsidRDefault="6407B060" w14:paraId="4E676CD1" w14:textId="70C86CD9">
          <w:pPr>
            <w:pStyle w:val="TOC3"/>
            <w:tabs>
              <w:tab w:val="right" w:leader="dot" w:pos="9015"/>
            </w:tabs>
            <w:rPr>
              <w:rStyle w:val="Hyperlink"/>
            </w:rPr>
          </w:pPr>
          <w:hyperlink w:anchor="_Toc749121114">
            <w:r w:rsidRPr="6407B060" w:rsidR="6407B060">
              <w:rPr>
                <w:rStyle w:val="Hyperlink"/>
              </w:rPr>
              <w:t>1.1.2 Return on Equity (ROE)</w:t>
            </w:r>
            <w:r>
              <w:tab/>
            </w:r>
            <w:r>
              <w:fldChar w:fldCharType="begin"/>
            </w:r>
            <w:r>
              <w:instrText xml:space="preserve">PAGEREF _Toc749121114 \h</w:instrText>
            </w:r>
            <w:r>
              <w:fldChar w:fldCharType="separate"/>
            </w:r>
            <w:r w:rsidRPr="6407B060" w:rsidR="6407B060">
              <w:rPr>
                <w:rStyle w:val="Hyperlink"/>
              </w:rPr>
              <w:t>7</w:t>
            </w:r>
            <w:r>
              <w:fldChar w:fldCharType="end"/>
            </w:r>
          </w:hyperlink>
        </w:p>
        <w:p w:rsidR="6407B060" w:rsidP="6407B060" w:rsidRDefault="6407B060" w14:paraId="6AEFC432" w14:textId="1D64842A">
          <w:pPr>
            <w:pStyle w:val="TOC3"/>
            <w:tabs>
              <w:tab w:val="right" w:leader="dot" w:pos="9015"/>
            </w:tabs>
            <w:rPr>
              <w:rStyle w:val="Hyperlink"/>
            </w:rPr>
          </w:pPr>
          <w:hyperlink w:anchor="_Toc29866649">
            <w:r w:rsidRPr="6407B060" w:rsidR="6407B060">
              <w:rPr>
                <w:rStyle w:val="Hyperlink"/>
              </w:rPr>
              <w:t>1.1.3 Gross Profit Margin</w:t>
            </w:r>
            <w:r>
              <w:tab/>
            </w:r>
            <w:r>
              <w:fldChar w:fldCharType="begin"/>
            </w:r>
            <w:r>
              <w:instrText xml:space="preserve">PAGEREF _Toc29866649 \h</w:instrText>
            </w:r>
            <w:r>
              <w:fldChar w:fldCharType="separate"/>
            </w:r>
            <w:r w:rsidRPr="6407B060" w:rsidR="6407B060">
              <w:rPr>
                <w:rStyle w:val="Hyperlink"/>
              </w:rPr>
              <w:t>7</w:t>
            </w:r>
            <w:r>
              <w:fldChar w:fldCharType="end"/>
            </w:r>
          </w:hyperlink>
        </w:p>
        <w:p w:rsidR="6407B060" w:rsidP="6407B060" w:rsidRDefault="6407B060" w14:paraId="307509C6" w14:textId="542F18D4">
          <w:pPr>
            <w:pStyle w:val="TOC3"/>
            <w:tabs>
              <w:tab w:val="right" w:leader="dot" w:pos="9015"/>
            </w:tabs>
            <w:rPr>
              <w:rStyle w:val="Hyperlink"/>
            </w:rPr>
          </w:pPr>
          <w:hyperlink w:anchor="_Toc2042814736">
            <w:r w:rsidRPr="6407B060" w:rsidR="6407B060">
              <w:rPr>
                <w:rStyle w:val="Hyperlink"/>
              </w:rPr>
              <w:t>1.1.4 Net Profit Margin</w:t>
            </w:r>
            <w:r>
              <w:tab/>
            </w:r>
            <w:r>
              <w:fldChar w:fldCharType="begin"/>
            </w:r>
            <w:r>
              <w:instrText xml:space="preserve">PAGEREF _Toc2042814736 \h</w:instrText>
            </w:r>
            <w:r>
              <w:fldChar w:fldCharType="separate"/>
            </w:r>
            <w:r w:rsidRPr="6407B060" w:rsidR="6407B060">
              <w:rPr>
                <w:rStyle w:val="Hyperlink"/>
              </w:rPr>
              <w:t>8</w:t>
            </w:r>
            <w:r>
              <w:fldChar w:fldCharType="end"/>
            </w:r>
          </w:hyperlink>
        </w:p>
        <w:p w:rsidR="6407B060" w:rsidP="6407B060" w:rsidRDefault="6407B060" w14:paraId="563805D4" w14:textId="16B30E85">
          <w:pPr>
            <w:pStyle w:val="TOC2"/>
            <w:tabs>
              <w:tab w:val="right" w:leader="dot" w:pos="9015"/>
            </w:tabs>
            <w:rPr>
              <w:rStyle w:val="Hyperlink"/>
            </w:rPr>
          </w:pPr>
          <w:hyperlink w:anchor="_Toc18317835">
            <w:r w:rsidRPr="6407B060" w:rsidR="6407B060">
              <w:rPr>
                <w:rStyle w:val="Hyperlink"/>
              </w:rPr>
              <w:t>1.2 Investment Ratios</w:t>
            </w:r>
            <w:r>
              <w:tab/>
            </w:r>
            <w:r>
              <w:fldChar w:fldCharType="begin"/>
            </w:r>
            <w:r>
              <w:instrText xml:space="preserve">PAGEREF _Toc18317835 \h</w:instrText>
            </w:r>
            <w:r>
              <w:fldChar w:fldCharType="separate"/>
            </w:r>
            <w:r w:rsidRPr="6407B060" w:rsidR="6407B060">
              <w:rPr>
                <w:rStyle w:val="Hyperlink"/>
              </w:rPr>
              <w:t>10</w:t>
            </w:r>
            <w:r>
              <w:fldChar w:fldCharType="end"/>
            </w:r>
          </w:hyperlink>
        </w:p>
        <w:p w:rsidR="6407B060" w:rsidP="6407B060" w:rsidRDefault="6407B060" w14:paraId="2E3D0DD6" w14:textId="581C0627">
          <w:pPr>
            <w:pStyle w:val="TOC2"/>
            <w:tabs>
              <w:tab w:val="right" w:leader="dot" w:pos="9015"/>
            </w:tabs>
            <w:rPr>
              <w:rStyle w:val="Hyperlink"/>
            </w:rPr>
          </w:pPr>
          <w:hyperlink w:anchor="_Toc1849095236">
            <w:r w:rsidRPr="6407B060" w:rsidR="6407B060">
              <w:rPr>
                <w:rStyle w:val="Hyperlink"/>
              </w:rPr>
              <w:t>1.3 Efficiency Ratios</w:t>
            </w:r>
            <w:r>
              <w:tab/>
            </w:r>
            <w:r>
              <w:fldChar w:fldCharType="begin"/>
            </w:r>
            <w:r>
              <w:instrText xml:space="preserve">PAGEREF _Toc1849095236 \h</w:instrText>
            </w:r>
            <w:r>
              <w:fldChar w:fldCharType="separate"/>
            </w:r>
            <w:r w:rsidRPr="6407B060" w:rsidR="6407B060">
              <w:rPr>
                <w:rStyle w:val="Hyperlink"/>
              </w:rPr>
              <w:t>10</w:t>
            </w:r>
            <w:r>
              <w:fldChar w:fldCharType="end"/>
            </w:r>
          </w:hyperlink>
        </w:p>
        <w:p w:rsidR="6407B060" w:rsidP="6407B060" w:rsidRDefault="6407B060" w14:paraId="0B2D6737" w14:textId="38566530">
          <w:pPr>
            <w:pStyle w:val="TOC3"/>
            <w:tabs>
              <w:tab w:val="right" w:leader="dot" w:pos="9015"/>
            </w:tabs>
            <w:rPr>
              <w:rStyle w:val="Hyperlink"/>
            </w:rPr>
          </w:pPr>
          <w:hyperlink w:anchor="_Toc1763944179">
            <w:r w:rsidRPr="6407B060" w:rsidR="6407B060">
              <w:rPr>
                <w:rStyle w:val="Hyperlink"/>
              </w:rPr>
              <w:t>1.3.1 Asset Turnover (Capital Turnover)</w:t>
            </w:r>
            <w:r>
              <w:tab/>
            </w:r>
            <w:r>
              <w:fldChar w:fldCharType="begin"/>
            </w:r>
            <w:r>
              <w:instrText xml:space="preserve">PAGEREF _Toc1763944179 \h</w:instrText>
            </w:r>
            <w:r>
              <w:fldChar w:fldCharType="separate"/>
            </w:r>
            <w:r w:rsidRPr="6407B060" w:rsidR="6407B060">
              <w:rPr>
                <w:rStyle w:val="Hyperlink"/>
              </w:rPr>
              <w:t>11</w:t>
            </w:r>
            <w:r>
              <w:fldChar w:fldCharType="end"/>
            </w:r>
          </w:hyperlink>
        </w:p>
        <w:p w:rsidR="6407B060" w:rsidP="6407B060" w:rsidRDefault="6407B060" w14:paraId="6B579FF6" w14:textId="6DC8406D">
          <w:pPr>
            <w:pStyle w:val="TOC3"/>
            <w:tabs>
              <w:tab w:val="right" w:leader="dot" w:pos="9015"/>
            </w:tabs>
            <w:rPr>
              <w:rStyle w:val="Hyperlink"/>
            </w:rPr>
          </w:pPr>
          <w:hyperlink w:anchor="_Toc1578098142">
            <w:r w:rsidRPr="6407B060" w:rsidR="6407B060">
              <w:rPr>
                <w:rStyle w:val="Hyperlink"/>
              </w:rPr>
              <w:t>1.3.2 Stock Holding Period</w:t>
            </w:r>
            <w:r>
              <w:tab/>
            </w:r>
            <w:r>
              <w:fldChar w:fldCharType="begin"/>
            </w:r>
            <w:r>
              <w:instrText xml:space="preserve">PAGEREF _Toc1578098142 \h</w:instrText>
            </w:r>
            <w:r>
              <w:fldChar w:fldCharType="separate"/>
            </w:r>
            <w:r w:rsidRPr="6407B060" w:rsidR="6407B060">
              <w:rPr>
                <w:rStyle w:val="Hyperlink"/>
              </w:rPr>
              <w:t>11</w:t>
            </w:r>
            <w:r>
              <w:fldChar w:fldCharType="end"/>
            </w:r>
          </w:hyperlink>
        </w:p>
        <w:p w:rsidR="6407B060" w:rsidP="6407B060" w:rsidRDefault="6407B060" w14:paraId="0A37F1BB" w14:textId="4B427C5D">
          <w:pPr>
            <w:pStyle w:val="TOC3"/>
            <w:tabs>
              <w:tab w:val="right" w:leader="dot" w:pos="9015"/>
            </w:tabs>
            <w:rPr>
              <w:rStyle w:val="Hyperlink"/>
            </w:rPr>
          </w:pPr>
          <w:hyperlink w:anchor="_Toc1258971650">
            <w:r w:rsidRPr="6407B060" w:rsidR="6407B060">
              <w:rPr>
                <w:rStyle w:val="Hyperlink"/>
              </w:rPr>
              <w:t>1.3.3 Debtors` Collection Period</w:t>
            </w:r>
            <w:r>
              <w:tab/>
            </w:r>
            <w:r>
              <w:fldChar w:fldCharType="begin"/>
            </w:r>
            <w:r>
              <w:instrText xml:space="preserve">PAGEREF _Toc1258971650 \h</w:instrText>
            </w:r>
            <w:r>
              <w:fldChar w:fldCharType="separate"/>
            </w:r>
            <w:r w:rsidRPr="6407B060" w:rsidR="6407B060">
              <w:rPr>
                <w:rStyle w:val="Hyperlink"/>
              </w:rPr>
              <w:t>12</w:t>
            </w:r>
            <w:r>
              <w:fldChar w:fldCharType="end"/>
            </w:r>
          </w:hyperlink>
        </w:p>
        <w:p w:rsidR="6407B060" w:rsidP="6407B060" w:rsidRDefault="6407B060" w14:paraId="0F48B883" w14:textId="2D712F06">
          <w:pPr>
            <w:pStyle w:val="TOC3"/>
            <w:tabs>
              <w:tab w:val="right" w:leader="dot" w:pos="9015"/>
            </w:tabs>
            <w:rPr>
              <w:rStyle w:val="Hyperlink"/>
            </w:rPr>
          </w:pPr>
          <w:hyperlink w:anchor="_Toc1139042299">
            <w:r w:rsidRPr="6407B060" w:rsidR="6407B060">
              <w:rPr>
                <w:rStyle w:val="Hyperlink"/>
              </w:rPr>
              <w:t>1.3.4 Creditors` Payment Period</w:t>
            </w:r>
            <w:r>
              <w:tab/>
            </w:r>
            <w:r>
              <w:fldChar w:fldCharType="begin"/>
            </w:r>
            <w:r>
              <w:instrText xml:space="preserve">PAGEREF _Toc1139042299 \h</w:instrText>
            </w:r>
            <w:r>
              <w:fldChar w:fldCharType="separate"/>
            </w:r>
            <w:r w:rsidRPr="6407B060" w:rsidR="6407B060">
              <w:rPr>
                <w:rStyle w:val="Hyperlink"/>
              </w:rPr>
              <w:t>13</w:t>
            </w:r>
            <w:r>
              <w:fldChar w:fldCharType="end"/>
            </w:r>
          </w:hyperlink>
        </w:p>
        <w:p w:rsidR="6407B060" w:rsidP="6407B060" w:rsidRDefault="6407B060" w14:paraId="654BDEB4" w14:textId="743B8768">
          <w:pPr>
            <w:pStyle w:val="TOC2"/>
            <w:tabs>
              <w:tab w:val="right" w:leader="dot" w:pos="9015"/>
            </w:tabs>
            <w:rPr>
              <w:rStyle w:val="Hyperlink"/>
            </w:rPr>
          </w:pPr>
          <w:hyperlink w:anchor="_Toc730146573">
            <w:r w:rsidRPr="6407B060" w:rsidR="6407B060">
              <w:rPr>
                <w:rStyle w:val="Hyperlink"/>
              </w:rPr>
              <w:t>1.4 Liquidity Ratios</w:t>
            </w:r>
            <w:r>
              <w:tab/>
            </w:r>
            <w:r>
              <w:fldChar w:fldCharType="begin"/>
            </w:r>
            <w:r>
              <w:instrText xml:space="preserve">PAGEREF _Toc730146573 \h</w:instrText>
            </w:r>
            <w:r>
              <w:fldChar w:fldCharType="separate"/>
            </w:r>
            <w:r w:rsidRPr="6407B060" w:rsidR="6407B060">
              <w:rPr>
                <w:rStyle w:val="Hyperlink"/>
              </w:rPr>
              <w:t>14</w:t>
            </w:r>
            <w:r>
              <w:fldChar w:fldCharType="end"/>
            </w:r>
          </w:hyperlink>
        </w:p>
        <w:p w:rsidR="6407B060" w:rsidP="6407B060" w:rsidRDefault="6407B060" w14:paraId="12CB6D96" w14:textId="718E8BA7">
          <w:pPr>
            <w:pStyle w:val="TOC3"/>
            <w:tabs>
              <w:tab w:val="right" w:leader="dot" w:pos="9015"/>
            </w:tabs>
            <w:rPr>
              <w:rStyle w:val="Hyperlink"/>
            </w:rPr>
          </w:pPr>
          <w:hyperlink w:anchor="_Toc450106326">
            <w:r w:rsidRPr="6407B060" w:rsidR="6407B060">
              <w:rPr>
                <w:rStyle w:val="Hyperlink"/>
              </w:rPr>
              <w:t>1.4.1 Current Ratio (Working Capital Ratio)</w:t>
            </w:r>
            <w:r>
              <w:tab/>
            </w:r>
            <w:r>
              <w:fldChar w:fldCharType="begin"/>
            </w:r>
            <w:r>
              <w:instrText xml:space="preserve">PAGEREF _Toc450106326 \h</w:instrText>
            </w:r>
            <w:r>
              <w:fldChar w:fldCharType="separate"/>
            </w:r>
            <w:r w:rsidRPr="6407B060" w:rsidR="6407B060">
              <w:rPr>
                <w:rStyle w:val="Hyperlink"/>
              </w:rPr>
              <w:t>14</w:t>
            </w:r>
            <w:r>
              <w:fldChar w:fldCharType="end"/>
            </w:r>
          </w:hyperlink>
        </w:p>
        <w:p w:rsidR="6407B060" w:rsidP="6407B060" w:rsidRDefault="6407B060" w14:paraId="529C97CB" w14:textId="5EC60822">
          <w:pPr>
            <w:pStyle w:val="TOC2"/>
            <w:tabs>
              <w:tab w:val="right" w:leader="dot" w:pos="9015"/>
            </w:tabs>
            <w:rPr>
              <w:rStyle w:val="Hyperlink"/>
            </w:rPr>
          </w:pPr>
          <w:hyperlink w:anchor="_Toc1956391040">
            <w:r w:rsidRPr="6407B060" w:rsidR="6407B060">
              <w:rPr>
                <w:rStyle w:val="Hyperlink"/>
              </w:rPr>
              <w:t>1.5 Financing Structure</w:t>
            </w:r>
            <w:r>
              <w:tab/>
            </w:r>
            <w:r>
              <w:fldChar w:fldCharType="begin"/>
            </w:r>
            <w:r>
              <w:instrText xml:space="preserve">PAGEREF _Toc1956391040 \h</w:instrText>
            </w:r>
            <w:r>
              <w:fldChar w:fldCharType="separate"/>
            </w:r>
            <w:r w:rsidRPr="6407B060" w:rsidR="6407B060">
              <w:rPr>
                <w:rStyle w:val="Hyperlink"/>
              </w:rPr>
              <w:t>16</w:t>
            </w:r>
            <w:r>
              <w:fldChar w:fldCharType="end"/>
            </w:r>
          </w:hyperlink>
        </w:p>
        <w:p w:rsidR="6407B060" w:rsidP="6407B060" w:rsidRDefault="6407B060" w14:paraId="675AE064" w14:textId="21918EAE">
          <w:pPr>
            <w:pStyle w:val="TOC3"/>
            <w:tabs>
              <w:tab w:val="right" w:leader="dot" w:pos="9015"/>
            </w:tabs>
            <w:rPr>
              <w:rStyle w:val="Hyperlink"/>
            </w:rPr>
          </w:pPr>
          <w:hyperlink w:anchor="_Toc1281859287">
            <w:r w:rsidRPr="6407B060" w:rsidR="6407B060">
              <w:rPr>
                <w:rStyle w:val="Hyperlink"/>
              </w:rPr>
              <w:t>1.5.1 Gearing Ratio</w:t>
            </w:r>
            <w:r>
              <w:tab/>
            </w:r>
            <w:r>
              <w:fldChar w:fldCharType="begin"/>
            </w:r>
            <w:r>
              <w:instrText xml:space="preserve">PAGEREF _Toc1281859287 \h</w:instrText>
            </w:r>
            <w:r>
              <w:fldChar w:fldCharType="separate"/>
            </w:r>
            <w:r w:rsidRPr="6407B060" w:rsidR="6407B060">
              <w:rPr>
                <w:rStyle w:val="Hyperlink"/>
              </w:rPr>
              <w:t>16</w:t>
            </w:r>
            <w:r>
              <w:fldChar w:fldCharType="end"/>
            </w:r>
          </w:hyperlink>
        </w:p>
        <w:p w:rsidR="6407B060" w:rsidP="6407B060" w:rsidRDefault="6407B060" w14:paraId="200CDB2C" w14:textId="1CE65D2B">
          <w:pPr>
            <w:pStyle w:val="TOC3"/>
            <w:tabs>
              <w:tab w:val="right" w:leader="dot" w:pos="9015"/>
            </w:tabs>
            <w:rPr>
              <w:rStyle w:val="Hyperlink"/>
            </w:rPr>
          </w:pPr>
          <w:hyperlink w:anchor="_Toc1648652925">
            <w:r w:rsidRPr="6407B060" w:rsidR="6407B060">
              <w:rPr>
                <w:rStyle w:val="Hyperlink"/>
              </w:rPr>
              <w:t>1.5.2 Interest Cover</w:t>
            </w:r>
            <w:r>
              <w:tab/>
            </w:r>
            <w:r>
              <w:fldChar w:fldCharType="begin"/>
            </w:r>
            <w:r>
              <w:instrText xml:space="preserve">PAGEREF _Toc1648652925 \h</w:instrText>
            </w:r>
            <w:r>
              <w:fldChar w:fldCharType="separate"/>
            </w:r>
            <w:r w:rsidRPr="6407B060" w:rsidR="6407B060">
              <w:rPr>
                <w:rStyle w:val="Hyperlink"/>
              </w:rPr>
              <w:t>17</w:t>
            </w:r>
            <w:r>
              <w:fldChar w:fldCharType="end"/>
            </w:r>
          </w:hyperlink>
        </w:p>
        <w:p w:rsidR="6407B060" w:rsidP="6407B060" w:rsidRDefault="6407B060" w14:paraId="0A475EE6" w14:textId="6243AC76">
          <w:pPr>
            <w:pStyle w:val="TOC1"/>
            <w:tabs>
              <w:tab w:val="right" w:leader="dot" w:pos="9015"/>
            </w:tabs>
            <w:rPr>
              <w:rStyle w:val="Hyperlink"/>
            </w:rPr>
          </w:pPr>
          <w:hyperlink w:anchor="_Toc1963795209">
            <w:r w:rsidRPr="6407B060" w:rsidR="6407B060">
              <w:rPr>
                <w:rStyle w:val="Hyperlink"/>
              </w:rPr>
              <w:t>2. Working Capital Management Analysis</w:t>
            </w:r>
            <w:r>
              <w:tab/>
            </w:r>
            <w:r>
              <w:fldChar w:fldCharType="begin"/>
            </w:r>
            <w:r>
              <w:instrText xml:space="preserve">PAGEREF _Toc1963795209 \h</w:instrText>
            </w:r>
            <w:r>
              <w:fldChar w:fldCharType="separate"/>
            </w:r>
            <w:r w:rsidRPr="6407B060" w:rsidR="6407B060">
              <w:rPr>
                <w:rStyle w:val="Hyperlink"/>
              </w:rPr>
              <w:t>17</w:t>
            </w:r>
            <w:r>
              <w:fldChar w:fldCharType="end"/>
            </w:r>
          </w:hyperlink>
        </w:p>
        <w:p w:rsidR="6407B060" w:rsidP="6407B060" w:rsidRDefault="6407B060" w14:paraId="26139FFF" w14:textId="39DFDEAF">
          <w:pPr>
            <w:pStyle w:val="TOC2"/>
            <w:tabs>
              <w:tab w:val="right" w:leader="dot" w:pos="9015"/>
            </w:tabs>
            <w:rPr>
              <w:rStyle w:val="Hyperlink"/>
            </w:rPr>
          </w:pPr>
          <w:hyperlink w:anchor="_Toc1940775979">
            <w:r w:rsidRPr="6407B060" w:rsidR="6407B060">
              <w:rPr>
                <w:rStyle w:val="Hyperlink"/>
              </w:rPr>
              <w:t>2.1 Cash operating cycle assessment</w:t>
            </w:r>
            <w:r>
              <w:tab/>
            </w:r>
            <w:r>
              <w:fldChar w:fldCharType="begin"/>
            </w:r>
            <w:r>
              <w:instrText xml:space="preserve">PAGEREF _Toc1940775979 \h</w:instrText>
            </w:r>
            <w:r>
              <w:fldChar w:fldCharType="separate"/>
            </w:r>
            <w:r w:rsidRPr="6407B060" w:rsidR="6407B060">
              <w:rPr>
                <w:rStyle w:val="Hyperlink"/>
              </w:rPr>
              <w:t>18</w:t>
            </w:r>
            <w:r>
              <w:fldChar w:fldCharType="end"/>
            </w:r>
          </w:hyperlink>
        </w:p>
        <w:p w:rsidR="6407B060" w:rsidP="6407B060" w:rsidRDefault="6407B060" w14:paraId="71EC2F64" w14:textId="05A7841E">
          <w:pPr>
            <w:pStyle w:val="TOC1"/>
            <w:tabs>
              <w:tab w:val="right" w:leader="dot" w:pos="9015"/>
            </w:tabs>
            <w:rPr>
              <w:rStyle w:val="Hyperlink"/>
            </w:rPr>
          </w:pPr>
          <w:hyperlink w:anchor="_Toc532973569">
            <w:r w:rsidRPr="6407B060" w:rsidR="6407B060">
              <w:rPr>
                <w:rStyle w:val="Hyperlink"/>
              </w:rPr>
              <w:t>3. Strategic Financial Restructuring Plan</w:t>
            </w:r>
            <w:r>
              <w:tab/>
            </w:r>
            <w:r>
              <w:fldChar w:fldCharType="begin"/>
            </w:r>
            <w:r>
              <w:instrText xml:space="preserve">PAGEREF _Toc532973569 \h</w:instrText>
            </w:r>
            <w:r>
              <w:fldChar w:fldCharType="separate"/>
            </w:r>
            <w:r w:rsidRPr="6407B060" w:rsidR="6407B060">
              <w:rPr>
                <w:rStyle w:val="Hyperlink"/>
              </w:rPr>
              <w:t>19</w:t>
            </w:r>
            <w:r>
              <w:fldChar w:fldCharType="end"/>
            </w:r>
          </w:hyperlink>
        </w:p>
        <w:p w:rsidR="6407B060" w:rsidP="6407B060" w:rsidRDefault="6407B060" w14:paraId="66F4A75E" w14:textId="3E803915">
          <w:pPr>
            <w:pStyle w:val="TOC1"/>
            <w:tabs>
              <w:tab w:val="right" w:leader="dot" w:pos="9015"/>
            </w:tabs>
            <w:rPr>
              <w:rStyle w:val="Hyperlink"/>
            </w:rPr>
          </w:pPr>
          <w:hyperlink w:anchor="_Toc1457031231">
            <w:r w:rsidRPr="6407B060" w:rsidR="6407B060">
              <w:rPr>
                <w:rStyle w:val="Hyperlink"/>
              </w:rPr>
              <w:t>4. Investment Appraisal and Capital Budgeting</w:t>
            </w:r>
            <w:r>
              <w:tab/>
            </w:r>
            <w:r>
              <w:fldChar w:fldCharType="begin"/>
            </w:r>
            <w:r>
              <w:instrText xml:space="preserve">PAGEREF _Toc1457031231 \h</w:instrText>
            </w:r>
            <w:r>
              <w:fldChar w:fldCharType="separate"/>
            </w:r>
            <w:r w:rsidRPr="6407B060" w:rsidR="6407B060">
              <w:rPr>
                <w:rStyle w:val="Hyperlink"/>
              </w:rPr>
              <w:t>22</w:t>
            </w:r>
            <w:r>
              <w:fldChar w:fldCharType="end"/>
            </w:r>
          </w:hyperlink>
        </w:p>
        <w:p w:rsidR="6407B060" w:rsidP="6407B060" w:rsidRDefault="6407B060" w14:paraId="45FDE7F0" w14:textId="76046487">
          <w:pPr>
            <w:pStyle w:val="TOC2"/>
            <w:tabs>
              <w:tab w:val="right" w:leader="dot" w:pos="9015"/>
            </w:tabs>
            <w:rPr>
              <w:rStyle w:val="Hyperlink"/>
            </w:rPr>
          </w:pPr>
          <w:hyperlink w:anchor="_Toc1129213001">
            <w:r w:rsidRPr="6407B060" w:rsidR="6407B060">
              <w:rPr>
                <w:rStyle w:val="Hyperlink"/>
              </w:rPr>
              <w:t>4.1 Payback Period (PBP)</w:t>
            </w:r>
            <w:r>
              <w:tab/>
            </w:r>
            <w:r>
              <w:fldChar w:fldCharType="begin"/>
            </w:r>
            <w:r>
              <w:instrText xml:space="preserve">PAGEREF _Toc1129213001 \h</w:instrText>
            </w:r>
            <w:r>
              <w:fldChar w:fldCharType="separate"/>
            </w:r>
            <w:r w:rsidRPr="6407B060" w:rsidR="6407B060">
              <w:rPr>
                <w:rStyle w:val="Hyperlink"/>
              </w:rPr>
              <w:t>23</w:t>
            </w:r>
            <w:r>
              <w:fldChar w:fldCharType="end"/>
            </w:r>
          </w:hyperlink>
        </w:p>
        <w:p w:rsidR="6407B060" w:rsidP="6407B060" w:rsidRDefault="6407B060" w14:paraId="5AFD392B" w14:textId="62B238FF">
          <w:pPr>
            <w:pStyle w:val="TOC2"/>
            <w:tabs>
              <w:tab w:val="right" w:leader="dot" w:pos="9015"/>
            </w:tabs>
            <w:rPr>
              <w:rStyle w:val="Hyperlink"/>
            </w:rPr>
          </w:pPr>
          <w:hyperlink w:anchor="_Toc1296441266">
            <w:r w:rsidRPr="6407B060" w:rsidR="6407B060">
              <w:rPr>
                <w:rStyle w:val="Hyperlink"/>
              </w:rPr>
              <w:t>4.2 Accounting Rate of Return (ARR)</w:t>
            </w:r>
            <w:r>
              <w:tab/>
            </w:r>
            <w:r>
              <w:fldChar w:fldCharType="begin"/>
            </w:r>
            <w:r>
              <w:instrText xml:space="preserve">PAGEREF _Toc1296441266 \h</w:instrText>
            </w:r>
            <w:r>
              <w:fldChar w:fldCharType="separate"/>
            </w:r>
            <w:r w:rsidRPr="6407B060" w:rsidR="6407B060">
              <w:rPr>
                <w:rStyle w:val="Hyperlink"/>
              </w:rPr>
              <w:t>24</w:t>
            </w:r>
            <w:r>
              <w:fldChar w:fldCharType="end"/>
            </w:r>
          </w:hyperlink>
        </w:p>
        <w:p w:rsidR="6407B060" w:rsidP="6407B060" w:rsidRDefault="6407B060" w14:paraId="79B8897C" w14:textId="7F9A9265">
          <w:pPr>
            <w:pStyle w:val="TOC2"/>
            <w:tabs>
              <w:tab w:val="right" w:leader="dot" w:pos="9015"/>
            </w:tabs>
            <w:rPr>
              <w:rStyle w:val="Hyperlink"/>
            </w:rPr>
          </w:pPr>
          <w:hyperlink w:anchor="_Toc1045162894">
            <w:r w:rsidRPr="6407B060" w:rsidR="6407B060">
              <w:rPr>
                <w:rStyle w:val="Hyperlink"/>
              </w:rPr>
              <w:t>4.3 Net Present Value (NPV)</w:t>
            </w:r>
            <w:r>
              <w:tab/>
            </w:r>
            <w:r>
              <w:fldChar w:fldCharType="begin"/>
            </w:r>
            <w:r>
              <w:instrText xml:space="preserve">PAGEREF _Toc1045162894 \h</w:instrText>
            </w:r>
            <w:r>
              <w:fldChar w:fldCharType="separate"/>
            </w:r>
            <w:r w:rsidRPr="6407B060" w:rsidR="6407B060">
              <w:rPr>
                <w:rStyle w:val="Hyperlink"/>
              </w:rPr>
              <w:t>26</w:t>
            </w:r>
            <w:r>
              <w:fldChar w:fldCharType="end"/>
            </w:r>
          </w:hyperlink>
        </w:p>
        <w:p w:rsidR="6407B060" w:rsidP="6407B060" w:rsidRDefault="6407B060" w14:paraId="5A5C7D3C" w14:textId="3778ED1D">
          <w:pPr>
            <w:pStyle w:val="TOC2"/>
            <w:tabs>
              <w:tab w:val="right" w:leader="dot" w:pos="9015"/>
            </w:tabs>
            <w:rPr>
              <w:rStyle w:val="Hyperlink"/>
            </w:rPr>
          </w:pPr>
          <w:hyperlink w:anchor="_Toc1661329933">
            <w:r w:rsidRPr="6407B060" w:rsidR="6407B060">
              <w:rPr>
                <w:rStyle w:val="Hyperlink"/>
              </w:rPr>
              <w:t>4.4 Profitability Index (PI)</w:t>
            </w:r>
            <w:r>
              <w:tab/>
            </w:r>
            <w:r>
              <w:fldChar w:fldCharType="begin"/>
            </w:r>
            <w:r>
              <w:instrText xml:space="preserve">PAGEREF _Toc1661329933 \h</w:instrText>
            </w:r>
            <w:r>
              <w:fldChar w:fldCharType="separate"/>
            </w:r>
            <w:r w:rsidRPr="6407B060" w:rsidR="6407B060">
              <w:rPr>
                <w:rStyle w:val="Hyperlink"/>
              </w:rPr>
              <w:t>27</w:t>
            </w:r>
            <w:r>
              <w:fldChar w:fldCharType="end"/>
            </w:r>
          </w:hyperlink>
        </w:p>
        <w:p w:rsidR="6407B060" w:rsidP="6407B060" w:rsidRDefault="6407B060" w14:paraId="455C6CBB" w14:textId="7257F39B">
          <w:pPr>
            <w:pStyle w:val="TOC2"/>
            <w:tabs>
              <w:tab w:val="right" w:leader="dot" w:pos="9015"/>
            </w:tabs>
            <w:rPr>
              <w:rStyle w:val="Hyperlink"/>
            </w:rPr>
          </w:pPr>
          <w:hyperlink w:anchor="_Toc1916059541">
            <w:r w:rsidRPr="6407B060" w:rsidR="6407B060">
              <w:rPr>
                <w:rStyle w:val="Hyperlink"/>
              </w:rPr>
              <w:t>4.5 Internal Rate of Return (IRR)</w:t>
            </w:r>
            <w:r>
              <w:tab/>
            </w:r>
            <w:r>
              <w:fldChar w:fldCharType="begin"/>
            </w:r>
            <w:r>
              <w:instrText xml:space="preserve">PAGEREF _Toc1916059541 \h</w:instrText>
            </w:r>
            <w:r>
              <w:fldChar w:fldCharType="separate"/>
            </w:r>
            <w:r w:rsidRPr="6407B060" w:rsidR="6407B060">
              <w:rPr>
                <w:rStyle w:val="Hyperlink"/>
              </w:rPr>
              <w:t>27</w:t>
            </w:r>
            <w:r>
              <w:fldChar w:fldCharType="end"/>
            </w:r>
          </w:hyperlink>
        </w:p>
        <w:p w:rsidR="6407B060" w:rsidP="6407B060" w:rsidRDefault="6407B060" w14:paraId="06B7862D" w14:textId="2960A1EA">
          <w:pPr>
            <w:pStyle w:val="TOC2"/>
            <w:tabs>
              <w:tab w:val="right" w:leader="dot" w:pos="9015"/>
            </w:tabs>
            <w:rPr>
              <w:rStyle w:val="Hyperlink"/>
            </w:rPr>
          </w:pPr>
          <w:hyperlink w:anchor="_Toc1834766191">
            <w:r w:rsidRPr="6407B060" w:rsidR="6407B060">
              <w:rPr>
                <w:rStyle w:val="Hyperlink"/>
              </w:rPr>
              <w:t>4.6 Project Evaluation and Recommendation</w:t>
            </w:r>
            <w:r>
              <w:tab/>
            </w:r>
            <w:r>
              <w:fldChar w:fldCharType="begin"/>
            </w:r>
            <w:r>
              <w:instrText xml:space="preserve">PAGEREF _Toc1834766191 \h</w:instrText>
            </w:r>
            <w:r>
              <w:fldChar w:fldCharType="separate"/>
            </w:r>
            <w:r w:rsidRPr="6407B060" w:rsidR="6407B060">
              <w:rPr>
                <w:rStyle w:val="Hyperlink"/>
              </w:rPr>
              <w:t>28</w:t>
            </w:r>
            <w:r>
              <w:fldChar w:fldCharType="end"/>
            </w:r>
          </w:hyperlink>
        </w:p>
        <w:p w:rsidR="6407B060" w:rsidP="6407B060" w:rsidRDefault="6407B060" w14:paraId="1411887D" w14:textId="151CBF06">
          <w:pPr>
            <w:pStyle w:val="TOC2"/>
            <w:tabs>
              <w:tab w:val="right" w:leader="dot" w:pos="9015"/>
            </w:tabs>
            <w:rPr>
              <w:rStyle w:val="Hyperlink"/>
            </w:rPr>
          </w:pPr>
          <w:hyperlink w:anchor="_Toc578618294">
            <w:r w:rsidRPr="6407B060" w:rsidR="6407B060">
              <w:rPr>
                <w:rStyle w:val="Hyperlink"/>
              </w:rPr>
              <w:t>4.7 Strategic Justification Based on Financial Performance</w:t>
            </w:r>
            <w:r>
              <w:tab/>
            </w:r>
            <w:r>
              <w:fldChar w:fldCharType="begin"/>
            </w:r>
            <w:r>
              <w:instrText xml:space="preserve">PAGEREF _Toc578618294 \h</w:instrText>
            </w:r>
            <w:r>
              <w:fldChar w:fldCharType="separate"/>
            </w:r>
            <w:r w:rsidRPr="6407B060" w:rsidR="6407B060">
              <w:rPr>
                <w:rStyle w:val="Hyperlink"/>
              </w:rPr>
              <w:t>29</w:t>
            </w:r>
            <w:r>
              <w:fldChar w:fldCharType="end"/>
            </w:r>
          </w:hyperlink>
        </w:p>
        <w:p w:rsidR="6407B060" w:rsidP="6407B060" w:rsidRDefault="6407B060" w14:paraId="5D5BC830" w14:textId="6EBF0FFE">
          <w:pPr>
            <w:pStyle w:val="TOC2"/>
            <w:tabs>
              <w:tab w:val="right" w:leader="dot" w:pos="9015"/>
            </w:tabs>
            <w:rPr>
              <w:rStyle w:val="Hyperlink"/>
            </w:rPr>
          </w:pPr>
          <w:hyperlink w:anchor="_Toc1979312279">
            <w:r w:rsidRPr="6407B060" w:rsidR="6407B060">
              <w:rPr>
                <w:rStyle w:val="Hyperlink"/>
              </w:rPr>
              <w:t>4.8 Consideration of Non-Financial Risks</w:t>
            </w:r>
            <w:r>
              <w:tab/>
            </w:r>
            <w:r>
              <w:fldChar w:fldCharType="begin"/>
            </w:r>
            <w:r>
              <w:instrText xml:space="preserve">PAGEREF _Toc1979312279 \h</w:instrText>
            </w:r>
            <w:r>
              <w:fldChar w:fldCharType="separate"/>
            </w:r>
            <w:r w:rsidRPr="6407B060" w:rsidR="6407B060">
              <w:rPr>
                <w:rStyle w:val="Hyperlink"/>
              </w:rPr>
              <w:t>29</w:t>
            </w:r>
            <w:r>
              <w:fldChar w:fldCharType="end"/>
            </w:r>
          </w:hyperlink>
        </w:p>
        <w:p w:rsidR="6407B060" w:rsidP="6407B060" w:rsidRDefault="6407B060" w14:paraId="71C23D11" w14:textId="4D7D9A50">
          <w:pPr>
            <w:pStyle w:val="TOC3"/>
            <w:tabs>
              <w:tab w:val="right" w:leader="dot" w:pos="9015"/>
            </w:tabs>
            <w:rPr>
              <w:rStyle w:val="Hyperlink"/>
            </w:rPr>
          </w:pPr>
          <w:hyperlink w:anchor="_Toc888194044">
            <w:r w:rsidRPr="6407B060" w:rsidR="6407B060">
              <w:rPr>
                <w:rStyle w:val="Hyperlink"/>
              </w:rPr>
              <w:t>4.8.1 Political and Regulatory Risk</w:t>
            </w:r>
            <w:r>
              <w:tab/>
            </w:r>
            <w:r>
              <w:fldChar w:fldCharType="begin"/>
            </w:r>
            <w:r>
              <w:instrText xml:space="preserve">PAGEREF _Toc888194044 \h</w:instrText>
            </w:r>
            <w:r>
              <w:fldChar w:fldCharType="separate"/>
            </w:r>
            <w:r w:rsidRPr="6407B060" w:rsidR="6407B060">
              <w:rPr>
                <w:rStyle w:val="Hyperlink"/>
              </w:rPr>
              <w:t>29</w:t>
            </w:r>
            <w:r>
              <w:fldChar w:fldCharType="end"/>
            </w:r>
          </w:hyperlink>
        </w:p>
        <w:p w:rsidR="6407B060" w:rsidP="6407B060" w:rsidRDefault="6407B060" w14:paraId="6399867D" w14:textId="35A4E7DE">
          <w:pPr>
            <w:pStyle w:val="TOC3"/>
            <w:tabs>
              <w:tab w:val="right" w:leader="dot" w:pos="9015"/>
            </w:tabs>
            <w:rPr>
              <w:rStyle w:val="Hyperlink"/>
            </w:rPr>
          </w:pPr>
          <w:hyperlink w:anchor="_Toc1590075477">
            <w:r w:rsidRPr="6407B060" w:rsidR="6407B060">
              <w:rPr>
                <w:rStyle w:val="Hyperlink"/>
              </w:rPr>
              <w:t>4.8.2 Market Demand and Customer Loyalty</w:t>
            </w:r>
            <w:r>
              <w:tab/>
            </w:r>
            <w:r>
              <w:fldChar w:fldCharType="begin"/>
            </w:r>
            <w:r>
              <w:instrText xml:space="preserve">PAGEREF _Toc1590075477 \h</w:instrText>
            </w:r>
            <w:r>
              <w:fldChar w:fldCharType="separate"/>
            </w:r>
            <w:r w:rsidRPr="6407B060" w:rsidR="6407B060">
              <w:rPr>
                <w:rStyle w:val="Hyperlink"/>
              </w:rPr>
              <w:t>30</w:t>
            </w:r>
            <w:r>
              <w:fldChar w:fldCharType="end"/>
            </w:r>
          </w:hyperlink>
        </w:p>
        <w:p w:rsidR="6407B060" w:rsidP="6407B060" w:rsidRDefault="6407B060" w14:paraId="278DD783" w14:textId="7F864E90">
          <w:pPr>
            <w:pStyle w:val="TOC3"/>
            <w:tabs>
              <w:tab w:val="right" w:leader="dot" w:pos="9015"/>
            </w:tabs>
            <w:rPr>
              <w:rStyle w:val="Hyperlink"/>
            </w:rPr>
          </w:pPr>
          <w:hyperlink w:anchor="_Toc1074393469">
            <w:r w:rsidRPr="6407B060" w:rsidR="6407B060">
              <w:rPr>
                <w:rStyle w:val="Hyperlink"/>
              </w:rPr>
              <w:t>4.8.3 Technological Risk</w:t>
            </w:r>
            <w:r>
              <w:tab/>
            </w:r>
            <w:r>
              <w:fldChar w:fldCharType="begin"/>
            </w:r>
            <w:r>
              <w:instrText xml:space="preserve">PAGEREF _Toc1074393469 \h</w:instrText>
            </w:r>
            <w:r>
              <w:fldChar w:fldCharType="separate"/>
            </w:r>
            <w:r w:rsidRPr="6407B060" w:rsidR="6407B060">
              <w:rPr>
                <w:rStyle w:val="Hyperlink"/>
              </w:rPr>
              <w:t>30</w:t>
            </w:r>
            <w:r>
              <w:fldChar w:fldCharType="end"/>
            </w:r>
          </w:hyperlink>
        </w:p>
        <w:p w:rsidR="6407B060" w:rsidP="6407B060" w:rsidRDefault="6407B060" w14:paraId="2ED6AE2A" w14:textId="7C548D6B">
          <w:pPr>
            <w:pStyle w:val="TOC2"/>
            <w:tabs>
              <w:tab w:val="right" w:leader="dot" w:pos="9015"/>
            </w:tabs>
            <w:rPr>
              <w:rStyle w:val="Hyperlink"/>
            </w:rPr>
          </w:pPr>
          <w:hyperlink w:anchor="_Toc308440534">
            <w:r w:rsidRPr="6407B060" w:rsidR="6407B060">
              <w:rPr>
                <w:rStyle w:val="Hyperlink"/>
              </w:rPr>
              <w:t>4.9 Capital Rationing Decision</w:t>
            </w:r>
            <w:r>
              <w:tab/>
            </w:r>
            <w:r>
              <w:fldChar w:fldCharType="begin"/>
            </w:r>
            <w:r>
              <w:instrText xml:space="preserve">PAGEREF _Toc308440534 \h</w:instrText>
            </w:r>
            <w:r>
              <w:fldChar w:fldCharType="separate"/>
            </w:r>
            <w:r w:rsidRPr="6407B060" w:rsidR="6407B060">
              <w:rPr>
                <w:rStyle w:val="Hyperlink"/>
              </w:rPr>
              <w:t>30</w:t>
            </w:r>
            <w:r>
              <w:fldChar w:fldCharType="end"/>
            </w:r>
          </w:hyperlink>
        </w:p>
        <w:p w:rsidR="6407B060" w:rsidP="6407B060" w:rsidRDefault="6407B060" w14:paraId="684EB5B9" w14:textId="07A5BF89">
          <w:pPr>
            <w:pStyle w:val="TOC2"/>
            <w:tabs>
              <w:tab w:val="right" w:leader="dot" w:pos="9015"/>
            </w:tabs>
            <w:rPr>
              <w:rStyle w:val="Hyperlink"/>
            </w:rPr>
          </w:pPr>
          <w:hyperlink w:anchor="_Toc886993185">
            <w:r w:rsidRPr="6407B060" w:rsidR="6407B060">
              <w:rPr>
                <w:rStyle w:val="Hyperlink"/>
              </w:rPr>
              <w:t>4.10 Conclusion</w:t>
            </w:r>
            <w:r>
              <w:tab/>
            </w:r>
            <w:r>
              <w:fldChar w:fldCharType="begin"/>
            </w:r>
            <w:r>
              <w:instrText xml:space="preserve">PAGEREF _Toc886993185 \h</w:instrText>
            </w:r>
            <w:r>
              <w:fldChar w:fldCharType="separate"/>
            </w:r>
            <w:r w:rsidRPr="6407B060" w:rsidR="6407B060">
              <w:rPr>
                <w:rStyle w:val="Hyperlink"/>
              </w:rPr>
              <w:t>31</w:t>
            </w:r>
            <w:r>
              <w:fldChar w:fldCharType="end"/>
            </w:r>
          </w:hyperlink>
        </w:p>
        <w:p w:rsidR="6407B060" w:rsidP="6407B060" w:rsidRDefault="6407B060" w14:paraId="2CFB9FD2" w14:textId="27B8EE8B">
          <w:pPr>
            <w:pStyle w:val="TOC1"/>
            <w:tabs>
              <w:tab w:val="right" w:leader="dot" w:pos="9015"/>
            </w:tabs>
            <w:rPr>
              <w:rStyle w:val="Hyperlink"/>
            </w:rPr>
          </w:pPr>
          <w:hyperlink w:anchor="_Toc1310890422">
            <w:r w:rsidRPr="6407B060" w:rsidR="6407B060">
              <w:rPr>
                <w:rStyle w:val="Hyperlink"/>
              </w:rPr>
              <w:t>Conclusion</w:t>
            </w:r>
            <w:r>
              <w:tab/>
            </w:r>
            <w:r>
              <w:fldChar w:fldCharType="begin"/>
            </w:r>
            <w:r>
              <w:instrText xml:space="preserve">PAGEREF _Toc1310890422 \h</w:instrText>
            </w:r>
            <w:r>
              <w:fldChar w:fldCharType="separate"/>
            </w:r>
            <w:r w:rsidRPr="6407B060" w:rsidR="6407B060">
              <w:rPr>
                <w:rStyle w:val="Hyperlink"/>
              </w:rPr>
              <w:t>31</w:t>
            </w:r>
            <w:r>
              <w:fldChar w:fldCharType="end"/>
            </w:r>
          </w:hyperlink>
        </w:p>
        <w:p w:rsidR="6407B060" w:rsidP="6407B060" w:rsidRDefault="6407B060" w14:paraId="5FA21E47" w14:textId="568331AA">
          <w:pPr>
            <w:pStyle w:val="TOC1"/>
            <w:tabs>
              <w:tab w:val="right" w:leader="dot" w:pos="9015"/>
            </w:tabs>
            <w:rPr>
              <w:rStyle w:val="Hyperlink"/>
            </w:rPr>
          </w:pPr>
          <w:hyperlink w:anchor="_Toc703694604">
            <w:r w:rsidRPr="6407B060" w:rsidR="6407B060">
              <w:rPr>
                <w:rStyle w:val="Hyperlink"/>
              </w:rPr>
              <w:t>References</w:t>
            </w:r>
            <w:r>
              <w:tab/>
            </w:r>
            <w:r>
              <w:fldChar w:fldCharType="begin"/>
            </w:r>
            <w:r>
              <w:instrText xml:space="preserve">PAGEREF _Toc703694604 \h</w:instrText>
            </w:r>
            <w:r>
              <w:fldChar w:fldCharType="separate"/>
            </w:r>
            <w:r w:rsidRPr="6407B060" w:rsidR="6407B060">
              <w:rPr>
                <w:rStyle w:val="Hyperlink"/>
              </w:rPr>
              <w:t>32</w:t>
            </w:r>
            <w:r>
              <w:fldChar w:fldCharType="end"/>
            </w:r>
          </w:hyperlink>
        </w:p>
        <w:p w:rsidR="6407B060" w:rsidP="6407B060" w:rsidRDefault="6407B060" w14:paraId="476934FF" w14:textId="03361E51">
          <w:pPr>
            <w:pStyle w:val="TOC1"/>
            <w:tabs>
              <w:tab w:val="right" w:leader="dot" w:pos="9015"/>
            </w:tabs>
            <w:rPr>
              <w:rStyle w:val="Hyperlink"/>
            </w:rPr>
          </w:pPr>
          <w:hyperlink w:anchor="_Toc924516252">
            <w:r w:rsidRPr="6407B060" w:rsidR="6407B060">
              <w:rPr>
                <w:rStyle w:val="Hyperlink"/>
              </w:rPr>
              <w:t>Appendix</w:t>
            </w:r>
            <w:r>
              <w:tab/>
            </w:r>
            <w:r>
              <w:fldChar w:fldCharType="begin"/>
            </w:r>
            <w:r>
              <w:instrText xml:space="preserve">PAGEREF _Toc924516252 \h</w:instrText>
            </w:r>
            <w:r>
              <w:fldChar w:fldCharType="separate"/>
            </w:r>
            <w:r w:rsidRPr="6407B060" w:rsidR="6407B060">
              <w:rPr>
                <w:rStyle w:val="Hyperlink"/>
              </w:rPr>
              <w:t>37</w:t>
            </w:r>
            <w:r>
              <w:fldChar w:fldCharType="end"/>
            </w:r>
          </w:hyperlink>
          <w:r>
            <w:fldChar w:fldCharType="end"/>
          </w:r>
        </w:p>
      </w:sdtContent>
    </w:sdt>
    <w:p w:rsidR="00D34DBC" w:rsidRDefault="00D34DBC" w14:paraId="08EEDEEC" w14:textId="573E89B3"/>
    <w:p w:rsidR="00D34DBC" w:rsidRDefault="00D34DBC" w14:paraId="12646F3B" w14:textId="49E80A03">
      <w:pPr>
        <w:rPr>
          <w:rFonts w:ascii="Arial" w:hAnsi="Arial" w:cs="Arial"/>
          <w:sz w:val="32"/>
          <w:szCs w:val="32"/>
        </w:rPr>
      </w:pPr>
      <w:r w:rsidRPr="6407B060">
        <w:rPr>
          <w:rFonts w:ascii="Arial" w:hAnsi="Arial" w:cs="Arial"/>
          <w:sz w:val="32"/>
          <w:szCs w:val="32"/>
        </w:rPr>
        <w:br w:type="page"/>
      </w:r>
    </w:p>
    <w:p w:rsidR="00D34DBC" w:rsidP="00D34DBC" w:rsidRDefault="00D34DBC" w14:paraId="65D4E795" w14:textId="1F925283">
      <w:pPr>
        <w:pStyle w:val="Heading1"/>
        <w:rPr>
          <w:rFonts w:ascii="Arial" w:hAnsi="Arial" w:cs="Arial"/>
          <w:sz w:val="32"/>
          <w:szCs w:val="32"/>
        </w:rPr>
      </w:pPr>
      <w:bookmarkStart w:name="_Toc756148376" w:id="929785467"/>
      <w:r w:rsidRPr="6407B060" w:rsidR="00D34DBC">
        <w:rPr>
          <w:rFonts w:ascii="Arial" w:hAnsi="Arial" w:cs="Arial"/>
          <w:sz w:val="32"/>
          <w:szCs w:val="32"/>
        </w:rPr>
        <w:t>Introduction</w:t>
      </w:r>
      <w:bookmarkEnd w:id="929785467"/>
    </w:p>
    <w:p w:rsidR="4BB0CDAA" w:rsidP="6407B060" w:rsidRDefault="4BB0CDAA" w14:paraId="3AA0C3E7" w14:textId="1A615845">
      <w:pPr>
        <w:keepNext w:val="0"/>
        <w:keepLines w:val="0"/>
        <w:spacing w:line="360" w:lineRule="auto"/>
        <w:jc w:val="both"/>
        <w:rPr>
          <w:rFonts w:ascii="Arial" w:hAnsi="Arial" w:eastAsia="Arial" w:cs="Arial"/>
          <w:sz w:val="24"/>
          <w:szCs w:val="24"/>
        </w:rPr>
      </w:pPr>
      <w:r w:rsidRPr="6407B060" w:rsidR="4BB0CDAA">
        <w:rPr>
          <w:rFonts w:ascii="Arial" w:hAnsi="Arial" w:eastAsia="Arial" w:cs="Arial"/>
          <w:sz w:val="24"/>
          <w:szCs w:val="24"/>
        </w:rPr>
        <w:t xml:space="preserve">The global automotive industry is experiencing a major structural transformation as the transition toward electric mobility accelerates. Technologies such as battery electric vehicles (BEVs), plug-in hybrid electric vehicles (PHEVs), fuel cell electric vehicles (FCEVs), and extended-range electric vehicles (EREVs) are reshaping supply chains and creating complex challenges for manufacturers. These challenges include infrastructure limitations, regulatory uncertainty, geopolitical disruptions, digital transformation demands, and increasing environmental pressures (Nejad, 2025). In this context, established automakers must balance large-scale electrification investments with financial stability and operational efficiency. In the given scenario, Volkswagen Group has appointed a new Chief Financial Officer (CFO), and the Board has requested a forward-looking financial plan to support the transition to electrification and digital mobility. The plan also requires an evaluation of the company’s financial performance over the past five years to inform strategic decisions </w:t>
      </w:r>
      <w:r w:rsidRPr="6407B060" w:rsidR="4BB0CDAA">
        <w:rPr>
          <w:rFonts w:ascii="Arial" w:hAnsi="Arial" w:eastAsia="Arial" w:cs="Arial"/>
          <w:sz w:val="24"/>
          <w:szCs w:val="24"/>
        </w:rPr>
        <w:t>regarding</w:t>
      </w:r>
      <w:r w:rsidRPr="6407B060" w:rsidR="4BB0CDAA">
        <w:rPr>
          <w:rFonts w:ascii="Arial" w:hAnsi="Arial" w:eastAsia="Arial" w:cs="Arial"/>
          <w:sz w:val="24"/>
          <w:szCs w:val="24"/>
        </w:rPr>
        <w:t xml:space="preserve"> investment, restructuring, and capital allocation.</w:t>
      </w:r>
    </w:p>
    <w:p w:rsidR="1E6FD9D0" w:rsidP="6407B060" w:rsidRDefault="1E6FD9D0" w14:paraId="4130454C" w14:textId="7ABC07B8">
      <w:pPr>
        <w:pStyle w:val="Normal"/>
        <w:keepNext w:val="0"/>
        <w:keepLines w:val="0"/>
        <w:spacing w:line="360" w:lineRule="auto"/>
        <w:jc w:val="both"/>
        <w:rPr>
          <w:rFonts w:ascii="Arial" w:hAnsi="Arial" w:eastAsia="Arial" w:cs="Arial"/>
          <w:sz w:val="24"/>
          <w:szCs w:val="24"/>
        </w:rPr>
      </w:pPr>
      <w:r w:rsidRPr="6407B060" w:rsidR="1E6FD9D0">
        <w:rPr>
          <w:rFonts w:ascii="Arial" w:hAnsi="Arial" w:eastAsia="Arial" w:cs="Arial"/>
          <w:sz w:val="24"/>
          <w:szCs w:val="24"/>
        </w:rPr>
        <w:t xml:space="preserve">With a wide range of brands </w:t>
      </w:r>
      <w:r w:rsidRPr="6407B060" w:rsidR="1E6FD9D0">
        <w:rPr>
          <w:rFonts w:ascii="Arial" w:hAnsi="Arial" w:eastAsia="Arial" w:cs="Arial"/>
          <w:sz w:val="24"/>
          <w:szCs w:val="24"/>
        </w:rPr>
        <w:t>operating</w:t>
      </w:r>
      <w:r w:rsidRPr="6407B060" w:rsidR="1E6FD9D0">
        <w:rPr>
          <w:rFonts w:ascii="Arial" w:hAnsi="Arial" w:eastAsia="Arial" w:cs="Arial"/>
          <w:sz w:val="24"/>
          <w:szCs w:val="24"/>
        </w:rPr>
        <w:t xml:space="preserve"> in Europe, China, and North America, the Volkswagen Group includes Volkswagen Passenger Cars, Audi, Porsche, Škoda, and SEAT</w:t>
      </w:r>
      <w:r w:rsidRPr="6407B060" w:rsidR="0BB2B217">
        <w:rPr>
          <w:rFonts w:ascii="Arial" w:hAnsi="Arial" w:eastAsia="Arial" w:cs="Arial"/>
          <w:sz w:val="24"/>
          <w:szCs w:val="24"/>
        </w:rPr>
        <w:t xml:space="preserve"> (see Figure</w:t>
      </w:r>
      <w:r w:rsidRPr="6407B060" w:rsidR="6F80B63E">
        <w:rPr>
          <w:rFonts w:ascii="Arial" w:hAnsi="Arial" w:eastAsia="Arial" w:cs="Arial"/>
          <w:sz w:val="24"/>
          <w:szCs w:val="24"/>
        </w:rPr>
        <w:t>s 1 and 2</w:t>
      </w:r>
      <w:r w:rsidRPr="6407B060" w:rsidR="0BB2B217">
        <w:rPr>
          <w:rFonts w:ascii="Arial" w:hAnsi="Arial" w:eastAsia="Arial" w:cs="Arial"/>
          <w:sz w:val="24"/>
          <w:szCs w:val="24"/>
        </w:rPr>
        <w:t>)</w:t>
      </w:r>
      <w:r w:rsidRPr="6407B060" w:rsidR="1E6FD9D0">
        <w:rPr>
          <w:rFonts w:ascii="Arial" w:hAnsi="Arial" w:eastAsia="Arial" w:cs="Arial"/>
          <w:sz w:val="24"/>
          <w:szCs w:val="24"/>
        </w:rPr>
        <w:t>.</w:t>
      </w:r>
    </w:p>
    <w:p w:rsidR="0EE31FC7" w:rsidP="6407B060" w:rsidRDefault="0EE31FC7" w14:paraId="3E2D8B89" w14:textId="419CBA5A">
      <w:pPr>
        <w:keepNext w:val="0"/>
        <w:keepLines w:val="0"/>
        <w:spacing w:line="360" w:lineRule="auto"/>
        <w:jc w:val="both"/>
        <w:rPr>
          <w:rFonts w:ascii="Arial" w:hAnsi="Arial" w:eastAsia="Arial" w:cs="Arial"/>
          <w:sz w:val="24"/>
          <w:szCs w:val="24"/>
        </w:rPr>
      </w:pPr>
      <w:r w:rsidR="0EE31FC7">
        <w:drawing>
          <wp:inline wp14:editId="65EC26A9" wp14:anchorId="19D2C091">
            <wp:extent cx="2939074" cy="2446037"/>
            <wp:effectExtent l="0" t="0" r="0" b="0"/>
            <wp:docPr id="18911143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1114340" name="Picture 1891114340"/>
                    <pic:cNvPicPr/>
                  </pic:nvPicPr>
                  <pic:blipFill>
                    <a:blip xmlns:r="http://schemas.openxmlformats.org/officeDocument/2006/relationships" r:embed="rId505341496">
                      <a:extLst>
                        <a:ext uri="{28A0092B-C50C-407E-A947-70E740481C1C}">
                          <a14:useLocalDpi xmlns:a14="http://schemas.microsoft.com/office/drawing/2010/main"/>
                        </a:ext>
                      </a:extLst>
                    </a:blip>
                    <a:stretch>
                      <a:fillRect/>
                    </a:stretch>
                  </pic:blipFill>
                  <pic:spPr>
                    <a:xfrm rot="0">
                      <a:off x="0" y="0"/>
                      <a:ext cx="2939074" cy="2446037"/>
                    </a:xfrm>
                    <a:prstGeom prst="rect">
                      <a:avLst/>
                    </a:prstGeom>
                  </pic:spPr>
                </pic:pic>
              </a:graphicData>
            </a:graphic>
          </wp:inline>
        </w:drawing>
      </w:r>
      <w:r w:rsidRPr="6407B060" w:rsidR="26B93E9A">
        <w:rPr>
          <w:rFonts w:ascii="Arial" w:hAnsi="Arial" w:eastAsia="Arial" w:cs="Arial"/>
          <w:sz w:val="24"/>
          <w:szCs w:val="24"/>
        </w:rPr>
        <w:t xml:space="preserve"> </w:t>
      </w:r>
      <w:r w:rsidR="26B93E9A">
        <w:drawing>
          <wp:inline wp14:editId="1DF3CFC4" wp14:anchorId="0947CA48">
            <wp:extent cx="1878821" cy="2457793"/>
            <wp:effectExtent l="0" t="0" r="0" b="0"/>
            <wp:docPr id="4602218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0221826" name="Picture 460221826"/>
                    <pic:cNvPicPr/>
                  </pic:nvPicPr>
                  <pic:blipFill>
                    <a:blip xmlns:r="http://schemas.openxmlformats.org/officeDocument/2006/relationships" r:embed="rId1631716865">
                      <a:extLst>
                        <a:ext uri="{28A0092B-C50C-407E-A947-70E740481C1C}">
                          <a14:useLocalDpi xmlns:a14="http://schemas.microsoft.com/office/drawing/2010/main"/>
                        </a:ext>
                      </a:extLst>
                    </a:blip>
                    <a:stretch>
                      <a:fillRect/>
                    </a:stretch>
                  </pic:blipFill>
                  <pic:spPr>
                    <a:xfrm rot="0">
                      <a:off x="0" y="0"/>
                      <a:ext cx="1878821" cy="2457793"/>
                    </a:xfrm>
                    <a:prstGeom prst="rect">
                      <a:avLst/>
                    </a:prstGeom>
                  </pic:spPr>
                </pic:pic>
              </a:graphicData>
            </a:graphic>
          </wp:inline>
        </w:drawing>
      </w:r>
    </w:p>
    <w:p w:rsidR="26B93E9A" w:rsidP="6407B060" w:rsidRDefault="26B93E9A" w14:paraId="725EACF4" w14:textId="1C46F9DB">
      <w:pPr>
        <w:keepNext w:val="0"/>
        <w:keepLines w:val="0"/>
        <w:spacing w:line="360" w:lineRule="auto"/>
        <w:jc w:val="both"/>
        <w:rPr>
          <w:rFonts w:ascii="Arial" w:hAnsi="Arial" w:eastAsia="Arial" w:cs="Arial"/>
          <w:sz w:val="24"/>
          <w:szCs w:val="24"/>
        </w:rPr>
      </w:pPr>
      <w:r w:rsidRPr="6407B060" w:rsidR="26B93E9A">
        <w:rPr>
          <w:rFonts w:ascii="Arial" w:hAnsi="Arial" w:eastAsia="Arial" w:cs="Arial"/>
          <w:sz w:val="24"/>
          <w:szCs w:val="24"/>
        </w:rPr>
        <w:t>Figure 1: Volkswagen Brands                       Figure 2: Volkswagen Logo over time</w:t>
      </w:r>
    </w:p>
    <w:p w:rsidR="42325065" w:rsidP="6407B060" w:rsidRDefault="42325065" w14:paraId="67110350" w14:textId="429890C0">
      <w:pPr>
        <w:keepNext w:val="0"/>
        <w:keepLines w:val="0"/>
        <w:spacing w:line="360" w:lineRule="auto"/>
        <w:jc w:val="both"/>
        <w:rPr>
          <w:rFonts w:ascii="Arial" w:hAnsi="Arial" w:eastAsia="Arial" w:cs="Arial"/>
          <w:sz w:val="24"/>
          <w:szCs w:val="24"/>
          <w:lang w:val="en-US"/>
        </w:rPr>
      </w:pPr>
      <w:bookmarkStart w:name="_Int_kBBSI9Mb" w:id="1061762241"/>
      <w:r w:rsidRPr="6407B060" w:rsidR="42325065">
        <w:rPr>
          <w:rFonts w:ascii="Arial" w:hAnsi="Arial" w:eastAsia="Arial" w:cs="Arial"/>
          <w:sz w:val="24"/>
          <w:szCs w:val="24"/>
          <w:lang w:val="en-US"/>
        </w:rPr>
        <w:t>Source:</w:t>
      </w:r>
      <w:bookmarkEnd w:id="1061762241"/>
      <w:r w:rsidRPr="6407B060" w:rsidR="26B93E9A">
        <w:rPr>
          <w:rFonts w:ascii="Arial" w:hAnsi="Arial" w:eastAsia="Arial" w:cs="Arial"/>
          <w:sz w:val="24"/>
          <w:szCs w:val="24"/>
          <w:lang w:val="en-US"/>
        </w:rPr>
        <w:t xml:space="preserve"> </w:t>
      </w:r>
      <w:r w:rsidRPr="6407B060" w:rsidR="1F196086">
        <w:rPr>
          <w:rFonts w:ascii="Arial" w:hAnsi="Arial" w:eastAsia="Arial" w:cs="Arial"/>
          <w:sz w:val="24"/>
          <w:szCs w:val="24"/>
          <w:lang w:val="en-US"/>
        </w:rPr>
        <w:t>Meziesblog.com</w:t>
      </w:r>
      <w:r w:rsidRPr="6407B060" w:rsidR="26B93E9A">
        <w:rPr>
          <w:rFonts w:ascii="Arial" w:hAnsi="Arial" w:eastAsia="Arial" w:cs="Arial"/>
          <w:sz w:val="24"/>
          <w:szCs w:val="24"/>
          <w:lang w:val="en-US"/>
        </w:rPr>
        <w:t xml:space="preserve">                              </w:t>
      </w:r>
      <w:bookmarkStart w:name="_Int_Lc1fLoeA" w:id="228832917"/>
      <w:r w:rsidRPr="6407B060" w:rsidR="5F93F236">
        <w:rPr>
          <w:rFonts w:ascii="Arial" w:hAnsi="Arial" w:eastAsia="Arial" w:cs="Arial"/>
          <w:sz w:val="24"/>
          <w:szCs w:val="24"/>
          <w:lang w:val="en-US"/>
        </w:rPr>
        <w:t>Source:</w:t>
      </w:r>
      <w:bookmarkEnd w:id="228832917"/>
      <w:r w:rsidRPr="6407B060" w:rsidR="5682C671">
        <w:rPr>
          <w:rFonts w:ascii="Arial" w:hAnsi="Arial" w:eastAsia="Arial" w:cs="Arial"/>
          <w:sz w:val="24"/>
          <w:szCs w:val="24"/>
          <w:lang w:val="en-US"/>
        </w:rPr>
        <w:t xml:space="preserve"> 1000logos.net</w:t>
      </w:r>
    </w:p>
    <w:p w:rsidR="7EE25B5F" w:rsidP="6407B060" w:rsidRDefault="7EE25B5F" w14:paraId="7B5D5E36" w14:textId="1756A14E">
      <w:pPr>
        <w:pStyle w:val="Normal"/>
        <w:keepNext w:val="0"/>
        <w:keepLines w:val="0"/>
        <w:spacing w:line="360" w:lineRule="auto"/>
        <w:jc w:val="both"/>
        <w:rPr>
          <w:rFonts w:ascii="Arial" w:hAnsi="Arial" w:eastAsia="Arial" w:cs="Arial"/>
          <w:sz w:val="24"/>
          <w:szCs w:val="24"/>
        </w:rPr>
      </w:pPr>
      <w:r w:rsidRPr="6407B060" w:rsidR="7EE25B5F">
        <w:rPr>
          <w:rFonts w:ascii="Arial" w:hAnsi="Arial" w:eastAsia="Arial" w:cs="Arial"/>
          <w:sz w:val="24"/>
          <w:szCs w:val="24"/>
        </w:rPr>
        <w:t>Moors and Kuykendall (2022) note that Volkswagen Group has made major investments in EV development, battery production, software integration, and platform standardisation. The company is also developing a battery plant in Canada that will support key stages of the EV battery supply chain, including material sourcing, processing, and cell manufacturing. This investment aims to strengthen battery supply and support EV production in major markets such as the United States and Canada (</w:t>
      </w:r>
      <w:r w:rsidRPr="6407B060" w:rsidR="7EE25B5F">
        <w:rPr>
          <w:rFonts w:ascii="Arial" w:hAnsi="Arial" w:eastAsia="Arial" w:cs="Arial"/>
          <w:sz w:val="24"/>
          <w:szCs w:val="24"/>
        </w:rPr>
        <w:t>Vellequette</w:t>
      </w:r>
      <w:r w:rsidRPr="6407B060" w:rsidR="7EE25B5F">
        <w:rPr>
          <w:rFonts w:ascii="Arial" w:hAnsi="Arial" w:eastAsia="Arial" w:cs="Arial"/>
          <w:sz w:val="24"/>
          <w:szCs w:val="24"/>
        </w:rPr>
        <w:t>, 2023). While this strategic shift aims to secure long-term competitiveness, it also increases capital intensity, operational risk, and potential debt exposure. Therefore, this report evaluates the Group’s financial performance over the last five years (2020</w:t>
      </w:r>
      <w:r w:rsidRPr="6407B060" w:rsidR="19A1E367">
        <w:rPr>
          <w:rFonts w:ascii="Arial" w:hAnsi="Arial" w:eastAsia="Arial" w:cs="Arial"/>
          <w:sz w:val="24"/>
          <w:szCs w:val="24"/>
        </w:rPr>
        <w:t>-</w:t>
      </w:r>
      <w:r w:rsidRPr="6407B060" w:rsidR="7EE25B5F">
        <w:rPr>
          <w:rFonts w:ascii="Arial" w:hAnsi="Arial" w:eastAsia="Arial" w:cs="Arial"/>
          <w:sz w:val="24"/>
          <w:szCs w:val="24"/>
        </w:rPr>
        <w:t xml:space="preserve">2024) using ratio analysis based on the income statement, statement of financial position, and cash flow statement. The analysis focuses on profitability, liquidity, efficiency, gearing, investment performance, and cash flow sustainability. It also applies capital budgeting techniques, reviews working capital management, and proposes financial restructuring options to ensure that future investments </w:t>
      </w:r>
      <w:r w:rsidRPr="6407B060" w:rsidR="7EE25B5F">
        <w:rPr>
          <w:rFonts w:ascii="Arial" w:hAnsi="Arial" w:eastAsia="Arial" w:cs="Arial"/>
          <w:sz w:val="24"/>
          <w:szCs w:val="24"/>
        </w:rPr>
        <w:t>remain</w:t>
      </w:r>
      <w:r w:rsidRPr="6407B060" w:rsidR="7EE25B5F">
        <w:rPr>
          <w:rFonts w:ascii="Arial" w:hAnsi="Arial" w:eastAsia="Arial" w:cs="Arial"/>
          <w:sz w:val="24"/>
          <w:szCs w:val="24"/>
        </w:rPr>
        <w:t xml:space="preserve"> financially </w:t>
      </w:r>
      <w:r w:rsidRPr="6407B060" w:rsidR="7EE25B5F">
        <w:rPr>
          <w:rFonts w:ascii="Arial" w:hAnsi="Arial" w:eastAsia="Arial" w:cs="Arial"/>
          <w:sz w:val="24"/>
          <w:szCs w:val="24"/>
        </w:rPr>
        <w:t>viable</w:t>
      </w:r>
      <w:r w:rsidRPr="6407B060" w:rsidR="7EE25B5F">
        <w:rPr>
          <w:rFonts w:ascii="Arial" w:hAnsi="Arial" w:eastAsia="Arial" w:cs="Arial"/>
          <w:sz w:val="24"/>
          <w:szCs w:val="24"/>
        </w:rPr>
        <w:t xml:space="preserve"> and aligned with sustainability and governance </w:t>
      </w:r>
      <w:r w:rsidRPr="6407B060" w:rsidR="7EE25B5F">
        <w:rPr>
          <w:rFonts w:ascii="Arial" w:hAnsi="Arial" w:eastAsia="Arial" w:cs="Arial"/>
          <w:sz w:val="24"/>
          <w:szCs w:val="24"/>
        </w:rPr>
        <w:t>objectives</w:t>
      </w:r>
      <w:r w:rsidRPr="6407B060" w:rsidR="7EE25B5F">
        <w:rPr>
          <w:rFonts w:ascii="Arial" w:hAnsi="Arial" w:eastAsia="Arial" w:cs="Arial"/>
          <w:sz w:val="24"/>
          <w:szCs w:val="24"/>
        </w:rPr>
        <w:t>.</w:t>
      </w:r>
    </w:p>
    <w:p w:rsidR="6407B060" w:rsidP="6407B060" w:rsidRDefault="6407B060" w14:paraId="097F59DB" w14:textId="5DB206BD">
      <w:pPr>
        <w:pStyle w:val="Normal"/>
        <w:keepNext w:val="0"/>
        <w:keepLines w:val="0"/>
        <w:spacing w:line="360" w:lineRule="auto"/>
        <w:jc w:val="both"/>
        <w:rPr>
          <w:rFonts w:ascii="Arial" w:hAnsi="Arial" w:eastAsia="Arial" w:cs="Arial"/>
          <w:sz w:val="24"/>
          <w:szCs w:val="24"/>
        </w:rPr>
      </w:pPr>
    </w:p>
    <w:p w:rsidR="25AF2381" w:rsidP="6407B060" w:rsidRDefault="25AF2381" w14:paraId="79AC085E" w14:textId="48E61CF9">
      <w:pPr>
        <w:pStyle w:val="Heading1"/>
        <w:keepNext w:val="0"/>
        <w:keepLines w:val="0"/>
        <w:spacing w:line="360" w:lineRule="auto"/>
        <w:rPr>
          <w:rFonts w:ascii="Arial" w:hAnsi="Arial" w:eastAsia="Arial" w:cs="Arial"/>
          <w:sz w:val="32"/>
          <w:szCs w:val="32"/>
        </w:rPr>
      </w:pPr>
      <w:bookmarkStart w:name="_Toc265580183" w:id="1250965979"/>
      <w:r w:rsidRPr="6407B060" w:rsidR="25AF2381">
        <w:rPr>
          <w:rFonts w:ascii="Arial" w:hAnsi="Arial" w:eastAsia="Arial" w:cs="Arial"/>
          <w:sz w:val="32"/>
          <w:szCs w:val="32"/>
        </w:rPr>
        <w:t>1. Financial Health Check</w:t>
      </w:r>
      <w:bookmarkEnd w:id="1250965979"/>
    </w:p>
    <w:p w:rsidR="6C05CA93" w:rsidP="6407B060" w:rsidRDefault="6C05CA93" w14:paraId="66EB1DC5" w14:textId="7AD51C84">
      <w:pPr>
        <w:pStyle w:val="Normal"/>
        <w:keepNext w:val="0"/>
        <w:keepLines w:val="0"/>
        <w:spacing w:line="360" w:lineRule="auto"/>
        <w:jc w:val="both"/>
        <w:rPr>
          <w:rFonts w:ascii="Arial" w:hAnsi="Arial" w:eastAsia="Arial" w:cs="Arial"/>
          <w:sz w:val="24"/>
          <w:szCs w:val="24"/>
        </w:rPr>
      </w:pPr>
      <w:r w:rsidRPr="6407B060" w:rsidR="6C05CA93">
        <w:rPr>
          <w:rFonts w:ascii="Arial" w:hAnsi="Arial" w:eastAsia="Arial" w:cs="Arial"/>
          <w:sz w:val="24"/>
          <w:szCs w:val="24"/>
        </w:rPr>
        <w:t xml:space="preserve">A financial health check assesses the economic condition and performance of firms in the automotive sector by analysing key financial indicators. According to Bogdan (2024), these include profitability ratios, capital structure ratios, asset efficiency ratios, and market performance measures. These indicators can be evaluated both statically at a single point in time and dynamically across several years to </w:t>
      </w:r>
      <w:r w:rsidRPr="6407B060" w:rsidR="6C05CA93">
        <w:rPr>
          <w:rFonts w:ascii="Arial" w:hAnsi="Arial" w:eastAsia="Arial" w:cs="Arial"/>
          <w:sz w:val="24"/>
          <w:szCs w:val="24"/>
        </w:rPr>
        <w:t>identify</w:t>
      </w:r>
      <w:r w:rsidRPr="6407B060" w:rsidR="6C05CA93">
        <w:rPr>
          <w:rFonts w:ascii="Arial" w:hAnsi="Arial" w:eastAsia="Arial" w:cs="Arial"/>
          <w:sz w:val="24"/>
          <w:szCs w:val="24"/>
        </w:rPr>
        <w:t xml:space="preserve"> trends and stability. In this report, these metrics are used to evaluate the financial resilience of Volkswagen Group over the period 2020-2024. The analysis focuses on profitability, liquidity, efficiency, investment performance, and financing structure using data from the income statement, statement of financial position, and cash flow statement. In capital-intensive industries such as automotive manufacturing, financial health depends not only on profitability but also on effective asset utilisation, balanced liquidity management, controlled leverage, and sustainable shareholder value, factors that are particularly important as the company invests heavily in electrification, battery production, and digital transformation.</w:t>
      </w:r>
    </w:p>
    <w:p w:rsidR="6407B060" w:rsidP="6407B060" w:rsidRDefault="6407B060" w14:paraId="1C093AD5" w14:textId="440DCC8A">
      <w:pPr>
        <w:pStyle w:val="Normal"/>
        <w:keepNext w:val="0"/>
        <w:keepLines w:val="0"/>
        <w:spacing w:line="360" w:lineRule="auto"/>
        <w:jc w:val="both"/>
        <w:rPr>
          <w:rFonts w:ascii="Arial" w:hAnsi="Arial" w:eastAsia="Arial" w:cs="Arial"/>
          <w:sz w:val="24"/>
          <w:szCs w:val="24"/>
        </w:rPr>
      </w:pPr>
    </w:p>
    <w:p w:rsidR="047E5964" w:rsidP="6407B060" w:rsidRDefault="047E5964" w14:paraId="52109EF4" w14:textId="7606909A">
      <w:pPr>
        <w:pStyle w:val="Heading2"/>
        <w:keepNext w:val="0"/>
        <w:keepLines w:val="0"/>
        <w:spacing w:line="360" w:lineRule="auto"/>
        <w:rPr>
          <w:rFonts w:ascii="Arial" w:hAnsi="Arial" w:eastAsia="Arial" w:cs="Arial"/>
          <w:sz w:val="28"/>
          <w:szCs w:val="28"/>
        </w:rPr>
      </w:pPr>
      <w:bookmarkStart w:name="_Toc439789759" w:id="778131916"/>
      <w:r w:rsidRPr="6407B060" w:rsidR="047E5964">
        <w:rPr>
          <w:rFonts w:ascii="Arial" w:hAnsi="Arial" w:eastAsia="Arial" w:cs="Arial"/>
          <w:sz w:val="28"/>
          <w:szCs w:val="28"/>
        </w:rPr>
        <w:t>1.1 Profitability Ratios</w:t>
      </w:r>
      <w:bookmarkEnd w:id="778131916"/>
    </w:p>
    <w:p w:rsidR="68BDD906" w:rsidP="6407B060" w:rsidRDefault="68BDD906" w14:paraId="5591CEC3" w14:textId="03547232">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sz w:val="24"/>
          <w:szCs w:val="24"/>
        </w:rPr>
      </w:pPr>
      <w:r w:rsidRPr="6407B060" w:rsidR="68BDD906">
        <w:rPr>
          <w:rFonts w:ascii="Arial" w:hAnsi="Arial" w:eastAsia="Arial" w:cs="Arial"/>
          <w:sz w:val="24"/>
          <w:szCs w:val="24"/>
        </w:rPr>
        <w:t>Mitropetros</w:t>
      </w:r>
      <w:r w:rsidRPr="6407B060" w:rsidR="68BDD906">
        <w:rPr>
          <w:rFonts w:ascii="Arial" w:hAnsi="Arial" w:eastAsia="Arial" w:cs="Arial"/>
          <w:sz w:val="24"/>
          <w:szCs w:val="24"/>
        </w:rPr>
        <w:t xml:space="preserve"> (2025) highlights that the growth of electric vehicles (EVs) is reshaping global energy geopolitics by reducing reliance on oil-producing nations while increasing the strategic importance of countries rich in critical minerals such as lithium, cobalt, and rare earth elements. This transition is also accelerating technological competition and innovation. Additionally, understanding the factors that drive profit growth is essential for </w:t>
      </w:r>
      <w:r w:rsidRPr="6407B060" w:rsidR="68BDD906">
        <w:rPr>
          <w:rFonts w:ascii="Arial" w:hAnsi="Arial" w:eastAsia="Arial" w:cs="Arial"/>
          <w:sz w:val="24"/>
          <w:szCs w:val="24"/>
        </w:rPr>
        <w:t>maintaining</w:t>
      </w:r>
      <w:r w:rsidRPr="6407B060" w:rsidR="68BDD906">
        <w:rPr>
          <w:rFonts w:ascii="Arial" w:hAnsi="Arial" w:eastAsia="Arial" w:cs="Arial"/>
          <w:sz w:val="24"/>
          <w:szCs w:val="24"/>
        </w:rPr>
        <w:t xml:space="preserve"> competitiveness in the automotive industry (Putri and Purwanto, 2024). Profitability ratios measure how effectively Volkswagen Group generates returns from its revenue, assets, and shareholders’ equity. In a capital-intensive industry like automotive manufacturing, sustained profitability is crucial to finance electrification investments while </w:t>
      </w:r>
      <w:r w:rsidRPr="6407B060" w:rsidR="68BDD906">
        <w:rPr>
          <w:rFonts w:ascii="Arial" w:hAnsi="Arial" w:eastAsia="Arial" w:cs="Arial"/>
          <w:sz w:val="24"/>
          <w:szCs w:val="24"/>
        </w:rPr>
        <w:t>maintaining</w:t>
      </w:r>
      <w:r w:rsidRPr="6407B060" w:rsidR="68BDD906">
        <w:rPr>
          <w:rFonts w:ascii="Arial" w:hAnsi="Arial" w:eastAsia="Arial" w:cs="Arial"/>
          <w:sz w:val="24"/>
          <w:szCs w:val="24"/>
        </w:rPr>
        <w:t xml:space="preserve"> financial stability.</w:t>
      </w:r>
    </w:p>
    <w:p w:rsidR="4B1F3CDD" w:rsidP="6407B060" w:rsidRDefault="4B1F3CDD" w14:paraId="54D64655" w14:textId="1157EF0B">
      <w:pPr>
        <w:pStyle w:val="Heading3"/>
        <w:keepNext w:val="0"/>
        <w:keepLines w:val="0"/>
        <w:bidi w:val="0"/>
        <w:spacing w:line="360" w:lineRule="auto"/>
        <w:rPr>
          <w:rFonts w:ascii="Arial" w:hAnsi="Arial" w:eastAsia="Arial" w:cs="Arial"/>
          <w:sz w:val="24"/>
          <w:szCs w:val="24"/>
        </w:rPr>
      </w:pPr>
      <w:bookmarkStart w:name="_Toc1742167977" w:id="1124726475"/>
      <w:r w:rsidRPr="6407B060" w:rsidR="4B1F3CDD">
        <w:rPr>
          <w:rFonts w:ascii="Arial" w:hAnsi="Arial" w:eastAsia="Arial" w:cs="Arial"/>
          <w:sz w:val="24"/>
          <w:szCs w:val="24"/>
        </w:rPr>
        <w:t>1.1.1 Return on Capital Employed (ROCE)</w:t>
      </w:r>
      <w:bookmarkEnd w:id="1124726475"/>
    </w:p>
    <w:p w:rsidR="125C6FFB" w:rsidP="6407B060" w:rsidRDefault="125C6FFB" w14:paraId="4AE50E10" w14:textId="66086F8A">
      <w:pPr>
        <w:pStyle w:val="Normal"/>
        <w:keepNext w:val="0"/>
        <w:keepLines w:val="0"/>
        <w:bidi w:val="0"/>
        <w:spacing w:line="360" w:lineRule="auto"/>
        <w:jc w:val="both"/>
        <w:rPr>
          <w:rFonts w:ascii="Arial" w:hAnsi="Arial" w:eastAsia="Arial" w:cs="Arial"/>
          <w:sz w:val="24"/>
          <w:szCs w:val="24"/>
        </w:rPr>
      </w:pPr>
      <w:r w:rsidRPr="6407B060" w:rsidR="125C6FFB">
        <w:rPr>
          <w:rFonts w:ascii="Arial" w:hAnsi="Arial" w:eastAsia="Arial" w:cs="Arial"/>
          <w:sz w:val="24"/>
          <w:szCs w:val="24"/>
        </w:rPr>
        <w:t xml:space="preserve">Return on Capital Employed (ROCE) is a financial ratio widely used to assess a company’s profitability </w:t>
      </w:r>
      <w:r w:rsidRPr="6407B060" w:rsidR="125C6FFB">
        <w:rPr>
          <w:rFonts w:ascii="Arial" w:hAnsi="Arial" w:eastAsia="Arial" w:cs="Arial"/>
          <w:sz w:val="24"/>
          <w:szCs w:val="24"/>
        </w:rPr>
        <w:t>relative</w:t>
      </w:r>
      <w:r w:rsidRPr="6407B060" w:rsidR="125C6FFB">
        <w:rPr>
          <w:rFonts w:ascii="Arial" w:hAnsi="Arial" w:eastAsia="Arial" w:cs="Arial"/>
          <w:sz w:val="24"/>
          <w:szCs w:val="24"/>
        </w:rPr>
        <w:t xml:space="preserve"> to the capital invested</w:t>
      </w:r>
      <w:r w:rsidRPr="6407B060" w:rsidR="7656F071">
        <w:rPr>
          <w:rFonts w:ascii="Arial" w:hAnsi="Arial" w:eastAsia="Arial" w:cs="Arial"/>
          <w:sz w:val="24"/>
          <w:szCs w:val="24"/>
        </w:rPr>
        <w:t xml:space="preserve"> (Sławomir et al., 2020</w:t>
      </w:r>
      <w:r w:rsidRPr="6407B060" w:rsidR="420310C2">
        <w:rPr>
          <w:rFonts w:ascii="Arial" w:hAnsi="Arial" w:eastAsia="Arial" w:cs="Arial"/>
          <w:sz w:val="24"/>
          <w:szCs w:val="24"/>
        </w:rPr>
        <w:t>)</w:t>
      </w:r>
      <w:r w:rsidRPr="6407B060" w:rsidR="7F3255BC">
        <w:rPr>
          <w:rFonts w:ascii="Arial" w:hAnsi="Arial" w:eastAsia="Arial" w:cs="Arial"/>
          <w:sz w:val="24"/>
          <w:szCs w:val="24"/>
        </w:rPr>
        <w:t xml:space="preserve">. </w:t>
      </w:r>
    </w:p>
    <w:p w:rsidR="0F1BD343" w:rsidP="6407B060" w:rsidRDefault="0F1BD343" w14:paraId="12E6BFEA" w14:textId="0B605628">
      <w:pPr>
        <w:pStyle w:val="Normal"/>
        <w:keepNext w:val="0"/>
        <w:keepLines w:val="0"/>
        <w:bidi w:val="0"/>
        <w:spacing w:line="360" w:lineRule="auto"/>
        <w:jc w:val="both"/>
        <w:rPr>
          <w:rFonts w:ascii="Arial" w:hAnsi="Arial" w:eastAsia="Arial" w:cs="Arial"/>
          <w:sz w:val="24"/>
          <w:szCs w:val="24"/>
        </w:rPr>
      </w:pPr>
      <w:r w:rsidRPr="6407B060" w:rsidR="0F1BD343">
        <w:rPr>
          <w:rFonts w:ascii="Arial" w:hAnsi="Arial" w:eastAsia="Arial" w:cs="Arial"/>
          <w:sz w:val="24"/>
          <w:szCs w:val="24"/>
        </w:rPr>
        <w:t xml:space="preserve">               ROCE=</w:t>
      </w:r>
      <m:oMathPara xmlns:m="http://schemas.openxmlformats.org/officeDocument/2006/math">
        <m:oMath xmlns:m="http://schemas.openxmlformats.org/officeDocument/2006/math">
          <m:f xmlns:m="http://schemas.openxmlformats.org/officeDocument/2006/math">
            <m:fPr>
              <m:ctrlPr/>
            </m:fPr>
            <m:num>
              <m:r>
                <m:t>𝑝𝑟𝑜𝑓𝑖𝑡</m:t>
              </m:r>
              <m:r>
                <m:t> </m:t>
              </m:r>
              <m:r>
                <m:t>𝐵𝑒𝑓𝑜𝑟𝑒</m:t>
              </m:r>
              <m:r>
                <m:t> </m:t>
              </m:r>
              <m:r>
                <m:t>𝐼𝑛𝑡𝑒𝑟𝑒𝑠𝑡</m:t>
              </m:r>
            </m:num>
            <m:den>
              <m:r>
                <m:t>𝐶𝑎𝑝𝑖𝑡𝑎𝑙</m:t>
              </m:r>
              <m:r>
                <m:t> </m:t>
              </m:r>
              <m:r>
                <m:t>𝐸𝑚𝑝𝑙𝑜𝑦𝑒𝑑</m:t>
              </m:r>
              <m:r>
                <m:t> </m:t>
              </m:r>
              <m:d>
                <m:dPr>
                  <m:ctrlPr/>
                </m:dPr>
                <m:e>
                  <m:r>
                    <m:t>𝑡𝑜𝑡𝑎𝑙</m:t>
                  </m:r>
                  <m:r>
                    <m:t> </m:t>
                  </m:r>
                  <m:r>
                    <m:t>𝑎𝑠𝑠𝑒𝑡𝑠</m:t>
                  </m:r>
                  <m:r>
                    <m:t>−</m:t>
                  </m:r>
                  <m:r>
                    <m:t>𝐶𝑢𝑟𝑟𝑒𝑛𝑡</m:t>
                  </m:r>
                  <m:r>
                    <m:t> </m:t>
                  </m:r>
                  <m:r>
                    <m:t>𝑙𝑖𝑎𝑏𝑖𝑙𝑖𝑡𝑖𝑒𝑠</m:t>
                  </m:r>
                </m:e>
              </m:d>
            </m:den>
          </m:f>
        </m:oMath>
      </m:oMathPara>
      <w:r w:rsidRPr="6407B060" w:rsidR="33D652B5">
        <w:rPr>
          <w:rFonts w:ascii="Arial" w:hAnsi="Arial" w:eastAsia="Arial" w:cs="Arial"/>
          <w:sz w:val="24"/>
          <w:szCs w:val="24"/>
        </w:rPr>
        <w:t xml:space="preserve">                                                                                      ×100%</w:t>
      </w:r>
    </w:p>
    <w:p w:rsidR="6407B060" w:rsidP="6407B060" w:rsidRDefault="6407B060" w14:paraId="45FF832A" w14:textId="31D08C95">
      <w:pPr>
        <w:pStyle w:val="Normal"/>
        <w:keepNext w:val="0"/>
        <w:keepLines w:val="0"/>
        <w:bidi w:val="0"/>
        <w:spacing w:line="360" w:lineRule="auto"/>
        <w:jc w:val="both"/>
        <w:rPr>
          <w:rFonts w:ascii="Arial" w:hAnsi="Arial" w:eastAsia="Arial" w:cs="Arial"/>
          <w:sz w:val="24"/>
          <w:szCs w:val="24"/>
        </w:rPr>
      </w:pPr>
    </w:p>
    <w:p w:rsidR="62024373" w:rsidP="6407B060" w:rsidRDefault="62024373" w14:paraId="1B9BD8C8" w14:textId="3B6B5A8C">
      <w:pPr>
        <w:pStyle w:val="Normal"/>
        <w:keepNext w:val="0"/>
        <w:keepLines w:val="0"/>
        <w:bidi w:val="0"/>
        <w:spacing w:before="0" w:beforeAutospacing="off" w:after="160" w:afterAutospacing="off" w:line="360" w:lineRule="auto"/>
        <w:ind w:left="0" w:right="0"/>
        <w:jc w:val="both"/>
      </w:pPr>
      <w:r w:rsidR="62024373">
        <w:drawing>
          <wp:inline wp14:editId="4CB7A047" wp14:anchorId="5294DFAE">
            <wp:extent cx="5061256" cy="1475020"/>
            <wp:effectExtent l="0" t="0" r="0" b="0"/>
            <wp:docPr id="21001864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0186423" name="Picture 2100186423"/>
                    <pic:cNvPicPr/>
                  </pic:nvPicPr>
                  <pic:blipFill>
                    <a:blip xmlns:r="http://schemas.openxmlformats.org/officeDocument/2006/relationships" r:embed="rId1695946955">
                      <a:extLst>
                        <a:ext uri="{28A0092B-C50C-407E-A947-70E740481C1C}">
                          <a14:useLocalDpi xmlns:a14="http://schemas.microsoft.com/office/drawing/2010/main"/>
                        </a:ext>
                      </a:extLst>
                    </a:blip>
                    <a:stretch>
                      <a:fillRect/>
                    </a:stretch>
                  </pic:blipFill>
                  <pic:spPr>
                    <a:xfrm rot="0">
                      <a:off x="0" y="0"/>
                      <a:ext cx="5061256" cy="1475020"/>
                    </a:xfrm>
                    <a:prstGeom prst="rect">
                      <a:avLst/>
                    </a:prstGeom>
                  </pic:spPr>
                </pic:pic>
              </a:graphicData>
            </a:graphic>
          </wp:inline>
        </w:drawing>
      </w:r>
    </w:p>
    <w:p w:rsidR="348B73C3" w:rsidP="6407B060" w:rsidRDefault="348B73C3" w14:paraId="5233EDC4" w14:textId="22E8954F">
      <w:pPr>
        <w:pStyle w:val="Normal"/>
        <w:keepNext w:val="0"/>
        <w:keepLines w:val="0"/>
        <w:bidi w:val="0"/>
        <w:spacing w:before="0" w:beforeAutospacing="off" w:after="160" w:afterAutospacing="off" w:line="360" w:lineRule="auto"/>
        <w:ind w:left="0" w:right="0"/>
        <w:jc w:val="both"/>
        <w:rPr>
          <w:rFonts w:ascii="Arial" w:hAnsi="Arial" w:eastAsia="Arial" w:cs="Arial"/>
          <w:sz w:val="24"/>
          <w:szCs w:val="24"/>
        </w:rPr>
      </w:pPr>
      <w:r w:rsidRPr="6407B060" w:rsidR="348B73C3">
        <w:rPr>
          <w:rFonts w:ascii="Arial" w:hAnsi="Arial" w:eastAsia="Arial" w:cs="Arial"/>
          <w:sz w:val="24"/>
          <w:szCs w:val="24"/>
        </w:rPr>
        <w:t xml:space="preserve">Figure </w:t>
      </w:r>
      <w:r w:rsidRPr="6407B060" w:rsidR="1E57DE2A">
        <w:rPr>
          <w:rFonts w:ascii="Arial" w:hAnsi="Arial" w:eastAsia="Arial" w:cs="Arial"/>
          <w:sz w:val="24"/>
          <w:szCs w:val="24"/>
        </w:rPr>
        <w:t>3</w:t>
      </w:r>
      <w:r w:rsidRPr="6407B060" w:rsidR="348B73C3">
        <w:rPr>
          <w:rFonts w:ascii="Arial" w:hAnsi="Arial" w:eastAsia="Arial" w:cs="Arial"/>
          <w:sz w:val="24"/>
          <w:szCs w:val="24"/>
        </w:rPr>
        <w:t>: Volkswagen Group RO</w:t>
      </w:r>
      <w:r w:rsidRPr="6407B060" w:rsidR="664BD55A">
        <w:rPr>
          <w:rFonts w:ascii="Arial" w:hAnsi="Arial" w:eastAsia="Arial" w:cs="Arial"/>
          <w:sz w:val="24"/>
          <w:szCs w:val="24"/>
        </w:rPr>
        <w:t>C</w:t>
      </w:r>
      <w:r w:rsidRPr="6407B060" w:rsidR="348B73C3">
        <w:rPr>
          <w:rFonts w:ascii="Arial" w:hAnsi="Arial" w:eastAsia="Arial" w:cs="Arial"/>
          <w:sz w:val="24"/>
          <w:szCs w:val="24"/>
        </w:rPr>
        <w:t>E</w:t>
      </w:r>
      <w:r w:rsidRPr="6407B060" w:rsidR="1F233AC6">
        <w:rPr>
          <w:rFonts w:ascii="Arial" w:hAnsi="Arial" w:eastAsia="Arial" w:cs="Arial"/>
          <w:sz w:val="24"/>
          <w:szCs w:val="24"/>
        </w:rPr>
        <w:t xml:space="preserve"> (</w:t>
      </w:r>
      <w:r w:rsidRPr="6407B060" w:rsidR="348B73C3">
        <w:rPr>
          <w:rFonts w:ascii="Arial" w:hAnsi="Arial" w:eastAsia="Arial" w:cs="Arial"/>
          <w:sz w:val="24"/>
          <w:szCs w:val="24"/>
        </w:rPr>
        <w:t>2020</w:t>
      </w:r>
      <w:r w:rsidRPr="6407B060" w:rsidR="32EA936D">
        <w:rPr>
          <w:rFonts w:ascii="Arial" w:hAnsi="Arial" w:eastAsia="Arial" w:cs="Arial"/>
          <w:sz w:val="24"/>
          <w:szCs w:val="24"/>
        </w:rPr>
        <w:t>-</w:t>
      </w:r>
      <w:r w:rsidRPr="6407B060" w:rsidR="348B73C3">
        <w:rPr>
          <w:rFonts w:ascii="Arial" w:hAnsi="Arial" w:eastAsia="Arial" w:cs="Arial"/>
          <w:sz w:val="24"/>
          <w:szCs w:val="24"/>
        </w:rPr>
        <w:t>2024</w:t>
      </w:r>
      <w:r w:rsidRPr="6407B060" w:rsidR="7E5638FD">
        <w:rPr>
          <w:rFonts w:ascii="Arial" w:hAnsi="Arial" w:eastAsia="Arial" w:cs="Arial"/>
          <w:sz w:val="24"/>
          <w:szCs w:val="24"/>
        </w:rPr>
        <w:t>)</w:t>
      </w:r>
      <w:r w:rsidRPr="6407B060" w:rsidR="348B73C3">
        <w:rPr>
          <w:rFonts w:ascii="Arial" w:hAnsi="Arial" w:eastAsia="Arial" w:cs="Arial"/>
          <w:sz w:val="24"/>
          <w:szCs w:val="24"/>
        </w:rPr>
        <w:t xml:space="preserve">  </w:t>
      </w:r>
    </w:p>
    <w:p w:rsidR="54836CDA" w:rsidP="6407B060" w:rsidRDefault="54836CDA" w14:paraId="0212E4F2" w14:textId="05B5C4CC">
      <w:pPr>
        <w:pStyle w:val="Normal"/>
        <w:keepNext w:val="0"/>
        <w:keepLines w:val="0"/>
        <w:bidi w:val="0"/>
        <w:spacing w:before="0" w:beforeAutospacing="off" w:after="160" w:afterAutospacing="off" w:line="360" w:lineRule="auto"/>
        <w:ind w:left="0" w:right="0"/>
        <w:jc w:val="both"/>
        <w:rPr>
          <w:rFonts w:ascii="Arial" w:hAnsi="Arial" w:eastAsia="Arial" w:cs="Arial"/>
          <w:sz w:val="24"/>
          <w:szCs w:val="24"/>
        </w:rPr>
      </w:pPr>
      <w:r w:rsidRPr="6407B060" w:rsidR="54836CDA">
        <w:rPr>
          <w:rFonts w:ascii="Arial" w:hAnsi="Arial" w:eastAsia="Arial" w:cs="Arial"/>
          <w:sz w:val="24"/>
          <w:szCs w:val="24"/>
        </w:rPr>
        <w:t>Note:</w:t>
      </w:r>
      <w:r w:rsidRPr="6407B060" w:rsidR="4E759BE3">
        <w:rPr>
          <w:rFonts w:ascii="Arial" w:hAnsi="Arial" w:eastAsia="Arial" w:cs="Arial"/>
          <w:sz w:val="24"/>
          <w:szCs w:val="24"/>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 </m:t>
          </m:r>
        </m:oMath>
      </m:oMathPara>
      <w:r w:rsidRPr="6407B060" w:rsidR="1FDC23C9">
        <w:rPr>
          <w:rFonts w:ascii="Arial" w:hAnsi="Arial" w:eastAsia="Arial" w:cs="Arial"/>
          <w:sz w:val="24"/>
          <w:szCs w:val="24"/>
        </w:rPr>
        <w:t xml:space="preserve"> </w:t>
      </w:r>
      <w:r w:rsidRPr="6407B060" w:rsidR="0C70D902">
        <w:rPr>
          <w:rFonts w:ascii="Arial" w:hAnsi="Arial" w:eastAsia="Arial" w:cs="Arial"/>
          <w:sz w:val="24"/>
          <w:szCs w:val="24"/>
        </w:rPr>
        <w:t xml:space="preserve"> </w:t>
      </w:r>
      <w:r w:rsidRPr="6407B060" w:rsidR="1FDC23C9">
        <w:rPr>
          <w:rFonts w:ascii="Arial" w:hAnsi="Arial" w:eastAsia="Arial" w:cs="Arial"/>
          <w:sz w:val="24"/>
          <w:szCs w:val="24"/>
        </w:rPr>
        <w:t>=</w:t>
      </w:r>
      <w:r w:rsidRPr="6407B060" w:rsidR="45D9537C">
        <w:rPr>
          <w:rFonts w:ascii="Arial" w:hAnsi="Arial" w:eastAsia="Arial" w:cs="Arial"/>
          <w:sz w:val="24"/>
          <w:szCs w:val="24"/>
        </w:rPr>
        <w:t xml:space="preserve"> increase </w:t>
      </w:r>
      <m:oMathPara xmlns:m="http://schemas.openxmlformats.org/officeDocument/2006/math">
        <m:oMath xmlns:m="http://schemas.openxmlformats.org/officeDocument/2006/math">
          <m:r xmlns:m="http://schemas.openxmlformats.org/officeDocument/2006/math">
            <m:t xmlns:m="http://schemas.openxmlformats.org/officeDocument/2006/math">↓ </m:t>
          </m:r>
        </m:oMath>
      </m:oMathPara>
      <w:r w:rsidRPr="6407B060" w:rsidR="35D4F32E">
        <w:rPr>
          <w:rFonts w:ascii="Arial" w:hAnsi="Arial" w:eastAsia="Arial" w:cs="Arial"/>
          <w:sz w:val="24"/>
          <w:szCs w:val="24"/>
        </w:rPr>
        <w:t xml:space="preserve">   </w:t>
      </w:r>
      <w:r w:rsidRPr="6407B060" w:rsidR="57B43017">
        <w:rPr>
          <w:rFonts w:ascii="Arial" w:hAnsi="Arial" w:eastAsia="Arial" w:cs="Arial"/>
          <w:sz w:val="24"/>
          <w:szCs w:val="24"/>
        </w:rPr>
        <w:t>= decrease</w:t>
      </w:r>
    </w:p>
    <w:p w:rsidR="62024373" w:rsidP="6407B060" w:rsidRDefault="62024373" w14:paraId="1CDD8181" w14:textId="5A49141E">
      <w:pPr>
        <w:pStyle w:val="Normal"/>
        <w:keepNext w:val="0"/>
        <w:keepLines w:val="0"/>
        <w:bidi w:val="0"/>
        <w:spacing w:line="360" w:lineRule="auto"/>
        <w:jc w:val="both"/>
      </w:pPr>
      <w:r w:rsidRPr="6407B060" w:rsidR="62024373">
        <w:rPr>
          <w:rFonts w:ascii="Arial" w:hAnsi="Arial" w:eastAsia="Arial" w:cs="Arial"/>
          <w:sz w:val="24"/>
          <w:szCs w:val="24"/>
        </w:rPr>
        <w:t xml:space="preserve">ROCE improved significantly from 3.5% in 2020 to 5.5% in 2021, reflecting strong post-pandemic recovery and operational rebound. However, from 2022 onwards, returns declined and stabilised around 4-4.5%. </w:t>
      </w:r>
      <w:r w:rsidRPr="6407B060" w:rsidR="4C3B4C68">
        <w:rPr>
          <w:rFonts w:ascii="Arial" w:hAnsi="Arial" w:eastAsia="Arial" w:cs="Arial"/>
          <w:sz w:val="24"/>
          <w:szCs w:val="24"/>
        </w:rPr>
        <w:t>The 2021 peak suggests improved capacity utilisation and cost control.</w:t>
      </w:r>
      <w:r w:rsidRPr="6407B060" w:rsidR="6517581C">
        <w:rPr>
          <w:rFonts w:ascii="Arial" w:hAnsi="Arial" w:eastAsia="Arial" w:cs="Arial"/>
          <w:sz w:val="24"/>
          <w:szCs w:val="24"/>
        </w:rPr>
        <w:t xml:space="preserve"> </w:t>
      </w:r>
      <w:r w:rsidRPr="6407B060" w:rsidR="4C3B4C68">
        <w:rPr>
          <w:rFonts w:ascii="Arial" w:hAnsi="Arial" w:eastAsia="Arial" w:cs="Arial"/>
          <w:sz w:val="24"/>
          <w:szCs w:val="24"/>
        </w:rPr>
        <w:t xml:space="preserve">The </w:t>
      </w:r>
      <w:r w:rsidRPr="6407B060" w:rsidR="4C3B4C68">
        <w:rPr>
          <w:rFonts w:ascii="Arial" w:hAnsi="Arial" w:eastAsia="Arial" w:cs="Arial"/>
          <w:sz w:val="24"/>
          <w:szCs w:val="24"/>
        </w:rPr>
        <w:t>subsequent</w:t>
      </w:r>
      <w:r w:rsidRPr="6407B060" w:rsidR="4C3B4C68">
        <w:rPr>
          <w:rFonts w:ascii="Arial" w:hAnsi="Arial" w:eastAsia="Arial" w:cs="Arial"/>
          <w:sz w:val="24"/>
          <w:szCs w:val="24"/>
        </w:rPr>
        <w:t xml:space="preserve"> decline may reflect increased capital employed due to heavy EV and battery investments not yet generating proportional returns.</w:t>
      </w:r>
      <w:r w:rsidRPr="6407B060" w:rsidR="6B7D0D39">
        <w:rPr>
          <w:rFonts w:ascii="Arial" w:hAnsi="Arial" w:eastAsia="Arial" w:cs="Arial"/>
          <w:sz w:val="24"/>
          <w:szCs w:val="24"/>
        </w:rPr>
        <w:t xml:space="preserve"> </w:t>
      </w:r>
      <w:r w:rsidRPr="6407B060" w:rsidR="4C3B4C68">
        <w:rPr>
          <w:rFonts w:ascii="Arial" w:hAnsi="Arial" w:eastAsia="Arial" w:cs="Arial"/>
          <w:sz w:val="24"/>
          <w:szCs w:val="24"/>
        </w:rPr>
        <w:t xml:space="preserve">Industry benchmark for automotive ROCE typically ranges between 8-12%, meaning Volkswagen’s returns </w:t>
      </w:r>
      <w:r w:rsidRPr="6407B060" w:rsidR="4C3B4C68">
        <w:rPr>
          <w:rFonts w:ascii="Arial" w:hAnsi="Arial" w:eastAsia="Arial" w:cs="Arial"/>
          <w:sz w:val="24"/>
          <w:szCs w:val="24"/>
        </w:rPr>
        <w:t>remain</w:t>
      </w:r>
      <w:r w:rsidRPr="6407B060" w:rsidR="4C3B4C68">
        <w:rPr>
          <w:rFonts w:ascii="Arial" w:hAnsi="Arial" w:eastAsia="Arial" w:cs="Arial"/>
          <w:sz w:val="24"/>
          <w:szCs w:val="24"/>
        </w:rPr>
        <w:t xml:space="preserve"> structurally below </w:t>
      </w:r>
      <w:r w:rsidRPr="6407B060" w:rsidR="4C3B4C68">
        <w:rPr>
          <w:rFonts w:ascii="Arial" w:hAnsi="Arial" w:eastAsia="Arial" w:cs="Arial"/>
          <w:sz w:val="24"/>
          <w:szCs w:val="24"/>
        </w:rPr>
        <w:t>optimal</w:t>
      </w:r>
      <w:r w:rsidRPr="6407B060" w:rsidR="4C3B4C68">
        <w:rPr>
          <w:rFonts w:ascii="Arial" w:hAnsi="Arial" w:eastAsia="Arial" w:cs="Arial"/>
          <w:sz w:val="24"/>
          <w:szCs w:val="24"/>
        </w:rPr>
        <w:t xml:space="preserve"> levels.</w:t>
      </w:r>
      <w:r w:rsidRPr="6407B060" w:rsidR="7840558D">
        <w:rPr>
          <w:rFonts w:ascii="Arial" w:hAnsi="Arial" w:eastAsia="Arial" w:cs="Arial"/>
          <w:sz w:val="24"/>
          <w:szCs w:val="24"/>
        </w:rPr>
        <w:t xml:space="preserve"> </w:t>
      </w:r>
      <w:r w:rsidRPr="6407B060" w:rsidR="4C3B4C68">
        <w:rPr>
          <w:rFonts w:ascii="Arial" w:hAnsi="Arial" w:eastAsia="Arial" w:cs="Arial"/>
          <w:sz w:val="24"/>
          <w:szCs w:val="24"/>
        </w:rPr>
        <w:t>A su</w:t>
      </w:r>
      <w:r w:rsidRPr="6407B060" w:rsidR="4C3B4C68">
        <w:rPr>
          <w:rFonts w:ascii="Arial" w:hAnsi="Arial" w:eastAsia="Arial" w:cs="Arial"/>
          <w:sz w:val="24"/>
          <w:szCs w:val="24"/>
        </w:rPr>
        <w:t>stained RO</w:t>
      </w:r>
      <w:r w:rsidRPr="6407B060" w:rsidR="4C3B4C68">
        <w:rPr>
          <w:rFonts w:ascii="Arial" w:hAnsi="Arial" w:eastAsia="Arial" w:cs="Arial"/>
          <w:sz w:val="24"/>
          <w:szCs w:val="24"/>
        </w:rPr>
        <w:t xml:space="preserve">CE below </w:t>
      </w:r>
      <w:r w:rsidRPr="6407B060" w:rsidR="4AD32BCA">
        <w:rPr>
          <w:rFonts w:ascii="Arial" w:hAnsi="Arial" w:eastAsia="Arial" w:cs="Arial"/>
          <w:sz w:val="24"/>
          <w:szCs w:val="24"/>
        </w:rPr>
        <w:t xml:space="preserve">the </w:t>
      </w:r>
      <w:r w:rsidRPr="6407B060" w:rsidR="4C3B4C68">
        <w:rPr>
          <w:rFonts w:ascii="Arial" w:hAnsi="Arial" w:eastAsia="Arial" w:cs="Arial"/>
          <w:sz w:val="24"/>
          <w:szCs w:val="24"/>
        </w:rPr>
        <w:t>cost of capital (estimated 7-9%) may</w:t>
      </w:r>
      <w:r w:rsidRPr="6407B060" w:rsidR="4C3B4C68">
        <w:rPr>
          <w:rFonts w:ascii="Arial" w:hAnsi="Arial" w:eastAsia="Arial" w:cs="Arial"/>
          <w:sz w:val="24"/>
          <w:szCs w:val="24"/>
        </w:rPr>
        <w:t xml:space="preserve"> </w:t>
      </w:r>
      <w:r w:rsidRPr="6407B060" w:rsidR="4C3B4C68">
        <w:rPr>
          <w:rFonts w:ascii="Arial" w:hAnsi="Arial" w:eastAsia="Arial" w:cs="Arial"/>
          <w:sz w:val="24"/>
          <w:szCs w:val="24"/>
        </w:rPr>
        <w:t>indicat</w:t>
      </w:r>
      <w:r w:rsidRPr="6407B060" w:rsidR="4C3B4C68">
        <w:rPr>
          <w:rFonts w:ascii="Arial" w:hAnsi="Arial" w:eastAsia="Arial" w:cs="Arial"/>
          <w:sz w:val="24"/>
          <w:szCs w:val="24"/>
        </w:rPr>
        <w:t>e</w:t>
      </w:r>
      <w:r w:rsidRPr="6407B060" w:rsidR="4C3B4C68">
        <w:rPr>
          <w:rFonts w:ascii="Arial" w:hAnsi="Arial" w:eastAsia="Arial" w:cs="Arial"/>
          <w:sz w:val="24"/>
          <w:szCs w:val="24"/>
        </w:rPr>
        <w:t xml:space="preserve"> value dilution. Capital efficiency</w:t>
      </w:r>
      <w:r w:rsidRPr="6407B060" w:rsidR="4C3B4C68">
        <w:rPr>
          <w:rFonts w:ascii="Arial" w:hAnsi="Arial" w:eastAsia="Arial" w:cs="Arial"/>
          <w:sz w:val="24"/>
          <w:szCs w:val="24"/>
        </w:rPr>
        <w:t xml:space="preserve"> </w:t>
      </w:r>
      <w:r w:rsidRPr="6407B060" w:rsidR="4C3B4C68">
        <w:rPr>
          <w:rFonts w:ascii="Arial" w:hAnsi="Arial" w:eastAsia="Arial" w:cs="Arial"/>
          <w:sz w:val="24"/>
          <w:szCs w:val="24"/>
        </w:rPr>
        <w:t>remain</w:t>
      </w:r>
      <w:r w:rsidRPr="6407B060" w:rsidR="4C3B4C68">
        <w:rPr>
          <w:rFonts w:ascii="Arial" w:hAnsi="Arial" w:eastAsia="Arial" w:cs="Arial"/>
          <w:sz w:val="24"/>
          <w:szCs w:val="24"/>
        </w:rPr>
        <w:t>s</w:t>
      </w:r>
      <w:r w:rsidRPr="6407B060" w:rsidR="4C3B4C68">
        <w:rPr>
          <w:rFonts w:ascii="Arial" w:hAnsi="Arial" w:eastAsia="Arial" w:cs="Arial"/>
          <w:sz w:val="24"/>
          <w:szCs w:val="24"/>
        </w:rPr>
        <w:t xml:space="preserve"> a key concern during electrification expansion.</w:t>
      </w:r>
      <w:r w:rsidRPr="6407B060" w:rsidR="5FECF340">
        <w:rPr>
          <w:rFonts w:ascii="Arial" w:hAnsi="Arial" w:eastAsia="Arial" w:cs="Arial"/>
          <w:sz w:val="24"/>
          <w:szCs w:val="24"/>
        </w:rPr>
        <w:t xml:space="preserve"> If implemented without significant disruption, a €60 billion cost program might support profitability and financing for software and EV investments (</w:t>
      </w:r>
      <w:r w:rsidRPr="6407B060" w:rsidR="559DCF05">
        <w:rPr>
          <w:rFonts w:ascii="Arial" w:hAnsi="Arial" w:eastAsia="Arial" w:cs="Arial"/>
          <w:sz w:val="24"/>
          <w:szCs w:val="24"/>
        </w:rPr>
        <w:t>Simply Wall St, 2026).</w:t>
      </w:r>
    </w:p>
    <w:p w:rsidR="29F54E30" w:rsidP="6407B060" w:rsidRDefault="29F54E30" w14:paraId="6E805873" w14:textId="7D6A2B00">
      <w:pPr>
        <w:pStyle w:val="Heading3"/>
        <w:keepNext w:val="0"/>
        <w:keepLines w:val="0"/>
        <w:bidi w:val="0"/>
        <w:spacing w:line="360" w:lineRule="auto"/>
        <w:rPr>
          <w:rFonts w:ascii="Arial" w:hAnsi="Arial" w:eastAsia="Arial" w:cs="Arial"/>
          <w:sz w:val="24"/>
          <w:szCs w:val="24"/>
        </w:rPr>
      </w:pPr>
      <w:bookmarkStart w:name="_Toc749121114" w:id="1921676050"/>
      <w:r w:rsidRPr="6407B060" w:rsidR="29F54E30">
        <w:rPr>
          <w:rFonts w:ascii="Arial" w:hAnsi="Arial" w:eastAsia="Arial" w:cs="Arial"/>
          <w:sz w:val="24"/>
          <w:szCs w:val="24"/>
        </w:rPr>
        <w:t xml:space="preserve">1.1.2 </w:t>
      </w:r>
      <w:r w:rsidRPr="6407B060" w:rsidR="0962DA0D">
        <w:rPr>
          <w:rFonts w:ascii="Arial" w:hAnsi="Arial" w:eastAsia="Arial" w:cs="Arial"/>
          <w:sz w:val="24"/>
          <w:szCs w:val="24"/>
        </w:rPr>
        <w:t>R</w:t>
      </w:r>
      <w:r w:rsidRPr="6407B060" w:rsidR="122B79EE">
        <w:rPr>
          <w:rFonts w:ascii="Arial" w:hAnsi="Arial" w:eastAsia="Arial" w:cs="Arial"/>
          <w:sz w:val="24"/>
          <w:szCs w:val="24"/>
        </w:rPr>
        <w:t>eturn on Equity (ROE)</w:t>
      </w:r>
      <w:bookmarkEnd w:id="1921676050"/>
      <w:r w:rsidRPr="6407B060" w:rsidR="122B79EE">
        <w:rPr>
          <w:rFonts w:ascii="Arial" w:hAnsi="Arial" w:eastAsia="Arial" w:cs="Arial"/>
          <w:sz w:val="24"/>
          <w:szCs w:val="24"/>
        </w:rPr>
        <w:t xml:space="preserve"> </w:t>
      </w:r>
    </w:p>
    <w:p w:rsidR="34452191" w:rsidP="6407B060" w:rsidRDefault="34452191" w14:paraId="145D2A21" w14:textId="6F27D599">
      <w:pPr>
        <w:pStyle w:val="Normal"/>
        <w:keepNext w:val="0"/>
        <w:keepLines w:val="0"/>
        <w:bidi w:val="0"/>
        <w:spacing w:line="360" w:lineRule="auto"/>
        <w:rPr>
          <w:rFonts w:ascii="Arial" w:hAnsi="Arial" w:eastAsia="Arial" w:cs="Arial"/>
          <w:sz w:val="24"/>
          <w:szCs w:val="24"/>
        </w:rPr>
      </w:pPr>
      <w:r w:rsidRPr="6407B060" w:rsidR="34452191">
        <w:rPr>
          <w:rFonts w:ascii="Arial" w:hAnsi="Arial" w:eastAsia="Arial" w:cs="Arial"/>
          <w:sz w:val="24"/>
          <w:szCs w:val="24"/>
        </w:rPr>
        <w:t xml:space="preserve">Schoenberger (2025) explains that </w:t>
      </w:r>
      <w:r w:rsidRPr="6407B060" w:rsidR="378DC8A0">
        <w:rPr>
          <w:rFonts w:ascii="Arial" w:hAnsi="Arial" w:eastAsia="Arial" w:cs="Arial"/>
          <w:sz w:val="24"/>
          <w:szCs w:val="24"/>
        </w:rPr>
        <w:t>to</w:t>
      </w:r>
      <w:r w:rsidRPr="6407B060" w:rsidR="249C3952">
        <w:rPr>
          <w:rFonts w:ascii="Arial" w:hAnsi="Arial" w:eastAsia="Arial" w:cs="Arial"/>
          <w:sz w:val="24"/>
          <w:szCs w:val="24"/>
        </w:rPr>
        <w:t xml:space="preserve"> calculate how much wealth it creates for stockholders, ROE compares net income to shareholder equity, which is calculated by subtracting debt from corporate assets</w:t>
      </w:r>
      <w:r w:rsidRPr="6407B060" w:rsidR="675AB6BC">
        <w:rPr>
          <w:rFonts w:ascii="Arial" w:hAnsi="Arial" w:eastAsia="Arial" w:cs="Arial"/>
          <w:sz w:val="24"/>
          <w:szCs w:val="24"/>
        </w:rPr>
        <w:t xml:space="preserve"> </w:t>
      </w:r>
      <w:r w:rsidRPr="6407B060" w:rsidR="675AB6BC">
        <w:rPr>
          <w:rFonts w:ascii="Arial" w:hAnsi="Arial" w:eastAsia="Arial" w:cs="Arial"/>
          <w:sz w:val="24"/>
          <w:szCs w:val="24"/>
        </w:rPr>
        <w:t>(full</w:t>
      </w:r>
      <w:r w:rsidRPr="6407B060" w:rsidR="675AB6BC">
        <w:rPr>
          <w:rFonts w:ascii="Arial" w:hAnsi="Arial" w:eastAsia="Arial" w:cs="Arial"/>
          <w:sz w:val="24"/>
          <w:szCs w:val="24"/>
        </w:rPr>
        <w:t xml:space="preserve"> calculation in Appendix)</w:t>
      </w:r>
      <w:r w:rsidRPr="6407B060" w:rsidR="249C3952">
        <w:rPr>
          <w:rFonts w:ascii="Arial" w:hAnsi="Arial" w:eastAsia="Arial" w:cs="Arial"/>
          <w:sz w:val="24"/>
          <w:szCs w:val="24"/>
        </w:rPr>
        <w:t>.</w:t>
      </w:r>
    </w:p>
    <w:p w:rsidR="0D067408" w:rsidP="6407B060" w:rsidRDefault="0D067408" w14:paraId="5F4A3D50" w14:textId="3CCD3D7E">
      <w:pPr>
        <w:pStyle w:val="Normal"/>
        <w:keepNext w:val="0"/>
        <w:keepLines w:val="0"/>
        <w:bidi w:val="0"/>
        <w:spacing w:line="360" w:lineRule="auto"/>
      </w:pPr>
      <w:r w:rsidRPr="6407B060" w:rsidR="0D067408">
        <w:rPr>
          <w:rFonts w:ascii="Arial" w:hAnsi="Arial" w:eastAsia="Arial" w:cs="Arial"/>
          <w:sz w:val="24"/>
          <w:szCs w:val="24"/>
        </w:rPr>
        <w:t xml:space="preserve">        </w:t>
      </w:r>
      <w:r w:rsidRPr="6407B060" w:rsidR="33F6B9DA">
        <w:rPr>
          <w:rFonts w:ascii="Arial" w:hAnsi="Arial" w:eastAsia="Arial" w:cs="Arial"/>
          <w:sz w:val="24"/>
          <w:szCs w:val="24"/>
        </w:rPr>
        <w:t>ROE=</w:t>
      </w:r>
      <m:oMathPara xmlns:m="http://schemas.openxmlformats.org/officeDocument/2006/math">
        <m:oMath xmlns:m="http://schemas.openxmlformats.org/officeDocument/2006/math">
          <m:f xmlns:m="http://schemas.openxmlformats.org/officeDocument/2006/math">
            <m:fPr>
              <m:ctrlPr/>
            </m:fPr>
            <m:num>
              <m:r>
                <m:t>𝐸𝑎𝑟𝑛𝑖𝑛𝑔𝑠</m:t>
              </m:r>
            </m:num>
            <m:den>
              <m:r>
                <m:t>𝐸𝑞𝑢𝑖𝑡𝑦</m:t>
              </m:r>
              <m:r>
                <m:t> </m:t>
              </m:r>
              <m:d>
                <m:dPr>
                  <m:ctrlPr/>
                </m:dPr>
                <m:e>
                  <m:r>
                    <m:t>𝑇𝑜𝑡𝑎𝑙</m:t>
                  </m:r>
                  <m:r>
                    <m:t> </m:t>
                  </m:r>
                  <m:r>
                    <m:t>𝐴𝑠𝑠𝑒𝑡𝑠</m:t>
                  </m:r>
                  <m:r>
                    <m:t> − </m:t>
                  </m:r>
                  <m:r>
                    <m:t>𝑇𝑜𝑡𝑎𝑙</m:t>
                  </m:r>
                  <m:r>
                    <m:t> </m:t>
                  </m:r>
                  <m:r>
                    <m:t>𝐿𝑖𝑎𝑏𝑖𝑙𝑖𝑡𝑖𝑒𝑠</m:t>
                  </m:r>
                </m:e>
              </m:d>
            </m:den>
          </m:f>
        </m:oMath>
      </m:oMathPara>
      <w:r w:rsidRPr="6407B060" w:rsidR="5D5FBE27">
        <w:rPr>
          <w:rFonts w:ascii="Arial" w:hAnsi="Arial" w:eastAsia="Arial" w:cs="Arial"/>
          <w:sz w:val="24"/>
          <w:szCs w:val="24"/>
        </w:rPr>
        <w:t xml:space="preserve">  </w:t>
      </w:r>
      <w:r w:rsidRPr="6407B060" w:rsidR="64FF2CA8">
        <w:rPr>
          <w:rFonts w:ascii="Arial" w:hAnsi="Arial" w:eastAsia="Arial" w:cs="Arial"/>
          <w:sz w:val="24"/>
          <w:szCs w:val="24"/>
        </w:rPr>
        <w:t xml:space="preserve">                                                                     ×100%</w:t>
      </w:r>
      <w:r w:rsidR="54FF9505">
        <w:drawing>
          <wp:inline wp14:editId="6A8647FB" wp14:anchorId="590514F6">
            <wp:extent cx="4919230" cy="2179637"/>
            <wp:effectExtent l="0" t="0" r="0" b="0"/>
            <wp:docPr id="13474770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7477015" name="Picture 1347477015"/>
                    <pic:cNvPicPr/>
                  </pic:nvPicPr>
                  <pic:blipFill>
                    <a:blip xmlns:r="http://schemas.openxmlformats.org/officeDocument/2006/relationships" r:embed="rId926995204">
                      <a:extLst>
                        <a:ext uri="{28A0092B-C50C-407E-A947-70E740481C1C}">
                          <a14:useLocalDpi xmlns:a14="http://schemas.microsoft.com/office/drawing/2010/main"/>
                        </a:ext>
                      </a:extLst>
                    </a:blip>
                    <a:stretch>
                      <a:fillRect/>
                    </a:stretch>
                  </pic:blipFill>
                  <pic:spPr>
                    <a:xfrm rot="0">
                      <a:off x="0" y="0"/>
                      <a:ext cx="4919230" cy="2179637"/>
                    </a:xfrm>
                    <a:prstGeom prst="rect">
                      <a:avLst/>
                    </a:prstGeom>
                  </pic:spPr>
                </pic:pic>
              </a:graphicData>
            </a:graphic>
          </wp:inline>
        </w:drawing>
      </w:r>
    </w:p>
    <w:p w:rsidR="0962DA0D" w:rsidP="6407B060" w:rsidRDefault="0962DA0D" w14:paraId="5B05012B" w14:textId="3A6FE2C6">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sz w:val="24"/>
          <w:szCs w:val="24"/>
        </w:rPr>
      </w:pPr>
      <w:r w:rsidRPr="6407B060" w:rsidR="0962DA0D">
        <w:rPr>
          <w:rFonts w:ascii="Arial" w:hAnsi="Arial" w:eastAsia="Arial" w:cs="Arial"/>
          <w:sz w:val="24"/>
          <w:szCs w:val="24"/>
        </w:rPr>
        <w:t xml:space="preserve">Figure </w:t>
      </w:r>
      <w:r w:rsidRPr="6407B060" w:rsidR="7509B0B1">
        <w:rPr>
          <w:rFonts w:ascii="Arial" w:hAnsi="Arial" w:eastAsia="Arial" w:cs="Arial"/>
          <w:sz w:val="24"/>
          <w:szCs w:val="24"/>
        </w:rPr>
        <w:t>4</w:t>
      </w:r>
      <w:r w:rsidRPr="6407B060" w:rsidR="0962DA0D">
        <w:rPr>
          <w:rFonts w:ascii="Arial" w:hAnsi="Arial" w:eastAsia="Arial" w:cs="Arial"/>
          <w:sz w:val="24"/>
          <w:szCs w:val="24"/>
        </w:rPr>
        <w:t xml:space="preserve">: Volkswagen Group ROE </w:t>
      </w:r>
      <w:r w:rsidRPr="6407B060" w:rsidR="718B2551">
        <w:rPr>
          <w:rFonts w:ascii="Arial" w:hAnsi="Arial" w:eastAsia="Arial" w:cs="Arial"/>
          <w:sz w:val="24"/>
          <w:szCs w:val="24"/>
        </w:rPr>
        <w:t>(</w:t>
      </w:r>
      <w:r w:rsidRPr="6407B060" w:rsidR="0962DA0D">
        <w:rPr>
          <w:rFonts w:ascii="Arial" w:hAnsi="Arial" w:eastAsia="Arial" w:cs="Arial"/>
          <w:sz w:val="24"/>
          <w:szCs w:val="24"/>
        </w:rPr>
        <w:t>2020</w:t>
      </w:r>
      <w:r w:rsidRPr="6407B060" w:rsidR="3F697900">
        <w:rPr>
          <w:rFonts w:ascii="Arial" w:hAnsi="Arial" w:eastAsia="Arial" w:cs="Arial"/>
          <w:sz w:val="24"/>
          <w:szCs w:val="24"/>
        </w:rPr>
        <w:t xml:space="preserve"> </w:t>
      </w:r>
      <w:r w:rsidRPr="6407B060" w:rsidR="74FDA37D">
        <w:rPr>
          <w:rFonts w:ascii="Arial" w:hAnsi="Arial" w:eastAsia="Arial" w:cs="Arial"/>
          <w:sz w:val="24"/>
          <w:szCs w:val="24"/>
        </w:rPr>
        <w:t xml:space="preserve">to </w:t>
      </w:r>
      <w:r w:rsidRPr="6407B060" w:rsidR="0962DA0D">
        <w:rPr>
          <w:rFonts w:ascii="Arial" w:hAnsi="Arial" w:eastAsia="Arial" w:cs="Arial"/>
          <w:sz w:val="24"/>
          <w:szCs w:val="24"/>
        </w:rPr>
        <w:t>2024</w:t>
      </w:r>
      <w:r w:rsidRPr="6407B060" w:rsidR="09761476">
        <w:rPr>
          <w:rFonts w:ascii="Arial" w:hAnsi="Arial" w:eastAsia="Arial" w:cs="Arial"/>
          <w:sz w:val="24"/>
          <w:szCs w:val="24"/>
        </w:rPr>
        <w:t>)</w:t>
      </w:r>
    </w:p>
    <w:p w:rsidR="4CB7FB56" w:rsidP="6407B060" w:rsidRDefault="4CB7FB56" w14:paraId="736C6B7D" w14:textId="5501143F">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sz w:val="24"/>
          <w:szCs w:val="24"/>
        </w:rPr>
      </w:pPr>
      <w:r w:rsidRPr="6407B060" w:rsidR="4CB7FB56">
        <w:rPr>
          <w:rFonts w:ascii="Arial" w:hAnsi="Arial" w:eastAsia="Arial" w:cs="Arial"/>
          <w:sz w:val="24"/>
          <w:szCs w:val="24"/>
        </w:rPr>
        <w:t xml:space="preserve">Note: All figures in </w:t>
      </w:r>
      <w:r w:rsidRPr="6407B060" w:rsidR="35D9FA65">
        <w:rPr>
          <w:rFonts w:ascii="Arial" w:hAnsi="Arial" w:eastAsia="Arial" w:cs="Arial"/>
          <w:sz w:val="24"/>
          <w:szCs w:val="24"/>
        </w:rPr>
        <w:t xml:space="preserve">€ millions unless otherwise </w:t>
      </w:r>
      <w:r w:rsidRPr="6407B060" w:rsidR="35D9FA65">
        <w:rPr>
          <w:rFonts w:ascii="Arial" w:hAnsi="Arial" w:eastAsia="Arial" w:cs="Arial"/>
          <w:sz w:val="24"/>
          <w:szCs w:val="24"/>
        </w:rPr>
        <w:t>stated</w:t>
      </w:r>
      <w:r w:rsidRPr="6407B060" w:rsidR="7B6D56FF">
        <w:rPr>
          <w:rFonts w:ascii="Arial" w:hAnsi="Arial" w:eastAsia="Arial" w:cs="Arial"/>
          <w:sz w:val="24"/>
          <w:szCs w:val="24"/>
        </w:rPr>
        <w:t xml:space="preserve"> </w:t>
      </w:r>
    </w:p>
    <w:p w:rsidR="3BDF3472" w:rsidP="6407B060" w:rsidRDefault="3BDF3472" w14:paraId="37060381" w14:textId="35EC5081">
      <w:pPr>
        <w:pStyle w:val="Normal"/>
        <w:keepNext w:val="0"/>
        <w:keepLines w:val="0"/>
        <w:suppressLineNumbers w:val="0"/>
        <w:bidi w:val="0"/>
        <w:spacing w:line="360" w:lineRule="auto"/>
        <w:jc w:val="both"/>
        <w:rPr>
          <w:rFonts w:ascii="Arial" w:hAnsi="Arial" w:eastAsia="Arial" w:cs="Arial"/>
          <w:sz w:val="24"/>
          <w:szCs w:val="24"/>
        </w:rPr>
      </w:pPr>
      <w:r w:rsidRPr="6407B060" w:rsidR="3BDF3472">
        <w:rPr>
          <w:rFonts w:ascii="Arial" w:hAnsi="Arial" w:eastAsia="Arial" w:cs="Arial"/>
          <w:sz w:val="24"/>
          <w:szCs w:val="24"/>
        </w:rPr>
        <w:t xml:space="preserve">ROE strengthened sharply in 2021, exceeding 10%, but declined again to 6.3% in 2024. The automotive industry benchmark for ROE is </w:t>
      </w:r>
      <w:r w:rsidRPr="6407B060" w:rsidR="3BDF3472">
        <w:rPr>
          <w:rFonts w:ascii="Arial" w:hAnsi="Arial" w:eastAsia="Arial" w:cs="Arial"/>
          <w:sz w:val="24"/>
          <w:szCs w:val="24"/>
        </w:rPr>
        <w:t>approximately 10</w:t>
      </w:r>
      <w:r w:rsidRPr="6407B060" w:rsidR="3BDF3472">
        <w:rPr>
          <w:rFonts w:ascii="Arial" w:hAnsi="Arial" w:eastAsia="Arial" w:cs="Arial"/>
          <w:sz w:val="24"/>
          <w:szCs w:val="24"/>
        </w:rPr>
        <w:t xml:space="preserve">–15%. Only 2021 met this benchmark; other years </w:t>
      </w:r>
      <w:r w:rsidRPr="6407B060" w:rsidR="3BDF3472">
        <w:rPr>
          <w:rFonts w:ascii="Arial" w:hAnsi="Arial" w:eastAsia="Arial" w:cs="Arial"/>
          <w:sz w:val="24"/>
          <w:szCs w:val="24"/>
        </w:rPr>
        <w:t>remain</w:t>
      </w:r>
      <w:r w:rsidRPr="6407B060" w:rsidR="3BDF3472">
        <w:rPr>
          <w:rFonts w:ascii="Arial" w:hAnsi="Arial" w:eastAsia="Arial" w:cs="Arial"/>
          <w:sz w:val="24"/>
          <w:szCs w:val="24"/>
        </w:rPr>
        <w:t xml:space="preserve"> below </w:t>
      </w:r>
      <w:r w:rsidRPr="6407B060" w:rsidR="3BDF3472">
        <w:rPr>
          <w:rFonts w:ascii="Arial" w:hAnsi="Arial" w:eastAsia="Arial" w:cs="Arial"/>
          <w:sz w:val="24"/>
          <w:szCs w:val="24"/>
        </w:rPr>
        <w:t>optimal</w:t>
      </w:r>
      <w:r w:rsidRPr="6407B060" w:rsidR="3BDF3472">
        <w:rPr>
          <w:rFonts w:ascii="Arial" w:hAnsi="Arial" w:eastAsia="Arial" w:cs="Arial"/>
          <w:sz w:val="24"/>
          <w:szCs w:val="24"/>
        </w:rPr>
        <w:t xml:space="preserve"> shareholder return expectations. </w:t>
      </w:r>
      <w:r w:rsidRPr="6407B060" w:rsidR="3BDF3472">
        <w:rPr>
          <w:rFonts w:ascii="Arial" w:hAnsi="Arial" w:eastAsia="Arial" w:cs="Arial"/>
          <w:sz w:val="24"/>
          <w:szCs w:val="24"/>
        </w:rPr>
        <w:t xml:space="preserve">The 2021-2023 period reflects improved earnings performance. The 2024 decline suggests margin compression, higher financing costs, or rising capital base. The decline in ROE alongside moderate ROCE suggests that leverage is not significantly amplifying returns, </w:t>
      </w:r>
      <w:r w:rsidRPr="6407B060" w:rsidR="3BDF3472">
        <w:rPr>
          <w:rFonts w:ascii="Arial" w:hAnsi="Arial" w:eastAsia="Arial" w:cs="Arial"/>
          <w:sz w:val="24"/>
          <w:szCs w:val="24"/>
        </w:rPr>
        <w:t>indicating</w:t>
      </w:r>
      <w:r w:rsidRPr="6407B060" w:rsidR="3BDF3472">
        <w:rPr>
          <w:rFonts w:ascii="Arial" w:hAnsi="Arial" w:eastAsia="Arial" w:cs="Arial"/>
          <w:sz w:val="24"/>
          <w:szCs w:val="24"/>
        </w:rPr>
        <w:t xml:space="preserve"> controlled but cautious financial structuring</w:t>
      </w:r>
      <w:r w:rsidRPr="6407B060" w:rsidR="7EB16212">
        <w:rPr>
          <w:rFonts w:ascii="Arial" w:hAnsi="Arial" w:eastAsia="Arial" w:cs="Arial"/>
          <w:sz w:val="24"/>
          <w:szCs w:val="24"/>
        </w:rPr>
        <w:t xml:space="preserve"> (</w:t>
      </w:r>
      <w:r w:rsidRPr="6407B060" w:rsidR="7EB16212">
        <w:rPr>
          <w:rFonts w:ascii="Arial" w:hAnsi="Arial" w:eastAsia="Arial" w:cs="Arial"/>
          <w:sz w:val="24"/>
          <w:szCs w:val="24"/>
        </w:rPr>
        <w:t>Volkswagen Group, 2026</w:t>
      </w:r>
      <w:r w:rsidRPr="6407B060" w:rsidR="7EB16212">
        <w:rPr>
          <w:rFonts w:ascii="Arial" w:hAnsi="Arial" w:eastAsia="Arial" w:cs="Arial"/>
          <w:sz w:val="24"/>
          <w:szCs w:val="24"/>
        </w:rPr>
        <w:t>)</w:t>
      </w:r>
      <w:r w:rsidRPr="6407B060" w:rsidR="3BDF3472">
        <w:rPr>
          <w:rFonts w:ascii="Arial" w:hAnsi="Arial" w:eastAsia="Arial" w:cs="Arial"/>
          <w:sz w:val="24"/>
          <w:szCs w:val="24"/>
        </w:rPr>
        <w:t>.</w:t>
      </w:r>
    </w:p>
    <w:p w:rsidR="544EF999" w:rsidP="6407B060" w:rsidRDefault="544EF999" w14:paraId="7F101396" w14:textId="5087C3DF">
      <w:pPr>
        <w:pStyle w:val="Heading3"/>
        <w:keepNext w:val="0"/>
        <w:keepLines w:val="0"/>
        <w:bidi w:val="0"/>
        <w:spacing w:line="360" w:lineRule="auto"/>
        <w:rPr>
          <w:rFonts w:ascii="Arial" w:hAnsi="Arial" w:eastAsia="Arial" w:cs="Arial"/>
          <w:sz w:val="24"/>
          <w:szCs w:val="24"/>
        </w:rPr>
      </w:pPr>
      <w:bookmarkStart w:name="_Toc29866649" w:id="370990324"/>
      <w:r w:rsidRPr="6407B060" w:rsidR="544EF999">
        <w:rPr>
          <w:rFonts w:ascii="Arial" w:hAnsi="Arial" w:eastAsia="Arial" w:cs="Arial"/>
          <w:sz w:val="24"/>
          <w:szCs w:val="24"/>
        </w:rPr>
        <w:t>1.1.3 Gross Profit Mar</w:t>
      </w:r>
      <w:r w:rsidRPr="6407B060" w:rsidR="5CB7CDF0">
        <w:rPr>
          <w:rFonts w:ascii="Arial" w:hAnsi="Arial" w:eastAsia="Arial" w:cs="Arial"/>
          <w:sz w:val="24"/>
          <w:szCs w:val="24"/>
        </w:rPr>
        <w:t>gin</w:t>
      </w:r>
      <w:bookmarkEnd w:id="370990324"/>
      <w:r w:rsidRPr="6407B060" w:rsidR="5CB7CDF0">
        <w:rPr>
          <w:rFonts w:ascii="Arial" w:hAnsi="Arial" w:eastAsia="Arial" w:cs="Arial"/>
          <w:sz w:val="24"/>
          <w:szCs w:val="24"/>
        </w:rPr>
        <w:t xml:space="preserve"> </w:t>
      </w:r>
    </w:p>
    <w:p w:rsidR="56574741" w:rsidP="6407B060" w:rsidRDefault="56574741" w14:paraId="3D4E0269" w14:textId="19DB0D73">
      <w:pPr>
        <w:pStyle w:val="Normal"/>
        <w:keepNext w:val="0"/>
        <w:keepLines w:val="0"/>
        <w:bidi w:val="0"/>
        <w:spacing w:line="360" w:lineRule="auto"/>
        <w:jc w:val="both"/>
        <w:rPr>
          <w:rFonts w:ascii="Arial" w:hAnsi="Arial" w:eastAsia="Arial" w:cs="Arial"/>
          <w:sz w:val="24"/>
          <w:szCs w:val="24"/>
        </w:rPr>
      </w:pPr>
      <w:r w:rsidRPr="6407B060" w:rsidR="56574741">
        <w:rPr>
          <w:rFonts w:ascii="Arial" w:hAnsi="Arial" w:eastAsia="Arial" w:cs="Arial"/>
          <w:sz w:val="24"/>
          <w:szCs w:val="24"/>
        </w:rPr>
        <w:t>The 2015 emissions scandal significantly damaged Volkswagen’s profitability and brand credibility, with gross profit margin falling to 15.89% as legal costs, recalls, and reputational erosion weakened pricing power. However, the rebound to 18.9% by 2023 reflects strategic recovery rather than simple cyclical improvement. The €73 billion investment in electric vehicles and sustainable innovation signals a deliberate repositioning toward long-term competitiveness and trust rebuilding. While margins have recovered, the scale of capital commitment introduces execution and return-on-investment risks, making profitability trends closely tied to the success of this sustainability-led transformation</w:t>
      </w:r>
      <w:r w:rsidRPr="6407B060" w:rsidR="56574741">
        <w:rPr>
          <w:rFonts w:ascii="Arial" w:hAnsi="Arial" w:eastAsia="Arial" w:cs="Arial"/>
          <w:sz w:val="24"/>
          <w:szCs w:val="24"/>
        </w:rPr>
        <w:t xml:space="preserve"> </w:t>
      </w:r>
      <w:r w:rsidRPr="6407B060" w:rsidR="56574741">
        <w:rPr>
          <w:rFonts w:ascii="Arial" w:hAnsi="Arial" w:eastAsia="Arial" w:cs="Arial"/>
          <w:sz w:val="24"/>
          <w:szCs w:val="24"/>
        </w:rPr>
        <w:t>(Ahmed and Muhammad, 2025</w:t>
      </w:r>
      <w:r w:rsidRPr="6407B060" w:rsidR="0648820F">
        <w:rPr>
          <w:rFonts w:ascii="Arial" w:hAnsi="Arial" w:eastAsia="Arial" w:cs="Arial"/>
          <w:sz w:val="24"/>
          <w:szCs w:val="24"/>
        </w:rPr>
        <w:t xml:space="preserve">; </w:t>
      </w:r>
      <w:r w:rsidRPr="6407B060" w:rsidR="57CE8B9B">
        <w:rPr>
          <w:rFonts w:ascii="Arial" w:hAnsi="Arial" w:eastAsia="Arial" w:cs="Arial"/>
          <w:sz w:val="24"/>
          <w:szCs w:val="24"/>
        </w:rPr>
        <w:t>Volkswagen Group, 2026</w:t>
      </w:r>
      <w:r w:rsidRPr="6407B060" w:rsidR="56574741">
        <w:rPr>
          <w:rFonts w:ascii="Arial" w:hAnsi="Arial" w:eastAsia="Arial" w:cs="Arial"/>
          <w:sz w:val="24"/>
          <w:szCs w:val="24"/>
        </w:rPr>
        <w:t>).</w:t>
      </w:r>
      <w:r w:rsidRPr="6407B060" w:rsidR="4655C84A">
        <w:rPr>
          <w:rFonts w:ascii="Arial" w:hAnsi="Arial" w:eastAsia="Arial" w:cs="Arial"/>
          <w:sz w:val="24"/>
          <w:szCs w:val="24"/>
        </w:rPr>
        <w:t xml:space="preserve"> </w:t>
      </w:r>
    </w:p>
    <w:p w:rsidR="4655C84A" w:rsidP="6407B060" w:rsidRDefault="4655C84A" w14:paraId="2F3AB24B" w14:textId="09AE5860">
      <w:pPr>
        <w:pStyle w:val="Normal"/>
        <w:keepNext w:val="0"/>
        <w:keepLines w:val="0"/>
        <w:bidi w:val="0"/>
        <w:spacing w:line="360" w:lineRule="auto"/>
        <w:jc w:val="both"/>
        <w:rPr>
          <w:rFonts w:ascii="Arial" w:hAnsi="Arial" w:eastAsia="Arial" w:cs="Arial"/>
          <w:sz w:val="24"/>
          <w:szCs w:val="24"/>
        </w:rPr>
      </w:pPr>
      <w:r w:rsidRPr="6407B060" w:rsidR="4655C84A">
        <w:rPr>
          <w:rFonts w:ascii="Arial" w:hAnsi="Arial" w:eastAsia="Arial" w:cs="Arial"/>
          <w:sz w:val="24"/>
          <w:szCs w:val="24"/>
        </w:rPr>
        <w:t xml:space="preserve">According to Raza </w:t>
      </w:r>
      <w:r w:rsidRPr="6407B060" w:rsidR="186D6FFD">
        <w:rPr>
          <w:rFonts w:ascii="Arial" w:hAnsi="Arial" w:eastAsia="Arial" w:cs="Arial"/>
          <w:sz w:val="24"/>
          <w:szCs w:val="24"/>
        </w:rPr>
        <w:t>and Ali</w:t>
      </w:r>
      <w:r w:rsidRPr="6407B060" w:rsidR="4655C84A">
        <w:rPr>
          <w:rFonts w:ascii="Arial" w:hAnsi="Arial" w:eastAsia="Arial" w:cs="Arial"/>
          <w:sz w:val="24"/>
          <w:szCs w:val="24"/>
        </w:rPr>
        <w:t xml:space="preserve">'s (2025) research, there is a correlation between promotional expenditures and profitability in the automotive sector, but there is no proof of a quantifiable gross profit margin percentage. This </w:t>
      </w:r>
      <w:r w:rsidRPr="6407B060" w:rsidR="4655C84A">
        <w:rPr>
          <w:rFonts w:ascii="Arial" w:hAnsi="Arial" w:eastAsia="Arial" w:cs="Arial"/>
          <w:sz w:val="24"/>
          <w:szCs w:val="24"/>
        </w:rPr>
        <w:t>indicates</w:t>
      </w:r>
      <w:r w:rsidRPr="6407B060" w:rsidR="4655C84A">
        <w:rPr>
          <w:rFonts w:ascii="Arial" w:hAnsi="Arial" w:eastAsia="Arial" w:cs="Arial"/>
          <w:sz w:val="24"/>
          <w:szCs w:val="24"/>
        </w:rPr>
        <w:t xml:space="preserve"> that profitability is </w:t>
      </w:r>
      <w:r w:rsidRPr="6407B060" w:rsidR="4655C84A">
        <w:rPr>
          <w:rFonts w:ascii="Arial" w:hAnsi="Arial" w:eastAsia="Arial" w:cs="Arial"/>
          <w:sz w:val="24"/>
          <w:szCs w:val="24"/>
        </w:rPr>
        <w:t>impacted</w:t>
      </w:r>
      <w:r w:rsidRPr="6407B060" w:rsidR="4655C84A">
        <w:rPr>
          <w:rFonts w:ascii="Arial" w:hAnsi="Arial" w:eastAsia="Arial" w:cs="Arial"/>
          <w:sz w:val="24"/>
          <w:szCs w:val="24"/>
        </w:rPr>
        <w:t xml:space="preserve"> by </w:t>
      </w:r>
      <w:r w:rsidRPr="6407B060" w:rsidR="363626C2">
        <w:rPr>
          <w:rFonts w:ascii="Arial" w:hAnsi="Arial" w:eastAsia="Arial" w:cs="Arial"/>
          <w:sz w:val="24"/>
          <w:szCs w:val="24"/>
        </w:rPr>
        <w:t>several</w:t>
      </w:r>
      <w:r w:rsidRPr="6407B060" w:rsidR="4655C84A">
        <w:rPr>
          <w:rFonts w:ascii="Arial" w:hAnsi="Arial" w:eastAsia="Arial" w:cs="Arial"/>
          <w:sz w:val="24"/>
          <w:szCs w:val="24"/>
        </w:rPr>
        <w:t xml:space="preserve"> variables other than promotional spending, including market demand, brand image, and product quality.</w:t>
      </w:r>
    </w:p>
    <w:p w:rsidR="14C3A5FF" w:rsidP="6407B060" w:rsidRDefault="14C3A5FF" w14:paraId="0498A6EE" w14:textId="5E497A35">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sz w:val="24"/>
          <w:szCs w:val="24"/>
        </w:rPr>
      </w:pPr>
      <w:r w:rsidRPr="6407B060" w:rsidR="14C3A5FF">
        <w:rPr>
          <w:rFonts w:ascii="Arial" w:hAnsi="Arial" w:eastAsia="Arial" w:cs="Arial"/>
          <w:sz w:val="24"/>
          <w:szCs w:val="24"/>
        </w:rPr>
        <w:t xml:space="preserve">                                              </w:t>
      </w:r>
      <m:oMathPara xmlns:m="http://schemas.openxmlformats.org/officeDocument/2006/math">
        <m:oMath xmlns:m="http://schemas.openxmlformats.org/officeDocument/2006/math">
          <m:f xmlns:m="http://schemas.openxmlformats.org/officeDocument/2006/math">
            <m:fPr>
              <m:ctrlPr/>
            </m:fPr>
            <m:num>
              <m:r>
                <m:t>𝐺𝑟𝑜𝑠𝑠</m:t>
              </m:r>
              <m:r>
                <m:t> </m:t>
              </m:r>
              <m:r>
                <m:t>𝑝𝑟𝑜𝑓𝑖𝑡</m:t>
              </m:r>
            </m:num>
            <m:den>
              <m:r>
                <m:t>𝑅𝑒𝑣𝑒𝑛𝑢𝑒</m:t>
              </m:r>
            </m:den>
          </m:f>
        </m:oMath>
      </m:oMathPara>
      <w:r w:rsidRPr="6407B060" w:rsidR="757E2180">
        <w:rPr>
          <w:rFonts w:ascii="Arial" w:hAnsi="Arial" w:eastAsia="Arial" w:cs="Arial"/>
          <w:sz w:val="24"/>
          <w:szCs w:val="24"/>
        </w:rPr>
        <w:t xml:space="preserve">                         </w:t>
      </w:r>
      <w:r w:rsidRPr="6407B060" w:rsidR="14C3A5FF">
        <w:rPr>
          <w:rFonts w:ascii="Arial" w:hAnsi="Arial" w:eastAsia="Arial" w:cs="Arial"/>
          <w:sz w:val="24"/>
          <w:szCs w:val="24"/>
        </w:rPr>
        <w:t>×100%</w:t>
      </w:r>
    </w:p>
    <w:p w:rsidR="3D1F5C1D" w:rsidP="6407B060" w:rsidRDefault="3D1F5C1D" w14:paraId="6DB126BA" w14:textId="3545A524">
      <w:pPr>
        <w:pStyle w:val="Normal"/>
        <w:keepNext w:val="0"/>
        <w:keepLines w:val="0"/>
        <w:bidi w:val="0"/>
        <w:spacing w:before="0" w:beforeAutospacing="off" w:after="160" w:afterAutospacing="off" w:line="360" w:lineRule="auto"/>
        <w:ind w:left="0" w:right="0"/>
        <w:jc w:val="both"/>
      </w:pPr>
      <w:r w:rsidR="3D1F5C1D">
        <w:drawing>
          <wp:inline wp14:editId="554B99E1" wp14:anchorId="164E0486">
            <wp:extent cx="3154553" cy="1600424"/>
            <wp:effectExtent l="0" t="0" r="0" b="0"/>
            <wp:docPr id="1062494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2494567" name="Picture 1062494567"/>
                    <pic:cNvPicPr/>
                  </pic:nvPicPr>
                  <pic:blipFill>
                    <a:blip xmlns:r="http://schemas.openxmlformats.org/officeDocument/2006/relationships" r:embed="rId1684631426">
                      <a:extLst>
                        <a:ext uri="{28A0092B-C50C-407E-A947-70E740481C1C}">
                          <a14:useLocalDpi xmlns:a14="http://schemas.microsoft.com/office/drawing/2010/main"/>
                        </a:ext>
                      </a:extLst>
                    </a:blip>
                    <a:stretch>
                      <a:fillRect/>
                    </a:stretch>
                  </pic:blipFill>
                  <pic:spPr>
                    <a:xfrm rot="0">
                      <a:off x="0" y="0"/>
                      <a:ext cx="3154553" cy="1600424"/>
                    </a:xfrm>
                    <a:prstGeom prst="rect">
                      <a:avLst/>
                    </a:prstGeom>
                  </pic:spPr>
                </pic:pic>
              </a:graphicData>
            </a:graphic>
          </wp:inline>
        </w:drawing>
      </w:r>
    </w:p>
    <w:p w:rsidR="35F8EFDD" w:rsidP="6407B060" w:rsidRDefault="35F8EFDD" w14:paraId="43B976D0" w14:textId="5EFA9B63">
      <w:pPr>
        <w:pStyle w:val="Normal"/>
        <w:keepNext w:val="0"/>
        <w:keepLines w:val="0"/>
        <w:suppressLineNumbers w:val="0"/>
        <w:bidi w:val="0"/>
        <w:spacing w:before="0" w:beforeAutospacing="off" w:after="160" w:afterAutospacing="off" w:line="360" w:lineRule="auto"/>
        <w:ind w:left="0" w:right="0"/>
        <w:jc w:val="left"/>
      </w:pPr>
      <w:r w:rsidRPr="6407B060" w:rsidR="35F8EFDD">
        <w:rPr>
          <w:rFonts w:ascii="Arial" w:hAnsi="Arial" w:eastAsia="Arial" w:cs="Arial"/>
          <w:sz w:val="24"/>
          <w:szCs w:val="24"/>
        </w:rPr>
        <w:t xml:space="preserve">Figure </w:t>
      </w:r>
      <w:r w:rsidRPr="6407B060" w:rsidR="2C3B988A">
        <w:rPr>
          <w:rFonts w:ascii="Arial" w:hAnsi="Arial" w:eastAsia="Arial" w:cs="Arial"/>
          <w:sz w:val="24"/>
          <w:szCs w:val="24"/>
        </w:rPr>
        <w:t>5</w:t>
      </w:r>
      <w:r w:rsidRPr="6407B060" w:rsidR="35F8EFDD">
        <w:rPr>
          <w:rFonts w:ascii="Arial" w:hAnsi="Arial" w:eastAsia="Arial" w:cs="Arial"/>
          <w:sz w:val="24"/>
          <w:szCs w:val="24"/>
        </w:rPr>
        <w:t xml:space="preserve">: Volkswagen Group Gross Profit Margin </w:t>
      </w:r>
      <w:r w:rsidRPr="6407B060" w:rsidR="2B365F86">
        <w:rPr>
          <w:rFonts w:ascii="Arial" w:hAnsi="Arial" w:eastAsia="Arial" w:cs="Arial"/>
          <w:sz w:val="24"/>
          <w:szCs w:val="24"/>
        </w:rPr>
        <w:t>(</w:t>
      </w:r>
      <w:r w:rsidRPr="6407B060" w:rsidR="35F8EFDD">
        <w:rPr>
          <w:rFonts w:ascii="Arial" w:hAnsi="Arial" w:eastAsia="Arial" w:cs="Arial"/>
          <w:sz w:val="24"/>
          <w:szCs w:val="24"/>
        </w:rPr>
        <w:t xml:space="preserve">2020 </w:t>
      </w:r>
      <w:r w:rsidRPr="6407B060" w:rsidR="13FA9A99">
        <w:rPr>
          <w:rFonts w:ascii="Arial" w:hAnsi="Arial" w:eastAsia="Arial" w:cs="Arial"/>
          <w:sz w:val="24"/>
          <w:szCs w:val="24"/>
        </w:rPr>
        <w:t xml:space="preserve">to </w:t>
      </w:r>
      <w:r w:rsidRPr="6407B060" w:rsidR="35F8EFDD">
        <w:rPr>
          <w:rFonts w:ascii="Arial" w:hAnsi="Arial" w:eastAsia="Arial" w:cs="Arial"/>
          <w:sz w:val="24"/>
          <w:szCs w:val="24"/>
        </w:rPr>
        <w:t>2024</w:t>
      </w:r>
      <w:r w:rsidRPr="6407B060" w:rsidR="3F635491">
        <w:rPr>
          <w:rFonts w:ascii="Arial" w:hAnsi="Arial" w:eastAsia="Arial" w:cs="Arial"/>
          <w:sz w:val="24"/>
          <w:szCs w:val="24"/>
        </w:rPr>
        <w:t>)</w:t>
      </w:r>
    </w:p>
    <w:p w:rsidR="2AF9E98B" w:rsidP="6407B060" w:rsidRDefault="2AF9E98B" w14:paraId="51FEBFFC" w14:textId="702BDA8B">
      <w:pPr>
        <w:keepNext w:val="0"/>
        <w:keepLines w:val="0"/>
        <w:bidi w:val="0"/>
        <w:spacing w:before="240" w:beforeAutospacing="off" w:after="240" w:afterAutospacing="off" w:line="360" w:lineRule="auto"/>
        <w:jc w:val="both"/>
      </w:pPr>
      <w:r w:rsidRPr="6407B060" w:rsidR="2AF9E98B">
        <w:rPr>
          <w:rFonts w:ascii="Arial" w:hAnsi="Arial" w:eastAsia="Arial" w:cs="Arial"/>
          <w:sz w:val="24"/>
          <w:szCs w:val="24"/>
        </w:rPr>
        <w:t>The g</w:t>
      </w:r>
      <w:r w:rsidRPr="6407B060" w:rsidR="57DCFCE2">
        <w:rPr>
          <w:rFonts w:ascii="Arial" w:hAnsi="Arial" w:eastAsia="Arial" w:cs="Arial"/>
          <w:sz w:val="24"/>
          <w:szCs w:val="24"/>
        </w:rPr>
        <w:t>ross margin improved post-2020 and stabilised around 18</w:t>
      </w:r>
      <w:r w:rsidRPr="6407B060" w:rsidR="6645C07C">
        <w:rPr>
          <w:rFonts w:ascii="Arial" w:hAnsi="Arial" w:eastAsia="Arial" w:cs="Arial"/>
          <w:sz w:val="24"/>
          <w:szCs w:val="24"/>
        </w:rPr>
        <w:t>-</w:t>
      </w:r>
      <w:r w:rsidRPr="6407B060" w:rsidR="57DCFCE2">
        <w:rPr>
          <w:rFonts w:ascii="Arial" w:hAnsi="Arial" w:eastAsia="Arial" w:cs="Arial"/>
          <w:sz w:val="24"/>
          <w:szCs w:val="24"/>
        </w:rPr>
        <w:t>19%, before a slight decline in 2024.</w:t>
      </w:r>
      <w:r w:rsidRPr="6407B060" w:rsidR="53FA2BD5">
        <w:rPr>
          <w:rFonts w:ascii="Arial" w:hAnsi="Arial" w:eastAsia="Arial" w:cs="Arial"/>
          <w:sz w:val="24"/>
          <w:szCs w:val="24"/>
        </w:rPr>
        <w:t xml:space="preserve"> </w:t>
      </w:r>
      <w:r w:rsidRPr="6407B060" w:rsidR="53FA2BD5">
        <w:rPr>
          <w:rFonts w:ascii="Arial" w:hAnsi="Arial" w:eastAsia="Arial" w:cs="Arial"/>
          <w:sz w:val="24"/>
          <w:szCs w:val="24"/>
        </w:rPr>
        <w:t xml:space="preserve">This may reflect EV pricing pressure or increased battery costs. However, a relative stability suggests operational strength at the manufacturing level. </w:t>
      </w:r>
      <w:r w:rsidRPr="6407B060" w:rsidR="57DCFCE2">
        <w:rPr>
          <w:rFonts w:ascii="Arial" w:hAnsi="Arial" w:eastAsia="Arial" w:cs="Arial"/>
          <w:sz w:val="24"/>
          <w:szCs w:val="24"/>
        </w:rPr>
        <w:t xml:space="preserve">As the automotive industry's gross margins typically range </w:t>
      </w:r>
      <w:r w:rsidRPr="6407B060" w:rsidR="490A020A">
        <w:rPr>
          <w:rFonts w:ascii="Arial" w:hAnsi="Arial" w:eastAsia="Arial" w:cs="Arial"/>
          <w:sz w:val="24"/>
          <w:szCs w:val="24"/>
        </w:rPr>
        <w:t>between 15</w:t>
      </w:r>
      <w:r w:rsidRPr="6407B060" w:rsidR="57DCFCE2">
        <w:rPr>
          <w:rFonts w:ascii="Arial" w:hAnsi="Arial" w:eastAsia="Arial" w:cs="Arial"/>
          <w:sz w:val="24"/>
          <w:szCs w:val="24"/>
        </w:rPr>
        <w:t>-</w:t>
      </w:r>
      <w:r w:rsidRPr="6407B060" w:rsidR="3CA598D2">
        <w:rPr>
          <w:rFonts w:ascii="Arial" w:hAnsi="Arial" w:eastAsia="Arial" w:cs="Arial"/>
          <w:sz w:val="24"/>
          <w:szCs w:val="24"/>
        </w:rPr>
        <w:t>25%</w:t>
      </w:r>
      <w:r w:rsidRPr="6407B060" w:rsidR="39AA9D2C">
        <w:rPr>
          <w:rFonts w:ascii="Arial" w:hAnsi="Arial" w:eastAsia="Arial" w:cs="Arial"/>
          <w:sz w:val="24"/>
          <w:szCs w:val="24"/>
        </w:rPr>
        <w:t>,</w:t>
      </w:r>
      <w:r w:rsidRPr="6407B060" w:rsidR="57DCFCE2">
        <w:rPr>
          <w:rFonts w:ascii="Arial" w:hAnsi="Arial" w:eastAsia="Arial" w:cs="Arial"/>
          <w:b w:val="1"/>
          <w:bCs w:val="1"/>
          <w:sz w:val="24"/>
          <w:szCs w:val="24"/>
        </w:rPr>
        <w:t xml:space="preserve"> </w:t>
      </w:r>
      <w:r w:rsidRPr="6407B060" w:rsidR="01E46371">
        <w:rPr>
          <w:rFonts w:ascii="Arial" w:hAnsi="Arial" w:eastAsia="Arial" w:cs="Arial"/>
          <w:b w:val="0"/>
          <w:bCs w:val="0"/>
          <w:sz w:val="24"/>
          <w:szCs w:val="24"/>
        </w:rPr>
        <w:t xml:space="preserve">it appears that </w:t>
      </w:r>
      <w:r w:rsidRPr="6407B060" w:rsidR="57DCFCE2">
        <w:rPr>
          <w:rFonts w:ascii="Arial" w:hAnsi="Arial" w:eastAsia="Arial" w:cs="Arial"/>
          <w:sz w:val="24"/>
          <w:szCs w:val="24"/>
        </w:rPr>
        <w:t>Volkswagen</w:t>
      </w:r>
      <w:r w:rsidRPr="6407B060" w:rsidR="57DCFCE2">
        <w:rPr>
          <w:rFonts w:ascii="Arial" w:hAnsi="Arial" w:eastAsia="Arial" w:cs="Arial"/>
          <w:sz w:val="24"/>
          <w:szCs w:val="24"/>
        </w:rPr>
        <w:t xml:space="preserve"> </w:t>
      </w:r>
      <w:r w:rsidRPr="6407B060" w:rsidR="57DCFCE2">
        <w:rPr>
          <w:rFonts w:ascii="Arial" w:hAnsi="Arial" w:eastAsia="Arial" w:cs="Arial"/>
          <w:sz w:val="24"/>
          <w:szCs w:val="24"/>
        </w:rPr>
        <w:t>operates</w:t>
      </w:r>
      <w:r w:rsidRPr="6407B060" w:rsidR="57DCFCE2">
        <w:rPr>
          <w:rFonts w:ascii="Arial" w:hAnsi="Arial" w:eastAsia="Arial" w:cs="Arial"/>
          <w:sz w:val="24"/>
          <w:szCs w:val="24"/>
        </w:rPr>
        <w:t xml:space="preserve"> within the lower-mid range of this benchmark</w:t>
      </w:r>
      <w:r w:rsidRPr="6407B060" w:rsidR="064D5DDA">
        <w:rPr>
          <w:rFonts w:ascii="Arial" w:hAnsi="Arial" w:eastAsia="Arial" w:cs="Arial"/>
          <w:sz w:val="24"/>
          <w:szCs w:val="24"/>
        </w:rPr>
        <w:t xml:space="preserve"> </w:t>
      </w:r>
      <w:r w:rsidRPr="6407B060" w:rsidR="788B9131">
        <w:rPr>
          <w:rFonts w:ascii="Arial" w:hAnsi="Arial" w:eastAsia="Arial" w:cs="Arial"/>
          <w:sz w:val="24"/>
          <w:szCs w:val="24"/>
        </w:rPr>
        <w:t>(Volkswagen Group, 2026)</w:t>
      </w:r>
      <w:r w:rsidRPr="6407B060" w:rsidR="57DCFCE2">
        <w:rPr>
          <w:rFonts w:ascii="Arial" w:hAnsi="Arial" w:eastAsia="Arial" w:cs="Arial"/>
          <w:sz w:val="24"/>
          <w:szCs w:val="24"/>
        </w:rPr>
        <w:t>.</w:t>
      </w:r>
    </w:p>
    <w:p w:rsidR="6E729878" w:rsidP="6407B060" w:rsidRDefault="6E729878" w14:paraId="57E5F160" w14:textId="6D5411D2">
      <w:pPr>
        <w:pStyle w:val="Heading3"/>
        <w:keepNext w:val="0"/>
        <w:keepLines w:val="0"/>
        <w:bidi w:val="0"/>
        <w:spacing w:line="360" w:lineRule="auto"/>
        <w:rPr>
          <w:rFonts w:ascii="Arial" w:hAnsi="Arial" w:eastAsia="Arial" w:cs="Arial"/>
          <w:sz w:val="24"/>
          <w:szCs w:val="24"/>
        </w:rPr>
      </w:pPr>
      <w:bookmarkStart w:name="_Toc2042814736" w:id="2135789041"/>
      <w:r w:rsidRPr="6407B060" w:rsidR="6E729878">
        <w:rPr>
          <w:rFonts w:ascii="Arial" w:hAnsi="Arial" w:eastAsia="Arial" w:cs="Arial"/>
          <w:sz w:val="24"/>
          <w:szCs w:val="24"/>
        </w:rPr>
        <w:t>1.1.4 Net Profit Margin</w:t>
      </w:r>
      <w:bookmarkEnd w:id="2135789041"/>
      <w:r w:rsidRPr="6407B060" w:rsidR="6E729878">
        <w:rPr>
          <w:rFonts w:ascii="Arial" w:hAnsi="Arial" w:eastAsia="Arial" w:cs="Arial"/>
          <w:sz w:val="24"/>
          <w:szCs w:val="24"/>
        </w:rPr>
        <w:t xml:space="preserve"> </w:t>
      </w:r>
    </w:p>
    <w:p w:rsidR="25449DC2" w:rsidP="6407B060" w:rsidRDefault="25449DC2" w14:paraId="4DFFB2E2" w14:textId="140EC0B2">
      <w:pPr>
        <w:pStyle w:val="Normal"/>
        <w:keepNext w:val="0"/>
        <w:keepLines w:val="0"/>
        <w:bidi w:val="0"/>
        <w:spacing w:line="360" w:lineRule="auto"/>
        <w:jc w:val="both"/>
        <w:rPr>
          <w:rFonts w:ascii="Arial" w:hAnsi="Arial" w:eastAsia="Arial" w:cs="Arial"/>
          <w:sz w:val="24"/>
          <w:szCs w:val="24"/>
        </w:rPr>
      </w:pPr>
      <w:r w:rsidRPr="6407B060" w:rsidR="25449DC2">
        <w:rPr>
          <w:rFonts w:ascii="Arial" w:hAnsi="Arial" w:eastAsia="Arial" w:cs="Arial"/>
          <w:sz w:val="24"/>
          <w:szCs w:val="24"/>
        </w:rPr>
        <w:t xml:space="preserve">Gross profit margin, operating profit margin, and net profit margin are the three main categories. The most complete of the three, the net profit margin provides an extensive overview of profitability by </w:t>
      </w:r>
      <w:r w:rsidRPr="6407B060" w:rsidR="02AE5D8F">
        <w:rPr>
          <w:rFonts w:ascii="Arial" w:hAnsi="Arial" w:eastAsia="Arial" w:cs="Arial"/>
          <w:sz w:val="24"/>
          <w:szCs w:val="24"/>
        </w:rPr>
        <w:t>considering</w:t>
      </w:r>
      <w:r w:rsidRPr="6407B060" w:rsidR="25449DC2">
        <w:rPr>
          <w:rFonts w:ascii="Arial" w:hAnsi="Arial" w:eastAsia="Arial" w:cs="Arial"/>
          <w:sz w:val="24"/>
          <w:szCs w:val="24"/>
        </w:rPr>
        <w:t xml:space="preserve"> all costs, including interest and taxes. A competitive benchmark is provided by comparing profit margins with those of peers in the industry, which helps to find potential advantages or areas for improvement. Furthermore, profit margin is a crucial </w:t>
      </w:r>
      <w:r w:rsidRPr="6407B060" w:rsidR="25449DC2">
        <w:rPr>
          <w:rFonts w:ascii="Arial" w:hAnsi="Arial" w:eastAsia="Arial" w:cs="Arial"/>
          <w:sz w:val="24"/>
          <w:szCs w:val="24"/>
        </w:rPr>
        <w:t>component</w:t>
      </w:r>
      <w:r w:rsidRPr="6407B060" w:rsidR="25449DC2">
        <w:rPr>
          <w:rFonts w:ascii="Arial" w:hAnsi="Arial" w:eastAsia="Arial" w:cs="Arial"/>
          <w:sz w:val="24"/>
          <w:szCs w:val="24"/>
        </w:rPr>
        <w:t xml:space="preserve"> that investors </w:t>
      </w:r>
      <w:r w:rsidRPr="6407B060" w:rsidR="25449DC2">
        <w:rPr>
          <w:rFonts w:ascii="Arial" w:hAnsi="Arial" w:eastAsia="Arial" w:cs="Arial"/>
          <w:sz w:val="24"/>
          <w:szCs w:val="24"/>
        </w:rPr>
        <w:t>frequently</w:t>
      </w:r>
      <w:r w:rsidRPr="6407B060" w:rsidR="25449DC2">
        <w:rPr>
          <w:rFonts w:ascii="Arial" w:hAnsi="Arial" w:eastAsia="Arial" w:cs="Arial"/>
          <w:sz w:val="24"/>
          <w:szCs w:val="24"/>
        </w:rPr>
        <w:t xml:space="preserve"> use to evaluate a company's prospects for growth and financial stability </w:t>
      </w:r>
      <w:r w:rsidRPr="6407B060" w:rsidR="26FCDFB4">
        <w:rPr>
          <w:rFonts w:ascii="Arial" w:hAnsi="Arial" w:eastAsia="Arial" w:cs="Arial"/>
          <w:sz w:val="24"/>
          <w:szCs w:val="24"/>
        </w:rPr>
        <w:t xml:space="preserve">(Hasyim and </w:t>
      </w:r>
      <w:r w:rsidRPr="6407B060" w:rsidR="26FCDFB4">
        <w:rPr>
          <w:rFonts w:ascii="Arial" w:hAnsi="Arial" w:eastAsia="Arial" w:cs="Arial"/>
          <w:sz w:val="24"/>
          <w:szCs w:val="24"/>
        </w:rPr>
        <w:t>Nuraeni</w:t>
      </w:r>
      <w:r w:rsidRPr="6407B060" w:rsidR="26FCDFB4">
        <w:rPr>
          <w:rFonts w:ascii="Arial" w:hAnsi="Arial" w:eastAsia="Arial" w:cs="Arial"/>
          <w:sz w:val="24"/>
          <w:szCs w:val="24"/>
        </w:rPr>
        <w:t>, 2022</w:t>
      </w:r>
      <w:r w:rsidRPr="6407B060" w:rsidR="32836DDC">
        <w:rPr>
          <w:rFonts w:ascii="Arial" w:hAnsi="Arial" w:eastAsia="Arial" w:cs="Arial"/>
          <w:sz w:val="24"/>
          <w:szCs w:val="24"/>
        </w:rPr>
        <w:t>; Yahoo Finance, 2026</w:t>
      </w:r>
      <w:r w:rsidRPr="6407B060" w:rsidR="26FCDFB4">
        <w:rPr>
          <w:rFonts w:ascii="Arial" w:hAnsi="Arial" w:eastAsia="Arial" w:cs="Arial"/>
          <w:sz w:val="24"/>
          <w:szCs w:val="24"/>
        </w:rPr>
        <w:t>)</w:t>
      </w:r>
      <w:r w:rsidRPr="6407B060" w:rsidR="25449DC2">
        <w:rPr>
          <w:rFonts w:ascii="Arial" w:hAnsi="Arial" w:eastAsia="Arial" w:cs="Arial"/>
          <w:sz w:val="24"/>
          <w:szCs w:val="24"/>
        </w:rPr>
        <w:t>.</w:t>
      </w:r>
    </w:p>
    <w:p w:rsidR="0C4A7BE9" w:rsidP="6407B060" w:rsidRDefault="0C4A7BE9" w14:paraId="1E8D52AB" w14:textId="56FF36F8">
      <w:pPr>
        <w:pStyle w:val="Normal"/>
        <w:keepNext w:val="0"/>
        <w:keepLines w:val="0"/>
        <w:bidi w:val="0"/>
        <w:spacing w:line="360" w:lineRule="auto"/>
        <w:jc w:val="both"/>
        <w:rPr>
          <w:rFonts w:ascii="Arial" w:hAnsi="Arial" w:eastAsia="Arial" w:cs="Arial"/>
          <w:sz w:val="24"/>
          <w:szCs w:val="24"/>
        </w:rPr>
      </w:pPr>
      <w:r w:rsidRPr="6407B060" w:rsidR="0C4A7BE9">
        <w:rPr>
          <w:rFonts w:ascii="Arial" w:hAnsi="Arial" w:eastAsia="Arial" w:cs="Arial"/>
          <w:sz w:val="24"/>
          <w:szCs w:val="24"/>
        </w:rPr>
        <w:t xml:space="preserve">Net Profit Margin = </w:t>
      </w:r>
      <m:oMathPara xmlns:m="http://schemas.openxmlformats.org/officeDocument/2006/math">
        <m:oMath xmlns:m="http://schemas.openxmlformats.org/officeDocument/2006/math">
          <m:f xmlns:m="http://schemas.openxmlformats.org/officeDocument/2006/math">
            <m:fPr>
              <m:ctrlPr/>
            </m:fPr>
            <m:num>
              <m:r>
                <m:t>𝑁𝑒𝑡</m:t>
              </m:r>
              <m:r>
                <m:t> </m:t>
              </m:r>
              <m:r>
                <m:t>𝑖𝑛𝑐𝑜𝑚𝑒</m:t>
              </m:r>
            </m:num>
            <m:den>
              <m:r>
                <m:t>𝑅𝑒𝑣𝑒𝑛𝑢𝑒</m:t>
              </m:r>
              <m:r>
                <m:t> </m:t>
              </m:r>
            </m:den>
          </m:f>
        </m:oMath>
      </m:oMathPara>
      <w:r w:rsidRPr="6407B060" w:rsidR="34ECEE33">
        <w:rPr>
          <w:rFonts w:ascii="Arial" w:hAnsi="Arial" w:eastAsia="Arial" w:cs="Arial"/>
          <w:sz w:val="24"/>
          <w:szCs w:val="24"/>
        </w:rPr>
        <w:t xml:space="preserve">                       </w:t>
      </w:r>
      <w:r w:rsidRPr="6407B060" w:rsidR="54E728FB">
        <w:rPr>
          <w:rFonts w:ascii="Arial" w:hAnsi="Arial" w:eastAsia="Arial" w:cs="Arial"/>
          <w:sz w:val="24"/>
          <w:szCs w:val="24"/>
        </w:rPr>
        <w:t>×100%</w:t>
      </w:r>
    </w:p>
    <w:p w:rsidR="648C2C75" w:rsidP="6407B060" w:rsidRDefault="648C2C75" w14:paraId="27BAC216" w14:textId="7AAFB216">
      <w:pPr>
        <w:pStyle w:val="Normal"/>
        <w:keepNext w:val="0"/>
        <w:keepLines w:val="0"/>
        <w:bidi w:val="0"/>
        <w:spacing w:before="0" w:beforeAutospacing="off" w:after="160" w:afterAutospacing="off" w:line="360" w:lineRule="auto"/>
        <w:ind w:left="0" w:right="0"/>
        <w:jc w:val="both"/>
      </w:pPr>
      <w:r w:rsidR="648C2C75">
        <w:drawing>
          <wp:inline wp14:editId="07E38BCB" wp14:anchorId="2ECE5242">
            <wp:extent cx="3286584" cy="1971950"/>
            <wp:effectExtent l="0" t="0" r="0" b="0"/>
            <wp:docPr id="20959926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5992689" name="Picture 2095992689"/>
                    <pic:cNvPicPr/>
                  </pic:nvPicPr>
                  <pic:blipFill>
                    <a:blip xmlns:r="http://schemas.openxmlformats.org/officeDocument/2006/relationships" r:embed="rId1340560631">
                      <a:extLst>
                        <a:ext uri="{28A0092B-C50C-407E-A947-70E740481C1C}">
                          <a14:useLocalDpi xmlns:a14="http://schemas.microsoft.com/office/drawing/2010/main"/>
                        </a:ext>
                      </a:extLst>
                    </a:blip>
                    <a:stretch>
                      <a:fillRect/>
                    </a:stretch>
                  </pic:blipFill>
                  <pic:spPr>
                    <a:xfrm rot="0">
                      <a:off x="0" y="0"/>
                      <a:ext cx="3286584" cy="1971950"/>
                    </a:xfrm>
                    <a:prstGeom prst="rect">
                      <a:avLst/>
                    </a:prstGeom>
                  </pic:spPr>
                </pic:pic>
              </a:graphicData>
            </a:graphic>
          </wp:inline>
        </w:drawing>
      </w:r>
    </w:p>
    <w:p w:rsidR="648C2C75" w:rsidP="6407B060" w:rsidRDefault="648C2C75" w14:paraId="109BCD93" w14:textId="1BE2E9C6">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sz w:val="24"/>
          <w:szCs w:val="24"/>
        </w:rPr>
      </w:pPr>
      <w:r w:rsidRPr="6407B060" w:rsidR="648C2C75">
        <w:rPr>
          <w:rFonts w:ascii="Arial" w:hAnsi="Arial" w:eastAsia="Arial" w:cs="Arial"/>
          <w:sz w:val="24"/>
          <w:szCs w:val="24"/>
        </w:rPr>
        <w:t xml:space="preserve">Figure </w:t>
      </w:r>
      <w:r w:rsidRPr="6407B060" w:rsidR="6A35EBE8">
        <w:rPr>
          <w:rFonts w:ascii="Arial" w:hAnsi="Arial" w:eastAsia="Arial" w:cs="Arial"/>
          <w:sz w:val="24"/>
          <w:szCs w:val="24"/>
        </w:rPr>
        <w:t>6</w:t>
      </w:r>
      <w:r w:rsidRPr="6407B060" w:rsidR="648C2C75">
        <w:rPr>
          <w:rFonts w:ascii="Arial" w:hAnsi="Arial" w:eastAsia="Arial" w:cs="Arial"/>
          <w:sz w:val="24"/>
          <w:szCs w:val="24"/>
        </w:rPr>
        <w:t xml:space="preserve">: Volkswagen Group Net Profit Margin </w:t>
      </w:r>
      <w:r w:rsidRPr="6407B060" w:rsidR="214A630F">
        <w:rPr>
          <w:rFonts w:ascii="Arial" w:hAnsi="Arial" w:eastAsia="Arial" w:cs="Arial"/>
          <w:sz w:val="24"/>
          <w:szCs w:val="24"/>
        </w:rPr>
        <w:t>(</w:t>
      </w:r>
      <w:r w:rsidRPr="6407B060" w:rsidR="648C2C75">
        <w:rPr>
          <w:rFonts w:ascii="Arial" w:hAnsi="Arial" w:eastAsia="Arial" w:cs="Arial"/>
          <w:sz w:val="24"/>
          <w:szCs w:val="24"/>
        </w:rPr>
        <w:t xml:space="preserve">2020 </w:t>
      </w:r>
      <w:r w:rsidRPr="6407B060" w:rsidR="0971D7DF">
        <w:rPr>
          <w:rFonts w:ascii="Arial" w:hAnsi="Arial" w:eastAsia="Arial" w:cs="Arial"/>
          <w:sz w:val="24"/>
          <w:szCs w:val="24"/>
        </w:rPr>
        <w:t xml:space="preserve">to </w:t>
      </w:r>
      <w:r w:rsidRPr="6407B060" w:rsidR="648C2C75">
        <w:rPr>
          <w:rFonts w:ascii="Arial" w:hAnsi="Arial" w:eastAsia="Arial" w:cs="Arial"/>
          <w:sz w:val="24"/>
          <w:szCs w:val="24"/>
        </w:rPr>
        <w:t>2024</w:t>
      </w:r>
      <w:r w:rsidRPr="6407B060" w:rsidR="1BF0A70F">
        <w:rPr>
          <w:rFonts w:ascii="Arial" w:hAnsi="Arial" w:eastAsia="Arial" w:cs="Arial"/>
          <w:sz w:val="24"/>
          <w:szCs w:val="24"/>
        </w:rPr>
        <w:t>)</w:t>
      </w:r>
      <w:r w:rsidRPr="6407B060" w:rsidR="648C2C75">
        <w:rPr>
          <w:rFonts w:ascii="Arial" w:hAnsi="Arial" w:eastAsia="Arial" w:cs="Arial"/>
          <w:sz w:val="24"/>
          <w:szCs w:val="24"/>
        </w:rPr>
        <w:t xml:space="preserve"> (</w:t>
      </w:r>
      <w:r w:rsidRPr="6407B060" w:rsidR="0470070F">
        <w:rPr>
          <w:rFonts w:ascii="Arial" w:hAnsi="Arial" w:eastAsia="Arial" w:cs="Arial"/>
          <w:sz w:val="24"/>
          <w:szCs w:val="24"/>
        </w:rPr>
        <w:t xml:space="preserve">full calculations </w:t>
      </w:r>
      <w:r w:rsidRPr="6407B060" w:rsidR="54484477">
        <w:rPr>
          <w:rFonts w:ascii="Arial" w:hAnsi="Arial" w:eastAsia="Arial" w:cs="Arial"/>
          <w:sz w:val="24"/>
          <w:szCs w:val="24"/>
        </w:rPr>
        <w:t>see</w:t>
      </w:r>
      <w:r w:rsidRPr="6407B060" w:rsidR="648C2C75">
        <w:rPr>
          <w:rFonts w:ascii="Arial" w:hAnsi="Arial" w:eastAsia="Arial" w:cs="Arial"/>
          <w:sz w:val="24"/>
          <w:szCs w:val="24"/>
        </w:rPr>
        <w:t xml:space="preserve"> Appendix)</w:t>
      </w:r>
    </w:p>
    <w:p w:rsidR="39132925" w:rsidP="6407B060" w:rsidRDefault="39132925" w14:paraId="56BA8E0F" w14:textId="0A223970">
      <w:pPr>
        <w:pStyle w:val="Normal"/>
        <w:keepNext w:val="0"/>
        <w:keepLines w:val="0"/>
        <w:bidi w:val="0"/>
        <w:spacing w:line="360" w:lineRule="auto"/>
        <w:jc w:val="both"/>
        <w:rPr>
          <w:rFonts w:ascii="Arial" w:hAnsi="Arial" w:eastAsia="Arial" w:cs="Arial"/>
          <w:sz w:val="24"/>
          <w:szCs w:val="24"/>
        </w:rPr>
      </w:pPr>
      <w:r w:rsidRPr="6407B060" w:rsidR="39132925">
        <w:rPr>
          <w:rFonts w:ascii="Arial" w:hAnsi="Arial" w:eastAsia="Arial" w:cs="Arial"/>
          <w:sz w:val="24"/>
          <w:szCs w:val="24"/>
        </w:rPr>
        <w:t xml:space="preserve">Net margin almost doubled from 2020 to 2021-2022, peaking at 7.92%, before declining to 5.87% in 2024. Automotive net margins typically range between 4% to 8%. Volkswagen </w:t>
      </w:r>
      <w:r w:rsidRPr="6407B060" w:rsidR="39132925">
        <w:rPr>
          <w:rFonts w:ascii="Arial" w:hAnsi="Arial" w:eastAsia="Arial" w:cs="Arial"/>
          <w:sz w:val="24"/>
          <w:szCs w:val="24"/>
        </w:rPr>
        <w:t>operated</w:t>
      </w:r>
      <w:r w:rsidRPr="6407B060" w:rsidR="39132925">
        <w:rPr>
          <w:rFonts w:ascii="Arial" w:hAnsi="Arial" w:eastAsia="Arial" w:cs="Arial"/>
          <w:sz w:val="24"/>
          <w:szCs w:val="24"/>
        </w:rPr>
        <w:t xml:space="preserve"> at the upper end during 2021-2022 but is trending downward toward the industry average.</w:t>
      </w:r>
      <w:r w:rsidRPr="6407B060" w:rsidR="1604A603">
        <w:rPr>
          <w:rFonts w:ascii="Arial" w:hAnsi="Arial" w:eastAsia="Arial" w:cs="Arial"/>
          <w:sz w:val="24"/>
          <w:szCs w:val="24"/>
        </w:rPr>
        <w:t xml:space="preserve"> </w:t>
      </w:r>
      <w:r w:rsidRPr="6407B060" w:rsidR="1604A603">
        <w:rPr>
          <w:rFonts w:ascii="Arial" w:hAnsi="Arial" w:eastAsia="Arial" w:cs="Arial"/>
          <w:sz w:val="24"/>
          <w:szCs w:val="24"/>
        </w:rPr>
        <w:t>Critically interpreting these results, it</w:t>
      </w:r>
      <w:r w:rsidRPr="6407B060" w:rsidR="1604A603">
        <w:rPr>
          <w:rFonts w:ascii="Arial" w:hAnsi="Arial" w:eastAsia="Arial" w:cs="Arial"/>
          <w:sz w:val="24"/>
          <w:szCs w:val="24"/>
        </w:rPr>
        <w:t xml:space="preserve"> can be concluded that there was a strong profitability recovery in 2021</w:t>
      </w:r>
      <w:r w:rsidRPr="6407B060" w:rsidR="2FBE2A59">
        <w:rPr>
          <w:rFonts w:ascii="Arial" w:hAnsi="Arial" w:eastAsia="Arial" w:cs="Arial"/>
          <w:sz w:val="24"/>
          <w:szCs w:val="24"/>
        </w:rPr>
        <w:t>-</w:t>
      </w:r>
      <w:r w:rsidRPr="6407B060" w:rsidR="1604A603">
        <w:rPr>
          <w:rFonts w:ascii="Arial" w:hAnsi="Arial" w:eastAsia="Arial" w:cs="Arial"/>
          <w:sz w:val="24"/>
          <w:szCs w:val="24"/>
        </w:rPr>
        <w:t>2022 that reflects operational restructuring and cost discipline, and a declining net margin in 2023</w:t>
      </w:r>
      <w:r w:rsidRPr="6407B060" w:rsidR="1AFECE2F">
        <w:rPr>
          <w:rFonts w:ascii="Arial" w:hAnsi="Arial" w:eastAsia="Arial" w:cs="Arial"/>
          <w:sz w:val="24"/>
          <w:szCs w:val="24"/>
        </w:rPr>
        <w:t>-</w:t>
      </w:r>
      <w:r w:rsidRPr="6407B060" w:rsidR="1604A603">
        <w:rPr>
          <w:rFonts w:ascii="Arial" w:hAnsi="Arial" w:eastAsia="Arial" w:cs="Arial"/>
          <w:sz w:val="24"/>
          <w:szCs w:val="24"/>
        </w:rPr>
        <w:t>2024 suggests rising administrative, R&amp;D, financing, or restructuring expenses.</w:t>
      </w:r>
      <w:r w:rsidRPr="6407B060" w:rsidR="55F23C89">
        <w:rPr>
          <w:rFonts w:ascii="Arial" w:hAnsi="Arial" w:eastAsia="Arial" w:cs="Arial"/>
          <w:sz w:val="24"/>
          <w:szCs w:val="24"/>
        </w:rPr>
        <w:t xml:space="preserve"> </w:t>
      </w:r>
      <w:r w:rsidRPr="6407B060" w:rsidR="1604A603">
        <w:rPr>
          <w:rFonts w:ascii="Arial" w:hAnsi="Arial" w:eastAsia="Arial" w:cs="Arial"/>
          <w:sz w:val="24"/>
          <w:szCs w:val="24"/>
        </w:rPr>
        <w:t xml:space="preserve">The widening gap between stable gross margin and falling net margin in 2024 </w:t>
      </w:r>
      <w:r w:rsidRPr="6407B060" w:rsidR="1604A603">
        <w:rPr>
          <w:rFonts w:ascii="Arial" w:hAnsi="Arial" w:eastAsia="Arial" w:cs="Arial"/>
          <w:sz w:val="24"/>
          <w:szCs w:val="24"/>
        </w:rPr>
        <w:t>indicates</w:t>
      </w:r>
      <w:r w:rsidRPr="6407B060" w:rsidR="1604A603">
        <w:rPr>
          <w:rFonts w:ascii="Arial" w:hAnsi="Arial" w:eastAsia="Arial" w:cs="Arial"/>
          <w:sz w:val="24"/>
          <w:szCs w:val="24"/>
        </w:rPr>
        <w:t xml:space="preserve"> cost pressure beyond production (e.g., software development, EV investment amortisation).</w:t>
      </w:r>
      <w:r w:rsidRPr="6407B060" w:rsidR="2D0DC10F">
        <w:rPr>
          <w:rFonts w:ascii="Arial" w:hAnsi="Arial" w:eastAsia="Arial" w:cs="Arial"/>
          <w:sz w:val="24"/>
          <w:szCs w:val="24"/>
        </w:rPr>
        <w:t xml:space="preserve"> </w:t>
      </w:r>
      <w:r w:rsidRPr="6407B060" w:rsidR="2BB6DE0E">
        <w:rPr>
          <w:rFonts w:ascii="Arial" w:hAnsi="Arial" w:eastAsia="Arial" w:cs="Arial"/>
          <w:sz w:val="24"/>
          <w:szCs w:val="24"/>
        </w:rPr>
        <w:t xml:space="preserve">An overall profitability assessment suggests that Volkswagen’s electrification strategy has not yet translated into proportionate capital returns. While operational manufacturing efficiency </w:t>
      </w:r>
      <w:r w:rsidRPr="6407B060" w:rsidR="2BB6DE0E">
        <w:rPr>
          <w:rFonts w:ascii="Arial" w:hAnsi="Arial" w:eastAsia="Arial" w:cs="Arial"/>
          <w:sz w:val="24"/>
          <w:szCs w:val="24"/>
        </w:rPr>
        <w:t>remains</w:t>
      </w:r>
      <w:r w:rsidRPr="6407B060" w:rsidR="2BB6DE0E">
        <w:rPr>
          <w:rFonts w:ascii="Arial" w:hAnsi="Arial" w:eastAsia="Arial" w:cs="Arial"/>
          <w:sz w:val="24"/>
          <w:szCs w:val="24"/>
        </w:rPr>
        <w:t xml:space="preserve"> stable, overall return performance is weakening due to rising capital employed and increasing strategic expenditure.</w:t>
      </w:r>
    </w:p>
    <w:p w:rsidR="2BB6DE0E" w:rsidP="6407B060" w:rsidRDefault="2BB6DE0E" w14:paraId="74C9447C" w14:textId="6619C673">
      <w:pPr>
        <w:pStyle w:val="Heading2"/>
        <w:keepNext w:val="0"/>
        <w:keepLines w:val="0"/>
        <w:spacing w:line="360" w:lineRule="auto"/>
        <w:rPr>
          <w:rFonts w:ascii="Arial" w:hAnsi="Arial" w:eastAsia="Arial" w:cs="Arial"/>
          <w:sz w:val="28"/>
          <w:szCs w:val="28"/>
        </w:rPr>
      </w:pPr>
      <w:bookmarkStart w:name="_Toc18317835" w:id="225186025"/>
      <w:r w:rsidRPr="6407B060" w:rsidR="2BB6DE0E">
        <w:rPr>
          <w:rFonts w:ascii="Arial" w:hAnsi="Arial" w:eastAsia="Arial" w:cs="Arial"/>
          <w:sz w:val="28"/>
          <w:szCs w:val="28"/>
        </w:rPr>
        <w:t>1.2 Investment Ratios</w:t>
      </w:r>
      <w:bookmarkEnd w:id="225186025"/>
    </w:p>
    <w:p w:rsidR="10DC4773" w:rsidP="6407B060" w:rsidRDefault="10DC4773" w14:paraId="38438856" w14:textId="0DF5E23E">
      <w:pPr>
        <w:pStyle w:val="Normal"/>
        <w:keepNext w:val="0"/>
        <w:keepLines w:val="0"/>
        <w:spacing w:line="360" w:lineRule="auto"/>
        <w:jc w:val="both"/>
        <w:rPr>
          <w:rFonts w:ascii="Arial" w:hAnsi="Arial" w:eastAsia="Arial" w:cs="Arial"/>
          <w:sz w:val="24"/>
          <w:szCs w:val="24"/>
        </w:rPr>
      </w:pPr>
      <w:r w:rsidRPr="6407B060" w:rsidR="10DC4773">
        <w:rPr>
          <w:rFonts w:ascii="Arial" w:hAnsi="Arial" w:eastAsia="Arial" w:cs="Arial"/>
          <w:sz w:val="24"/>
          <w:szCs w:val="24"/>
        </w:rPr>
        <w:t xml:space="preserve">Turunen (2024) </w:t>
      </w:r>
      <w:r w:rsidRPr="6407B060" w:rsidR="10DC4773">
        <w:rPr>
          <w:rFonts w:ascii="Arial" w:hAnsi="Arial" w:eastAsia="Arial" w:cs="Arial"/>
          <w:sz w:val="24"/>
          <w:szCs w:val="24"/>
        </w:rPr>
        <w:t>maintains</w:t>
      </w:r>
      <w:r w:rsidRPr="6407B060" w:rsidR="10DC4773">
        <w:rPr>
          <w:rFonts w:ascii="Arial" w:hAnsi="Arial" w:eastAsia="Arial" w:cs="Arial"/>
          <w:sz w:val="24"/>
          <w:szCs w:val="24"/>
        </w:rPr>
        <w:t xml:space="preserve"> that investment ratios aid in the decision-making process for investors. The author highlights that stability and effectiveness of financial markets are enhanced when investors make well-informed judgments based on financial research.</w:t>
      </w:r>
      <w:r w:rsidRPr="6407B060" w:rsidR="10092E0D">
        <w:rPr>
          <w:rFonts w:ascii="Arial" w:hAnsi="Arial" w:eastAsia="Arial" w:cs="Arial"/>
          <w:sz w:val="24"/>
          <w:szCs w:val="24"/>
        </w:rPr>
        <w:t xml:space="preserve"> </w:t>
      </w:r>
    </w:p>
    <w:p w:rsidR="6407B060" w:rsidP="6407B060" w:rsidRDefault="6407B060" w14:paraId="113FC823" w14:textId="2A4D1F7B">
      <w:pPr>
        <w:pStyle w:val="Normal"/>
        <w:keepNext w:val="0"/>
        <w:keepLines w:val="0"/>
        <w:spacing w:line="360" w:lineRule="auto"/>
        <w:jc w:val="both"/>
      </w:pPr>
      <m:oMathPara xmlns:m="http://schemas.openxmlformats.org/officeDocument/2006/math">
        <m:oMath xmlns:m="http://schemas.openxmlformats.org/officeDocument/2006/math">
          <m:r xmlns:m="http://schemas.openxmlformats.org/officeDocument/2006/math">
            <m:t xmlns:m="http://schemas.openxmlformats.org/officeDocument/2006/math">𝐸𝑃𝑆</m:t>
          </m:r>
          <m:r xmlns:m="http://schemas.openxmlformats.org/officeDocument/2006/math">
            <m:t xmlns:m="http://schemas.openxmlformats.org/officeDocument/2006/math">=</m:t>
          </m:r>
          <m:f xmlns:m="http://schemas.openxmlformats.org/officeDocument/2006/math">
            <m:fPr>
              <m:ctrlPr/>
            </m:fPr>
            <m:num>
              <m:r>
                <m:t>𝐸𝑎𝑟𝑛𝑖𝑛𝑔𝑠</m:t>
              </m:r>
            </m:num>
            <m:den>
              <m:r>
                <m:t>𝑁𝑢𝑚𝑏𝑒𝑟</m:t>
              </m:r>
              <m:r>
                <m:t> </m:t>
              </m:r>
              <m:r>
                <m:t>𝑜𝑓</m:t>
              </m:r>
              <m:r>
                <m:t> </m:t>
              </m:r>
              <m:r>
                <m:t>𝑜𝑟𝑑𝑖𝑛𝑎𝑟𝑦</m:t>
              </m:r>
              <m:r>
                <m:t> </m:t>
              </m:r>
              <m:r>
                <m:t>𝑆h𝑎𝑟𝑒𝑠</m:t>
              </m:r>
            </m:den>
          </m:f>
        </m:oMath>
      </m:oMathPara>
    </w:p>
    <w:p w:rsidR="52552FF6" w:rsidP="6407B060" w:rsidRDefault="52552FF6" w14:paraId="5FCA313E" w14:textId="40DE6278">
      <w:pPr>
        <w:pStyle w:val="Normal"/>
        <w:keepNext w:val="0"/>
        <w:keepLines w:val="0"/>
        <w:spacing w:line="360" w:lineRule="auto"/>
        <w:jc w:val="both"/>
        <w:rPr>
          <w:rFonts w:ascii="Arial" w:hAnsi="Arial" w:eastAsia="Arial" w:cs="Arial"/>
          <w:sz w:val="24"/>
          <w:szCs w:val="24"/>
        </w:rPr>
      </w:pPr>
      <w:r w:rsidRPr="6407B060" w:rsidR="52552FF6">
        <w:rPr>
          <w:rFonts w:ascii="Arial" w:hAnsi="Arial" w:eastAsia="Arial" w:cs="Arial"/>
          <w:sz w:val="24"/>
          <w:szCs w:val="24"/>
        </w:rPr>
        <w:t xml:space="preserve">Price earnings ratios = </w:t>
      </w:r>
      <m:oMathPara xmlns:m="http://schemas.openxmlformats.org/officeDocument/2006/math">
        <m:oMath xmlns:m="http://schemas.openxmlformats.org/officeDocument/2006/math">
          <m:f xmlns:m="http://schemas.openxmlformats.org/officeDocument/2006/math">
            <m:fPr>
              <m:ctrlPr/>
            </m:fPr>
            <m:num>
              <m:r>
                <m:t>𝐶𝑢𝑟𝑟𝑒𝑛𝑡</m:t>
              </m:r>
              <m:r>
                <m:t> </m:t>
              </m:r>
              <m:r>
                <m:t>𝑠h𝑎𝑟𝑒</m:t>
              </m:r>
              <m:r>
                <m:t> </m:t>
              </m:r>
              <m:r>
                <m:t>𝑝𝑟𝑖𝑐𝑒</m:t>
              </m:r>
            </m:num>
            <m:den>
              <m:r>
                <m:t>𝐸𝑃𝑆</m:t>
              </m:r>
            </m:den>
          </m:f>
        </m:oMath>
      </m:oMathPara>
      <w:r w:rsidRPr="6407B060" w:rsidR="371E5680">
        <w:rPr>
          <w:rFonts w:ascii="Arial" w:hAnsi="Arial" w:eastAsia="Arial" w:cs="Arial"/>
          <w:sz w:val="24"/>
          <w:szCs w:val="24"/>
        </w:rPr>
        <w:t xml:space="preserve"> </w:t>
      </w:r>
      <w:r w:rsidRPr="6407B060" w:rsidR="1F7AB207">
        <w:rPr>
          <w:rFonts w:ascii="Arial" w:hAnsi="Arial" w:eastAsia="Arial" w:cs="Arial"/>
          <w:sz w:val="24"/>
          <w:szCs w:val="24"/>
        </w:rPr>
        <w:t xml:space="preserve">                                   </w:t>
      </w:r>
      <w:r w:rsidRPr="6407B060" w:rsidR="371E5680">
        <w:rPr>
          <w:rFonts w:ascii="Arial" w:hAnsi="Arial" w:eastAsia="Arial" w:cs="Arial"/>
          <w:sz w:val="24"/>
          <w:szCs w:val="24"/>
        </w:rPr>
        <w:t>(times)</w:t>
      </w:r>
    </w:p>
    <w:p w:rsidR="3AA1717C" w:rsidP="6407B060" w:rsidRDefault="3AA1717C" w14:paraId="32FC286A" w14:textId="6A3DF791">
      <w:pPr>
        <w:pStyle w:val="Normal"/>
        <w:keepNext w:val="0"/>
        <w:keepLines w:val="0"/>
        <w:spacing w:line="360" w:lineRule="auto"/>
        <w:jc w:val="both"/>
      </w:pPr>
      <w:r w:rsidR="3AA1717C">
        <w:drawing>
          <wp:inline wp14:editId="7C089B74" wp14:anchorId="4C81B910">
            <wp:extent cx="2324425" cy="1660694"/>
            <wp:effectExtent l="0" t="0" r="0" b="0"/>
            <wp:docPr id="18645391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4539105" name="Picture 1864539105"/>
                    <pic:cNvPicPr/>
                  </pic:nvPicPr>
                  <pic:blipFill>
                    <a:blip xmlns:r="http://schemas.openxmlformats.org/officeDocument/2006/relationships" r:embed="rId1278406965">
                      <a:extLst>
                        <a:ext uri="{28A0092B-C50C-407E-A947-70E740481C1C}">
                          <a14:useLocalDpi xmlns:a14="http://schemas.microsoft.com/office/drawing/2010/main"/>
                        </a:ext>
                      </a:extLst>
                    </a:blip>
                    <a:stretch>
                      <a:fillRect/>
                    </a:stretch>
                  </pic:blipFill>
                  <pic:spPr>
                    <a:xfrm rot="0">
                      <a:off x="0" y="0"/>
                      <a:ext cx="2324425" cy="1660694"/>
                    </a:xfrm>
                    <a:prstGeom prst="rect">
                      <a:avLst/>
                    </a:prstGeom>
                  </pic:spPr>
                </pic:pic>
              </a:graphicData>
            </a:graphic>
          </wp:inline>
        </w:drawing>
      </w:r>
    </w:p>
    <w:p w:rsidR="3AA1717C" w:rsidP="6407B060" w:rsidRDefault="3AA1717C" w14:paraId="1248F6B2" w14:textId="643D9EE6">
      <w:pPr>
        <w:pStyle w:val="Normal"/>
        <w:keepNext w:val="0"/>
        <w:keepLines w:val="0"/>
        <w:spacing w:line="360" w:lineRule="auto"/>
        <w:jc w:val="both"/>
        <w:rPr>
          <w:rFonts w:ascii="Arial" w:hAnsi="Arial" w:eastAsia="Arial" w:cs="Arial"/>
          <w:sz w:val="24"/>
          <w:szCs w:val="24"/>
        </w:rPr>
      </w:pPr>
      <w:r w:rsidRPr="6407B060" w:rsidR="3AA1717C">
        <w:rPr>
          <w:rFonts w:ascii="Arial" w:hAnsi="Arial" w:eastAsia="Arial" w:cs="Arial"/>
          <w:sz w:val="24"/>
          <w:szCs w:val="24"/>
        </w:rPr>
        <w:t>Source: Macrotrends (2026)</w:t>
      </w:r>
    </w:p>
    <w:p w:rsidR="5910B462" w:rsidP="6407B060" w:rsidRDefault="5910B462" w14:paraId="22BB7CA2" w14:textId="6F1FC8DC">
      <w:pPr>
        <w:pStyle w:val="Normal"/>
        <w:keepNext w:val="0"/>
        <w:keepLines w:val="0"/>
        <w:spacing w:line="360" w:lineRule="auto"/>
        <w:jc w:val="both"/>
      </w:pPr>
      <w:r w:rsidR="5910B462">
        <w:drawing>
          <wp:inline wp14:editId="28A36977" wp14:anchorId="36169032">
            <wp:extent cx="3353269" cy="1629267"/>
            <wp:effectExtent l="0" t="0" r="0" b="0"/>
            <wp:docPr id="970908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0908741" name="Picture 970908741"/>
                    <pic:cNvPicPr/>
                  </pic:nvPicPr>
                  <pic:blipFill>
                    <a:blip xmlns:r="http://schemas.openxmlformats.org/officeDocument/2006/relationships" r:embed="rId1088743685">
                      <a:extLst>
                        <a:ext uri="{28A0092B-C50C-407E-A947-70E740481C1C}">
                          <a14:useLocalDpi xmlns:a14="http://schemas.microsoft.com/office/drawing/2010/main"/>
                        </a:ext>
                      </a:extLst>
                    </a:blip>
                    <a:stretch>
                      <a:fillRect/>
                    </a:stretch>
                  </pic:blipFill>
                  <pic:spPr>
                    <a:xfrm rot="0">
                      <a:off x="0" y="0"/>
                      <a:ext cx="3353269" cy="1629267"/>
                    </a:xfrm>
                    <a:prstGeom prst="rect">
                      <a:avLst/>
                    </a:prstGeom>
                  </pic:spPr>
                </pic:pic>
              </a:graphicData>
            </a:graphic>
          </wp:inline>
        </w:drawing>
      </w:r>
    </w:p>
    <w:p w:rsidR="5910B462" w:rsidP="6407B060" w:rsidRDefault="5910B462" w14:paraId="042597AB" w14:textId="78FDB3C8">
      <w:pPr>
        <w:pStyle w:val="Normal"/>
        <w:keepNext w:val="0"/>
        <w:keepLines w:val="0"/>
        <w:spacing w:line="360" w:lineRule="auto"/>
        <w:jc w:val="both"/>
        <w:rPr>
          <w:rFonts w:ascii="Arial" w:hAnsi="Arial" w:eastAsia="Arial" w:cs="Arial"/>
          <w:sz w:val="24"/>
          <w:szCs w:val="24"/>
        </w:rPr>
      </w:pPr>
      <w:r w:rsidRPr="6407B060" w:rsidR="5910B462">
        <w:rPr>
          <w:rFonts w:ascii="Arial" w:hAnsi="Arial" w:eastAsia="Arial" w:cs="Arial"/>
          <w:sz w:val="24"/>
          <w:szCs w:val="24"/>
        </w:rPr>
        <w:t>Figure</w:t>
      </w:r>
      <w:r w:rsidRPr="6407B060" w:rsidR="4C9D09A1">
        <w:rPr>
          <w:rFonts w:ascii="Arial" w:hAnsi="Arial" w:eastAsia="Arial" w:cs="Arial"/>
          <w:sz w:val="24"/>
          <w:szCs w:val="24"/>
        </w:rPr>
        <w:t xml:space="preserve"> 7</w:t>
      </w:r>
      <w:r w:rsidRPr="6407B060" w:rsidR="5910B462">
        <w:rPr>
          <w:rFonts w:ascii="Arial" w:hAnsi="Arial" w:eastAsia="Arial" w:cs="Arial"/>
          <w:sz w:val="24"/>
          <w:szCs w:val="24"/>
        </w:rPr>
        <w:t>: Investment Ratios for Volkswagen (2020-2024)</w:t>
      </w:r>
    </w:p>
    <w:p w:rsidR="5BF29898" w:rsidP="6407B060" w:rsidRDefault="5BF29898" w14:paraId="6E7E5B0E" w14:textId="0AF39A90">
      <w:pPr>
        <w:pStyle w:val="Heading2"/>
        <w:keepNext w:val="0"/>
        <w:keepLines w:val="0"/>
        <w:spacing w:line="360" w:lineRule="auto"/>
        <w:rPr>
          <w:rFonts w:ascii="Arial" w:hAnsi="Arial" w:eastAsia="Arial" w:cs="Arial"/>
          <w:sz w:val="28"/>
          <w:szCs w:val="28"/>
        </w:rPr>
      </w:pPr>
      <w:bookmarkStart w:name="_Toc1849095236" w:id="1362358560"/>
      <w:r w:rsidRPr="6407B060" w:rsidR="5BF29898">
        <w:rPr>
          <w:rFonts w:ascii="Arial" w:hAnsi="Arial" w:eastAsia="Arial" w:cs="Arial"/>
          <w:sz w:val="28"/>
          <w:szCs w:val="28"/>
        </w:rPr>
        <w:t>1.3 Efficiency Ratios</w:t>
      </w:r>
      <w:bookmarkEnd w:id="1362358560"/>
    </w:p>
    <w:p w:rsidR="6966821F" w:rsidP="6407B060" w:rsidRDefault="6966821F" w14:paraId="03A6C12E" w14:textId="5AD6C512">
      <w:pPr>
        <w:pStyle w:val="Normal"/>
        <w:keepNext w:val="0"/>
        <w:keepLines w:val="0"/>
        <w:spacing w:line="360" w:lineRule="auto"/>
        <w:jc w:val="both"/>
        <w:rPr>
          <w:rFonts w:ascii="Arial" w:hAnsi="Arial" w:eastAsia="Arial" w:cs="Arial"/>
          <w:sz w:val="24"/>
          <w:szCs w:val="24"/>
        </w:rPr>
      </w:pPr>
      <w:r w:rsidRPr="6407B060" w:rsidR="6966821F">
        <w:rPr>
          <w:rFonts w:ascii="Arial" w:hAnsi="Arial" w:eastAsia="Arial" w:cs="Arial"/>
          <w:sz w:val="24"/>
          <w:szCs w:val="24"/>
        </w:rPr>
        <w:t>Efficiency ratios evaluate how well Volkswagen Group manages its working capital cycle and makes use of its asset base. Efficiency gains have a direct impact on cash flow, liquidity stability, and return on capital used in capital-intensive car manufacturing.</w:t>
      </w:r>
      <w:r w:rsidRPr="6407B060" w:rsidR="227D19EC">
        <w:rPr>
          <w:rFonts w:ascii="Arial" w:hAnsi="Arial" w:eastAsia="Arial" w:cs="Arial"/>
          <w:sz w:val="24"/>
          <w:szCs w:val="24"/>
        </w:rPr>
        <w:t xml:space="preserve"> The efficiency ratios assessed </w:t>
      </w:r>
      <w:r w:rsidRPr="6407B060" w:rsidR="34FD8E72">
        <w:rPr>
          <w:rFonts w:ascii="Arial" w:hAnsi="Arial" w:eastAsia="Arial" w:cs="Arial"/>
          <w:sz w:val="24"/>
          <w:szCs w:val="24"/>
        </w:rPr>
        <w:t>in this section are</w:t>
      </w:r>
      <w:r w:rsidRPr="6407B060" w:rsidR="227D19EC">
        <w:rPr>
          <w:rFonts w:ascii="Arial" w:hAnsi="Arial" w:eastAsia="Arial" w:cs="Arial"/>
          <w:sz w:val="24"/>
          <w:szCs w:val="24"/>
        </w:rPr>
        <w:t xml:space="preserve"> Asset Turnover (Capital Turnover), </w:t>
      </w:r>
      <w:r w:rsidRPr="6407B060" w:rsidR="4A8D5FA6">
        <w:rPr>
          <w:rFonts w:ascii="Arial" w:hAnsi="Arial" w:eastAsia="Arial" w:cs="Arial"/>
          <w:sz w:val="24"/>
          <w:szCs w:val="24"/>
        </w:rPr>
        <w:t>Stock Holding Period, Debtors Collection Period, and Creditors Payment Period.</w:t>
      </w:r>
    </w:p>
    <w:p w:rsidR="79B1C8F3" w:rsidP="6407B060" w:rsidRDefault="79B1C8F3" w14:paraId="126349CF" w14:textId="7EE8D56D">
      <w:pPr>
        <w:pStyle w:val="Heading3"/>
        <w:keepNext w:val="0"/>
        <w:keepLines w:val="0"/>
        <w:spacing w:line="360" w:lineRule="auto"/>
        <w:rPr>
          <w:rFonts w:ascii="Arial" w:hAnsi="Arial" w:eastAsia="Arial" w:cs="Arial"/>
          <w:sz w:val="24"/>
          <w:szCs w:val="24"/>
        </w:rPr>
      </w:pPr>
      <w:bookmarkStart w:name="_Toc1763944179" w:id="1466438245"/>
      <w:r w:rsidRPr="6407B060" w:rsidR="79B1C8F3">
        <w:rPr>
          <w:rFonts w:ascii="Arial" w:hAnsi="Arial" w:eastAsia="Arial" w:cs="Arial"/>
          <w:sz w:val="24"/>
          <w:szCs w:val="24"/>
        </w:rPr>
        <w:t>1.3.1 Asset Turnover (Capital Turnover)</w:t>
      </w:r>
      <w:bookmarkEnd w:id="1466438245"/>
    </w:p>
    <w:p w:rsidR="65BDBA57" w:rsidP="6407B060" w:rsidRDefault="65BDBA57" w14:paraId="1B711954" w14:textId="57CC41DD">
      <w:pPr>
        <w:pStyle w:val="Normal"/>
        <w:keepNext w:val="0"/>
        <w:keepLines w:val="0"/>
        <w:spacing w:line="360" w:lineRule="auto"/>
        <w:jc w:val="both"/>
        <w:rPr>
          <w:rFonts w:ascii="Arial" w:hAnsi="Arial" w:eastAsia="Arial" w:cs="Arial"/>
          <w:sz w:val="24"/>
          <w:szCs w:val="24"/>
        </w:rPr>
      </w:pPr>
      <w:r w:rsidRPr="6407B060" w:rsidR="65BDBA57">
        <w:rPr>
          <w:rFonts w:ascii="Arial" w:hAnsi="Arial" w:eastAsia="Arial" w:cs="Arial"/>
          <w:sz w:val="24"/>
          <w:szCs w:val="24"/>
        </w:rPr>
        <w:t>Based on the an</w:t>
      </w:r>
      <w:r w:rsidRPr="6407B060" w:rsidR="6C332393">
        <w:rPr>
          <w:rFonts w:ascii="Arial" w:hAnsi="Arial" w:eastAsia="Arial" w:cs="Arial"/>
          <w:sz w:val="24"/>
          <w:szCs w:val="24"/>
        </w:rPr>
        <w:t>a</w:t>
      </w:r>
      <w:r w:rsidRPr="6407B060" w:rsidR="65BDBA57">
        <w:rPr>
          <w:rFonts w:ascii="Arial" w:hAnsi="Arial" w:eastAsia="Arial" w:cs="Arial"/>
          <w:sz w:val="24"/>
          <w:szCs w:val="24"/>
        </w:rPr>
        <w:t>lysis of the a</w:t>
      </w:r>
      <w:r w:rsidRPr="6407B060" w:rsidR="0DB139F3">
        <w:rPr>
          <w:rFonts w:ascii="Arial" w:hAnsi="Arial" w:eastAsia="Arial" w:cs="Arial"/>
          <w:sz w:val="24"/>
          <w:szCs w:val="24"/>
        </w:rPr>
        <w:t xml:space="preserve">sset turnover </w:t>
      </w:r>
      <w:r w:rsidRPr="6407B060" w:rsidR="176EA7BB">
        <w:rPr>
          <w:rFonts w:ascii="Arial" w:hAnsi="Arial" w:eastAsia="Arial" w:cs="Arial"/>
          <w:sz w:val="24"/>
          <w:szCs w:val="24"/>
        </w:rPr>
        <w:t>ratio</w:t>
      </w:r>
      <w:r w:rsidRPr="6407B060" w:rsidR="458A85D4">
        <w:rPr>
          <w:rFonts w:ascii="Arial" w:hAnsi="Arial" w:eastAsia="Arial" w:cs="Arial"/>
          <w:sz w:val="24"/>
          <w:szCs w:val="24"/>
        </w:rPr>
        <w:t>,</w:t>
      </w:r>
      <w:r w:rsidRPr="6407B060" w:rsidR="176EA7BB">
        <w:rPr>
          <w:rFonts w:ascii="Arial" w:hAnsi="Arial" w:eastAsia="Arial" w:cs="Arial"/>
          <w:sz w:val="24"/>
          <w:szCs w:val="24"/>
        </w:rPr>
        <w:t xml:space="preserve"> </w:t>
      </w:r>
      <w:r w:rsidRPr="6407B060" w:rsidR="176EA7BB">
        <w:rPr>
          <w:rFonts w:ascii="Arial" w:hAnsi="Arial" w:eastAsia="Arial" w:cs="Arial"/>
          <w:sz w:val="24"/>
          <w:szCs w:val="24"/>
        </w:rPr>
        <w:t>it seems that Volkswagen</w:t>
      </w:r>
      <w:r w:rsidRPr="6407B060" w:rsidR="176EA7BB">
        <w:rPr>
          <w:rFonts w:ascii="Arial" w:hAnsi="Arial" w:eastAsia="Arial" w:cs="Arial"/>
          <w:sz w:val="24"/>
          <w:szCs w:val="24"/>
        </w:rPr>
        <w:t xml:space="preserve"> </w:t>
      </w:r>
      <w:r w:rsidRPr="6407B060" w:rsidR="0DB139F3">
        <w:rPr>
          <w:rFonts w:ascii="Arial" w:hAnsi="Arial" w:eastAsia="Arial" w:cs="Arial"/>
          <w:sz w:val="24"/>
          <w:szCs w:val="24"/>
        </w:rPr>
        <w:t>improved steadily from 0.67 in 2020 to a peak of 0.81 in 2023, before a slight decline to 0.78 in 2024 (see Figure</w:t>
      </w:r>
      <w:r w:rsidRPr="6407B060" w:rsidR="23E8F57C">
        <w:rPr>
          <w:rFonts w:ascii="Arial" w:hAnsi="Arial" w:eastAsia="Arial" w:cs="Arial"/>
          <w:sz w:val="24"/>
          <w:szCs w:val="24"/>
        </w:rPr>
        <w:t xml:space="preserve"> 8</w:t>
      </w:r>
      <w:r w:rsidRPr="6407B060" w:rsidR="0DB139F3">
        <w:rPr>
          <w:rFonts w:ascii="Arial" w:hAnsi="Arial" w:eastAsia="Arial" w:cs="Arial"/>
          <w:sz w:val="24"/>
          <w:szCs w:val="24"/>
        </w:rPr>
        <w:t>).</w:t>
      </w:r>
    </w:p>
    <w:p w:rsidR="6407B060" w:rsidP="6407B060" w:rsidRDefault="6407B060" w14:paraId="575EE4AD" w14:textId="33AAF545">
      <w:pPr>
        <w:pStyle w:val="Normal"/>
        <w:keepNext w:val="0"/>
        <w:keepLines w:val="0"/>
        <w:spacing w:line="360" w:lineRule="auto"/>
      </w:pPr>
      <m:oMathPara xmlns:m="http://schemas.openxmlformats.org/officeDocument/2006/math">
        <m:oMath xmlns:m="http://schemas.openxmlformats.org/officeDocument/2006/math">
          <m:r xmlns:m="http://schemas.openxmlformats.org/officeDocument/2006/math">
            <m:t xmlns:m="http://schemas.openxmlformats.org/officeDocument/2006/math">𝐴𝑠𝑠𝑒𝑡</m:t>
          </m:r>
          <m:r xmlns:m="http://schemas.openxmlformats.org/officeDocument/2006/math">
            <m:t xmlns:m="http://schemas.openxmlformats.org/officeDocument/2006/math"> </m:t>
          </m:r>
          <m:r xmlns:m="http://schemas.openxmlformats.org/officeDocument/2006/math">
            <m:t xmlns:m="http://schemas.openxmlformats.org/officeDocument/2006/math">𝑇𝑢𝑟𝑛𝑜𝑣𝑒𝑟</m:t>
          </m:r>
          <m:r xmlns:m="http://schemas.openxmlformats.org/officeDocument/2006/math">
            <m:t xmlns:m="http://schemas.openxmlformats.org/officeDocument/2006/math">=</m:t>
          </m:r>
          <m:f xmlns:m="http://schemas.openxmlformats.org/officeDocument/2006/math">
            <m:fPr>
              <m:ctrlPr/>
            </m:fPr>
            <m:num>
              <m:r>
                <m:t>𝑅𝑒𝑣𝑒𝑛𝑢𝑒</m:t>
              </m:r>
            </m:num>
            <m:den>
              <m:r>
                <m:t>𝐶𝑎𝑝𝑖𝑡𝑎𝑙</m:t>
              </m:r>
              <m:r>
                <m:t> </m:t>
              </m:r>
              <m:r>
                <m:t>𝑒𝑚𝑝𝑙𝑜𝑦𝑒𝑑</m:t>
              </m:r>
              <m:r>
                <m:t> </m:t>
              </m:r>
              <m:d>
                <m:dPr>
                  <m:ctrlPr/>
                </m:dPr>
                <m:e>
                  <m:r>
                    <m:t>𝑡𝑜𝑡𝑎𝑙</m:t>
                  </m:r>
                  <m:r>
                    <m:t> </m:t>
                  </m:r>
                  <m:r>
                    <m:t>𝑎𝑠𝑠𝑒𝑡𝑠</m:t>
                  </m:r>
                  <m:r>
                    <m:t> − </m:t>
                  </m:r>
                  <m:r>
                    <m:t>𝑐𝑢𝑟𝑟𝑒𝑛𝑡</m:t>
                  </m:r>
                  <m:r>
                    <m:t> </m:t>
                  </m:r>
                  <m:r>
                    <m:t>𝑙𝑖𝑎𝑏𝑖𝑙𝑖𝑡𝑖𝑒𝑠</m:t>
                  </m:r>
                </m:e>
              </m:d>
            </m:den>
          </m:f>
          <m:r xmlns:m="http://schemas.openxmlformats.org/officeDocument/2006/math">
            <m:t xmlns:m="http://schemas.openxmlformats.org/officeDocument/2006/math">𝑡𝑖𝑚𝑒𝑠</m:t>
          </m:r>
        </m:oMath>
      </m:oMathPara>
    </w:p>
    <w:p w:rsidR="37BF5D19" w:rsidP="6407B060" w:rsidRDefault="37BF5D19" w14:paraId="4F62B3FD" w14:textId="49F2763A">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sz w:val="24"/>
          <w:szCs w:val="24"/>
        </w:rPr>
      </w:pPr>
      <w:r w:rsidRPr="6407B060" w:rsidR="37BF5D19">
        <w:rPr>
          <w:rFonts w:ascii="Arial" w:hAnsi="Arial" w:eastAsia="Arial" w:cs="Arial"/>
          <w:sz w:val="24"/>
          <w:szCs w:val="24"/>
        </w:rPr>
        <w:t xml:space="preserve">The upward trend from 2020 to 2023 suggests improving utilisation of the asset base, potentially driven by post-pandemic demand recovery and stronger revenue growth </w:t>
      </w:r>
      <w:r w:rsidRPr="6407B060" w:rsidR="37BF5D19">
        <w:rPr>
          <w:rFonts w:ascii="Arial" w:hAnsi="Arial" w:eastAsia="Arial" w:cs="Arial"/>
          <w:sz w:val="24"/>
          <w:szCs w:val="24"/>
        </w:rPr>
        <w:t>relative</w:t>
      </w:r>
      <w:r w:rsidRPr="6407B060" w:rsidR="37BF5D19">
        <w:rPr>
          <w:rFonts w:ascii="Arial" w:hAnsi="Arial" w:eastAsia="Arial" w:cs="Arial"/>
          <w:sz w:val="24"/>
          <w:szCs w:val="24"/>
        </w:rPr>
        <w:t xml:space="preserve"> to asset expansion. The 2024 decline may </w:t>
      </w:r>
      <w:r w:rsidRPr="6407B060" w:rsidR="37BF5D19">
        <w:rPr>
          <w:rFonts w:ascii="Arial" w:hAnsi="Arial" w:eastAsia="Arial" w:cs="Arial"/>
          <w:sz w:val="24"/>
          <w:szCs w:val="24"/>
        </w:rPr>
        <w:t>indicate</w:t>
      </w:r>
      <w:r w:rsidRPr="6407B060" w:rsidR="37BF5D19">
        <w:rPr>
          <w:rFonts w:ascii="Arial" w:hAnsi="Arial" w:eastAsia="Arial" w:cs="Arial"/>
          <w:sz w:val="24"/>
          <w:szCs w:val="24"/>
        </w:rPr>
        <w:t xml:space="preserve"> asset growth (e.g., EV plants, battery facilities) exceeding revenue generation. Automotive industry benchmarks typically range between 0.6 and 0.9 times, placing Volkswagen within competitive norms. Although efficiency improved structurally until 2023, the slight deterioration in 2024 may reflect the capital-heavy EV transition, where asset accumulation precedes revenue realisation. </w:t>
      </w:r>
      <w:r w:rsidRPr="6407B060" w:rsidR="729EB5B3">
        <w:rPr>
          <w:rFonts w:ascii="Arial" w:hAnsi="Arial" w:eastAsia="Arial" w:cs="Arial"/>
          <w:sz w:val="24"/>
          <w:szCs w:val="24"/>
        </w:rPr>
        <w:t>This</w:t>
      </w:r>
      <w:r w:rsidRPr="6407B060" w:rsidR="762C6C69">
        <w:rPr>
          <w:rFonts w:ascii="Arial" w:hAnsi="Arial" w:eastAsia="Arial" w:cs="Arial"/>
          <w:sz w:val="24"/>
          <w:szCs w:val="24"/>
        </w:rPr>
        <w:t xml:space="preserve"> analysis suggests that s</w:t>
      </w:r>
      <w:r w:rsidRPr="6407B060" w:rsidR="37BF5D19">
        <w:rPr>
          <w:rFonts w:ascii="Arial" w:hAnsi="Arial" w:eastAsia="Arial" w:cs="Arial"/>
          <w:sz w:val="24"/>
          <w:szCs w:val="24"/>
        </w:rPr>
        <w:t>ustained declines could pressure ROCE</w:t>
      </w:r>
      <w:r w:rsidRPr="6407B060" w:rsidR="4015A96E">
        <w:rPr>
          <w:rFonts w:ascii="Arial" w:hAnsi="Arial" w:eastAsia="Arial" w:cs="Arial"/>
          <w:sz w:val="24"/>
          <w:szCs w:val="24"/>
        </w:rPr>
        <w:t xml:space="preserve"> in future</w:t>
      </w:r>
      <w:r w:rsidRPr="6407B060" w:rsidR="448ED7B5">
        <w:rPr>
          <w:rFonts w:ascii="Arial" w:hAnsi="Arial" w:eastAsia="Arial" w:cs="Arial"/>
          <w:sz w:val="24"/>
          <w:szCs w:val="24"/>
        </w:rPr>
        <w:t xml:space="preserve"> (</w:t>
      </w:r>
      <w:r w:rsidRPr="6407B060" w:rsidR="54B73F81">
        <w:rPr>
          <w:rFonts w:ascii="Arial" w:hAnsi="Arial" w:eastAsia="Arial" w:cs="Arial"/>
          <w:sz w:val="24"/>
          <w:szCs w:val="24"/>
        </w:rPr>
        <w:t>Volkswagen Group, 2026</w:t>
      </w:r>
      <w:r w:rsidRPr="6407B060" w:rsidR="2AB22FA6">
        <w:rPr>
          <w:rFonts w:ascii="Arial" w:hAnsi="Arial" w:eastAsia="Arial" w:cs="Arial"/>
          <w:sz w:val="24"/>
          <w:szCs w:val="24"/>
        </w:rPr>
        <w:t>; Macrotrends, 2026)</w:t>
      </w:r>
      <w:r w:rsidRPr="6407B060" w:rsidR="4015A96E">
        <w:rPr>
          <w:rFonts w:ascii="Arial" w:hAnsi="Arial" w:eastAsia="Arial" w:cs="Arial"/>
          <w:sz w:val="24"/>
          <w:szCs w:val="24"/>
        </w:rPr>
        <w:t>.</w:t>
      </w:r>
    </w:p>
    <w:p w:rsidR="541D3FF9" w:rsidP="6407B060" w:rsidRDefault="541D3FF9" w14:paraId="03B89BE3" w14:textId="4413926D">
      <w:pPr>
        <w:pStyle w:val="Normal"/>
        <w:keepNext w:val="0"/>
        <w:keepLines w:val="0"/>
        <w:spacing w:line="360" w:lineRule="auto"/>
      </w:pPr>
      <w:r w:rsidR="541D3FF9">
        <w:drawing>
          <wp:inline wp14:editId="336978E1" wp14:anchorId="52A3A382">
            <wp:extent cx="2143152" cy="1777404"/>
            <wp:effectExtent l="0" t="0" r="0" b="0"/>
            <wp:docPr id="2055221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5221607" name="Picture 2055221607"/>
                    <pic:cNvPicPr/>
                  </pic:nvPicPr>
                  <pic:blipFill>
                    <a:blip xmlns:r="http://schemas.openxmlformats.org/officeDocument/2006/relationships" r:embed="rId284194898">
                      <a:extLst>
                        <a:ext uri="{28A0092B-C50C-407E-A947-70E740481C1C}">
                          <a14:useLocalDpi xmlns:a14="http://schemas.microsoft.com/office/drawing/2010/main"/>
                        </a:ext>
                      </a:extLst>
                    </a:blip>
                    <a:stretch>
                      <a:fillRect/>
                    </a:stretch>
                  </pic:blipFill>
                  <pic:spPr>
                    <a:xfrm rot="0">
                      <a:off x="0" y="0"/>
                      <a:ext cx="2143152" cy="1777404"/>
                    </a:xfrm>
                    <a:prstGeom prst="rect">
                      <a:avLst/>
                    </a:prstGeom>
                  </pic:spPr>
                </pic:pic>
              </a:graphicData>
            </a:graphic>
          </wp:inline>
        </w:drawing>
      </w:r>
    </w:p>
    <w:p w:rsidR="5A74FC93" w:rsidP="6407B060" w:rsidRDefault="5A74FC93" w14:paraId="01370D4E" w14:textId="2CE8C505">
      <w:pPr>
        <w:pStyle w:val="Normal"/>
        <w:keepNext w:val="0"/>
        <w:keepLines w:val="0"/>
        <w:spacing w:line="360" w:lineRule="auto"/>
        <w:rPr>
          <w:rFonts w:ascii="Arial" w:hAnsi="Arial" w:eastAsia="Arial" w:cs="Arial"/>
          <w:sz w:val="24"/>
          <w:szCs w:val="24"/>
        </w:rPr>
      </w:pPr>
      <w:r w:rsidRPr="6407B060" w:rsidR="5A74FC93">
        <w:rPr>
          <w:rFonts w:ascii="Arial" w:hAnsi="Arial" w:eastAsia="Arial" w:cs="Arial"/>
          <w:sz w:val="24"/>
          <w:szCs w:val="24"/>
        </w:rPr>
        <w:t>Figure</w:t>
      </w:r>
      <w:r w:rsidRPr="6407B060" w:rsidR="5C8F6C19">
        <w:rPr>
          <w:rFonts w:ascii="Arial" w:hAnsi="Arial" w:eastAsia="Arial" w:cs="Arial"/>
          <w:sz w:val="24"/>
          <w:szCs w:val="24"/>
        </w:rPr>
        <w:t xml:space="preserve"> 8</w:t>
      </w:r>
      <w:r w:rsidRPr="6407B060" w:rsidR="5A74FC93">
        <w:rPr>
          <w:rFonts w:ascii="Arial" w:hAnsi="Arial" w:eastAsia="Arial" w:cs="Arial"/>
          <w:sz w:val="24"/>
          <w:szCs w:val="24"/>
        </w:rPr>
        <w:t xml:space="preserve">: </w:t>
      </w:r>
      <w:r w:rsidRPr="6407B060" w:rsidR="47F1BF12">
        <w:rPr>
          <w:rFonts w:ascii="Arial" w:hAnsi="Arial" w:eastAsia="Arial" w:cs="Arial"/>
          <w:sz w:val="24"/>
          <w:szCs w:val="24"/>
        </w:rPr>
        <w:t xml:space="preserve">Asset Turnover </w:t>
      </w:r>
      <w:r w:rsidRPr="6407B060" w:rsidR="47F1BF12">
        <w:rPr>
          <w:rFonts w:ascii="Arial" w:hAnsi="Arial" w:eastAsia="Arial" w:cs="Arial"/>
          <w:sz w:val="24"/>
          <w:szCs w:val="24"/>
        </w:rPr>
        <w:t>between 2020 and 2024 (</w:t>
      </w:r>
      <w:r w:rsidRPr="6407B060" w:rsidR="65C7E652">
        <w:rPr>
          <w:rFonts w:ascii="Arial" w:hAnsi="Arial" w:eastAsia="Arial" w:cs="Arial"/>
          <w:sz w:val="24"/>
          <w:szCs w:val="24"/>
        </w:rPr>
        <w:t>see</w:t>
      </w:r>
      <w:r w:rsidRPr="6407B060" w:rsidR="47F1BF12">
        <w:rPr>
          <w:rFonts w:ascii="Arial" w:hAnsi="Arial" w:eastAsia="Arial" w:cs="Arial"/>
          <w:sz w:val="24"/>
          <w:szCs w:val="24"/>
        </w:rPr>
        <w:t xml:space="preserve"> Appendix)</w:t>
      </w:r>
    </w:p>
    <w:p w:rsidR="26CE9809" w:rsidP="6407B060" w:rsidRDefault="26CE9809" w14:paraId="5724870E" w14:textId="764855AE">
      <w:pPr>
        <w:pStyle w:val="Heading3"/>
        <w:keepNext w:val="0"/>
        <w:keepLines w:val="0"/>
        <w:spacing w:line="360" w:lineRule="auto"/>
        <w:rPr>
          <w:rFonts w:ascii="Arial" w:hAnsi="Arial" w:eastAsia="Arial" w:cs="Arial"/>
          <w:sz w:val="24"/>
          <w:szCs w:val="24"/>
        </w:rPr>
      </w:pPr>
      <w:bookmarkStart w:name="_Toc1578098142" w:id="637086265"/>
      <w:r w:rsidRPr="6407B060" w:rsidR="26CE9809">
        <w:rPr>
          <w:rFonts w:ascii="Arial" w:hAnsi="Arial" w:eastAsia="Arial" w:cs="Arial"/>
          <w:sz w:val="24"/>
          <w:szCs w:val="24"/>
        </w:rPr>
        <w:t>1.3.2 Stock Holding Period</w:t>
      </w:r>
      <w:bookmarkEnd w:id="637086265"/>
      <w:r w:rsidRPr="6407B060" w:rsidR="26CE9809">
        <w:rPr>
          <w:rFonts w:ascii="Arial" w:hAnsi="Arial" w:eastAsia="Arial" w:cs="Arial"/>
          <w:sz w:val="24"/>
          <w:szCs w:val="24"/>
        </w:rPr>
        <w:t xml:space="preserve"> </w:t>
      </w:r>
    </w:p>
    <w:p w:rsidR="7FE15FCA" w:rsidP="6407B060" w:rsidRDefault="7FE15FCA" w14:paraId="3F8A051D" w14:textId="7188B8F3">
      <w:pPr>
        <w:pStyle w:val="Normal"/>
        <w:keepNext w:val="0"/>
        <w:keepLines w:val="0"/>
        <w:spacing w:line="360" w:lineRule="auto"/>
        <w:jc w:val="both"/>
        <w:rPr>
          <w:rFonts w:ascii="Arial" w:hAnsi="Arial" w:eastAsia="Arial" w:cs="Arial"/>
          <w:sz w:val="24"/>
          <w:szCs w:val="24"/>
        </w:rPr>
      </w:pPr>
      <w:r w:rsidRPr="6407B060" w:rsidR="7FE15FCA">
        <w:rPr>
          <w:rFonts w:ascii="Arial" w:hAnsi="Arial" w:eastAsia="Arial" w:cs="Arial"/>
          <w:sz w:val="24"/>
          <w:szCs w:val="24"/>
        </w:rPr>
        <w:t>Rorlen et al. (2023) argue that companies</w:t>
      </w:r>
      <w:r w:rsidRPr="6407B060" w:rsidR="18258727">
        <w:rPr>
          <w:rFonts w:ascii="Arial" w:hAnsi="Arial" w:eastAsia="Arial" w:cs="Arial"/>
          <w:sz w:val="24"/>
          <w:szCs w:val="24"/>
        </w:rPr>
        <w:t xml:space="preserve"> with inventory performance can boost operating activity profitability, which raises financial performance profitability (for example, by lowering the inventory to sales ratio).</w:t>
      </w:r>
      <w:r w:rsidRPr="6407B060" w:rsidR="4F6735FC">
        <w:rPr>
          <w:rFonts w:ascii="Arial" w:hAnsi="Arial" w:eastAsia="Arial" w:cs="Arial"/>
          <w:sz w:val="24"/>
          <w:szCs w:val="24"/>
        </w:rPr>
        <w:t xml:space="preserve"> To </w:t>
      </w:r>
      <w:r w:rsidRPr="6407B060" w:rsidR="18258727">
        <w:rPr>
          <w:rFonts w:ascii="Arial" w:hAnsi="Arial" w:eastAsia="Arial" w:cs="Arial"/>
          <w:sz w:val="24"/>
          <w:szCs w:val="24"/>
        </w:rPr>
        <w:t>enhance business performance, inventory control is necessary because a company's manufacturing process can function properly when there is enough inventory.</w:t>
      </w:r>
    </w:p>
    <w:p w:rsidR="6407B060" w:rsidP="6407B060" w:rsidRDefault="6407B060" w14:paraId="3686C24C" w14:textId="08ECD35C">
      <w:pPr>
        <w:pStyle w:val="Normal"/>
        <w:keepNext w:val="0"/>
        <w:keepLines w:val="0"/>
        <w:spacing w:line="360" w:lineRule="auto"/>
      </w:pPr>
      <m:oMathPara xmlns:m="http://schemas.openxmlformats.org/officeDocument/2006/math">
        <m:oMath xmlns:m="http://schemas.openxmlformats.org/officeDocument/2006/math">
          <m:r xmlns:m="http://schemas.openxmlformats.org/officeDocument/2006/math">
            <m:t xmlns:m="http://schemas.openxmlformats.org/officeDocument/2006/math">𝑆𝑡𝑜𝑐𝑘</m:t>
          </m:r>
          <m:r xmlns:m="http://schemas.openxmlformats.org/officeDocument/2006/math">
            <m:t xmlns:m="http://schemas.openxmlformats.org/officeDocument/2006/math"> </m:t>
          </m:r>
          <m:r xmlns:m="http://schemas.openxmlformats.org/officeDocument/2006/math">
            <m:t xmlns:m="http://schemas.openxmlformats.org/officeDocument/2006/math">𝐻𝑜𝑙𝑑𝑖𝑛𝑔</m:t>
          </m:r>
          <m:r xmlns:m="http://schemas.openxmlformats.org/officeDocument/2006/math">
            <m:t xmlns:m="http://schemas.openxmlformats.org/officeDocument/2006/math"> </m:t>
          </m:r>
          <m:r xmlns:m="http://schemas.openxmlformats.org/officeDocument/2006/math">
            <m:t xmlns:m="http://schemas.openxmlformats.org/officeDocument/2006/math">𝑃𝑒𝑟𝑖𝑜𝑑</m:t>
          </m:r>
          <m:r xmlns:m="http://schemas.openxmlformats.org/officeDocument/2006/math">
            <m:t xmlns:m="http://schemas.openxmlformats.org/officeDocument/2006/math">=</m:t>
          </m:r>
          <m:f xmlns:m="http://schemas.openxmlformats.org/officeDocument/2006/math">
            <m:fPr>
              <m:ctrlPr/>
            </m:fPr>
            <m:num>
              <m:r>
                <m:t>𝐼𝑛𝑣𝑒𝑛𝑡𝑜𝑟𝑦</m:t>
              </m:r>
            </m:num>
            <m:den>
              <m:r>
                <m:t>𝐶𝑜𝑠𝑡</m:t>
              </m:r>
              <m:r>
                <m:t> </m:t>
              </m:r>
              <m:r>
                <m:t>𝑜𝑓</m:t>
              </m:r>
              <m:r>
                <m:t> </m:t>
              </m:r>
              <m:r>
                <m:t>𝑠𝑎𝑙𝑒𝑠</m:t>
              </m:r>
              <m:r>
                <m:t> </m:t>
              </m:r>
              <m:d>
                <m:dPr>
                  <m:ctrlPr/>
                </m:dPr>
                <m:e>
                  <m:r>
                    <m:t>𝐶𝑂𝐺𝑆</m:t>
                  </m:r>
                </m:e>
              </m:d>
            </m:den>
          </m:f>
        </m:oMath>
      </m:oMathPara>
      <w:r w:rsidR="101D8AB9">
        <w:rPr/>
        <w:t xml:space="preserve"> </w:t>
      </w:r>
      <w:r w:rsidR="57096A8E">
        <w:rPr/>
        <w:t xml:space="preserve">                                                                                                                  </w:t>
      </w:r>
      <w:r w:rsidR="0DDFC533">
        <w:rPr/>
        <w:t xml:space="preserve">× 365 </w:t>
      </w:r>
      <w:r w:rsidR="0DDFC533">
        <w:rPr/>
        <w:t>(days)</w:t>
      </w:r>
      <w:r w:rsidR="14D86555">
        <w:rPr/>
        <w:t xml:space="preserve"> </w:t>
      </w:r>
    </w:p>
    <w:p w:rsidR="1B0A8363" w:rsidP="6407B060" w:rsidRDefault="1B0A8363" w14:paraId="56C49468" w14:textId="6DD0551C">
      <w:pPr>
        <w:pStyle w:val="Normal"/>
        <w:keepNext w:val="0"/>
        <w:keepLines w:val="0"/>
        <w:spacing w:line="360" w:lineRule="auto"/>
        <w:rPr>
          <w:rFonts w:ascii="Arial" w:hAnsi="Arial" w:eastAsia="Arial" w:cs="Arial"/>
          <w:sz w:val="24"/>
          <w:szCs w:val="24"/>
        </w:rPr>
      </w:pPr>
      <w:r w:rsidRPr="6407B060" w:rsidR="1B0A8363">
        <w:rPr>
          <w:rFonts w:ascii="Arial" w:hAnsi="Arial" w:eastAsia="Arial" w:cs="Arial"/>
          <w:sz w:val="24"/>
          <w:szCs w:val="24"/>
        </w:rPr>
        <w:t xml:space="preserve">COGS (Cost of Goods </w:t>
      </w:r>
      <w:r w:rsidRPr="6407B060" w:rsidR="1B0A8363">
        <w:rPr>
          <w:rFonts w:ascii="Arial" w:hAnsi="Arial" w:eastAsia="Arial" w:cs="Arial"/>
          <w:sz w:val="24"/>
          <w:szCs w:val="24"/>
        </w:rPr>
        <w:t>Sold)</w:t>
      </w:r>
      <w:r w:rsidRPr="6407B060" w:rsidR="4671D7B0">
        <w:rPr>
          <w:rFonts w:ascii="Arial" w:hAnsi="Arial" w:eastAsia="Arial" w:cs="Arial"/>
          <w:sz w:val="24"/>
          <w:szCs w:val="24"/>
        </w:rPr>
        <w:t xml:space="preserve"> </w:t>
      </w:r>
      <w:r w:rsidRPr="6407B060" w:rsidR="1B0A8363">
        <w:rPr>
          <w:rFonts w:ascii="Arial" w:hAnsi="Arial" w:eastAsia="Arial" w:cs="Arial"/>
          <w:sz w:val="24"/>
          <w:szCs w:val="24"/>
        </w:rPr>
        <w:t>=</w:t>
      </w:r>
      <w:r w:rsidRPr="6407B060" w:rsidR="1B0A8363">
        <w:rPr>
          <w:rFonts w:ascii="Arial" w:hAnsi="Arial" w:eastAsia="Arial" w:cs="Arial"/>
          <w:sz w:val="24"/>
          <w:szCs w:val="24"/>
        </w:rPr>
        <w:t xml:space="preserve"> Beginning Inventory + Purchases – Ending Inventory</w:t>
      </w:r>
    </w:p>
    <w:p w:rsidR="4AA8DCFC" w:rsidP="6407B060" w:rsidRDefault="4AA8DCFC" w14:paraId="59B40E33" w14:textId="77DB9011">
      <w:pPr>
        <w:pStyle w:val="Normal"/>
        <w:keepNext w:val="0"/>
        <w:keepLines w:val="0"/>
        <w:spacing w:line="360" w:lineRule="auto"/>
      </w:pPr>
      <w:r w:rsidR="4AA8DCFC">
        <w:drawing>
          <wp:inline wp14:editId="0773C3C6" wp14:anchorId="1013F501">
            <wp:extent cx="3543795" cy="1690590"/>
            <wp:effectExtent l="0" t="0" r="0" b="0"/>
            <wp:docPr id="1849447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9447070" name="Picture 1849447070"/>
                    <pic:cNvPicPr/>
                  </pic:nvPicPr>
                  <pic:blipFill>
                    <a:blip xmlns:r="http://schemas.openxmlformats.org/officeDocument/2006/relationships" r:embed="rId1276973314">
                      <a:extLst>
                        <a:ext uri="{28A0092B-C50C-407E-A947-70E740481C1C}">
                          <a14:useLocalDpi xmlns:a14="http://schemas.microsoft.com/office/drawing/2010/main"/>
                        </a:ext>
                      </a:extLst>
                    </a:blip>
                    <a:stretch>
                      <a:fillRect/>
                    </a:stretch>
                  </pic:blipFill>
                  <pic:spPr>
                    <a:xfrm rot="0">
                      <a:off x="0" y="0"/>
                      <a:ext cx="3543795" cy="1690590"/>
                    </a:xfrm>
                    <a:prstGeom prst="rect">
                      <a:avLst/>
                    </a:prstGeom>
                  </pic:spPr>
                </pic:pic>
              </a:graphicData>
            </a:graphic>
          </wp:inline>
        </w:drawing>
      </w:r>
    </w:p>
    <w:p w:rsidR="4AA8DCFC" w:rsidP="6407B060" w:rsidRDefault="4AA8DCFC" w14:paraId="2EAC191C" w14:textId="6E54D60B">
      <w:pPr>
        <w:pStyle w:val="Normal"/>
        <w:keepNext w:val="0"/>
        <w:keepLines w:val="0"/>
        <w:spacing w:line="360" w:lineRule="auto"/>
        <w:rPr>
          <w:rFonts w:ascii="Arial" w:hAnsi="Arial" w:eastAsia="Arial" w:cs="Arial"/>
          <w:sz w:val="24"/>
          <w:szCs w:val="24"/>
        </w:rPr>
      </w:pPr>
      <w:r w:rsidRPr="6407B060" w:rsidR="4AA8DCFC">
        <w:rPr>
          <w:rFonts w:ascii="Arial" w:hAnsi="Arial" w:eastAsia="Arial" w:cs="Arial"/>
          <w:sz w:val="24"/>
          <w:szCs w:val="24"/>
        </w:rPr>
        <w:t>Figure</w:t>
      </w:r>
      <w:r w:rsidRPr="6407B060" w:rsidR="4314749A">
        <w:rPr>
          <w:rFonts w:ascii="Arial" w:hAnsi="Arial" w:eastAsia="Arial" w:cs="Arial"/>
          <w:sz w:val="24"/>
          <w:szCs w:val="24"/>
        </w:rPr>
        <w:t xml:space="preserve"> 9</w:t>
      </w:r>
      <w:r w:rsidRPr="6407B060" w:rsidR="4AA8DCFC">
        <w:rPr>
          <w:rFonts w:ascii="Arial" w:hAnsi="Arial" w:eastAsia="Arial" w:cs="Arial"/>
          <w:sz w:val="24"/>
          <w:szCs w:val="24"/>
        </w:rPr>
        <w:t>: Stock Holding Period between 2020 and 2024 (</w:t>
      </w:r>
      <w:r w:rsidRPr="6407B060" w:rsidR="103CAA67">
        <w:rPr>
          <w:rFonts w:ascii="Arial" w:hAnsi="Arial" w:eastAsia="Arial" w:cs="Arial"/>
          <w:sz w:val="24"/>
          <w:szCs w:val="24"/>
        </w:rPr>
        <w:t>see</w:t>
      </w:r>
      <w:r w:rsidRPr="6407B060" w:rsidR="4AA8DCFC">
        <w:rPr>
          <w:rFonts w:ascii="Arial" w:hAnsi="Arial" w:eastAsia="Arial" w:cs="Arial"/>
          <w:sz w:val="24"/>
          <w:szCs w:val="24"/>
        </w:rPr>
        <w:t xml:space="preserve"> Appendix)</w:t>
      </w:r>
    </w:p>
    <w:p w:rsidR="3856403E" w:rsidP="6407B060" w:rsidRDefault="3856403E" w14:paraId="26A02F6F" w14:textId="1C50A3C9">
      <w:pPr>
        <w:pStyle w:val="Normal"/>
        <w:keepNext w:val="0"/>
        <w:keepLines w:val="0"/>
        <w:spacing w:line="360" w:lineRule="auto"/>
        <w:jc w:val="both"/>
        <w:rPr>
          <w:rFonts w:ascii="Arial" w:hAnsi="Arial" w:eastAsia="Arial" w:cs="Arial"/>
          <w:sz w:val="24"/>
          <w:szCs w:val="24"/>
        </w:rPr>
      </w:pPr>
      <w:r w:rsidRPr="6407B060" w:rsidR="3856403E">
        <w:rPr>
          <w:rFonts w:ascii="Arial" w:hAnsi="Arial" w:eastAsia="Arial" w:cs="Arial"/>
          <w:sz w:val="24"/>
          <w:szCs w:val="24"/>
        </w:rPr>
        <w:t>Inventory days declined significantly from 2020 to 2023 (</w:t>
      </w:r>
      <w:r w:rsidRPr="6407B060" w:rsidR="2870C8C9">
        <w:rPr>
          <w:rFonts w:ascii="Arial" w:hAnsi="Arial" w:eastAsia="Arial" w:cs="Arial"/>
          <w:sz w:val="24"/>
          <w:szCs w:val="24"/>
        </w:rPr>
        <w:t xml:space="preserve">from </w:t>
      </w:r>
      <w:r w:rsidRPr="6407B060" w:rsidR="3856403E">
        <w:rPr>
          <w:rFonts w:ascii="Arial" w:hAnsi="Arial" w:eastAsia="Arial" w:cs="Arial"/>
          <w:sz w:val="24"/>
          <w:szCs w:val="24"/>
        </w:rPr>
        <w:t xml:space="preserve">86.9 </w:t>
      </w:r>
      <w:r w:rsidRPr="6407B060" w:rsidR="35410C12">
        <w:rPr>
          <w:rFonts w:ascii="Arial" w:hAnsi="Arial" w:eastAsia="Arial" w:cs="Arial"/>
          <w:sz w:val="24"/>
          <w:szCs w:val="24"/>
        </w:rPr>
        <w:t>to</w:t>
      </w:r>
      <w:r w:rsidRPr="6407B060" w:rsidR="3856403E">
        <w:rPr>
          <w:rFonts w:ascii="Arial" w:hAnsi="Arial" w:eastAsia="Arial" w:cs="Arial"/>
          <w:sz w:val="24"/>
          <w:szCs w:val="24"/>
        </w:rPr>
        <w:t xml:space="preserve"> 74.8 days), </w:t>
      </w:r>
      <w:r w:rsidRPr="6407B060" w:rsidR="3856403E">
        <w:rPr>
          <w:rFonts w:ascii="Arial" w:hAnsi="Arial" w:eastAsia="Arial" w:cs="Arial"/>
          <w:sz w:val="24"/>
          <w:szCs w:val="24"/>
        </w:rPr>
        <w:t>indicating</w:t>
      </w:r>
      <w:r w:rsidRPr="6407B060" w:rsidR="3856403E">
        <w:rPr>
          <w:rFonts w:ascii="Arial" w:hAnsi="Arial" w:eastAsia="Arial" w:cs="Arial"/>
          <w:sz w:val="24"/>
          <w:szCs w:val="24"/>
        </w:rPr>
        <w:t xml:space="preserve"> improved inventory management, before rising slightly in 2024.</w:t>
      </w:r>
      <w:r w:rsidRPr="6407B060" w:rsidR="775BBEF1">
        <w:rPr>
          <w:rFonts w:ascii="Arial" w:hAnsi="Arial" w:eastAsia="Arial" w:cs="Arial"/>
          <w:sz w:val="24"/>
          <w:szCs w:val="24"/>
        </w:rPr>
        <w:t xml:space="preserve"> </w:t>
      </w:r>
      <w:r w:rsidRPr="6407B060" w:rsidR="3856403E">
        <w:rPr>
          <w:rFonts w:ascii="Arial" w:hAnsi="Arial" w:eastAsia="Arial" w:cs="Arial"/>
          <w:sz w:val="24"/>
          <w:szCs w:val="24"/>
        </w:rPr>
        <w:t xml:space="preserve">Industry </w:t>
      </w:r>
      <w:r w:rsidRPr="6407B060" w:rsidR="7447C39B">
        <w:rPr>
          <w:rFonts w:ascii="Arial" w:hAnsi="Arial" w:eastAsia="Arial" w:cs="Arial"/>
          <w:sz w:val="24"/>
          <w:szCs w:val="24"/>
        </w:rPr>
        <w:t>b</w:t>
      </w:r>
      <w:r w:rsidRPr="6407B060" w:rsidR="3856403E">
        <w:rPr>
          <w:rFonts w:ascii="Arial" w:hAnsi="Arial" w:eastAsia="Arial" w:cs="Arial"/>
          <w:sz w:val="24"/>
          <w:szCs w:val="24"/>
        </w:rPr>
        <w:t>enchmark</w:t>
      </w:r>
      <w:r w:rsidRPr="6407B060" w:rsidR="5758FCD4">
        <w:rPr>
          <w:rFonts w:ascii="Arial" w:hAnsi="Arial" w:eastAsia="Arial" w:cs="Arial"/>
          <w:sz w:val="24"/>
          <w:szCs w:val="24"/>
        </w:rPr>
        <w:t xml:space="preserve"> analysis shows that </w:t>
      </w:r>
      <w:r w:rsidRPr="6407B060" w:rsidR="3A510EA6">
        <w:rPr>
          <w:rFonts w:ascii="Arial" w:hAnsi="Arial" w:eastAsia="Arial" w:cs="Arial"/>
          <w:sz w:val="24"/>
          <w:szCs w:val="24"/>
        </w:rPr>
        <w:t>the a</w:t>
      </w:r>
      <w:r w:rsidRPr="6407B060" w:rsidR="3856403E">
        <w:rPr>
          <w:rFonts w:ascii="Arial" w:hAnsi="Arial" w:eastAsia="Arial" w:cs="Arial"/>
          <w:sz w:val="24"/>
          <w:szCs w:val="24"/>
        </w:rPr>
        <w:t>utomotive inventory cycles typically range between 60</w:t>
      </w:r>
      <w:r w:rsidRPr="6407B060" w:rsidR="1543ED2E">
        <w:rPr>
          <w:rFonts w:ascii="Arial" w:hAnsi="Arial" w:eastAsia="Arial" w:cs="Arial"/>
          <w:sz w:val="24"/>
          <w:szCs w:val="24"/>
        </w:rPr>
        <w:t xml:space="preserve"> and </w:t>
      </w:r>
      <w:r w:rsidRPr="6407B060" w:rsidR="3856403E">
        <w:rPr>
          <w:rFonts w:ascii="Arial" w:hAnsi="Arial" w:eastAsia="Arial" w:cs="Arial"/>
          <w:sz w:val="24"/>
          <w:szCs w:val="24"/>
        </w:rPr>
        <w:t xml:space="preserve">90 days, meaning Volkswagen </w:t>
      </w:r>
      <w:r w:rsidRPr="6407B060" w:rsidR="3856403E">
        <w:rPr>
          <w:rFonts w:ascii="Arial" w:hAnsi="Arial" w:eastAsia="Arial" w:cs="Arial"/>
          <w:sz w:val="24"/>
          <w:szCs w:val="24"/>
        </w:rPr>
        <w:t>operates</w:t>
      </w:r>
      <w:r w:rsidRPr="6407B060" w:rsidR="3856403E">
        <w:rPr>
          <w:rFonts w:ascii="Arial" w:hAnsi="Arial" w:eastAsia="Arial" w:cs="Arial"/>
          <w:sz w:val="24"/>
          <w:szCs w:val="24"/>
        </w:rPr>
        <w:t xml:space="preserve"> within acceptable boundaries</w:t>
      </w:r>
      <w:r w:rsidRPr="6407B060" w:rsidR="3122D536">
        <w:rPr>
          <w:rFonts w:ascii="Arial" w:hAnsi="Arial" w:eastAsia="Arial" w:cs="Arial"/>
          <w:sz w:val="24"/>
          <w:szCs w:val="24"/>
        </w:rPr>
        <w:t>. While t</w:t>
      </w:r>
      <w:r w:rsidRPr="6407B060" w:rsidR="3856403E">
        <w:rPr>
          <w:rFonts w:ascii="Arial" w:hAnsi="Arial" w:eastAsia="Arial" w:cs="Arial"/>
          <w:sz w:val="24"/>
          <w:szCs w:val="24"/>
        </w:rPr>
        <w:t xml:space="preserve">he </w:t>
      </w:r>
      <w:r w:rsidRPr="6407B060" w:rsidR="3856403E">
        <w:rPr>
          <w:rFonts w:ascii="Arial" w:hAnsi="Arial" w:eastAsia="Arial" w:cs="Arial"/>
          <w:sz w:val="24"/>
          <w:szCs w:val="24"/>
        </w:rPr>
        <w:t>reduction until 2023 suggests stronger demand alignment and improved supply chain coordination</w:t>
      </w:r>
      <w:r w:rsidRPr="6407B060" w:rsidR="65CFC243">
        <w:rPr>
          <w:rFonts w:ascii="Arial" w:hAnsi="Arial" w:eastAsia="Arial" w:cs="Arial"/>
          <w:sz w:val="24"/>
          <w:szCs w:val="24"/>
        </w:rPr>
        <w:t xml:space="preserve">, the </w:t>
      </w:r>
      <w:r w:rsidRPr="6407B060" w:rsidR="3856403E">
        <w:rPr>
          <w:rFonts w:ascii="Arial" w:hAnsi="Arial" w:eastAsia="Arial" w:cs="Arial"/>
          <w:sz w:val="24"/>
          <w:szCs w:val="24"/>
        </w:rPr>
        <w:t>2024 increase may signal slower EV demand growth or production adjustment lags.</w:t>
      </w:r>
      <w:r w:rsidRPr="6407B060" w:rsidR="4966F9D7">
        <w:rPr>
          <w:rFonts w:ascii="Arial" w:hAnsi="Arial" w:eastAsia="Arial" w:cs="Arial"/>
          <w:sz w:val="24"/>
          <w:szCs w:val="24"/>
        </w:rPr>
        <w:t xml:space="preserve"> This i</w:t>
      </w:r>
      <w:r w:rsidRPr="6407B060" w:rsidR="3856403E">
        <w:rPr>
          <w:rFonts w:ascii="Arial" w:hAnsi="Arial" w:eastAsia="Arial" w:cs="Arial"/>
          <w:sz w:val="24"/>
          <w:szCs w:val="24"/>
        </w:rPr>
        <w:t>nventory volatility reflects exposure to semiconductor shortages and battery supply risk</w:t>
      </w:r>
      <w:r w:rsidRPr="6407B060" w:rsidR="3AFFCF6C">
        <w:rPr>
          <w:rFonts w:ascii="Arial" w:hAnsi="Arial" w:eastAsia="Arial" w:cs="Arial"/>
          <w:sz w:val="24"/>
          <w:szCs w:val="24"/>
        </w:rPr>
        <w:t xml:space="preserve">. </w:t>
      </w:r>
      <w:r w:rsidRPr="6407B060" w:rsidR="3856403E">
        <w:rPr>
          <w:rFonts w:ascii="Arial" w:hAnsi="Arial" w:eastAsia="Arial" w:cs="Arial"/>
          <w:sz w:val="24"/>
          <w:szCs w:val="24"/>
        </w:rPr>
        <w:t>Inventory control improved structurally compared to 2020</w:t>
      </w:r>
      <w:r w:rsidRPr="6407B060" w:rsidR="3688E3E0">
        <w:rPr>
          <w:rFonts w:ascii="Arial" w:hAnsi="Arial" w:eastAsia="Arial" w:cs="Arial"/>
          <w:sz w:val="24"/>
          <w:szCs w:val="24"/>
        </w:rPr>
        <w:t xml:space="preserve">, which </w:t>
      </w:r>
      <w:r w:rsidRPr="6407B060" w:rsidR="3688E3E0">
        <w:rPr>
          <w:rFonts w:ascii="Arial" w:hAnsi="Arial" w:eastAsia="Arial" w:cs="Arial"/>
          <w:sz w:val="24"/>
          <w:szCs w:val="24"/>
        </w:rPr>
        <w:t>demonstrates</w:t>
      </w:r>
      <w:r w:rsidRPr="6407B060" w:rsidR="3688E3E0">
        <w:rPr>
          <w:rFonts w:ascii="Arial" w:hAnsi="Arial" w:eastAsia="Arial" w:cs="Arial"/>
          <w:sz w:val="24"/>
          <w:szCs w:val="24"/>
        </w:rPr>
        <w:t xml:space="preserve"> the strength of Volkswagen. However, the </w:t>
      </w:r>
      <w:r w:rsidRPr="6407B060" w:rsidR="2FDF2F8B">
        <w:rPr>
          <w:rFonts w:ascii="Arial" w:hAnsi="Arial" w:eastAsia="Arial" w:cs="Arial"/>
          <w:sz w:val="24"/>
          <w:szCs w:val="24"/>
        </w:rPr>
        <w:t>r</w:t>
      </w:r>
      <w:r w:rsidRPr="6407B060" w:rsidR="3856403E">
        <w:rPr>
          <w:rFonts w:ascii="Arial" w:hAnsi="Arial" w:eastAsia="Arial" w:cs="Arial"/>
          <w:sz w:val="24"/>
          <w:szCs w:val="24"/>
        </w:rPr>
        <w:t xml:space="preserve">ising stock levels in 2024 may </w:t>
      </w:r>
      <w:r w:rsidRPr="6407B060" w:rsidR="3856403E">
        <w:rPr>
          <w:rFonts w:ascii="Arial" w:hAnsi="Arial" w:eastAsia="Arial" w:cs="Arial"/>
          <w:sz w:val="24"/>
          <w:szCs w:val="24"/>
        </w:rPr>
        <w:t>indicate</w:t>
      </w:r>
      <w:r w:rsidRPr="6407B060" w:rsidR="3856403E">
        <w:rPr>
          <w:rFonts w:ascii="Arial" w:hAnsi="Arial" w:eastAsia="Arial" w:cs="Arial"/>
          <w:sz w:val="24"/>
          <w:szCs w:val="24"/>
        </w:rPr>
        <w:t xml:space="preserve"> emerging demand softening</w:t>
      </w:r>
      <w:r w:rsidRPr="6407B060" w:rsidR="580BBFC7">
        <w:rPr>
          <w:rFonts w:ascii="Arial" w:hAnsi="Arial" w:eastAsia="Arial" w:cs="Arial"/>
          <w:sz w:val="24"/>
          <w:szCs w:val="24"/>
        </w:rPr>
        <w:t xml:space="preserve"> (Macrotrends, 2026)</w:t>
      </w:r>
      <w:r w:rsidRPr="6407B060" w:rsidR="3856403E">
        <w:rPr>
          <w:rFonts w:ascii="Arial" w:hAnsi="Arial" w:eastAsia="Arial" w:cs="Arial"/>
          <w:sz w:val="24"/>
          <w:szCs w:val="24"/>
        </w:rPr>
        <w:t>.</w:t>
      </w:r>
    </w:p>
    <w:p w:rsidR="0E08B231" w:rsidP="6407B060" w:rsidRDefault="0E08B231" w14:paraId="2889B59E" w14:textId="2C3882FE">
      <w:pPr>
        <w:pStyle w:val="Heading3"/>
        <w:keepNext w:val="0"/>
        <w:keepLines w:val="0"/>
        <w:spacing w:line="360" w:lineRule="auto"/>
        <w:rPr>
          <w:rFonts w:ascii="Arial" w:hAnsi="Arial" w:eastAsia="Arial" w:cs="Arial"/>
          <w:sz w:val="24"/>
          <w:szCs w:val="24"/>
        </w:rPr>
      </w:pPr>
      <w:bookmarkStart w:name="_Toc1258971650" w:id="221963088"/>
      <w:r w:rsidRPr="6407B060" w:rsidR="0E08B231">
        <w:rPr>
          <w:rFonts w:ascii="Arial" w:hAnsi="Arial" w:eastAsia="Arial" w:cs="Arial"/>
          <w:sz w:val="24"/>
          <w:szCs w:val="24"/>
        </w:rPr>
        <w:t>1.3.3 Debtors` Collection Period</w:t>
      </w:r>
      <w:bookmarkEnd w:id="221963088"/>
    </w:p>
    <w:p w:rsidR="673B9E29" w:rsidP="6407B060" w:rsidRDefault="673B9E29" w14:paraId="4670BA85" w14:textId="3A85D858">
      <w:pPr>
        <w:pStyle w:val="Normal"/>
        <w:keepNext w:val="0"/>
        <w:keepLines w:val="0"/>
        <w:spacing w:line="360" w:lineRule="auto"/>
        <w:jc w:val="both"/>
        <w:rPr>
          <w:rFonts w:ascii="Arial" w:hAnsi="Arial" w:eastAsia="Arial" w:cs="Arial"/>
          <w:sz w:val="24"/>
          <w:szCs w:val="24"/>
        </w:rPr>
      </w:pPr>
      <w:r w:rsidRPr="6407B060" w:rsidR="673B9E29">
        <w:rPr>
          <w:rFonts w:ascii="Arial" w:hAnsi="Arial" w:eastAsia="Arial" w:cs="Arial"/>
          <w:sz w:val="24"/>
          <w:szCs w:val="24"/>
        </w:rPr>
        <w:t>Adiguzel's</w:t>
      </w:r>
      <w:r w:rsidRPr="6407B060" w:rsidR="673B9E29">
        <w:rPr>
          <w:rFonts w:ascii="Arial" w:hAnsi="Arial" w:eastAsia="Arial" w:cs="Arial"/>
          <w:sz w:val="24"/>
          <w:szCs w:val="24"/>
        </w:rPr>
        <w:t xml:space="preserve"> (2021) research </w:t>
      </w:r>
      <w:r w:rsidRPr="6407B060" w:rsidR="3AA0B74B">
        <w:rPr>
          <w:rFonts w:ascii="Arial" w:hAnsi="Arial" w:eastAsia="Arial" w:cs="Arial"/>
          <w:sz w:val="24"/>
          <w:szCs w:val="24"/>
        </w:rPr>
        <w:t>found that trade receivables credit quality affects performance and liquidity. Any chief financial officer should prioritise developing a balanced credit risk policy and ensuring that it is properly implemented.</w:t>
      </w:r>
      <w:r w:rsidRPr="6407B060" w:rsidR="123BF83A">
        <w:rPr>
          <w:rFonts w:ascii="Arial" w:hAnsi="Arial" w:eastAsia="Arial" w:cs="Arial"/>
          <w:sz w:val="24"/>
          <w:szCs w:val="24"/>
        </w:rPr>
        <w:t xml:space="preserve"> This insight is particularly relevant when analysing the debtors’ collection period of Volkswagen, as the ratio reflects how efficiently the company converts credit sales into cash. A shorter collection period </w:t>
      </w:r>
      <w:r w:rsidRPr="6407B060" w:rsidR="123BF83A">
        <w:rPr>
          <w:rFonts w:ascii="Arial" w:hAnsi="Arial" w:eastAsia="Arial" w:cs="Arial"/>
          <w:sz w:val="24"/>
          <w:szCs w:val="24"/>
        </w:rPr>
        <w:t>indicates</w:t>
      </w:r>
      <w:r w:rsidRPr="6407B060" w:rsidR="123BF83A">
        <w:rPr>
          <w:rFonts w:ascii="Arial" w:hAnsi="Arial" w:eastAsia="Arial" w:cs="Arial"/>
          <w:sz w:val="24"/>
          <w:szCs w:val="24"/>
        </w:rPr>
        <w:t xml:space="preserve"> effective credit control and stronger liquidity, </w:t>
      </w:r>
      <w:r w:rsidRPr="6407B060" w:rsidR="123BF83A">
        <w:rPr>
          <w:rFonts w:ascii="Arial" w:hAnsi="Arial" w:eastAsia="Arial" w:cs="Arial"/>
          <w:sz w:val="24"/>
          <w:szCs w:val="24"/>
        </w:rPr>
        <w:t>whereas</w:t>
      </w:r>
      <w:r w:rsidRPr="6407B060" w:rsidR="123BF83A">
        <w:rPr>
          <w:rFonts w:ascii="Arial" w:hAnsi="Arial" w:eastAsia="Arial" w:cs="Arial"/>
          <w:sz w:val="24"/>
          <w:szCs w:val="24"/>
        </w:rPr>
        <w:t xml:space="preserve"> a longer period may signal potential inefficiencies in receivables management. Therefore, </w:t>
      </w:r>
      <w:r w:rsidRPr="6407B060" w:rsidR="123BF83A">
        <w:rPr>
          <w:rFonts w:ascii="Arial" w:hAnsi="Arial" w:eastAsia="Arial" w:cs="Arial"/>
          <w:sz w:val="24"/>
          <w:szCs w:val="24"/>
        </w:rPr>
        <w:t>maintaining</w:t>
      </w:r>
      <w:r w:rsidRPr="6407B060" w:rsidR="123BF83A">
        <w:rPr>
          <w:rFonts w:ascii="Arial" w:hAnsi="Arial" w:eastAsia="Arial" w:cs="Arial"/>
          <w:sz w:val="24"/>
          <w:szCs w:val="24"/>
        </w:rPr>
        <w:t xml:space="preserve"> a balanced credit risk policy is essential for Volkswagen to ensure </w:t>
      </w:r>
      <w:r w:rsidRPr="6407B060" w:rsidR="123BF83A">
        <w:rPr>
          <w:rFonts w:ascii="Arial" w:hAnsi="Arial" w:eastAsia="Arial" w:cs="Arial"/>
          <w:sz w:val="24"/>
          <w:szCs w:val="24"/>
        </w:rPr>
        <w:t>timely</w:t>
      </w:r>
      <w:r w:rsidRPr="6407B060" w:rsidR="123BF83A">
        <w:rPr>
          <w:rFonts w:ascii="Arial" w:hAnsi="Arial" w:eastAsia="Arial" w:cs="Arial"/>
          <w:sz w:val="24"/>
          <w:szCs w:val="24"/>
        </w:rPr>
        <w:t xml:space="preserve"> cash inflows while sustaining strong relationships with dealers and business customers.</w:t>
      </w:r>
    </w:p>
    <w:p w:rsidR="6407B060" w:rsidP="6407B060" w:rsidRDefault="6407B060" w14:paraId="6BA41CC4" w14:textId="1370E93B">
      <w:pPr>
        <w:pStyle w:val="Normal"/>
        <w:keepNext w:val="0"/>
        <w:keepLines w:val="0"/>
        <w:spacing w:line="360" w:lineRule="auto"/>
      </w:pPr>
      <m:oMathPara xmlns:m="http://schemas.openxmlformats.org/officeDocument/2006/math">
        <m:oMath xmlns:m="http://schemas.openxmlformats.org/officeDocument/2006/math">
          <m:r xmlns:m="http://schemas.openxmlformats.org/officeDocument/2006/math">
            <m:t xmlns:m="http://schemas.openxmlformats.org/officeDocument/2006/math">𝐷𝑒𝑏𝑡𝑜𝑟𝑠</m:t>
          </m:r>
          <m:r xmlns:m="http://schemas.openxmlformats.org/officeDocument/2006/math">
            <m:t xmlns:m="http://schemas.openxmlformats.org/officeDocument/2006/math">` </m:t>
          </m:r>
          <m:r xmlns:m="http://schemas.openxmlformats.org/officeDocument/2006/math">
            <m:t xmlns:m="http://schemas.openxmlformats.org/officeDocument/2006/math">𝐶𝑜𝑙𝑙𝑒𝑐𝑡𝑖𝑜𝑛</m:t>
          </m:r>
          <m:r xmlns:m="http://schemas.openxmlformats.org/officeDocument/2006/math">
            <m:t xmlns:m="http://schemas.openxmlformats.org/officeDocument/2006/math"> </m:t>
          </m:r>
          <m:r xmlns:m="http://schemas.openxmlformats.org/officeDocument/2006/math">
            <m:t xmlns:m="http://schemas.openxmlformats.org/officeDocument/2006/math">𝑃𝑒𝑟𝑖𝑜𝑑</m:t>
          </m:r>
          <m:r xmlns:m="http://schemas.openxmlformats.org/officeDocument/2006/math">
            <m:t xmlns:m="http://schemas.openxmlformats.org/officeDocument/2006/math"> = </m:t>
          </m:r>
          <m:f xmlns:m="http://schemas.openxmlformats.org/officeDocument/2006/math">
            <m:fPr>
              <m:ctrlPr/>
            </m:fPr>
            <m:num>
              <m:r>
                <m:t>𝑇𝑟𝑎𝑑𝑒</m:t>
              </m:r>
              <m:r>
                <m:t> </m:t>
              </m:r>
              <m:r>
                <m:t>𝑅𝑒𝑐𝑒𝑖𝑣𝑎𝑏𝑙𝑒𝑠</m:t>
              </m:r>
            </m:num>
            <m:den>
              <m:r>
                <m:t>𝐶𝑟𝑒𝑑𝑖𝑡</m:t>
              </m:r>
              <m:r>
                <m:t> </m:t>
              </m:r>
              <m:r>
                <m:t>𝑠𝑎𝑙𝑒𝑠</m:t>
              </m:r>
              <m:r>
                <m:t> </m:t>
              </m:r>
              <m:d>
                <m:dPr>
                  <m:ctrlPr/>
                </m:dPr>
                <m:e>
                  <m:r>
                    <m:t>𝑜𝑟</m:t>
                  </m:r>
                  <m:r>
                    <m:t> </m:t>
                  </m:r>
                  <m:r>
                    <m:t>𝑅𝑒𝑣𝑒𝑛𝑢𝑒</m:t>
                  </m:r>
                </m:e>
              </m:d>
            </m:den>
          </m:f>
        </m:oMath>
      </m:oMathPara>
      <w:r w:rsidR="3FF82A49">
        <w:rPr/>
        <w:t xml:space="preserve">                                                                                                                                              </w:t>
      </w:r>
      <w:r w:rsidR="0F2E8057">
        <w:rPr/>
        <w:t>× 365 (days)</w:t>
      </w:r>
    </w:p>
    <w:p w:rsidR="03C0092C" w:rsidP="6407B060" w:rsidRDefault="03C0092C" w14:paraId="7EF6684B" w14:textId="5FB39614">
      <w:pPr>
        <w:pStyle w:val="Normal"/>
        <w:keepNext w:val="0"/>
        <w:keepLines w:val="0"/>
        <w:spacing w:line="360" w:lineRule="auto"/>
        <w:jc w:val="both"/>
        <w:rPr>
          <w:rFonts w:ascii="Arial" w:hAnsi="Arial" w:eastAsia="Arial" w:cs="Arial"/>
          <w:sz w:val="24"/>
          <w:szCs w:val="24"/>
        </w:rPr>
      </w:pPr>
      <w:r w:rsidRPr="6407B060" w:rsidR="03C0092C">
        <w:rPr>
          <w:rFonts w:ascii="Arial" w:hAnsi="Arial" w:eastAsia="Arial" w:cs="Arial"/>
          <w:sz w:val="24"/>
          <w:szCs w:val="24"/>
        </w:rPr>
        <w:t xml:space="preserve">The analysis </w:t>
      </w:r>
      <w:r w:rsidRPr="6407B060" w:rsidR="03C0092C">
        <w:rPr>
          <w:rFonts w:ascii="Arial" w:hAnsi="Arial" w:eastAsia="Arial" w:cs="Arial"/>
          <w:sz w:val="24"/>
          <w:szCs w:val="24"/>
        </w:rPr>
        <w:t>indicates</w:t>
      </w:r>
      <w:r w:rsidRPr="6407B060" w:rsidR="03C0092C">
        <w:rPr>
          <w:rFonts w:ascii="Arial" w:hAnsi="Arial" w:eastAsia="Arial" w:cs="Arial"/>
          <w:sz w:val="24"/>
          <w:szCs w:val="24"/>
        </w:rPr>
        <w:t xml:space="preserve"> that the c</w:t>
      </w:r>
      <w:r w:rsidRPr="6407B060" w:rsidR="00D9820A">
        <w:rPr>
          <w:rFonts w:ascii="Arial" w:hAnsi="Arial" w:eastAsia="Arial" w:cs="Arial"/>
          <w:sz w:val="24"/>
          <w:szCs w:val="24"/>
        </w:rPr>
        <w:t>ollection efficiency improved in 2021 (22.6 days) and remained stable between 23-25 days thereafter</w:t>
      </w:r>
      <w:r w:rsidRPr="6407B060" w:rsidR="66F09562">
        <w:rPr>
          <w:rFonts w:ascii="Arial" w:hAnsi="Arial" w:eastAsia="Arial" w:cs="Arial"/>
          <w:sz w:val="24"/>
          <w:szCs w:val="24"/>
        </w:rPr>
        <w:t xml:space="preserve"> (see Figure</w:t>
      </w:r>
      <w:r w:rsidRPr="6407B060" w:rsidR="5E0A02AA">
        <w:rPr>
          <w:rFonts w:ascii="Arial" w:hAnsi="Arial" w:eastAsia="Arial" w:cs="Arial"/>
          <w:sz w:val="24"/>
          <w:szCs w:val="24"/>
        </w:rPr>
        <w:t xml:space="preserve"> 9</w:t>
      </w:r>
      <w:r w:rsidRPr="6407B060" w:rsidR="66F09562">
        <w:rPr>
          <w:rFonts w:ascii="Arial" w:hAnsi="Arial" w:eastAsia="Arial" w:cs="Arial"/>
          <w:sz w:val="24"/>
          <w:szCs w:val="24"/>
        </w:rPr>
        <w:t>)</w:t>
      </w:r>
      <w:r w:rsidRPr="6407B060" w:rsidR="00D9820A">
        <w:rPr>
          <w:rFonts w:ascii="Arial" w:hAnsi="Arial" w:eastAsia="Arial" w:cs="Arial"/>
          <w:sz w:val="24"/>
          <w:szCs w:val="24"/>
        </w:rPr>
        <w:t>.</w:t>
      </w:r>
      <w:r w:rsidRPr="6407B060" w:rsidR="70528BF2">
        <w:rPr>
          <w:rFonts w:ascii="Arial" w:hAnsi="Arial" w:eastAsia="Arial" w:cs="Arial"/>
          <w:sz w:val="24"/>
          <w:szCs w:val="24"/>
        </w:rPr>
        <w:t xml:space="preserve"> </w:t>
      </w:r>
      <w:r w:rsidRPr="6407B060" w:rsidR="00D9820A">
        <w:rPr>
          <w:rFonts w:ascii="Arial" w:hAnsi="Arial" w:eastAsia="Arial" w:cs="Arial"/>
          <w:sz w:val="24"/>
          <w:szCs w:val="24"/>
        </w:rPr>
        <w:t>Industry benchmark comparison shows tha</w:t>
      </w:r>
      <w:r w:rsidRPr="6407B060" w:rsidR="70CFC737">
        <w:rPr>
          <w:rFonts w:ascii="Arial" w:hAnsi="Arial" w:eastAsia="Arial" w:cs="Arial"/>
          <w:sz w:val="24"/>
          <w:szCs w:val="24"/>
        </w:rPr>
        <w:t>t the a</w:t>
      </w:r>
      <w:r w:rsidRPr="6407B060" w:rsidR="00D9820A">
        <w:rPr>
          <w:rFonts w:ascii="Arial" w:hAnsi="Arial" w:eastAsia="Arial" w:cs="Arial"/>
          <w:sz w:val="24"/>
          <w:szCs w:val="24"/>
        </w:rPr>
        <w:t>utomotive receivables typically range between 20</w:t>
      </w:r>
      <w:r w:rsidRPr="6407B060" w:rsidR="0F5B331F">
        <w:rPr>
          <w:rFonts w:ascii="Arial" w:hAnsi="Arial" w:eastAsia="Arial" w:cs="Arial"/>
          <w:sz w:val="24"/>
          <w:szCs w:val="24"/>
        </w:rPr>
        <w:t xml:space="preserve"> and </w:t>
      </w:r>
      <w:r w:rsidRPr="6407B060" w:rsidR="00D9820A">
        <w:rPr>
          <w:rFonts w:ascii="Arial" w:hAnsi="Arial" w:eastAsia="Arial" w:cs="Arial"/>
          <w:sz w:val="24"/>
          <w:szCs w:val="24"/>
        </w:rPr>
        <w:t>35 days, depending on dealership structures.</w:t>
      </w:r>
      <w:r w:rsidRPr="6407B060" w:rsidR="136FEF3F">
        <w:rPr>
          <w:rFonts w:ascii="Arial" w:hAnsi="Arial" w:eastAsia="Arial" w:cs="Arial"/>
          <w:sz w:val="24"/>
          <w:szCs w:val="24"/>
        </w:rPr>
        <w:t xml:space="preserve"> </w:t>
      </w:r>
      <w:r w:rsidRPr="6407B060" w:rsidR="00D9820A">
        <w:rPr>
          <w:rFonts w:ascii="Arial" w:hAnsi="Arial" w:eastAsia="Arial" w:cs="Arial"/>
          <w:sz w:val="24"/>
          <w:szCs w:val="24"/>
        </w:rPr>
        <w:t xml:space="preserve">The reduction post-2020 </w:t>
      </w:r>
      <w:r w:rsidRPr="6407B060" w:rsidR="00D9820A">
        <w:rPr>
          <w:rFonts w:ascii="Arial" w:hAnsi="Arial" w:eastAsia="Arial" w:cs="Arial"/>
          <w:sz w:val="24"/>
          <w:szCs w:val="24"/>
        </w:rPr>
        <w:t>indicates</w:t>
      </w:r>
      <w:r w:rsidRPr="6407B060" w:rsidR="00D9820A">
        <w:rPr>
          <w:rFonts w:ascii="Arial" w:hAnsi="Arial" w:eastAsia="Arial" w:cs="Arial"/>
          <w:sz w:val="24"/>
          <w:szCs w:val="24"/>
        </w:rPr>
        <w:t xml:space="preserve"> tighter credit control or stronger dealer liquidity.</w:t>
      </w:r>
      <w:r w:rsidRPr="6407B060" w:rsidR="47981012">
        <w:rPr>
          <w:rFonts w:ascii="Arial" w:hAnsi="Arial" w:eastAsia="Arial" w:cs="Arial"/>
          <w:sz w:val="24"/>
          <w:szCs w:val="24"/>
        </w:rPr>
        <w:t xml:space="preserve"> </w:t>
      </w:r>
      <w:r w:rsidRPr="6407B060" w:rsidR="00D9820A">
        <w:rPr>
          <w:rFonts w:ascii="Arial" w:hAnsi="Arial" w:eastAsia="Arial" w:cs="Arial"/>
          <w:sz w:val="24"/>
          <w:szCs w:val="24"/>
        </w:rPr>
        <w:t>Stability suggests controlled receivables risk despite global expansion.</w:t>
      </w:r>
      <w:r w:rsidRPr="6407B060" w:rsidR="15CF8217">
        <w:rPr>
          <w:rFonts w:ascii="Arial" w:hAnsi="Arial" w:eastAsia="Arial" w:cs="Arial"/>
          <w:sz w:val="24"/>
          <w:szCs w:val="24"/>
        </w:rPr>
        <w:t xml:space="preserve"> Maintaining a steady and effective receivables management system helps Volkswagen </w:t>
      </w:r>
      <w:r w:rsidRPr="6407B060" w:rsidR="15CF8217">
        <w:rPr>
          <w:rFonts w:ascii="Arial" w:hAnsi="Arial" w:eastAsia="Arial" w:cs="Arial"/>
          <w:sz w:val="24"/>
          <w:szCs w:val="24"/>
        </w:rPr>
        <w:t>maintain</w:t>
      </w:r>
      <w:r w:rsidRPr="6407B060" w:rsidR="15CF8217">
        <w:rPr>
          <w:rFonts w:ascii="Arial" w:hAnsi="Arial" w:eastAsia="Arial" w:cs="Arial"/>
          <w:sz w:val="24"/>
          <w:szCs w:val="24"/>
        </w:rPr>
        <w:t xml:space="preserve"> a healthy operating cash flow.</w:t>
      </w:r>
    </w:p>
    <w:p w:rsidR="15CF8217" w:rsidP="6407B060" w:rsidRDefault="15CF8217" w14:paraId="0DD4CA9F" w14:textId="5AA6761D">
      <w:pPr>
        <w:pStyle w:val="Normal"/>
        <w:keepNext w:val="0"/>
        <w:keepLines w:val="0"/>
        <w:spacing w:line="360" w:lineRule="auto"/>
        <w:jc w:val="both"/>
        <w:rPr>
          <w:rFonts w:ascii="Arial" w:hAnsi="Arial" w:eastAsia="Arial" w:cs="Arial"/>
          <w:sz w:val="24"/>
          <w:szCs w:val="24"/>
        </w:rPr>
      </w:pPr>
      <w:r w:rsidR="15CF8217">
        <w:drawing>
          <wp:inline wp14:editId="52196F5C" wp14:anchorId="3028E90D">
            <wp:extent cx="1505160" cy="1775504"/>
            <wp:effectExtent l="0" t="0" r="0" b="0"/>
            <wp:docPr id="1066930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6930995" name="Picture 1066930995"/>
                    <pic:cNvPicPr/>
                  </pic:nvPicPr>
                  <pic:blipFill>
                    <a:blip xmlns:r="http://schemas.openxmlformats.org/officeDocument/2006/relationships" r:embed="rId1302760898">
                      <a:extLst>
                        <a:ext uri="{28A0092B-C50C-407E-A947-70E740481C1C}">
                          <a14:useLocalDpi xmlns:a14="http://schemas.microsoft.com/office/drawing/2010/main"/>
                        </a:ext>
                      </a:extLst>
                    </a:blip>
                    <a:stretch>
                      <a:fillRect/>
                    </a:stretch>
                  </pic:blipFill>
                  <pic:spPr>
                    <a:xfrm rot="0">
                      <a:off x="0" y="0"/>
                      <a:ext cx="1505160" cy="1775504"/>
                    </a:xfrm>
                    <a:prstGeom prst="rect">
                      <a:avLst/>
                    </a:prstGeom>
                  </pic:spPr>
                </pic:pic>
              </a:graphicData>
            </a:graphic>
          </wp:inline>
        </w:drawing>
      </w:r>
    </w:p>
    <w:p w:rsidR="54AC5D16" w:rsidP="6407B060" w:rsidRDefault="54AC5D16" w14:paraId="00EDA0FD" w14:textId="25335AF4">
      <w:pPr>
        <w:pStyle w:val="Normal"/>
        <w:keepNext w:val="0"/>
        <w:keepLines w:val="0"/>
        <w:spacing w:line="360" w:lineRule="auto"/>
        <w:jc w:val="both"/>
        <w:rPr>
          <w:rFonts w:ascii="Arial" w:hAnsi="Arial" w:eastAsia="Arial" w:cs="Arial"/>
          <w:sz w:val="24"/>
          <w:szCs w:val="24"/>
        </w:rPr>
      </w:pPr>
      <w:r w:rsidRPr="6407B060" w:rsidR="54AC5D16">
        <w:rPr>
          <w:rFonts w:ascii="Arial" w:hAnsi="Arial" w:eastAsia="Arial" w:cs="Arial"/>
          <w:sz w:val="24"/>
          <w:szCs w:val="24"/>
        </w:rPr>
        <w:t>Figure 9: Debtors` Days (2020 to 2024)</w:t>
      </w:r>
    </w:p>
    <w:p w:rsidR="4F63BA57" w:rsidP="6407B060" w:rsidRDefault="4F63BA57" w14:paraId="61BA9CB8" w14:textId="53327B1B">
      <w:pPr>
        <w:pStyle w:val="Heading3"/>
        <w:keepNext w:val="0"/>
        <w:keepLines w:val="0"/>
        <w:spacing w:line="360" w:lineRule="auto"/>
        <w:rPr>
          <w:rFonts w:ascii="Arial" w:hAnsi="Arial" w:eastAsia="Arial" w:cs="Arial"/>
          <w:sz w:val="24"/>
          <w:szCs w:val="24"/>
        </w:rPr>
      </w:pPr>
      <w:bookmarkStart w:name="_Toc1139042299" w:id="1762827162"/>
      <w:r w:rsidRPr="6407B060" w:rsidR="4F63BA57">
        <w:rPr>
          <w:rFonts w:ascii="Arial" w:hAnsi="Arial" w:eastAsia="Arial" w:cs="Arial"/>
          <w:sz w:val="24"/>
          <w:szCs w:val="24"/>
        </w:rPr>
        <w:t>1.3.4 Creditors` Payment Period</w:t>
      </w:r>
      <w:bookmarkEnd w:id="1762827162"/>
    </w:p>
    <w:p w:rsidR="6407B060" w:rsidP="6407B060" w:rsidRDefault="6407B060" w14:paraId="6D582985" w14:textId="06221AEE">
      <w:pPr>
        <w:pStyle w:val="Normal"/>
        <w:keepNext w:val="0"/>
        <w:keepLines w:val="0"/>
        <w:spacing w:line="360" w:lineRule="auto"/>
      </w:pPr>
      <m:oMathPara xmlns:m="http://schemas.openxmlformats.org/officeDocument/2006/math">
        <m:oMath xmlns:m="http://schemas.openxmlformats.org/officeDocument/2006/math">
          <m:r xmlns:m="http://schemas.openxmlformats.org/officeDocument/2006/math">
            <m:t xmlns:m="http://schemas.openxmlformats.org/officeDocument/2006/math">𝐶𝑟𝑒𝑑𝑖𝑡𝑜𝑟𝑠</m:t>
          </m:r>
          <m:r xmlns:m="http://schemas.openxmlformats.org/officeDocument/2006/math">
            <m:t xmlns:m="http://schemas.openxmlformats.org/officeDocument/2006/math">` </m:t>
          </m:r>
          <m:r xmlns:m="http://schemas.openxmlformats.org/officeDocument/2006/math">
            <m:t xmlns:m="http://schemas.openxmlformats.org/officeDocument/2006/math">𝑃𝑎𝑦𝑚𝑒𝑛𝑡</m:t>
          </m:r>
          <m:r xmlns:m="http://schemas.openxmlformats.org/officeDocument/2006/math">
            <m:t xmlns:m="http://schemas.openxmlformats.org/officeDocument/2006/math"> </m:t>
          </m:r>
          <m:r xmlns:m="http://schemas.openxmlformats.org/officeDocument/2006/math">
            <m:t xmlns:m="http://schemas.openxmlformats.org/officeDocument/2006/math">𝑃𝑒𝑟𝑖𝑜𝑑</m:t>
          </m:r>
          <m:r xmlns:m="http://schemas.openxmlformats.org/officeDocument/2006/math">
            <m:t xmlns:m="http://schemas.openxmlformats.org/officeDocument/2006/math">=</m:t>
          </m:r>
          <m:f xmlns:m="http://schemas.openxmlformats.org/officeDocument/2006/math">
            <m:fPr>
              <m:ctrlPr/>
            </m:fPr>
            <m:num>
              <m:r>
                <m:t>𝑇𝑟𝑎𝑑𝑒</m:t>
              </m:r>
              <m:r>
                <m:t> </m:t>
              </m:r>
              <m:r>
                <m:t>𝑃𝑎𝑦𝑎𝑏𝑙𝑒𝑠</m:t>
              </m:r>
            </m:num>
            <m:den>
              <m:r>
                <m:t>𝑃𝑢𝑟𝑐h𝑎𝑠𝑒𝑠</m:t>
              </m:r>
              <m:r>
                <m:t> </m:t>
              </m:r>
              <m:d>
                <m:dPr>
                  <m:ctrlPr/>
                </m:dPr>
                <m:e>
                  <m:r>
                    <m:t>𝐶𝑂𝐺𝑆</m:t>
                  </m:r>
                </m:e>
              </m:d>
            </m:den>
          </m:f>
        </m:oMath>
      </m:oMathPara>
      <w:r w:rsidR="1E014FC3">
        <w:rPr/>
        <w:t xml:space="preserve">                                                                                                                              </w:t>
      </w:r>
      <w:r w:rsidR="070BA60B">
        <w:rPr/>
        <w:t>× 365 (days)</w:t>
      </w:r>
    </w:p>
    <w:p w:rsidR="724A80B5" w:rsidP="6407B060" w:rsidRDefault="724A80B5" w14:paraId="4745F127" w14:textId="09574D30">
      <w:pPr>
        <w:pStyle w:val="Normal"/>
        <w:keepNext w:val="0"/>
        <w:keepLines w:val="0"/>
        <w:spacing w:line="360" w:lineRule="auto"/>
        <w:jc w:val="both"/>
        <w:rPr>
          <w:rFonts w:ascii="Arial" w:hAnsi="Arial" w:eastAsia="Arial" w:cs="Arial"/>
          <w:sz w:val="24"/>
          <w:szCs w:val="24"/>
        </w:rPr>
      </w:pPr>
      <w:r w:rsidRPr="6407B060" w:rsidR="724A80B5">
        <w:rPr>
          <w:rFonts w:ascii="Arial" w:hAnsi="Arial" w:eastAsia="Arial" w:cs="Arial"/>
          <w:sz w:val="24"/>
          <w:szCs w:val="24"/>
        </w:rPr>
        <w:t>The supplier payment period of Volkswagen fluctuated between 33 and 38 days (see Figure</w:t>
      </w:r>
      <w:r w:rsidRPr="6407B060" w:rsidR="1DB39F61">
        <w:rPr>
          <w:rFonts w:ascii="Arial" w:hAnsi="Arial" w:eastAsia="Arial" w:cs="Arial"/>
          <w:sz w:val="24"/>
          <w:szCs w:val="24"/>
        </w:rPr>
        <w:t xml:space="preserve"> 10</w:t>
      </w:r>
      <w:r w:rsidRPr="6407B060" w:rsidR="724A80B5">
        <w:rPr>
          <w:rFonts w:ascii="Arial" w:hAnsi="Arial" w:eastAsia="Arial" w:cs="Arial"/>
          <w:sz w:val="24"/>
          <w:szCs w:val="24"/>
        </w:rPr>
        <w:t xml:space="preserve">), </w:t>
      </w:r>
      <w:r w:rsidRPr="6407B060" w:rsidR="724A80B5">
        <w:rPr>
          <w:rFonts w:ascii="Arial" w:hAnsi="Arial" w:eastAsia="Arial" w:cs="Arial"/>
          <w:sz w:val="24"/>
          <w:szCs w:val="24"/>
        </w:rPr>
        <w:t>indicating</w:t>
      </w:r>
      <w:r w:rsidRPr="6407B060" w:rsidR="724A80B5">
        <w:rPr>
          <w:rFonts w:ascii="Arial" w:hAnsi="Arial" w:eastAsia="Arial" w:cs="Arial"/>
          <w:sz w:val="24"/>
          <w:szCs w:val="24"/>
        </w:rPr>
        <w:t xml:space="preserve"> </w:t>
      </w:r>
      <w:r w:rsidRPr="6407B060" w:rsidR="724A80B5">
        <w:rPr>
          <w:rFonts w:ascii="Arial" w:hAnsi="Arial" w:eastAsia="Arial" w:cs="Arial"/>
          <w:sz w:val="24"/>
          <w:szCs w:val="24"/>
        </w:rPr>
        <w:t>relatively stable</w:t>
      </w:r>
      <w:r w:rsidRPr="6407B060" w:rsidR="724A80B5">
        <w:rPr>
          <w:rFonts w:ascii="Arial" w:hAnsi="Arial" w:eastAsia="Arial" w:cs="Arial"/>
          <w:sz w:val="24"/>
          <w:szCs w:val="24"/>
        </w:rPr>
        <w:t xml:space="preserve"> payment practices over the period analysed. Compared with the automotive industry benchmark of </w:t>
      </w:r>
      <w:r w:rsidRPr="6407B060" w:rsidR="724A80B5">
        <w:rPr>
          <w:rFonts w:ascii="Arial" w:hAnsi="Arial" w:eastAsia="Arial" w:cs="Arial"/>
          <w:sz w:val="24"/>
          <w:szCs w:val="24"/>
        </w:rPr>
        <w:t>approximately 30-60</w:t>
      </w:r>
      <w:r w:rsidRPr="6407B060" w:rsidR="724A80B5">
        <w:rPr>
          <w:rFonts w:ascii="Arial" w:hAnsi="Arial" w:eastAsia="Arial" w:cs="Arial"/>
          <w:sz w:val="24"/>
          <w:szCs w:val="24"/>
        </w:rPr>
        <w:t xml:space="preserve"> days, Volkswagen’s payment cycle appears conservative, suggesting the company does not significantly extend supplier payments as a source of short-term financing. This approach reflects prudent working capital management and helps </w:t>
      </w:r>
      <w:r w:rsidRPr="6407B060" w:rsidR="724A80B5">
        <w:rPr>
          <w:rFonts w:ascii="Arial" w:hAnsi="Arial" w:eastAsia="Arial" w:cs="Arial"/>
          <w:sz w:val="24"/>
          <w:szCs w:val="24"/>
        </w:rPr>
        <w:t>maintain</w:t>
      </w:r>
      <w:r w:rsidRPr="6407B060" w:rsidR="724A80B5">
        <w:rPr>
          <w:rFonts w:ascii="Arial" w:hAnsi="Arial" w:eastAsia="Arial" w:cs="Arial"/>
          <w:sz w:val="24"/>
          <w:szCs w:val="24"/>
        </w:rPr>
        <w:t xml:space="preserve"> strong supplier relationships. However, the slight reduction in the payment period </w:t>
      </w:r>
      <w:r w:rsidRPr="6407B060" w:rsidR="724A80B5">
        <w:rPr>
          <w:rFonts w:ascii="Arial" w:hAnsi="Arial" w:eastAsia="Arial" w:cs="Arial"/>
          <w:sz w:val="24"/>
          <w:szCs w:val="24"/>
        </w:rPr>
        <w:t>observed</w:t>
      </w:r>
      <w:r w:rsidRPr="6407B060" w:rsidR="724A80B5">
        <w:rPr>
          <w:rFonts w:ascii="Arial" w:hAnsi="Arial" w:eastAsia="Arial" w:cs="Arial"/>
          <w:sz w:val="24"/>
          <w:szCs w:val="24"/>
        </w:rPr>
        <w:t xml:space="preserve"> in 2024 may </w:t>
      </w:r>
      <w:r w:rsidRPr="6407B060" w:rsidR="724A80B5">
        <w:rPr>
          <w:rFonts w:ascii="Arial" w:hAnsi="Arial" w:eastAsia="Arial" w:cs="Arial"/>
          <w:sz w:val="24"/>
          <w:szCs w:val="24"/>
        </w:rPr>
        <w:t>indicate</w:t>
      </w:r>
      <w:r w:rsidRPr="6407B060" w:rsidR="724A80B5">
        <w:rPr>
          <w:rFonts w:ascii="Arial" w:hAnsi="Arial" w:eastAsia="Arial" w:cs="Arial"/>
          <w:sz w:val="24"/>
          <w:szCs w:val="24"/>
        </w:rPr>
        <w:t xml:space="preserve"> increased supplier bargaining power or improved corporate liquidity. Strategically, while this cautious policy supports supply chain stability, it also suggests that Volkswagen could potentially optimise supplier financing arrangements to enhance working capital efficiency without damaging supplier trust.</w:t>
      </w:r>
    </w:p>
    <w:p w:rsidR="5D402CBC" w:rsidP="6407B060" w:rsidRDefault="5D402CBC" w14:paraId="7913DD94" w14:textId="70D7853A">
      <w:pPr>
        <w:pStyle w:val="Normal"/>
        <w:keepNext w:val="0"/>
        <w:keepLines w:val="0"/>
        <w:spacing w:line="360" w:lineRule="auto"/>
      </w:pPr>
      <w:r w:rsidR="5D402CBC">
        <w:drawing>
          <wp:inline wp14:editId="23CD7D6A" wp14:anchorId="6D197F28">
            <wp:extent cx="1400371" cy="1598536"/>
            <wp:effectExtent l="0" t="0" r="0" b="0"/>
            <wp:docPr id="4736444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3644464" name="Picture 473644464"/>
                    <pic:cNvPicPr/>
                  </pic:nvPicPr>
                  <pic:blipFill>
                    <a:blip xmlns:r="http://schemas.openxmlformats.org/officeDocument/2006/relationships" r:embed="rId1220300785">
                      <a:extLst>
                        <a:ext uri="{28A0092B-C50C-407E-A947-70E740481C1C}">
                          <a14:useLocalDpi xmlns:a14="http://schemas.microsoft.com/office/drawing/2010/main"/>
                        </a:ext>
                      </a:extLst>
                    </a:blip>
                    <a:stretch>
                      <a:fillRect/>
                    </a:stretch>
                  </pic:blipFill>
                  <pic:spPr>
                    <a:xfrm rot="0">
                      <a:off x="0" y="0"/>
                      <a:ext cx="1400371" cy="1598536"/>
                    </a:xfrm>
                    <a:prstGeom prst="rect">
                      <a:avLst/>
                    </a:prstGeom>
                  </pic:spPr>
                </pic:pic>
              </a:graphicData>
            </a:graphic>
          </wp:inline>
        </w:drawing>
      </w:r>
    </w:p>
    <w:p w:rsidR="057A6F80" w:rsidP="6407B060" w:rsidRDefault="057A6F80" w14:paraId="598E39A1" w14:textId="77ED62E7">
      <w:pPr>
        <w:pStyle w:val="Normal"/>
        <w:keepNext w:val="0"/>
        <w:keepLines w:val="0"/>
        <w:spacing w:line="360" w:lineRule="auto"/>
        <w:rPr>
          <w:rFonts w:ascii="Arial" w:hAnsi="Arial" w:eastAsia="Arial" w:cs="Arial"/>
          <w:sz w:val="24"/>
          <w:szCs w:val="24"/>
        </w:rPr>
      </w:pPr>
      <w:r w:rsidRPr="6407B060" w:rsidR="057A6F80">
        <w:rPr>
          <w:rFonts w:ascii="Arial" w:hAnsi="Arial" w:eastAsia="Arial" w:cs="Arial"/>
          <w:sz w:val="24"/>
          <w:szCs w:val="24"/>
        </w:rPr>
        <w:t>Figure</w:t>
      </w:r>
      <w:r w:rsidRPr="6407B060" w:rsidR="132D74F4">
        <w:rPr>
          <w:rFonts w:ascii="Arial" w:hAnsi="Arial" w:eastAsia="Arial" w:cs="Arial"/>
          <w:sz w:val="24"/>
          <w:szCs w:val="24"/>
        </w:rPr>
        <w:t xml:space="preserve"> 10</w:t>
      </w:r>
      <w:r w:rsidRPr="6407B060" w:rsidR="057A6F80">
        <w:rPr>
          <w:rFonts w:ascii="Arial" w:hAnsi="Arial" w:eastAsia="Arial" w:cs="Arial"/>
          <w:sz w:val="24"/>
          <w:szCs w:val="24"/>
        </w:rPr>
        <w:t xml:space="preserve">: </w:t>
      </w:r>
      <w:r w:rsidRPr="6407B060" w:rsidR="7F8E6AA6">
        <w:rPr>
          <w:rFonts w:ascii="Arial" w:hAnsi="Arial" w:eastAsia="Arial" w:cs="Arial"/>
          <w:sz w:val="24"/>
          <w:szCs w:val="24"/>
        </w:rPr>
        <w:t>Creditors` Days (2020-2024)</w:t>
      </w:r>
    </w:p>
    <w:p w:rsidR="46F17995" w:rsidP="6407B060" w:rsidRDefault="46F17995" w14:paraId="108AFFDF" w14:textId="15427571">
      <w:pPr>
        <w:pStyle w:val="Heading2"/>
        <w:keepNext w:val="0"/>
        <w:keepLines w:val="0"/>
        <w:spacing w:line="360" w:lineRule="auto"/>
        <w:rPr>
          <w:rFonts w:ascii="Arial" w:hAnsi="Arial" w:eastAsia="Arial" w:cs="Arial"/>
          <w:sz w:val="28"/>
          <w:szCs w:val="28"/>
        </w:rPr>
      </w:pPr>
      <w:bookmarkStart w:name="_Toc730146573" w:id="1294832218"/>
      <w:r w:rsidRPr="6407B060" w:rsidR="46F17995">
        <w:rPr>
          <w:rFonts w:ascii="Arial" w:hAnsi="Arial" w:eastAsia="Arial" w:cs="Arial"/>
          <w:sz w:val="28"/>
          <w:szCs w:val="28"/>
        </w:rPr>
        <w:t>1.4 Liquidity Ratios</w:t>
      </w:r>
      <w:bookmarkEnd w:id="1294832218"/>
    </w:p>
    <w:p w:rsidR="01932D76" w:rsidP="6407B060" w:rsidRDefault="01932D76" w14:paraId="366E59FC" w14:textId="4BD784B4">
      <w:pPr>
        <w:pStyle w:val="Normal"/>
        <w:keepNext w:val="0"/>
        <w:keepLines w:val="0"/>
        <w:spacing w:line="360" w:lineRule="auto"/>
        <w:jc w:val="both"/>
        <w:rPr>
          <w:rFonts w:ascii="Arial" w:hAnsi="Arial" w:eastAsia="Arial" w:cs="Arial"/>
          <w:sz w:val="24"/>
          <w:szCs w:val="24"/>
        </w:rPr>
      </w:pPr>
      <w:r w:rsidRPr="6407B060" w:rsidR="01932D76">
        <w:rPr>
          <w:rFonts w:ascii="Arial" w:hAnsi="Arial" w:eastAsia="Arial" w:cs="Arial"/>
          <w:sz w:val="24"/>
          <w:szCs w:val="24"/>
        </w:rPr>
        <w:t>Liquidity management has a substantial impact on profitability, according to Singh et al. (2025)</w:t>
      </w:r>
      <w:r w:rsidRPr="6407B060" w:rsidR="67D4129B">
        <w:rPr>
          <w:rFonts w:ascii="Arial" w:hAnsi="Arial" w:eastAsia="Arial" w:cs="Arial"/>
          <w:sz w:val="24"/>
          <w:szCs w:val="24"/>
        </w:rPr>
        <w:t>,</w:t>
      </w:r>
      <w:r w:rsidRPr="6407B060" w:rsidR="01932D76">
        <w:rPr>
          <w:rFonts w:ascii="Arial" w:hAnsi="Arial" w:eastAsia="Arial" w:cs="Arial"/>
          <w:sz w:val="24"/>
          <w:szCs w:val="24"/>
        </w:rPr>
        <w:t xml:space="preserve"> research on the automotive industry, though its effects differ depending on the </w:t>
      </w:r>
      <w:r w:rsidRPr="6407B060" w:rsidR="70C66AAB">
        <w:rPr>
          <w:rFonts w:ascii="Arial" w:hAnsi="Arial" w:eastAsia="Arial" w:cs="Arial"/>
          <w:sz w:val="24"/>
          <w:szCs w:val="24"/>
        </w:rPr>
        <w:t>liquidity</w:t>
      </w:r>
      <w:r w:rsidRPr="6407B060" w:rsidR="01932D76">
        <w:rPr>
          <w:rFonts w:ascii="Arial" w:hAnsi="Arial" w:eastAsia="Arial" w:cs="Arial"/>
          <w:sz w:val="24"/>
          <w:szCs w:val="24"/>
        </w:rPr>
        <w:t xml:space="preserve"> indicators. For example, a study of automobiles showed that inventory turnover has the biggest impact on returns, even if </w:t>
      </w:r>
      <w:r w:rsidRPr="6407B060" w:rsidR="68538227">
        <w:rPr>
          <w:rFonts w:ascii="Arial" w:hAnsi="Arial" w:eastAsia="Arial" w:cs="Arial"/>
          <w:sz w:val="24"/>
          <w:szCs w:val="24"/>
        </w:rPr>
        <w:t>several</w:t>
      </w:r>
      <w:r w:rsidRPr="6407B060" w:rsidR="01932D76">
        <w:rPr>
          <w:rFonts w:ascii="Arial" w:hAnsi="Arial" w:eastAsia="Arial" w:cs="Arial"/>
          <w:sz w:val="24"/>
          <w:szCs w:val="24"/>
        </w:rPr>
        <w:t xml:space="preserve"> liquidity ratios </w:t>
      </w:r>
      <w:r w:rsidRPr="6407B060" w:rsidR="01932D76">
        <w:rPr>
          <w:rFonts w:ascii="Arial" w:hAnsi="Arial" w:eastAsia="Arial" w:cs="Arial"/>
          <w:sz w:val="24"/>
          <w:szCs w:val="24"/>
        </w:rPr>
        <w:t>indicate</w:t>
      </w:r>
      <w:r w:rsidRPr="6407B060" w:rsidR="01932D76">
        <w:rPr>
          <w:rFonts w:ascii="Arial" w:hAnsi="Arial" w:eastAsia="Arial" w:cs="Arial"/>
          <w:sz w:val="24"/>
          <w:szCs w:val="24"/>
        </w:rPr>
        <w:t xml:space="preserve"> relationships with profitability. This insight is relevant when analysing the liquidity position of Volkswagen, as </w:t>
      </w:r>
      <w:r w:rsidRPr="6407B060" w:rsidR="01932D76">
        <w:rPr>
          <w:rFonts w:ascii="Arial" w:hAnsi="Arial" w:eastAsia="Arial" w:cs="Arial"/>
          <w:sz w:val="24"/>
          <w:szCs w:val="24"/>
        </w:rPr>
        <w:t>maintaining</w:t>
      </w:r>
      <w:r w:rsidRPr="6407B060" w:rsidR="01932D76">
        <w:rPr>
          <w:rFonts w:ascii="Arial" w:hAnsi="Arial" w:eastAsia="Arial" w:cs="Arial"/>
          <w:sz w:val="24"/>
          <w:szCs w:val="24"/>
        </w:rPr>
        <w:t xml:space="preserve"> balanced liquidity ratios is essential not only for meeting short-term obligations but also for supporting operational efficiency and long-term profitability.</w:t>
      </w:r>
    </w:p>
    <w:p w:rsidR="46F17995" w:rsidP="6407B060" w:rsidRDefault="46F17995" w14:paraId="3BE3E39B" w14:textId="1F3A937A">
      <w:pPr>
        <w:pStyle w:val="Heading3"/>
        <w:keepNext w:val="0"/>
        <w:keepLines w:val="0"/>
        <w:spacing w:line="360" w:lineRule="auto"/>
        <w:rPr>
          <w:rFonts w:ascii="Arial" w:hAnsi="Arial" w:eastAsia="Arial" w:cs="Arial"/>
          <w:sz w:val="24"/>
          <w:szCs w:val="24"/>
        </w:rPr>
      </w:pPr>
      <w:bookmarkStart w:name="_Toc450106326" w:id="1334664974"/>
      <w:r w:rsidRPr="6407B060" w:rsidR="46F17995">
        <w:rPr>
          <w:rFonts w:ascii="Arial" w:hAnsi="Arial" w:eastAsia="Arial" w:cs="Arial"/>
          <w:sz w:val="24"/>
          <w:szCs w:val="24"/>
        </w:rPr>
        <w:t>1.4.1 Current Ratio</w:t>
      </w:r>
      <w:r w:rsidRPr="6407B060" w:rsidR="27E41CCE">
        <w:rPr>
          <w:rFonts w:ascii="Arial" w:hAnsi="Arial" w:eastAsia="Arial" w:cs="Arial"/>
          <w:sz w:val="24"/>
          <w:szCs w:val="24"/>
        </w:rPr>
        <w:t xml:space="preserve"> (Working Capital </w:t>
      </w:r>
      <w:r w:rsidRPr="6407B060" w:rsidR="27E41CCE">
        <w:rPr>
          <w:rFonts w:ascii="Arial" w:hAnsi="Arial" w:eastAsia="Arial" w:cs="Arial"/>
          <w:sz w:val="24"/>
          <w:szCs w:val="24"/>
        </w:rPr>
        <w:t>Ratio)</w:t>
      </w:r>
      <w:bookmarkEnd w:id="1334664974"/>
    </w:p>
    <w:p w:rsidR="6407B060" w:rsidP="6407B060" w:rsidRDefault="6407B060" w14:paraId="7D0B7838" w14:textId="7CF38CDF">
      <w:pPr>
        <w:pStyle w:val="Normal"/>
        <w:keepNext w:val="0"/>
        <w:keepLines w:val="0"/>
        <w:spacing w:line="360" w:lineRule="auto"/>
      </w:pPr>
      <m:oMathPara xmlns:m="http://schemas.openxmlformats.org/officeDocument/2006/math">
        <m:oMath xmlns:m="http://schemas.openxmlformats.org/officeDocument/2006/math">
          <m:r xmlns:m="http://schemas.openxmlformats.org/officeDocument/2006/math">
            <m:t xmlns:m="http://schemas.openxmlformats.org/officeDocument/2006/math">𝐶𝑢𝑟𝑟𝑒𝑛𝑡</m:t>
          </m:r>
          <m:r xmlns:m="http://schemas.openxmlformats.org/officeDocument/2006/math">
            <m:t xmlns:m="http://schemas.openxmlformats.org/officeDocument/2006/math"> </m:t>
          </m:r>
          <m:r xmlns:m="http://schemas.openxmlformats.org/officeDocument/2006/math">
            <m:t xmlns:m="http://schemas.openxmlformats.org/officeDocument/2006/math">𝑅𝑎𝑡𝑖𝑜</m:t>
          </m:r>
          <m:r xmlns:m="http://schemas.openxmlformats.org/officeDocument/2006/math">
            <m:t xmlns:m="http://schemas.openxmlformats.org/officeDocument/2006/math">=</m:t>
          </m:r>
          <m:f xmlns:m="http://schemas.openxmlformats.org/officeDocument/2006/math">
            <m:fPr>
              <m:ctrlPr/>
            </m:fPr>
            <m:num>
              <m:r>
                <m:t>𝐶𝑢𝑟𝑟𝑒𝑛𝑡</m:t>
              </m:r>
              <m:r>
                <m:t> </m:t>
              </m:r>
              <m:r>
                <m:t>𝑎𝑠𝑠𝑒𝑡𝑠</m:t>
              </m:r>
            </m:num>
            <m:den>
              <m:r>
                <m:t>𝐶𝑢𝑟𝑟𝑒𝑛𝑡</m:t>
              </m:r>
              <m:r>
                <m:t> </m:t>
              </m:r>
              <m:r>
                <m:t>𝑙𝑖𝑎𝑏𝑖𝑙𝑖𝑡𝑖𝑒𝑠</m:t>
              </m:r>
            </m:den>
          </m:f>
        </m:oMath>
      </m:oMathPara>
      <w:r w:rsidR="4871F0E8">
        <w:rPr/>
        <w:t xml:space="preserve"> </w:t>
      </w:r>
      <w:r w:rsidR="474DD9A5">
        <w:rPr/>
        <w:t xml:space="preserve">                                                                                       </w:t>
      </w:r>
      <w:r w:rsidR="4871F0E8">
        <w:rPr/>
        <w:t>(× ÷1)</w:t>
      </w:r>
    </w:p>
    <w:p w:rsidR="2AE516DE" w:rsidP="6407B060" w:rsidRDefault="2AE516DE" w14:paraId="719341F0" w14:textId="63F31F9E">
      <w:pPr>
        <w:pStyle w:val="Normal"/>
        <w:keepNext w:val="0"/>
        <w:keepLines w:val="0"/>
        <w:spacing w:line="360" w:lineRule="auto"/>
      </w:pPr>
      <w:r w:rsidR="2AE516DE">
        <w:drawing>
          <wp:inline wp14:editId="2BB75C56" wp14:anchorId="4650DFE6">
            <wp:extent cx="1486813" cy="1867161"/>
            <wp:effectExtent l="0" t="0" r="0" b="0"/>
            <wp:docPr id="7268912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6891257" name="Picture 726891257"/>
                    <pic:cNvPicPr/>
                  </pic:nvPicPr>
                  <pic:blipFill>
                    <a:blip xmlns:r="http://schemas.openxmlformats.org/officeDocument/2006/relationships" r:embed="rId1652007266">
                      <a:extLst>
                        <a:ext uri="{28A0092B-C50C-407E-A947-70E740481C1C}">
                          <a14:useLocalDpi xmlns:a14="http://schemas.microsoft.com/office/drawing/2010/main"/>
                        </a:ext>
                      </a:extLst>
                    </a:blip>
                    <a:stretch>
                      <a:fillRect/>
                    </a:stretch>
                  </pic:blipFill>
                  <pic:spPr>
                    <a:xfrm rot="0">
                      <a:off x="0" y="0"/>
                      <a:ext cx="1486813" cy="1867161"/>
                    </a:xfrm>
                    <a:prstGeom prst="rect">
                      <a:avLst/>
                    </a:prstGeom>
                  </pic:spPr>
                </pic:pic>
              </a:graphicData>
            </a:graphic>
          </wp:inline>
        </w:drawing>
      </w:r>
    </w:p>
    <w:p w:rsidR="2AE516DE" w:rsidP="6407B060" w:rsidRDefault="2AE516DE" w14:paraId="5EADD572" w14:textId="5DCF1F22">
      <w:pPr>
        <w:pStyle w:val="Normal"/>
        <w:keepNext w:val="0"/>
        <w:keepLines w:val="0"/>
        <w:spacing w:line="360" w:lineRule="auto"/>
        <w:rPr>
          <w:rFonts w:ascii="Arial" w:hAnsi="Arial" w:eastAsia="Arial" w:cs="Arial"/>
          <w:sz w:val="24"/>
          <w:szCs w:val="24"/>
        </w:rPr>
      </w:pPr>
      <w:r w:rsidRPr="6407B060" w:rsidR="2AE516DE">
        <w:rPr>
          <w:rFonts w:ascii="Arial" w:hAnsi="Arial" w:eastAsia="Arial" w:cs="Arial"/>
          <w:sz w:val="24"/>
          <w:szCs w:val="24"/>
        </w:rPr>
        <w:t>Figure</w:t>
      </w:r>
      <w:r w:rsidRPr="6407B060" w:rsidR="0C1E7D86">
        <w:rPr>
          <w:rFonts w:ascii="Arial" w:hAnsi="Arial" w:eastAsia="Arial" w:cs="Arial"/>
          <w:sz w:val="24"/>
          <w:szCs w:val="24"/>
        </w:rPr>
        <w:t xml:space="preserve"> 11</w:t>
      </w:r>
      <w:r w:rsidRPr="6407B060" w:rsidR="2AE516DE">
        <w:rPr>
          <w:rFonts w:ascii="Arial" w:hAnsi="Arial" w:eastAsia="Arial" w:cs="Arial"/>
          <w:sz w:val="24"/>
          <w:szCs w:val="24"/>
        </w:rPr>
        <w:t>: Current Ratio (</w:t>
      </w:r>
      <w:r w:rsidRPr="6407B060" w:rsidR="01358EB7">
        <w:rPr>
          <w:rFonts w:ascii="Arial" w:hAnsi="Arial" w:eastAsia="Arial" w:cs="Arial"/>
          <w:sz w:val="24"/>
          <w:szCs w:val="24"/>
        </w:rPr>
        <w:t>see</w:t>
      </w:r>
      <w:r w:rsidRPr="6407B060" w:rsidR="2AE516DE">
        <w:rPr>
          <w:rFonts w:ascii="Arial" w:hAnsi="Arial" w:eastAsia="Arial" w:cs="Arial"/>
          <w:sz w:val="24"/>
          <w:szCs w:val="24"/>
        </w:rPr>
        <w:t xml:space="preserve"> Appendix)</w:t>
      </w:r>
    </w:p>
    <w:p w:rsidR="447EE088" w:rsidP="6407B060" w:rsidRDefault="447EE088" w14:paraId="15B1B0FE" w14:textId="1340EF75">
      <w:pPr>
        <w:pStyle w:val="Normal"/>
        <w:keepNext w:val="0"/>
        <w:keepLines w:val="0"/>
        <w:spacing w:line="360" w:lineRule="auto"/>
        <w:jc w:val="both"/>
        <w:rPr>
          <w:rFonts w:ascii="Arial" w:hAnsi="Arial" w:eastAsia="Arial" w:cs="Arial"/>
          <w:sz w:val="24"/>
          <w:szCs w:val="24"/>
        </w:rPr>
      </w:pPr>
      <w:r w:rsidRPr="6407B060" w:rsidR="447EE088">
        <w:rPr>
          <w:rFonts w:ascii="Arial" w:hAnsi="Arial" w:eastAsia="Arial" w:cs="Arial"/>
          <w:sz w:val="24"/>
          <w:szCs w:val="24"/>
        </w:rPr>
        <w:t xml:space="preserve">The current ratio of Volkswagen increased from 1.17 in 2020 to a peak of 1.22 in 2022, reflecting post-pandemic stabilisation and improved working capital management. However, the ratio declined to 1.12 by 2024, suggesting growing short-term obligations or greater working capital absorption. Although automotive manufacturers typically </w:t>
      </w:r>
      <w:r w:rsidRPr="6407B060" w:rsidR="447EE088">
        <w:rPr>
          <w:rFonts w:ascii="Arial" w:hAnsi="Arial" w:eastAsia="Arial" w:cs="Arial"/>
          <w:sz w:val="24"/>
          <w:szCs w:val="24"/>
        </w:rPr>
        <w:t>operate</w:t>
      </w:r>
      <w:r w:rsidRPr="6407B060" w:rsidR="447EE088">
        <w:rPr>
          <w:rFonts w:ascii="Arial" w:hAnsi="Arial" w:eastAsia="Arial" w:cs="Arial"/>
          <w:sz w:val="24"/>
          <w:szCs w:val="24"/>
        </w:rPr>
        <w:t xml:space="preserve"> within a 1.2</w:t>
      </w:r>
      <w:r w:rsidRPr="6407B060" w:rsidR="445A0004">
        <w:rPr>
          <w:rFonts w:ascii="Arial" w:hAnsi="Arial" w:eastAsia="Arial" w:cs="Arial"/>
          <w:sz w:val="24"/>
          <w:szCs w:val="24"/>
        </w:rPr>
        <w:t>-</w:t>
      </w:r>
      <w:r w:rsidRPr="6407B060" w:rsidR="447EE088">
        <w:rPr>
          <w:rFonts w:ascii="Arial" w:hAnsi="Arial" w:eastAsia="Arial" w:cs="Arial"/>
          <w:sz w:val="24"/>
          <w:szCs w:val="24"/>
        </w:rPr>
        <w:t xml:space="preserve">2.0 range, Volkswagen’s 2024 ratio </w:t>
      </w:r>
      <w:r w:rsidRPr="6407B060" w:rsidR="447EE088">
        <w:rPr>
          <w:rFonts w:ascii="Arial" w:hAnsi="Arial" w:eastAsia="Arial" w:cs="Arial"/>
          <w:sz w:val="24"/>
          <w:szCs w:val="24"/>
        </w:rPr>
        <w:t>remains</w:t>
      </w:r>
      <w:r w:rsidRPr="6407B060" w:rsidR="447EE088">
        <w:rPr>
          <w:rFonts w:ascii="Arial" w:hAnsi="Arial" w:eastAsia="Arial" w:cs="Arial"/>
          <w:sz w:val="24"/>
          <w:szCs w:val="24"/>
        </w:rPr>
        <w:t xml:space="preserve"> slightly below this benchmark, </w:t>
      </w:r>
      <w:r w:rsidRPr="6407B060" w:rsidR="447EE088">
        <w:rPr>
          <w:rFonts w:ascii="Arial" w:hAnsi="Arial" w:eastAsia="Arial" w:cs="Arial"/>
          <w:sz w:val="24"/>
          <w:szCs w:val="24"/>
        </w:rPr>
        <w:t>indicating</w:t>
      </w:r>
      <w:r w:rsidRPr="6407B060" w:rsidR="447EE088">
        <w:rPr>
          <w:rFonts w:ascii="Arial" w:hAnsi="Arial" w:eastAsia="Arial" w:cs="Arial"/>
          <w:sz w:val="24"/>
          <w:szCs w:val="24"/>
        </w:rPr>
        <w:t xml:space="preserve"> tighter liquidity margins. While the ratio is still above 1.0, meaning current assets exceed current liabilities, the downward trend could reduce financial flexibility, particularly during periods of heavy investment in electric vehicle development and in a challenging economic environment.</w:t>
      </w:r>
    </w:p>
    <w:p w:rsidR="0831943C" w:rsidP="6407B060" w:rsidRDefault="0831943C" w14:paraId="270FFAE7" w14:textId="25A1D31D">
      <w:pPr>
        <w:pStyle w:val="Normal"/>
        <w:keepNext w:val="0"/>
        <w:keepLines w:val="0"/>
        <w:spacing w:line="360" w:lineRule="auto"/>
        <w:jc w:val="both"/>
        <w:rPr>
          <w:rFonts w:ascii="Arial" w:hAnsi="Arial" w:eastAsia="Arial" w:cs="Arial"/>
          <w:sz w:val="24"/>
          <w:szCs w:val="24"/>
        </w:rPr>
      </w:pPr>
      <w:r w:rsidRPr="6407B060" w:rsidR="0831943C">
        <w:rPr>
          <w:rFonts w:ascii="Arial" w:hAnsi="Arial" w:eastAsia="Arial" w:cs="Arial"/>
          <w:sz w:val="24"/>
          <w:szCs w:val="24"/>
        </w:rPr>
        <w:t xml:space="preserve"> </w:t>
      </w:r>
      <w:r w:rsidRPr="6407B060" w:rsidR="0831943C">
        <w:rPr>
          <w:rStyle w:val="Heading3Char"/>
          <w:rFonts w:ascii="Arial" w:hAnsi="Arial" w:eastAsia="Arial" w:cs="Arial"/>
          <w:sz w:val="24"/>
          <w:szCs w:val="24"/>
        </w:rPr>
        <w:t>1.4.2 Quick Asset Ratio (Acid Test)</w:t>
      </w:r>
    </w:p>
    <w:p w:rsidR="6407B060" w:rsidP="6407B060" w:rsidRDefault="6407B060" w14:paraId="116DBE5A" w14:textId="7507CEB2">
      <w:pPr>
        <w:pStyle w:val="Normal"/>
        <w:keepNext w:val="0"/>
        <w:keepLines w:val="0"/>
        <w:spacing w:line="360" w:lineRule="auto"/>
        <w:rPr>
          <w:rStyle w:val="Heading3Char"/>
          <w:rFonts w:ascii="Arial" w:hAnsi="Arial" w:eastAsia="Arial" w:cs="Arial"/>
          <w:sz w:val="24"/>
          <w:szCs w:val="24"/>
        </w:rPr>
      </w:pPr>
      <m:oMathPara xmlns:m="http://schemas.openxmlformats.org/officeDocument/2006/math">
        <m:oMath xmlns:m="http://schemas.openxmlformats.org/officeDocument/2006/math">
          <m:r xmlns:m="http://schemas.openxmlformats.org/officeDocument/2006/math">
            <m:t xmlns:m="http://schemas.openxmlformats.org/officeDocument/2006/math">𝑄𝑢𝑖𝑐𝑘</m:t>
          </m:r>
          <m:r xmlns:m="http://schemas.openxmlformats.org/officeDocument/2006/math">
            <m:t xmlns:m="http://schemas.openxmlformats.org/officeDocument/2006/math"> </m:t>
          </m:r>
          <m:r xmlns:m="http://schemas.openxmlformats.org/officeDocument/2006/math">
            <m:t xmlns:m="http://schemas.openxmlformats.org/officeDocument/2006/math">𝐴𝑠𝑠𝑒𝑡</m:t>
          </m:r>
          <m:r xmlns:m="http://schemas.openxmlformats.org/officeDocument/2006/math">
            <m:t xmlns:m="http://schemas.openxmlformats.org/officeDocument/2006/math"> </m:t>
          </m:r>
          <m:r xmlns:m="http://schemas.openxmlformats.org/officeDocument/2006/math">
            <m:t xmlns:m="http://schemas.openxmlformats.org/officeDocument/2006/math">𝑅𝑎𝑡𝑖𝑜</m:t>
          </m:r>
          <m:r xmlns:m="http://schemas.openxmlformats.org/officeDocument/2006/math">
            <m:t xmlns:m="http://schemas.openxmlformats.org/officeDocument/2006/math">=</m:t>
          </m:r>
          <m:f xmlns:m="http://schemas.openxmlformats.org/officeDocument/2006/math">
            <m:fPr>
              <m:ctrlPr/>
            </m:fPr>
            <m:num>
              <m:r>
                <m:t>𝐶𝑢𝑟𝑟𝑒𝑛𝑡</m:t>
              </m:r>
              <m:r>
                <m:t> </m:t>
              </m:r>
              <m:r>
                <m:t>𝐴𝑠𝑠𝑒𝑡𝑠</m:t>
              </m:r>
              <m:r>
                <m:t> − </m:t>
              </m:r>
              <m:r>
                <m:t>𝐼𝑛𝑣𝑒𝑛𝑡𝑜𝑟𝑦</m:t>
              </m:r>
            </m:num>
            <m:den>
              <m:r>
                <m:t>𝐶𝑢𝑟𝑟𝑒𝑛𝑡</m:t>
              </m:r>
              <m:r>
                <m:t> </m:t>
              </m:r>
              <m:r>
                <m:t>𝐿𝑖𝑎𝑏𝑖𝑙𝑖𝑡𝑖𝑒𝑠</m:t>
              </m:r>
            </m:den>
          </m:f>
        </m:oMath>
      </m:oMathPara>
      <w:r w:rsidR="489A8F28">
        <w:rPr/>
        <w:t xml:space="preserve">                                                                                                                               </w:t>
      </w:r>
      <w:r w:rsidR="34962E7A">
        <w:rPr/>
        <w:t xml:space="preserve"> </w:t>
      </w:r>
      <w:r w:rsidR="34962E7A">
        <w:rPr/>
        <w:t>(×:1)</w:t>
      </w:r>
    </w:p>
    <w:p w:rsidR="134C87E7" w:rsidP="6407B060" w:rsidRDefault="134C87E7" w14:paraId="1B965EBA" w14:textId="6634C356">
      <w:pPr>
        <w:pStyle w:val="Normal"/>
        <w:keepNext w:val="0"/>
        <w:keepLines w:val="0"/>
        <w:spacing w:line="360" w:lineRule="auto"/>
        <w:jc w:val="both"/>
        <w:rPr>
          <w:rFonts w:ascii="Arial" w:hAnsi="Arial" w:eastAsia="Arial" w:cs="Arial"/>
          <w:sz w:val="24"/>
          <w:szCs w:val="24"/>
        </w:rPr>
      </w:pPr>
      <w:r w:rsidRPr="6407B060" w:rsidR="134C87E7">
        <w:rPr>
          <w:rFonts w:ascii="Arial" w:hAnsi="Arial" w:eastAsia="Arial" w:cs="Arial"/>
          <w:sz w:val="24"/>
          <w:szCs w:val="24"/>
        </w:rPr>
        <w:t xml:space="preserve">The quick ratio of Volkswagen peaked at 0.95 in 2021 before declining steadily to 0.86 by 2024 (see Figure and Appendix). Although automotive manufacturers commonly </w:t>
      </w:r>
      <w:r w:rsidRPr="6407B060" w:rsidR="134C87E7">
        <w:rPr>
          <w:rFonts w:ascii="Arial" w:hAnsi="Arial" w:eastAsia="Arial" w:cs="Arial"/>
          <w:sz w:val="24"/>
          <w:szCs w:val="24"/>
        </w:rPr>
        <w:t>operate</w:t>
      </w:r>
      <w:r w:rsidRPr="6407B060" w:rsidR="134C87E7">
        <w:rPr>
          <w:rFonts w:ascii="Arial" w:hAnsi="Arial" w:eastAsia="Arial" w:cs="Arial"/>
          <w:sz w:val="24"/>
          <w:szCs w:val="24"/>
        </w:rPr>
        <w:t xml:space="preserve"> with quick ratios between 0.8 and 1.2 due to high inventory levels, ratios below 1.0 </w:t>
      </w:r>
      <w:r w:rsidRPr="6407B060" w:rsidR="134C87E7">
        <w:rPr>
          <w:rFonts w:ascii="Arial" w:hAnsi="Arial" w:eastAsia="Arial" w:cs="Arial"/>
          <w:sz w:val="24"/>
          <w:szCs w:val="24"/>
        </w:rPr>
        <w:t>indicate</w:t>
      </w:r>
      <w:r w:rsidRPr="6407B060" w:rsidR="134C87E7">
        <w:rPr>
          <w:rFonts w:ascii="Arial" w:hAnsi="Arial" w:eastAsia="Arial" w:cs="Arial"/>
          <w:sz w:val="24"/>
          <w:szCs w:val="24"/>
        </w:rPr>
        <w:t xml:space="preserve"> reliance on inventory sales to meet short-term liabilities. The downward trend since 2022 suggests increasing dependence on inventory conversion, particularly as the stock holding period slightly increased in 2024. While overall liquidity </w:t>
      </w:r>
      <w:r w:rsidRPr="6407B060" w:rsidR="134C87E7">
        <w:rPr>
          <w:rFonts w:ascii="Arial" w:hAnsi="Arial" w:eastAsia="Arial" w:cs="Arial"/>
          <w:sz w:val="24"/>
          <w:szCs w:val="24"/>
        </w:rPr>
        <w:t>remains</w:t>
      </w:r>
      <w:r w:rsidRPr="6407B060" w:rsidR="134C87E7">
        <w:rPr>
          <w:rFonts w:ascii="Arial" w:hAnsi="Arial" w:eastAsia="Arial" w:cs="Arial"/>
          <w:sz w:val="24"/>
          <w:szCs w:val="24"/>
        </w:rPr>
        <w:t xml:space="preserve"> within the typical industry range and current assets continue to exceed current liabilities, the gap between the current ratio (1.12) and quick ratio (0.86) highlights growing inventory dependency, which could weaken liquidity resilience during Volkswagen’s capital-intensive transition toward electric vehicles.</w:t>
      </w:r>
      <w:r w:rsidRPr="6407B060" w:rsidR="3720989F">
        <w:rPr>
          <w:rFonts w:ascii="Arial" w:hAnsi="Arial" w:eastAsia="Arial" w:cs="Arial"/>
          <w:sz w:val="24"/>
          <w:szCs w:val="24"/>
        </w:rPr>
        <w:t xml:space="preserve"> </w:t>
      </w:r>
      <w:r w:rsidRPr="6407B060" w:rsidR="5DE66452">
        <w:rPr>
          <w:rFonts w:ascii="Arial" w:hAnsi="Arial" w:eastAsia="Arial" w:cs="Arial"/>
          <w:sz w:val="24"/>
          <w:szCs w:val="24"/>
        </w:rPr>
        <w:t>Additionally, Rahman</w:t>
      </w:r>
      <w:r w:rsidRPr="6407B060" w:rsidR="5DE66452">
        <w:rPr>
          <w:rFonts w:ascii="Arial" w:hAnsi="Arial" w:eastAsia="Arial" w:cs="Arial"/>
          <w:sz w:val="24"/>
          <w:szCs w:val="24"/>
        </w:rPr>
        <w:t xml:space="preserve"> (2022) argues that </w:t>
      </w:r>
      <w:r w:rsidRPr="6407B060" w:rsidR="3720989F">
        <w:rPr>
          <w:rFonts w:ascii="Arial" w:hAnsi="Arial" w:eastAsia="Arial" w:cs="Arial"/>
          <w:sz w:val="24"/>
          <w:szCs w:val="24"/>
        </w:rPr>
        <w:t xml:space="preserve">it is challenging for companies to utilise their working capital as a genuine competitive advantage for profit leverage in </w:t>
      </w:r>
      <w:r w:rsidRPr="6407B060" w:rsidR="3720989F">
        <w:rPr>
          <w:rFonts w:ascii="Arial" w:hAnsi="Arial" w:eastAsia="Arial" w:cs="Arial"/>
          <w:sz w:val="24"/>
          <w:szCs w:val="24"/>
        </w:rPr>
        <w:t>a very complex</w:t>
      </w:r>
      <w:r w:rsidRPr="6407B060" w:rsidR="3720989F">
        <w:rPr>
          <w:rFonts w:ascii="Arial" w:hAnsi="Arial" w:eastAsia="Arial" w:cs="Arial"/>
          <w:sz w:val="24"/>
          <w:szCs w:val="24"/>
        </w:rPr>
        <w:t xml:space="preserve"> and dynamic market.</w:t>
      </w:r>
    </w:p>
    <w:p w:rsidR="296BB00F" w:rsidP="6407B060" w:rsidRDefault="296BB00F" w14:paraId="5593B34A" w14:textId="16429824">
      <w:pPr>
        <w:pStyle w:val="Normal"/>
        <w:keepNext w:val="0"/>
        <w:keepLines w:val="0"/>
        <w:spacing w:line="360" w:lineRule="auto"/>
        <w:jc w:val="both"/>
      </w:pPr>
      <w:r w:rsidR="296BB00F">
        <w:drawing>
          <wp:inline wp14:editId="00938BCC" wp14:anchorId="5BE4B270">
            <wp:extent cx="1639611" cy="1463090"/>
            <wp:effectExtent l="0" t="0" r="0" b="0"/>
            <wp:docPr id="3642740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4274040" name="Picture 364274040"/>
                    <pic:cNvPicPr/>
                  </pic:nvPicPr>
                  <pic:blipFill>
                    <a:blip xmlns:r="http://schemas.openxmlformats.org/officeDocument/2006/relationships" r:embed="rId999684983">
                      <a:extLst>
                        <a:ext uri="{28A0092B-C50C-407E-A947-70E740481C1C}">
                          <a14:useLocalDpi xmlns:a14="http://schemas.microsoft.com/office/drawing/2010/main"/>
                        </a:ext>
                      </a:extLst>
                    </a:blip>
                    <a:stretch>
                      <a:fillRect/>
                    </a:stretch>
                  </pic:blipFill>
                  <pic:spPr>
                    <a:xfrm rot="0">
                      <a:off x="0" y="0"/>
                      <a:ext cx="1639611" cy="1463090"/>
                    </a:xfrm>
                    <a:prstGeom prst="rect">
                      <a:avLst/>
                    </a:prstGeom>
                  </pic:spPr>
                </pic:pic>
              </a:graphicData>
            </a:graphic>
          </wp:inline>
        </w:drawing>
      </w:r>
    </w:p>
    <w:p w:rsidR="296BB00F" w:rsidP="6407B060" w:rsidRDefault="296BB00F" w14:paraId="53018422" w14:textId="25CAF11B">
      <w:pPr>
        <w:pStyle w:val="Normal"/>
        <w:keepNext w:val="0"/>
        <w:keepLines w:val="0"/>
        <w:spacing w:line="360" w:lineRule="auto"/>
        <w:jc w:val="both"/>
        <w:rPr>
          <w:rFonts w:ascii="Arial" w:hAnsi="Arial" w:eastAsia="Arial" w:cs="Arial"/>
          <w:sz w:val="24"/>
          <w:szCs w:val="24"/>
        </w:rPr>
      </w:pPr>
      <w:r w:rsidRPr="6407B060" w:rsidR="296BB00F">
        <w:rPr>
          <w:rFonts w:ascii="Arial" w:hAnsi="Arial" w:eastAsia="Arial" w:cs="Arial"/>
          <w:sz w:val="24"/>
          <w:szCs w:val="24"/>
        </w:rPr>
        <w:t>Figure</w:t>
      </w:r>
      <w:r w:rsidRPr="6407B060" w:rsidR="351E2F28">
        <w:rPr>
          <w:rFonts w:ascii="Arial" w:hAnsi="Arial" w:eastAsia="Arial" w:cs="Arial"/>
          <w:sz w:val="24"/>
          <w:szCs w:val="24"/>
        </w:rPr>
        <w:t xml:space="preserve"> 12</w:t>
      </w:r>
      <w:r w:rsidRPr="6407B060" w:rsidR="296BB00F">
        <w:rPr>
          <w:rFonts w:ascii="Arial" w:hAnsi="Arial" w:eastAsia="Arial" w:cs="Arial"/>
          <w:sz w:val="24"/>
          <w:szCs w:val="24"/>
        </w:rPr>
        <w:t xml:space="preserve">: </w:t>
      </w:r>
      <w:r w:rsidRPr="6407B060" w:rsidR="6E7F0781">
        <w:rPr>
          <w:rFonts w:ascii="Arial" w:hAnsi="Arial" w:eastAsia="Arial" w:cs="Arial"/>
          <w:sz w:val="24"/>
          <w:szCs w:val="24"/>
        </w:rPr>
        <w:t>Quick Asset Ratio (2020-2024)</w:t>
      </w:r>
    </w:p>
    <w:p w:rsidR="20A063FF" w:rsidP="6407B060" w:rsidRDefault="20A063FF" w14:paraId="613037B7" w14:textId="54F2B007">
      <w:pPr>
        <w:pStyle w:val="Normal"/>
        <w:keepNext w:val="0"/>
        <w:keepLines w:val="0"/>
        <w:spacing w:line="360" w:lineRule="auto"/>
        <w:jc w:val="both"/>
        <w:rPr>
          <w:rFonts w:ascii="Arial" w:hAnsi="Arial" w:eastAsia="Arial" w:cs="Arial"/>
          <w:sz w:val="24"/>
          <w:szCs w:val="24"/>
        </w:rPr>
      </w:pPr>
      <w:bookmarkStart w:name="_Toc1956391040" w:id="1700672377"/>
      <w:r w:rsidRPr="6407B060" w:rsidR="20A063FF">
        <w:rPr>
          <w:rStyle w:val="Heading2Char"/>
          <w:rFonts w:ascii="Arial" w:hAnsi="Arial" w:eastAsia="Arial" w:cs="Arial"/>
          <w:sz w:val="28"/>
          <w:szCs w:val="28"/>
        </w:rPr>
        <w:t>1.5 Financing Structure</w:t>
      </w:r>
      <w:bookmarkEnd w:id="1700672377"/>
      <w:r w:rsidRPr="6407B060" w:rsidR="20A063FF">
        <w:rPr>
          <w:rFonts w:ascii="Arial" w:hAnsi="Arial" w:eastAsia="Arial" w:cs="Arial"/>
          <w:sz w:val="24"/>
          <w:szCs w:val="24"/>
        </w:rPr>
        <w:t xml:space="preserve"> </w:t>
      </w:r>
    </w:p>
    <w:p w:rsidR="20A063FF" w:rsidP="6407B060" w:rsidRDefault="20A063FF" w14:paraId="2B85FBCD" w14:textId="7B133439">
      <w:pPr>
        <w:pStyle w:val="Heading3"/>
        <w:keepNext w:val="0"/>
        <w:keepLines w:val="0"/>
        <w:spacing w:line="360" w:lineRule="auto"/>
        <w:rPr>
          <w:rFonts w:ascii="Arial" w:hAnsi="Arial" w:eastAsia="Arial" w:cs="Arial"/>
          <w:sz w:val="24"/>
          <w:szCs w:val="24"/>
        </w:rPr>
      </w:pPr>
      <w:bookmarkStart w:name="_Toc1281859287" w:id="1774993413"/>
      <w:r w:rsidRPr="6407B060" w:rsidR="20A063FF">
        <w:rPr>
          <w:rFonts w:ascii="Arial" w:hAnsi="Arial" w:eastAsia="Arial" w:cs="Arial"/>
          <w:sz w:val="24"/>
          <w:szCs w:val="24"/>
        </w:rPr>
        <w:t>1.5.1 Gearing Ratio</w:t>
      </w:r>
      <w:bookmarkEnd w:id="1774993413"/>
      <w:r w:rsidRPr="6407B060" w:rsidR="20A063FF">
        <w:rPr>
          <w:rFonts w:ascii="Arial" w:hAnsi="Arial" w:eastAsia="Arial" w:cs="Arial"/>
          <w:sz w:val="24"/>
          <w:szCs w:val="24"/>
        </w:rPr>
        <w:t xml:space="preserve"> </w:t>
      </w:r>
    </w:p>
    <w:p w:rsidR="6407B060" w:rsidP="6407B060" w:rsidRDefault="6407B060" w14:paraId="447DA7BD" w14:textId="12C65FA1">
      <w:pPr>
        <w:pStyle w:val="Normal"/>
        <w:keepNext w:val="0"/>
        <w:keepLines w:val="0"/>
        <w:spacing w:line="360" w:lineRule="auto"/>
      </w:pPr>
      <m:oMathPara xmlns:m="http://schemas.openxmlformats.org/officeDocument/2006/math">
        <m:oMath xmlns:m="http://schemas.openxmlformats.org/officeDocument/2006/math">
          <m:r xmlns:m="http://schemas.openxmlformats.org/officeDocument/2006/math">
            <m:t xmlns:m="http://schemas.openxmlformats.org/officeDocument/2006/math">𝐺𝑒𝑎𝑟𝑖𝑛𝑔</m:t>
          </m:r>
          <m:r xmlns:m="http://schemas.openxmlformats.org/officeDocument/2006/math">
            <m:t xmlns:m="http://schemas.openxmlformats.org/officeDocument/2006/math"> </m:t>
          </m:r>
          <m:r xmlns:m="http://schemas.openxmlformats.org/officeDocument/2006/math">
            <m:t xmlns:m="http://schemas.openxmlformats.org/officeDocument/2006/math">𝑅𝑎𝑡𝑖𝑜</m:t>
          </m:r>
          <m:r xmlns:m="http://schemas.openxmlformats.org/officeDocument/2006/math">
            <m:t xmlns:m="http://schemas.openxmlformats.org/officeDocument/2006/math">=</m:t>
          </m:r>
          <m:f xmlns:m="http://schemas.openxmlformats.org/officeDocument/2006/math">
            <m:fPr>
              <m:ctrlPr/>
            </m:fPr>
            <m:num>
              <m:r>
                <m:t>𝑙𝑜𝑛𝑔</m:t>
              </m:r>
              <m:r>
                <m:t> </m:t>
              </m:r>
              <m:r>
                <m:t>𝑡𝑒𝑟𝑚</m:t>
              </m:r>
              <m:r>
                <m:t> </m:t>
              </m:r>
              <m:r>
                <m:t>𝑑𝑒𝑏𝑡</m:t>
              </m:r>
            </m:num>
            <m:den>
              <m:r>
                <m:t>𝑙𝑜𝑛𝑔</m:t>
              </m:r>
              <m:r>
                <m:t> </m:t>
              </m:r>
              <m:r>
                <m:t>𝑡𝑒𝑟𝑚</m:t>
              </m:r>
              <m:r>
                <m:t> </m:t>
              </m:r>
              <m:r>
                <m:t>𝑑𝑒𝑏𝑡</m:t>
              </m:r>
              <m:r>
                <m:t> + </m:t>
              </m:r>
              <m:r>
                <m:t>𝑒𝑞𝑢𝑖𝑡𝑦</m:t>
              </m:r>
            </m:den>
          </m:f>
        </m:oMath>
      </m:oMathPara>
      <w:r w:rsidR="6A056F55">
        <w:rPr/>
        <w:t xml:space="preserve">                                                                                                         </w:t>
      </w:r>
      <w:r w:rsidR="430E9B13">
        <w:rPr/>
        <w:t>× 100%</w:t>
      </w:r>
    </w:p>
    <w:p w:rsidR="4C5079D3" w:rsidP="6407B060" w:rsidRDefault="4C5079D3" w14:paraId="050AB3DB" w14:textId="4E67542A">
      <w:pPr>
        <w:pStyle w:val="Normal"/>
        <w:keepNext w:val="0"/>
        <w:keepLines w:val="0"/>
        <w:spacing w:line="360" w:lineRule="auto"/>
        <w:jc w:val="both"/>
        <w:rPr>
          <w:rFonts w:ascii="Arial" w:hAnsi="Arial" w:eastAsia="Arial" w:cs="Arial"/>
          <w:sz w:val="24"/>
          <w:szCs w:val="24"/>
        </w:rPr>
      </w:pPr>
      <w:r w:rsidRPr="6407B060" w:rsidR="4C5079D3">
        <w:rPr>
          <w:rFonts w:ascii="Arial" w:hAnsi="Arial" w:eastAsia="Arial" w:cs="Arial"/>
          <w:sz w:val="24"/>
          <w:szCs w:val="24"/>
        </w:rPr>
        <w:t>The financing structure of Volkswagen shows a gradual improvement in financial stability between 2020 and 2024</w:t>
      </w:r>
      <w:r w:rsidRPr="6407B060" w:rsidR="0751B771">
        <w:rPr>
          <w:rFonts w:ascii="Arial" w:hAnsi="Arial" w:eastAsia="Arial" w:cs="Arial"/>
          <w:sz w:val="24"/>
          <w:szCs w:val="24"/>
        </w:rPr>
        <w:t xml:space="preserve"> (see Figure</w:t>
      </w:r>
      <w:r w:rsidRPr="6407B060" w:rsidR="1E69CA5A">
        <w:rPr>
          <w:rFonts w:ascii="Arial" w:hAnsi="Arial" w:eastAsia="Arial" w:cs="Arial"/>
          <w:sz w:val="24"/>
          <w:szCs w:val="24"/>
        </w:rPr>
        <w:t xml:space="preserve"> 13</w:t>
      </w:r>
      <w:r w:rsidRPr="6407B060" w:rsidR="0751B771">
        <w:rPr>
          <w:rFonts w:ascii="Arial" w:hAnsi="Arial" w:eastAsia="Arial" w:cs="Arial"/>
          <w:sz w:val="24"/>
          <w:szCs w:val="24"/>
        </w:rPr>
        <w:t>)</w:t>
      </w:r>
      <w:r w:rsidRPr="6407B060" w:rsidR="4C5079D3">
        <w:rPr>
          <w:rFonts w:ascii="Arial" w:hAnsi="Arial" w:eastAsia="Arial" w:cs="Arial"/>
          <w:sz w:val="24"/>
          <w:szCs w:val="24"/>
        </w:rPr>
        <w:t xml:space="preserve">. The gearing ratio declined from approximately 1.37 in 2020 to around 1.08 by 2024, </w:t>
      </w:r>
      <w:r w:rsidRPr="6407B060" w:rsidR="4C5079D3">
        <w:rPr>
          <w:rFonts w:ascii="Arial" w:hAnsi="Arial" w:eastAsia="Arial" w:cs="Arial"/>
          <w:sz w:val="24"/>
          <w:szCs w:val="24"/>
        </w:rPr>
        <w:t>indicating</w:t>
      </w:r>
      <w:r w:rsidRPr="6407B060" w:rsidR="4C5079D3">
        <w:rPr>
          <w:rFonts w:ascii="Arial" w:hAnsi="Arial" w:eastAsia="Arial" w:cs="Arial"/>
          <w:sz w:val="24"/>
          <w:szCs w:val="24"/>
        </w:rPr>
        <w:t xml:space="preserve"> a reduced reliance on debt </w:t>
      </w:r>
      <w:r w:rsidRPr="6407B060" w:rsidR="4C5079D3">
        <w:rPr>
          <w:rFonts w:ascii="Arial" w:hAnsi="Arial" w:eastAsia="Arial" w:cs="Arial"/>
          <w:sz w:val="24"/>
          <w:szCs w:val="24"/>
        </w:rPr>
        <w:t>relative</w:t>
      </w:r>
      <w:r w:rsidRPr="6407B060" w:rsidR="4C5079D3">
        <w:rPr>
          <w:rFonts w:ascii="Arial" w:hAnsi="Arial" w:eastAsia="Arial" w:cs="Arial"/>
          <w:sz w:val="24"/>
          <w:szCs w:val="24"/>
        </w:rPr>
        <w:t xml:space="preserve"> to equity and a more balanced capital structure. At the same time, the interest cover ratio increased significantly from about 6.09 to over 13, </w:t>
      </w:r>
      <w:r w:rsidRPr="6407B060" w:rsidR="4C5079D3">
        <w:rPr>
          <w:rFonts w:ascii="Arial" w:hAnsi="Arial" w:eastAsia="Arial" w:cs="Arial"/>
          <w:sz w:val="24"/>
          <w:szCs w:val="24"/>
        </w:rPr>
        <w:t>demonstrating</w:t>
      </w:r>
      <w:r w:rsidRPr="6407B060" w:rsidR="4C5079D3">
        <w:rPr>
          <w:rFonts w:ascii="Arial" w:hAnsi="Arial" w:eastAsia="Arial" w:cs="Arial"/>
          <w:sz w:val="24"/>
          <w:szCs w:val="24"/>
        </w:rPr>
        <w:t xml:space="preserve"> a stronger capacity to meet interest obligations from operating profits. This improvement suggests that Volkswagen has strengthened its debt-servicing capability despite undertaking large capital investments in electric vehicle development and digital transformation. Collectively, the declining gearing ratio and rising interest cover reflect a more resilient financing structure, although continued high investment requirements may place pressure on future leverage levels if external financing increases.</w:t>
      </w:r>
    </w:p>
    <w:p w:rsidR="329D938B" w:rsidP="6407B060" w:rsidRDefault="329D938B" w14:paraId="5B5F4B87" w14:textId="7AF869C4">
      <w:pPr>
        <w:pStyle w:val="Normal"/>
        <w:keepNext w:val="0"/>
        <w:keepLines w:val="0"/>
        <w:spacing w:line="360" w:lineRule="auto"/>
        <w:jc w:val="both"/>
      </w:pPr>
      <w:r w:rsidR="329D938B">
        <w:drawing>
          <wp:inline wp14:editId="534669A7" wp14:anchorId="31582457">
            <wp:extent cx="2244494" cy="1545626"/>
            <wp:effectExtent l="0" t="0" r="0" b="0"/>
            <wp:docPr id="12823388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2338872" name="Picture 1282338872"/>
                    <pic:cNvPicPr/>
                  </pic:nvPicPr>
                  <pic:blipFill>
                    <a:blip xmlns:r="http://schemas.openxmlformats.org/officeDocument/2006/relationships" r:embed="rId37459547">
                      <a:extLst>
                        <a:ext uri="{28A0092B-C50C-407E-A947-70E740481C1C}">
                          <a14:useLocalDpi xmlns:a14="http://schemas.microsoft.com/office/drawing/2010/main"/>
                        </a:ext>
                      </a:extLst>
                    </a:blip>
                    <a:stretch>
                      <a:fillRect/>
                    </a:stretch>
                  </pic:blipFill>
                  <pic:spPr>
                    <a:xfrm rot="0">
                      <a:off x="0" y="0"/>
                      <a:ext cx="2244494" cy="1545626"/>
                    </a:xfrm>
                    <a:prstGeom prst="rect">
                      <a:avLst/>
                    </a:prstGeom>
                  </pic:spPr>
                </pic:pic>
              </a:graphicData>
            </a:graphic>
          </wp:inline>
        </w:drawing>
      </w:r>
    </w:p>
    <w:p w:rsidR="5CE5E0A4" w:rsidP="6407B060" w:rsidRDefault="5CE5E0A4" w14:paraId="2F86AF62" w14:textId="5F756D38">
      <w:pPr>
        <w:pStyle w:val="Normal"/>
        <w:keepNext w:val="0"/>
        <w:keepLines w:val="0"/>
        <w:spacing w:line="360" w:lineRule="auto"/>
        <w:jc w:val="both"/>
        <w:rPr>
          <w:rFonts w:ascii="Arial" w:hAnsi="Arial" w:eastAsia="Arial" w:cs="Arial"/>
          <w:sz w:val="24"/>
          <w:szCs w:val="24"/>
        </w:rPr>
      </w:pPr>
      <w:r w:rsidRPr="6407B060" w:rsidR="5CE5E0A4">
        <w:rPr>
          <w:rFonts w:ascii="Arial" w:hAnsi="Arial" w:eastAsia="Arial" w:cs="Arial"/>
          <w:sz w:val="24"/>
          <w:szCs w:val="24"/>
        </w:rPr>
        <w:t>Figure 13: Gearing Ratio</w:t>
      </w:r>
    </w:p>
    <w:p w:rsidR="324AD72C" w:rsidP="6407B060" w:rsidRDefault="324AD72C" w14:paraId="1B2E910C" w14:textId="36D6B7E2">
      <w:pPr>
        <w:pStyle w:val="Normal"/>
        <w:keepNext w:val="0"/>
        <w:keepLines w:val="0"/>
        <w:spacing w:line="360" w:lineRule="auto"/>
      </w:pPr>
      <w:r w:rsidR="324AD72C">
        <w:drawing>
          <wp:inline wp14:editId="4CD4E81F" wp14:anchorId="09F8C171">
            <wp:extent cx="4562475" cy="3226376"/>
            <wp:effectExtent l="0" t="0" r="0" b="0"/>
            <wp:docPr id="16542661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4266177" name="Picture 1654266177"/>
                    <pic:cNvPicPr/>
                  </pic:nvPicPr>
                  <pic:blipFill>
                    <a:blip xmlns:r="http://schemas.openxmlformats.org/officeDocument/2006/relationships" r:embed="rId434119413">
                      <a:extLst>
                        <a:ext uri="{28A0092B-C50C-407E-A947-70E740481C1C}">
                          <a14:useLocalDpi xmlns:a14="http://schemas.microsoft.com/office/drawing/2010/main"/>
                        </a:ext>
                      </a:extLst>
                    </a:blip>
                    <a:stretch>
                      <a:fillRect/>
                    </a:stretch>
                  </pic:blipFill>
                  <pic:spPr>
                    <a:xfrm rot="0">
                      <a:off x="0" y="0"/>
                      <a:ext cx="4562475" cy="3226376"/>
                    </a:xfrm>
                    <a:prstGeom prst="rect">
                      <a:avLst/>
                    </a:prstGeom>
                  </pic:spPr>
                </pic:pic>
              </a:graphicData>
            </a:graphic>
          </wp:inline>
        </w:drawing>
      </w:r>
    </w:p>
    <w:p w:rsidR="324AD72C" w:rsidP="6407B060" w:rsidRDefault="324AD72C" w14:paraId="582BC083" w14:textId="1BAB7CFE">
      <w:pPr>
        <w:pStyle w:val="Normal"/>
        <w:keepNext w:val="0"/>
        <w:keepLines w:val="0"/>
        <w:spacing w:line="360" w:lineRule="auto"/>
        <w:rPr>
          <w:rFonts w:ascii="Arial" w:hAnsi="Arial" w:eastAsia="Arial" w:cs="Arial"/>
          <w:sz w:val="24"/>
          <w:szCs w:val="24"/>
        </w:rPr>
      </w:pPr>
      <w:r w:rsidRPr="6407B060" w:rsidR="324AD72C">
        <w:rPr>
          <w:rFonts w:ascii="Arial" w:hAnsi="Arial" w:eastAsia="Arial" w:cs="Arial"/>
          <w:sz w:val="24"/>
          <w:szCs w:val="24"/>
        </w:rPr>
        <w:t>Figure</w:t>
      </w:r>
      <w:r w:rsidRPr="6407B060" w:rsidR="21611E9C">
        <w:rPr>
          <w:rFonts w:ascii="Arial" w:hAnsi="Arial" w:eastAsia="Arial" w:cs="Arial"/>
          <w:sz w:val="24"/>
          <w:szCs w:val="24"/>
        </w:rPr>
        <w:t xml:space="preserve"> 14</w:t>
      </w:r>
      <w:r w:rsidRPr="6407B060" w:rsidR="324AD72C">
        <w:rPr>
          <w:rFonts w:ascii="Arial" w:hAnsi="Arial" w:eastAsia="Arial" w:cs="Arial"/>
          <w:sz w:val="24"/>
          <w:szCs w:val="24"/>
        </w:rPr>
        <w:t xml:space="preserve">: </w:t>
      </w:r>
      <w:r w:rsidRPr="6407B060" w:rsidR="2023DE4F">
        <w:rPr>
          <w:rFonts w:ascii="Arial" w:hAnsi="Arial" w:eastAsia="Arial" w:cs="Arial"/>
          <w:sz w:val="24"/>
          <w:szCs w:val="24"/>
        </w:rPr>
        <w:t>Debt to Equity History (2016- 2025)</w:t>
      </w:r>
    </w:p>
    <w:p w:rsidR="324AD72C" w:rsidP="6407B060" w:rsidRDefault="324AD72C" w14:paraId="55F0745E" w14:textId="23B70D83">
      <w:pPr>
        <w:pStyle w:val="Normal"/>
        <w:keepNext w:val="0"/>
        <w:keepLines w:val="0"/>
        <w:spacing w:line="360" w:lineRule="auto"/>
        <w:rPr>
          <w:rFonts w:ascii="Arial" w:hAnsi="Arial" w:eastAsia="Arial" w:cs="Arial"/>
          <w:sz w:val="24"/>
          <w:szCs w:val="24"/>
        </w:rPr>
      </w:pPr>
      <w:r w:rsidRPr="6407B060" w:rsidR="324AD72C">
        <w:rPr>
          <w:rFonts w:ascii="Arial" w:hAnsi="Arial" w:eastAsia="Arial" w:cs="Arial"/>
          <w:sz w:val="24"/>
          <w:szCs w:val="24"/>
        </w:rPr>
        <w:t>Source: simplywall.st</w:t>
      </w:r>
    </w:p>
    <w:p w:rsidR="20A063FF" w:rsidP="6407B060" w:rsidRDefault="20A063FF" w14:paraId="06979B85" w14:textId="53817DE0">
      <w:pPr>
        <w:pStyle w:val="Heading3"/>
        <w:keepNext w:val="0"/>
        <w:keepLines w:val="0"/>
        <w:spacing w:line="360" w:lineRule="auto"/>
        <w:rPr>
          <w:rFonts w:ascii="Arial" w:hAnsi="Arial" w:eastAsia="Arial" w:cs="Arial"/>
          <w:sz w:val="24"/>
          <w:szCs w:val="24"/>
        </w:rPr>
      </w:pPr>
      <w:bookmarkStart w:name="_Toc1648652925" w:id="1813865750"/>
      <w:r w:rsidRPr="6407B060" w:rsidR="20A063FF">
        <w:rPr>
          <w:rFonts w:ascii="Arial" w:hAnsi="Arial" w:eastAsia="Arial" w:cs="Arial"/>
          <w:sz w:val="24"/>
          <w:szCs w:val="24"/>
        </w:rPr>
        <w:t>1.5.2 Interest Cover</w:t>
      </w:r>
      <w:bookmarkEnd w:id="1813865750"/>
      <w:r w:rsidRPr="6407B060" w:rsidR="20A063FF">
        <w:rPr>
          <w:rFonts w:ascii="Arial" w:hAnsi="Arial" w:eastAsia="Arial" w:cs="Arial"/>
          <w:sz w:val="24"/>
          <w:szCs w:val="24"/>
        </w:rPr>
        <w:t xml:space="preserve"> </w:t>
      </w:r>
    </w:p>
    <w:p w:rsidR="3181DA3F" w:rsidP="6407B060" w:rsidRDefault="3181DA3F" w14:paraId="66BFD32B" w14:textId="74B02D96">
      <w:pPr>
        <w:pStyle w:val="Normal"/>
        <w:keepNext w:val="0"/>
        <w:keepLines w:val="0"/>
        <w:spacing w:line="360" w:lineRule="auto"/>
      </w:pPr>
      <w:r w:rsidR="3181DA3F">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𝐼𝑛𝑡𝑒𝑟𝑒𝑠𝑡</m:t>
          </m:r>
          <m:r xmlns:m="http://schemas.openxmlformats.org/officeDocument/2006/math">
            <m:t xmlns:m="http://schemas.openxmlformats.org/officeDocument/2006/math"> </m:t>
          </m:r>
          <m:r xmlns:m="http://schemas.openxmlformats.org/officeDocument/2006/math">
            <m:t xmlns:m="http://schemas.openxmlformats.org/officeDocument/2006/math">𝐶𝑜𝑣𝑒𝑟</m:t>
          </m:r>
          <m:r xmlns:m="http://schemas.openxmlformats.org/officeDocument/2006/math">
            <m:t xmlns:m="http://schemas.openxmlformats.org/officeDocument/2006/math">=</m:t>
          </m:r>
          <m:f xmlns:m="http://schemas.openxmlformats.org/officeDocument/2006/math">
            <m:fPr>
              <m:ctrlPr/>
            </m:fPr>
            <m:num>
              <m:r>
                <m:t>𝑝𝑟𝑜𝑓𝑖𝑡</m:t>
              </m:r>
              <m:r>
                <m:t> </m:t>
              </m:r>
              <m:r>
                <m:t>𝑏𝑒𝑓𝑜𝑟𝑒</m:t>
              </m:r>
              <m:r>
                <m:t> </m:t>
              </m:r>
              <m:r>
                <m:t>𝑖𝑛𝑡𝑒𝑟𝑒𝑠𝑡</m:t>
              </m:r>
            </m:num>
            <m:den>
              <m:r>
                <m:t>𝐼𝑛𝑡𝑒𝑟𝑒𝑠𝑡</m:t>
              </m:r>
              <m:r>
                <m:t> </m:t>
              </m:r>
              <m:r>
                <m:t>𝑐h</m:t>
              </m:r>
              <m:func>
                <m:funcPr>
                  <m:ctrlPr/>
                </m:funcPr>
                <m:fName>
                  <m:r>
                    <m:rPr>
                      <m:sty m:val="p"/>
                    </m:rPr>
                    <m:t>arg</m:t>
                  </m:r>
                </m:fName>
                <m:e>
                  <m:r>
                    <m:t>𝑒</m:t>
                  </m:r>
                </m:e>
              </m:func>
              <m:r>
                <m:t>𝑠</m:t>
              </m:r>
              <m:r>
                <m:t> </m:t>
              </m:r>
            </m:den>
          </m:f>
        </m:oMath>
      </m:oMathPara>
      <w:r w:rsidR="57D3F860">
        <w:rPr/>
        <w:t xml:space="preserve">                                                                                         </w:t>
      </w:r>
      <w:r w:rsidR="6009E24B">
        <w:rPr/>
        <w:t xml:space="preserve">                  </w:t>
      </w:r>
      <w:r w:rsidR="1BC3E9EB">
        <w:rPr/>
        <w:t>(</w:t>
      </w:r>
      <w:r w:rsidR="1C71BE1A">
        <w:rPr/>
        <w:t>times</w:t>
      </w:r>
      <w:r w:rsidR="49AE6BB3">
        <w:rPr/>
        <w:t>)</w:t>
      </w:r>
    </w:p>
    <w:p w:rsidR="3C40A9AA" w:rsidP="6407B060" w:rsidRDefault="3C40A9AA" w14:paraId="643EE555" w14:textId="1DB83B7A">
      <w:pPr>
        <w:pStyle w:val="Normal"/>
        <w:keepNext w:val="0"/>
        <w:keepLines w:val="0"/>
        <w:spacing w:line="360" w:lineRule="auto"/>
        <w:jc w:val="both"/>
        <w:rPr>
          <w:rFonts w:ascii="Arial" w:hAnsi="Arial" w:eastAsia="Arial" w:cs="Arial"/>
          <w:sz w:val="24"/>
          <w:szCs w:val="24"/>
        </w:rPr>
      </w:pPr>
      <w:r w:rsidRPr="6407B060" w:rsidR="3C40A9AA">
        <w:rPr>
          <w:rFonts w:ascii="Arial" w:hAnsi="Arial" w:eastAsia="Arial" w:cs="Arial"/>
          <w:sz w:val="24"/>
          <w:szCs w:val="24"/>
        </w:rPr>
        <w:t xml:space="preserve">The </w:t>
      </w:r>
      <w:r w:rsidRPr="6407B060" w:rsidR="3C40A9AA">
        <w:rPr>
          <w:rFonts w:ascii="Arial" w:hAnsi="Arial" w:eastAsia="Arial" w:cs="Arial"/>
          <w:sz w:val="24"/>
          <w:szCs w:val="24"/>
        </w:rPr>
        <w:t>great improvement</w:t>
      </w:r>
      <w:r w:rsidRPr="6407B060" w:rsidR="3C40A9AA">
        <w:rPr>
          <w:rFonts w:ascii="Arial" w:hAnsi="Arial" w:eastAsia="Arial" w:cs="Arial"/>
          <w:sz w:val="24"/>
          <w:szCs w:val="24"/>
        </w:rPr>
        <w:t xml:space="preserve"> in interest cover </w:t>
      </w:r>
      <w:r w:rsidRPr="6407B060" w:rsidR="3C40A9AA">
        <w:rPr>
          <w:rFonts w:ascii="Arial" w:hAnsi="Arial" w:eastAsia="Arial" w:cs="Arial"/>
          <w:sz w:val="24"/>
          <w:szCs w:val="24"/>
        </w:rPr>
        <w:t>demonstrates</w:t>
      </w:r>
      <w:r w:rsidRPr="6407B060" w:rsidR="3C40A9AA">
        <w:rPr>
          <w:rFonts w:ascii="Arial" w:hAnsi="Arial" w:eastAsia="Arial" w:cs="Arial"/>
          <w:sz w:val="24"/>
          <w:szCs w:val="24"/>
        </w:rPr>
        <w:t xml:space="preserve"> enhanced ability to service debt despite large investments in electrification and digital transformation.</w:t>
      </w:r>
    </w:p>
    <w:p w:rsidR="6314191A" w:rsidP="6407B060" w:rsidRDefault="6314191A" w14:paraId="30DA39F1" w14:textId="08EA2FD0">
      <w:pPr>
        <w:pStyle w:val="Heading1"/>
        <w:keepNext w:val="0"/>
        <w:keepLines w:val="0"/>
        <w:spacing w:line="360" w:lineRule="auto"/>
        <w:rPr>
          <w:rFonts w:ascii="Arial" w:hAnsi="Arial" w:eastAsia="Arial" w:cs="Arial"/>
          <w:sz w:val="32"/>
          <w:szCs w:val="32"/>
        </w:rPr>
      </w:pPr>
      <w:bookmarkStart w:name="_Toc1963795209" w:id="40961354"/>
      <w:r w:rsidRPr="6407B060" w:rsidR="6314191A">
        <w:rPr>
          <w:rFonts w:ascii="Arial" w:hAnsi="Arial" w:eastAsia="Arial" w:cs="Arial"/>
          <w:sz w:val="32"/>
          <w:szCs w:val="32"/>
        </w:rPr>
        <w:t>2. Working Capital Management Analysis</w:t>
      </w:r>
      <w:bookmarkEnd w:id="40961354"/>
    </w:p>
    <w:p w:rsidR="00456F3B" w:rsidP="6407B060" w:rsidRDefault="00456F3B" w14:paraId="7772F209" w14:textId="47A8A9D0">
      <w:pPr>
        <w:pStyle w:val="Normal"/>
        <w:keepNext w:val="0"/>
        <w:keepLines w:val="0"/>
        <w:spacing w:line="360" w:lineRule="auto"/>
        <w:jc w:val="both"/>
        <w:rPr>
          <w:rFonts w:ascii="Arial" w:hAnsi="Arial" w:eastAsia="Arial" w:cs="Arial"/>
          <w:sz w:val="24"/>
          <w:szCs w:val="24"/>
        </w:rPr>
      </w:pPr>
      <w:r w:rsidRPr="6407B060" w:rsidR="00456F3B">
        <w:rPr>
          <w:rFonts w:ascii="Arial" w:hAnsi="Arial" w:eastAsia="Arial" w:cs="Arial"/>
          <w:sz w:val="24"/>
          <w:szCs w:val="24"/>
        </w:rPr>
        <w:t xml:space="preserve">Effective working capital management is essential for </w:t>
      </w:r>
      <w:r w:rsidRPr="6407B060" w:rsidR="00456F3B">
        <w:rPr>
          <w:rFonts w:ascii="Arial" w:hAnsi="Arial" w:eastAsia="Arial" w:cs="Arial"/>
          <w:sz w:val="24"/>
          <w:szCs w:val="24"/>
        </w:rPr>
        <w:t>maintaining</w:t>
      </w:r>
      <w:r w:rsidRPr="6407B060" w:rsidR="00456F3B">
        <w:rPr>
          <w:rFonts w:ascii="Arial" w:hAnsi="Arial" w:eastAsia="Arial" w:cs="Arial"/>
          <w:sz w:val="24"/>
          <w:szCs w:val="24"/>
        </w:rPr>
        <w:t xml:space="preserve"> liquidity and operational efficiency for Volkswagen. Research on European firms shows that the relationship between working capital and performance varies by firm size, with smaller firms being more vulnerable to underinvestment due to financial constraints. Although Volkswagen has greater financial resources than smaller firms, </w:t>
      </w:r>
      <w:r w:rsidRPr="6407B060" w:rsidR="00456F3B">
        <w:rPr>
          <w:rFonts w:ascii="Arial" w:hAnsi="Arial" w:eastAsia="Arial" w:cs="Arial"/>
          <w:sz w:val="24"/>
          <w:szCs w:val="24"/>
        </w:rPr>
        <w:t>maintaining</w:t>
      </w:r>
      <w:r w:rsidRPr="6407B060" w:rsidR="00456F3B">
        <w:rPr>
          <w:rFonts w:ascii="Arial" w:hAnsi="Arial" w:eastAsia="Arial" w:cs="Arial"/>
          <w:sz w:val="24"/>
          <w:szCs w:val="24"/>
        </w:rPr>
        <w:t xml:space="preserve"> adequate working capital </w:t>
      </w:r>
      <w:r w:rsidRPr="6407B060" w:rsidR="00456F3B">
        <w:rPr>
          <w:rFonts w:ascii="Arial" w:hAnsi="Arial" w:eastAsia="Arial" w:cs="Arial"/>
          <w:sz w:val="24"/>
          <w:szCs w:val="24"/>
        </w:rPr>
        <w:t>remains</w:t>
      </w:r>
      <w:r w:rsidRPr="6407B060" w:rsidR="00456F3B">
        <w:rPr>
          <w:rFonts w:ascii="Arial" w:hAnsi="Arial" w:eastAsia="Arial" w:cs="Arial"/>
          <w:sz w:val="24"/>
          <w:szCs w:val="24"/>
        </w:rPr>
        <w:t xml:space="preserve"> important to support production continuity and efficient supply chain operations.</w:t>
      </w:r>
      <w:r w:rsidRPr="6407B060" w:rsidR="5A544523">
        <w:rPr>
          <w:rFonts w:ascii="Arial" w:hAnsi="Arial" w:eastAsia="Arial" w:cs="Arial"/>
          <w:sz w:val="24"/>
          <w:szCs w:val="24"/>
        </w:rPr>
        <w:t xml:space="preserve"> For Volkswagen, analysing the cash operating cycle provides insight into how effectively the company converts its investments in inventory and receivables into cash. The cash operating cycle reflects the time taken to sell inventory, collect payments from customers, and settle obligations with suppliers. In the automotive industry, this cycle is typically longer due to complex production processes, global supply chains, and significant inventory requirements</w:t>
      </w:r>
      <w:r w:rsidRPr="6407B060" w:rsidR="36410A3C">
        <w:rPr>
          <w:rFonts w:ascii="Arial" w:hAnsi="Arial" w:eastAsia="Arial" w:cs="Arial"/>
          <w:sz w:val="24"/>
          <w:szCs w:val="24"/>
        </w:rPr>
        <w:t xml:space="preserve"> (</w:t>
      </w:r>
      <w:r w:rsidRPr="6407B060" w:rsidR="36410A3C">
        <w:rPr>
          <w:rFonts w:ascii="Arial" w:hAnsi="Arial" w:eastAsia="Arial" w:cs="Arial"/>
          <w:sz w:val="24"/>
          <w:szCs w:val="24"/>
        </w:rPr>
        <w:t>Toušek</w:t>
      </w:r>
      <w:r w:rsidRPr="6407B060" w:rsidR="36410A3C">
        <w:rPr>
          <w:rFonts w:ascii="Arial" w:hAnsi="Arial" w:eastAsia="Arial" w:cs="Arial"/>
          <w:sz w:val="24"/>
          <w:szCs w:val="24"/>
        </w:rPr>
        <w:t xml:space="preserve"> et al., 2023</w:t>
      </w:r>
      <w:r w:rsidRPr="6407B060" w:rsidR="0BFD3EAF">
        <w:rPr>
          <w:rFonts w:ascii="Arial" w:hAnsi="Arial" w:eastAsia="Arial" w:cs="Arial"/>
          <w:sz w:val="24"/>
          <w:szCs w:val="24"/>
        </w:rPr>
        <w:t>; Lefebvre, 2022</w:t>
      </w:r>
      <w:r w:rsidRPr="6407B060" w:rsidR="36410A3C">
        <w:rPr>
          <w:rFonts w:ascii="Arial" w:hAnsi="Arial" w:eastAsia="Arial" w:cs="Arial"/>
          <w:sz w:val="24"/>
          <w:szCs w:val="24"/>
        </w:rPr>
        <w:t>)</w:t>
      </w:r>
      <w:r w:rsidRPr="6407B060" w:rsidR="5A544523">
        <w:rPr>
          <w:rFonts w:ascii="Arial" w:hAnsi="Arial" w:eastAsia="Arial" w:cs="Arial"/>
          <w:sz w:val="24"/>
          <w:szCs w:val="24"/>
        </w:rPr>
        <w:t>.</w:t>
      </w:r>
      <w:r w:rsidRPr="6407B060" w:rsidR="0951F4C8">
        <w:rPr>
          <w:rFonts w:ascii="Arial" w:hAnsi="Arial" w:eastAsia="Arial" w:cs="Arial"/>
          <w:sz w:val="24"/>
          <w:szCs w:val="24"/>
        </w:rPr>
        <w:t xml:space="preserve"> </w:t>
      </w:r>
      <w:r w:rsidRPr="6407B060" w:rsidR="5A544523">
        <w:rPr>
          <w:rFonts w:ascii="Arial" w:hAnsi="Arial" w:eastAsia="Arial" w:cs="Arial"/>
          <w:sz w:val="24"/>
          <w:szCs w:val="24"/>
        </w:rPr>
        <w:t xml:space="preserve">Volkswagen’s working capital structure reflects these industry characteristics. </w:t>
      </w:r>
    </w:p>
    <w:p w:rsidR="7FEEB80D" w:rsidP="6407B060" w:rsidRDefault="7FEEB80D" w14:paraId="1FCDEF97" w14:textId="30F01897">
      <w:pPr>
        <w:pStyle w:val="Heading2"/>
        <w:keepNext w:val="0"/>
        <w:keepLines w:val="0"/>
        <w:spacing w:line="360" w:lineRule="auto"/>
        <w:rPr>
          <w:rFonts w:ascii="Arial" w:hAnsi="Arial" w:eastAsia="Arial" w:cs="Arial"/>
          <w:sz w:val="28"/>
          <w:szCs w:val="28"/>
        </w:rPr>
      </w:pPr>
      <w:bookmarkStart w:name="_Toc1940775979" w:id="334682430"/>
      <w:r w:rsidRPr="6407B060" w:rsidR="7FEEB80D">
        <w:rPr>
          <w:rFonts w:ascii="Arial" w:hAnsi="Arial" w:eastAsia="Arial" w:cs="Arial"/>
          <w:sz w:val="28"/>
          <w:szCs w:val="28"/>
        </w:rPr>
        <w:t>2.1 Cash operating cycle assessment</w:t>
      </w:r>
      <w:bookmarkEnd w:id="334682430"/>
    </w:p>
    <w:p w:rsidR="6407B060" w:rsidP="6407B060" w:rsidRDefault="6407B060" w14:paraId="26674F66" w14:textId="3BDD835D">
      <w:pPr>
        <w:pStyle w:val="Normal"/>
        <w:keepNext w:val="0"/>
        <w:keepLines w:val="0"/>
        <w:spacing w:line="360" w:lineRule="auto"/>
      </w:pPr>
      <m:oMathPara xmlns:m="http://schemas.openxmlformats.org/officeDocument/2006/math">
        <m:oMath xmlns:m="http://schemas.openxmlformats.org/officeDocument/2006/math">
          <m:r xmlns:m="http://schemas.openxmlformats.org/officeDocument/2006/math">
            <m:t xmlns:m="http://schemas.openxmlformats.org/officeDocument/2006/math">𝐶𝑎𝑠h</m:t>
          </m:r>
          <m:r xmlns:m="http://schemas.openxmlformats.org/officeDocument/2006/math">
            <m:t xmlns:m="http://schemas.openxmlformats.org/officeDocument/2006/math"> </m:t>
          </m:r>
          <m:r xmlns:m="http://schemas.openxmlformats.org/officeDocument/2006/math">
            <m:t xmlns:m="http://schemas.openxmlformats.org/officeDocument/2006/math">𝑂𝑝𝑒𝑟𝑎𝑡𝑖𝑛𝑔</m:t>
          </m:r>
          <m:r xmlns:m="http://schemas.openxmlformats.org/officeDocument/2006/math">
            <m:t xmlns:m="http://schemas.openxmlformats.org/officeDocument/2006/math"> </m:t>
          </m:r>
          <m:r xmlns:m="http://schemas.openxmlformats.org/officeDocument/2006/math">
            <m:t xmlns:m="http://schemas.openxmlformats.org/officeDocument/2006/math">𝐶𝑦𝑐𝑙𝑒</m:t>
          </m:r>
          <m:r xmlns:m="http://schemas.openxmlformats.org/officeDocument/2006/math">
            <m:t xmlns:m="http://schemas.openxmlformats.org/officeDocument/2006/math"> </m:t>
          </m:r>
          <m:d xmlns:m="http://schemas.openxmlformats.org/officeDocument/2006/math">
            <m:dPr>
              <m:ctrlPr/>
            </m:dPr>
            <m:e>
              <m:r>
                <m:t>𝐶𝑂𝐶</m:t>
              </m:r>
            </m:e>
          </m:d>
          <m:r xmlns:m="http://schemas.openxmlformats.org/officeDocument/2006/math">
            <m:t xmlns:m="http://schemas.openxmlformats.org/officeDocument/2006/math">= </m:t>
          </m:r>
          <m:r xmlns:m="http://schemas.openxmlformats.org/officeDocument/2006/math">
            <m:t xmlns:m="http://schemas.openxmlformats.org/officeDocument/2006/math">𝐼𝑛𝑣𝑒𝑡𝑜𝑟𝑦</m:t>
          </m:r>
          <m:r xmlns:m="http://schemas.openxmlformats.org/officeDocument/2006/math">
            <m:t xmlns:m="http://schemas.openxmlformats.org/officeDocument/2006/math"> </m:t>
          </m:r>
          <m:r xmlns:m="http://schemas.openxmlformats.org/officeDocument/2006/math">
            <m:t xmlns:m="http://schemas.openxmlformats.org/officeDocument/2006/math">𝑑𝑎𝑦𝑠</m:t>
          </m:r>
          <m:r xmlns:m="http://schemas.openxmlformats.org/officeDocument/2006/math">
            <m:t xmlns:m="http://schemas.openxmlformats.org/officeDocument/2006/math">+</m:t>
          </m:r>
          <m:r xmlns:m="http://schemas.openxmlformats.org/officeDocument/2006/math">
            <m:t xmlns:m="http://schemas.openxmlformats.org/officeDocument/2006/math">𝑅𝑒𝑐𝑒𝑖𝑣𝑎𝑏𝑙𝑒𝑠</m:t>
          </m:r>
          <m:r xmlns:m="http://schemas.openxmlformats.org/officeDocument/2006/math">
            <m:t xmlns:m="http://schemas.openxmlformats.org/officeDocument/2006/math"> </m:t>
          </m:r>
          <m:r xmlns:m="http://schemas.openxmlformats.org/officeDocument/2006/math">
            <m:t xmlns:m="http://schemas.openxmlformats.org/officeDocument/2006/math">𝑑𝑎𝑦𝑠</m:t>
          </m:r>
          <m:r xmlns:m="http://schemas.openxmlformats.org/officeDocument/2006/math">
            <m:t xmlns:m="http://schemas.openxmlformats.org/officeDocument/2006/math"> − </m:t>
          </m:r>
          <m:r xmlns:m="http://schemas.openxmlformats.org/officeDocument/2006/math">
            <m:t xmlns:m="http://schemas.openxmlformats.org/officeDocument/2006/math">𝑃𝑎𝑦𝑎𝑏𝑙𝑒</m:t>
          </m:r>
          <m:r xmlns:m="http://schemas.openxmlformats.org/officeDocument/2006/math">
            <m:t xmlns:m="http://schemas.openxmlformats.org/officeDocument/2006/math"> </m:t>
          </m:r>
          <m:r xmlns:m="http://schemas.openxmlformats.org/officeDocument/2006/math">
            <m:t xmlns:m="http://schemas.openxmlformats.org/officeDocument/2006/math">𝑑𝑎𝑦𝑠</m:t>
          </m:r>
        </m:oMath>
      </m:oMathPara>
    </w:p>
    <w:p w:rsidR="4F7CAE4E" w:rsidP="6407B060" w:rsidRDefault="4F7CAE4E" w14:paraId="59070214" w14:textId="62A3FACE">
      <w:pPr>
        <w:pStyle w:val="Normal"/>
        <w:keepNext w:val="0"/>
        <w:keepLines w:val="0"/>
        <w:spacing w:line="360" w:lineRule="auto"/>
      </w:pPr>
      <w:r w:rsidR="4F7CAE4E">
        <w:drawing>
          <wp:inline wp14:editId="2C0AB654" wp14:anchorId="124408C5">
            <wp:extent cx="5724525" cy="2019300"/>
            <wp:effectExtent l="0" t="0" r="0" b="0"/>
            <wp:docPr id="2022909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2909321" name="Picture 2022909321"/>
                    <pic:cNvPicPr/>
                  </pic:nvPicPr>
                  <pic:blipFill>
                    <a:blip xmlns:r="http://schemas.openxmlformats.org/officeDocument/2006/relationships" r:embed="rId1988810350">
                      <a:extLst>
                        <a:ext uri="{28A0092B-C50C-407E-A947-70E740481C1C}">
                          <a14:useLocalDpi xmlns:a14="http://schemas.microsoft.com/office/drawing/2010/main"/>
                        </a:ext>
                      </a:extLst>
                    </a:blip>
                    <a:stretch>
                      <a:fillRect/>
                    </a:stretch>
                  </pic:blipFill>
                  <pic:spPr>
                    <a:xfrm>
                      <a:off x="0" y="0"/>
                      <a:ext cx="5724525" cy="2019300"/>
                    </a:xfrm>
                    <a:prstGeom prst="rect">
                      <a:avLst/>
                    </a:prstGeom>
                  </pic:spPr>
                </pic:pic>
              </a:graphicData>
            </a:graphic>
          </wp:inline>
        </w:drawing>
      </w:r>
      <w:r w:rsidRPr="6407B060" w:rsidR="5CF6D27D">
        <w:rPr>
          <w:rFonts w:ascii="Arial" w:hAnsi="Arial" w:eastAsia="Arial" w:cs="Arial"/>
          <w:sz w:val="24"/>
          <w:szCs w:val="24"/>
        </w:rPr>
        <w:t>Figure 15: Cash Operating Cycle</w:t>
      </w:r>
    </w:p>
    <w:p w:rsidR="73EEBEAA" w:rsidP="6407B060" w:rsidRDefault="73EEBEAA" w14:paraId="0C7B0A2E" w14:textId="28492350">
      <w:pPr>
        <w:pStyle w:val="Normal"/>
        <w:keepNext w:val="0"/>
        <w:keepLines w:val="0"/>
        <w:spacing w:line="360" w:lineRule="auto"/>
        <w:jc w:val="both"/>
        <w:rPr>
          <w:rFonts w:ascii="Arial" w:hAnsi="Arial" w:eastAsia="Arial" w:cs="Arial"/>
          <w:sz w:val="24"/>
          <w:szCs w:val="24"/>
        </w:rPr>
      </w:pPr>
      <w:r w:rsidRPr="6407B060" w:rsidR="73EEBEAA">
        <w:rPr>
          <w:rFonts w:ascii="Arial" w:hAnsi="Arial" w:eastAsia="Arial" w:cs="Arial"/>
          <w:sz w:val="24"/>
          <w:szCs w:val="24"/>
        </w:rPr>
        <w:t>The longer the operating cycle, the greater the level of resource</w:t>
      </w:r>
      <w:r w:rsidRPr="6407B060" w:rsidR="1BE5DD00">
        <w:rPr>
          <w:rFonts w:ascii="Arial" w:hAnsi="Arial" w:eastAsia="Arial" w:cs="Arial"/>
          <w:sz w:val="24"/>
          <w:szCs w:val="24"/>
        </w:rPr>
        <w:t>s</w:t>
      </w:r>
      <w:r w:rsidRPr="6407B060" w:rsidR="73EEBEAA">
        <w:rPr>
          <w:rFonts w:ascii="Arial" w:hAnsi="Arial" w:eastAsia="Arial" w:cs="Arial"/>
          <w:sz w:val="24"/>
          <w:szCs w:val="24"/>
        </w:rPr>
        <w:t xml:space="preserve"> </w:t>
      </w:r>
      <w:r w:rsidRPr="6407B060" w:rsidR="59747D22">
        <w:rPr>
          <w:rFonts w:ascii="Arial" w:hAnsi="Arial" w:eastAsia="Arial" w:cs="Arial"/>
          <w:sz w:val="24"/>
          <w:szCs w:val="24"/>
        </w:rPr>
        <w:t xml:space="preserve">the company can </w:t>
      </w:r>
      <w:r w:rsidRPr="6407B060" w:rsidR="2B50A0D5">
        <w:rPr>
          <w:rFonts w:ascii="Arial" w:hAnsi="Arial" w:eastAsia="Arial" w:cs="Arial"/>
          <w:sz w:val="24"/>
          <w:szCs w:val="24"/>
        </w:rPr>
        <w:t>demonstrate</w:t>
      </w:r>
      <w:r w:rsidRPr="6407B060" w:rsidR="2B50A0D5">
        <w:rPr>
          <w:rFonts w:ascii="Arial" w:hAnsi="Arial" w:eastAsia="Arial" w:cs="Arial"/>
          <w:sz w:val="24"/>
          <w:szCs w:val="24"/>
        </w:rPr>
        <w:t xml:space="preserve">. </w:t>
      </w:r>
      <w:r w:rsidRPr="6407B060" w:rsidR="064C420E">
        <w:rPr>
          <w:rFonts w:ascii="Arial" w:hAnsi="Arial" w:eastAsia="Arial" w:cs="Arial"/>
          <w:sz w:val="24"/>
          <w:szCs w:val="24"/>
        </w:rPr>
        <w:t xml:space="preserve">The cash operating cycle shows a general improvement between 2020 and 2023, declining from 76.3 days to 64.6 days, before increasing slightly to 68.3 days in 2024. </w:t>
      </w:r>
      <w:r w:rsidRPr="6407B060" w:rsidR="2B50A0D5">
        <w:rPr>
          <w:rFonts w:ascii="Arial" w:hAnsi="Arial" w:eastAsia="Arial" w:cs="Arial"/>
          <w:sz w:val="24"/>
          <w:szCs w:val="24"/>
        </w:rPr>
        <w:t>Volkswagen</w:t>
      </w:r>
      <w:r w:rsidRPr="6407B060" w:rsidR="5A544523">
        <w:rPr>
          <w:rFonts w:ascii="Arial" w:hAnsi="Arial" w:eastAsia="Arial" w:cs="Arial"/>
          <w:sz w:val="24"/>
          <w:szCs w:val="24"/>
        </w:rPr>
        <w:t xml:space="preserve"> </w:t>
      </w:r>
      <w:r w:rsidRPr="6407B060" w:rsidR="5A544523">
        <w:rPr>
          <w:rFonts w:ascii="Arial" w:hAnsi="Arial" w:eastAsia="Arial" w:cs="Arial"/>
          <w:sz w:val="24"/>
          <w:szCs w:val="24"/>
        </w:rPr>
        <w:t>maintains</w:t>
      </w:r>
      <w:r w:rsidRPr="6407B060" w:rsidR="5A544523">
        <w:rPr>
          <w:rFonts w:ascii="Arial" w:hAnsi="Arial" w:eastAsia="Arial" w:cs="Arial"/>
          <w:sz w:val="24"/>
          <w:szCs w:val="24"/>
        </w:rPr>
        <w:t xml:space="preserve"> substantial inventory levels to ensure production continuity and support its global distribution network. While this approach helps avoid supply disruptions, it also ties up significant financial resources. The debtors’ collection period </w:t>
      </w:r>
      <w:r w:rsidRPr="6407B060" w:rsidR="5A544523">
        <w:rPr>
          <w:rFonts w:ascii="Arial" w:hAnsi="Arial" w:eastAsia="Arial" w:cs="Arial"/>
          <w:sz w:val="24"/>
          <w:szCs w:val="24"/>
        </w:rPr>
        <w:t>represents</w:t>
      </w:r>
      <w:r w:rsidRPr="6407B060" w:rsidR="5A544523">
        <w:rPr>
          <w:rFonts w:ascii="Arial" w:hAnsi="Arial" w:eastAsia="Arial" w:cs="Arial"/>
          <w:sz w:val="24"/>
          <w:szCs w:val="24"/>
        </w:rPr>
        <w:t xml:space="preserve"> the time taken to receive payments from dealers and distributors, which can vary across markets. At the same time, the supplier payment period of </w:t>
      </w:r>
      <w:r w:rsidRPr="6407B060" w:rsidR="5A544523">
        <w:rPr>
          <w:rFonts w:ascii="Arial" w:hAnsi="Arial" w:eastAsia="Arial" w:cs="Arial"/>
          <w:sz w:val="24"/>
          <w:szCs w:val="24"/>
        </w:rPr>
        <w:t>approximately 33</w:t>
      </w:r>
      <w:r w:rsidRPr="6407B060" w:rsidR="5BD73933">
        <w:rPr>
          <w:rFonts w:ascii="Arial" w:hAnsi="Arial" w:eastAsia="Arial" w:cs="Arial"/>
          <w:sz w:val="24"/>
          <w:szCs w:val="24"/>
        </w:rPr>
        <w:t>-</w:t>
      </w:r>
      <w:r w:rsidRPr="6407B060" w:rsidR="5A544523">
        <w:rPr>
          <w:rFonts w:ascii="Arial" w:hAnsi="Arial" w:eastAsia="Arial" w:cs="Arial"/>
          <w:sz w:val="24"/>
          <w:szCs w:val="24"/>
        </w:rPr>
        <w:t>38</w:t>
      </w:r>
      <w:r w:rsidRPr="6407B060" w:rsidR="5A544523">
        <w:rPr>
          <w:rFonts w:ascii="Arial" w:hAnsi="Arial" w:eastAsia="Arial" w:cs="Arial"/>
          <w:sz w:val="24"/>
          <w:szCs w:val="24"/>
        </w:rPr>
        <w:t xml:space="preserve"> days </w:t>
      </w:r>
      <w:r w:rsidRPr="6407B060" w:rsidR="5A544523">
        <w:rPr>
          <w:rFonts w:ascii="Arial" w:hAnsi="Arial" w:eastAsia="Arial" w:cs="Arial"/>
          <w:sz w:val="24"/>
          <w:szCs w:val="24"/>
        </w:rPr>
        <w:t>indicates</w:t>
      </w:r>
      <w:r w:rsidRPr="6407B060" w:rsidR="5A544523">
        <w:rPr>
          <w:rFonts w:ascii="Arial" w:hAnsi="Arial" w:eastAsia="Arial" w:cs="Arial"/>
          <w:sz w:val="24"/>
          <w:szCs w:val="24"/>
        </w:rPr>
        <w:t xml:space="preserve"> </w:t>
      </w:r>
      <w:r w:rsidRPr="6407B060" w:rsidR="5A544523">
        <w:rPr>
          <w:rFonts w:ascii="Arial" w:hAnsi="Arial" w:eastAsia="Arial" w:cs="Arial"/>
          <w:sz w:val="24"/>
          <w:szCs w:val="24"/>
        </w:rPr>
        <w:t>relatively conservative</w:t>
      </w:r>
      <w:r w:rsidRPr="6407B060" w:rsidR="5A544523">
        <w:rPr>
          <w:rFonts w:ascii="Arial" w:hAnsi="Arial" w:eastAsia="Arial" w:cs="Arial"/>
          <w:sz w:val="24"/>
          <w:szCs w:val="24"/>
        </w:rPr>
        <w:t xml:space="preserve"> payment practices</w:t>
      </w:r>
      <w:r w:rsidRPr="6407B060" w:rsidR="1551A60A">
        <w:rPr>
          <w:rFonts w:ascii="Arial" w:hAnsi="Arial" w:eastAsia="Arial" w:cs="Arial"/>
          <w:sz w:val="24"/>
          <w:szCs w:val="24"/>
        </w:rPr>
        <w:t xml:space="preserve"> (see Figure)</w:t>
      </w:r>
      <w:r w:rsidRPr="6407B060" w:rsidR="5A544523">
        <w:rPr>
          <w:rFonts w:ascii="Arial" w:hAnsi="Arial" w:eastAsia="Arial" w:cs="Arial"/>
          <w:sz w:val="24"/>
          <w:szCs w:val="24"/>
        </w:rPr>
        <w:t>. Although this supports strong supplier relationships and supply chain stability, it suggests that Volkswagen is not heavily relying on trade credit as a source of short-term financing.</w:t>
      </w:r>
      <w:r w:rsidRPr="6407B060" w:rsidR="628C6F96">
        <w:rPr>
          <w:rFonts w:ascii="Arial" w:hAnsi="Arial" w:eastAsia="Arial" w:cs="Arial"/>
          <w:sz w:val="24"/>
          <w:szCs w:val="24"/>
        </w:rPr>
        <w:t xml:space="preserve"> </w:t>
      </w:r>
      <w:r w:rsidRPr="6407B060" w:rsidR="2F781B57">
        <w:rPr>
          <w:rFonts w:ascii="Arial" w:hAnsi="Arial" w:eastAsia="Arial" w:cs="Arial"/>
          <w:sz w:val="24"/>
          <w:szCs w:val="24"/>
        </w:rPr>
        <w:t xml:space="preserve">Ali </w:t>
      </w:r>
      <w:r w:rsidRPr="6407B060" w:rsidR="2F781B57">
        <w:rPr>
          <w:rFonts w:ascii="Arial" w:hAnsi="Arial" w:eastAsia="Arial" w:cs="Arial"/>
          <w:sz w:val="24"/>
          <w:szCs w:val="24"/>
        </w:rPr>
        <w:t>Ebrahimnejad</w:t>
      </w:r>
      <w:r w:rsidRPr="6407B060" w:rsidR="2F781B57">
        <w:rPr>
          <w:rFonts w:ascii="Arial" w:hAnsi="Arial" w:eastAsia="Arial" w:cs="Arial"/>
          <w:sz w:val="24"/>
          <w:szCs w:val="24"/>
        </w:rPr>
        <w:t xml:space="preserve"> et al. (2025) findings show that r</w:t>
      </w:r>
      <w:r w:rsidRPr="6407B060" w:rsidR="5A544523">
        <w:rPr>
          <w:rFonts w:ascii="Arial" w:hAnsi="Arial" w:eastAsia="Arial" w:cs="Arial"/>
          <w:sz w:val="24"/>
          <w:szCs w:val="24"/>
        </w:rPr>
        <w:t xml:space="preserve">ecent financial trends </w:t>
      </w:r>
      <w:r w:rsidRPr="6407B060" w:rsidR="5A544523">
        <w:rPr>
          <w:rFonts w:ascii="Arial" w:hAnsi="Arial" w:eastAsia="Arial" w:cs="Arial"/>
          <w:sz w:val="24"/>
          <w:szCs w:val="24"/>
        </w:rPr>
        <w:t>indicate</w:t>
      </w:r>
      <w:r w:rsidRPr="6407B060" w:rsidR="5A544523">
        <w:rPr>
          <w:rFonts w:ascii="Arial" w:hAnsi="Arial" w:eastAsia="Arial" w:cs="Arial"/>
          <w:sz w:val="24"/>
          <w:szCs w:val="24"/>
        </w:rPr>
        <w:t xml:space="preserve"> that liquidity buffers have slightly narrowed, highlighting the importance of optimising working capital management. If inventory turnover slows or receivables collection becomes less efficient, liquidity pressures may increase, particularly as Volkswagen continues to invest heavily in electric vehicle development and technological innovation. Improving the efficiency of the cash operating cycle would therefore strengthen short-term financial resilience.</w:t>
      </w:r>
    </w:p>
    <w:p w:rsidR="5A544523" w:rsidP="6407B060" w:rsidRDefault="5A544523" w14:paraId="5187F6B0" w14:textId="5047645E">
      <w:pPr>
        <w:pStyle w:val="Normal"/>
        <w:keepNext w:val="0"/>
        <w:keepLines w:val="0"/>
        <w:spacing w:line="360" w:lineRule="auto"/>
        <w:jc w:val="both"/>
      </w:pPr>
      <w:r w:rsidRPr="6407B060" w:rsidR="5A544523">
        <w:rPr>
          <w:rFonts w:ascii="Arial" w:hAnsi="Arial" w:eastAsia="Arial" w:cs="Arial"/>
          <w:sz w:val="24"/>
          <w:szCs w:val="24"/>
        </w:rPr>
        <w:t>Several strategies could improve liquidity through working capital reforms. First, Volkswagen could enhance inventory management through improved demand forecasting, digital supply chain analytics, and more efficient production planning</w:t>
      </w:r>
      <w:r w:rsidRPr="6407B060" w:rsidR="2116E4AE">
        <w:rPr>
          <w:rFonts w:ascii="Arial" w:hAnsi="Arial" w:eastAsia="Arial" w:cs="Arial"/>
          <w:sz w:val="24"/>
          <w:szCs w:val="24"/>
        </w:rPr>
        <w:t xml:space="preserve"> (Zhou et al., 2023)</w:t>
      </w:r>
      <w:r w:rsidRPr="6407B060" w:rsidR="5A544523">
        <w:rPr>
          <w:rFonts w:ascii="Arial" w:hAnsi="Arial" w:eastAsia="Arial" w:cs="Arial"/>
          <w:sz w:val="24"/>
          <w:szCs w:val="24"/>
        </w:rPr>
        <w:t xml:space="preserve">. These measures would help reduce excess inventory while </w:t>
      </w:r>
      <w:r w:rsidRPr="6407B060" w:rsidR="5A544523">
        <w:rPr>
          <w:rFonts w:ascii="Arial" w:hAnsi="Arial" w:eastAsia="Arial" w:cs="Arial"/>
          <w:sz w:val="24"/>
          <w:szCs w:val="24"/>
        </w:rPr>
        <w:t>maintaining</w:t>
      </w:r>
      <w:r w:rsidRPr="6407B060" w:rsidR="5A544523">
        <w:rPr>
          <w:rFonts w:ascii="Arial" w:hAnsi="Arial" w:eastAsia="Arial" w:cs="Arial"/>
          <w:sz w:val="24"/>
          <w:szCs w:val="24"/>
        </w:rPr>
        <w:t xml:space="preserve"> operational stability. Second, strengthening receivables management through improved credit policies, automated payment systems, and better dealer financing arrangements could accelerate cash inflows. Finally, the company could explore supply chain financing or negotiate moderately extended payment terms with suppliers to optimise cash flow without damaging supplier relationships.</w:t>
      </w:r>
    </w:p>
    <w:p w:rsidR="5A544523" w:rsidP="6407B060" w:rsidRDefault="5A544523" w14:paraId="53A9CE1A" w14:textId="364757BD">
      <w:pPr>
        <w:pStyle w:val="Normal"/>
        <w:keepNext w:val="0"/>
        <w:keepLines w:val="0"/>
        <w:spacing w:line="360" w:lineRule="auto"/>
        <w:jc w:val="both"/>
      </w:pPr>
      <w:r w:rsidRPr="6407B060" w:rsidR="5A544523">
        <w:rPr>
          <w:rFonts w:ascii="Arial" w:hAnsi="Arial" w:eastAsia="Arial" w:cs="Arial"/>
          <w:sz w:val="24"/>
          <w:szCs w:val="24"/>
        </w:rPr>
        <w:t>In terms of financing, both short-term and long-term options play important roles</w:t>
      </w:r>
      <w:r w:rsidRPr="6407B060" w:rsidR="402515AB">
        <w:rPr>
          <w:rFonts w:ascii="Arial" w:hAnsi="Arial" w:eastAsia="Arial" w:cs="Arial"/>
          <w:sz w:val="24"/>
          <w:szCs w:val="24"/>
        </w:rPr>
        <w:t xml:space="preserve"> (Boisjoly</w:t>
      </w:r>
      <w:r w:rsidRPr="6407B060" w:rsidR="402515AB">
        <w:rPr>
          <w:rFonts w:ascii="Arial" w:hAnsi="Arial" w:eastAsia="Arial" w:cs="Arial"/>
          <w:sz w:val="24"/>
          <w:szCs w:val="24"/>
        </w:rPr>
        <w:t>, 2</w:t>
      </w:r>
      <w:r w:rsidRPr="6407B060" w:rsidR="402515AB">
        <w:rPr>
          <w:rFonts w:ascii="Arial" w:hAnsi="Arial" w:eastAsia="Arial" w:cs="Arial"/>
          <w:sz w:val="24"/>
          <w:szCs w:val="24"/>
        </w:rPr>
        <w:t>020)</w:t>
      </w:r>
      <w:r w:rsidRPr="6407B060" w:rsidR="5A544523">
        <w:rPr>
          <w:rFonts w:ascii="Arial" w:hAnsi="Arial" w:eastAsia="Arial" w:cs="Arial"/>
          <w:sz w:val="24"/>
          <w:szCs w:val="24"/>
        </w:rPr>
        <w:t xml:space="preserve">. Short-term financing methods such as bank overdrafts and trade credit provide flexibility for managing temporary working capital needs but can expose firms to refinancing risks. In contrast, long-term financing sources such as bonds or long-term loans offer greater financial stability and are more suitable for supporting large strategic investments. For Volkswagen, </w:t>
      </w:r>
      <w:r w:rsidRPr="6407B060" w:rsidR="5A544523">
        <w:rPr>
          <w:rFonts w:ascii="Arial" w:hAnsi="Arial" w:eastAsia="Arial" w:cs="Arial"/>
          <w:sz w:val="24"/>
          <w:szCs w:val="24"/>
        </w:rPr>
        <w:t>maintaining</w:t>
      </w:r>
      <w:r w:rsidRPr="6407B060" w:rsidR="5A544523">
        <w:rPr>
          <w:rFonts w:ascii="Arial" w:hAnsi="Arial" w:eastAsia="Arial" w:cs="Arial"/>
          <w:sz w:val="24"/>
          <w:szCs w:val="24"/>
        </w:rPr>
        <w:t xml:space="preserve"> a balanced financing structure will be crucial to sustain liquidity while funding its long-term transition toward electric mobility.</w:t>
      </w:r>
      <w:r w:rsidRPr="6407B060" w:rsidR="281DEE47">
        <w:rPr>
          <w:rFonts w:ascii="Arial" w:hAnsi="Arial" w:eastAsia="Arial" w:cs="Arial"/>
          <w:sz w:val="24"/>
          <w:szCs w:val="24"/>
        </w:rPr>
        <w:t xml:space="preserve"> </w:t>
      </w:r>
      <w:r w:rsidRPr="6407B060" w:rsidR="281DEE47">
        <w:rPr>
          <w:rFonts w:ascii="Arial" w:hAnsi="Arial" w:eastAsia="Arial" w:cs="Arial"/>
          <w:sz w:val="24"/>
          <w:szCs w:val="24"/>
        </w:rPr>
        <w:t>Similar to</w:t>
      </w:r>
      <w:r w:rsidRPr="6407B060" w:rsidR="281DEE47">
        <w:rPr>
          <w:rFonts w:ascii="Arial" w:hAnsi="Arial" w:eastAsia="Arial" w:cs="Arial"/>
          <w:sz w:val="24"/>
          <w:szCs w:val="24"/>
        </w:rPr>
        <w:t xml:space="preserve"> the financing challenges in public transport electrification, the high upfront costs of electric vehicle production and limited access to capital require innovative funding approaches. By blending concessional and commercial capital or </w:t>
      </w:r>
      <w:r w:rsidRPr="6407B060" w:rsidR="281DEE47">
        <w:rPr>
          <w:rFonts w:ascii="Arial" w:hAnsi="Arial" w:eastAsia="Arial" w:cs="Arial"/>
          <w:sz w:val="24"/>
          <w:szCs w:val="24"/>
        </w:rPr>
        <w:t>leveraging</w:t>
      </w:r>
      <w:r w:rsidRPr="6407B060" w:rsidR="281DEE47">
        <w:rPr>
          <w:rFonts w:ascii="Arial" w:hAnsi="Arial" w:eastAsia="Arial" w:cs="Arial"/>
          <w:sz w:val="24"/>
          <w:szCs w:val="24"/>
        </w:rPr>
        <w:t xml:space="preserve"> strategic partnerships, Volkswagen can attract investment, share financial risks, and ensure sufficient liquidity to fund its electrification initiatives over the long term (Jena and </w:t>
      </w:r>
      <w:r w:rsidRPr="6407B060" w:rsidR="281DEE47">
        <w:rPr>
          <w:rFonts w:ascii="Arial" w:hAnsi="Arial" w:eastAsia="Arial" w:cs="Arial"/>
          <w:sz w:val="24"/>
          <w:szCs w:val="24"/>
        </w:rPr>
        <w:t>Bibhudutta</w:t>
      </w:r>
      <w:r w:rsidRPr="6407B060" w:rsidR="281DEE47">
        <w:rPr>
          <w:rFonts w:ascii="Arial" w:hAnsi="Arial" w:eastAsia="Arial" w:cs="Arial"/>
          <w:sz w:val="24"/>
          <w:szCs w:val="24"/>
        </w:rPr>
        <w:t>, 2023).</w:t>
      </w:r>
    </w:p>
    <w:p w:rsidR="6407B060" w:rsidP="6407B060" w:rsidRDefault="6407B060" w14:paraId="52A41AA9" w14:textId="4FC599B1">
      <w:pPr>
        <w:pStyle w:val="Normal"/>
        <w:keepNext w:val="0"/>
        <w:keepLines w:val="0"/>
        <w:spacing w:line="360" w:lineRule="auto"/>
        <w:jc w:val="both"/>
        <w:rPr>
          <w:rFonts w:ascii="Arial" w:hAnsi="Arial" w:eastAsia="Arial" w:cs="Arial"/>
          <w:sz w:val="24"/>
          <w:szCs w:val="24"/>
        </w:rPr>
      </w:pPr>
    </w:p>
    <w:p w:rsidR="44B73F77" w:rsidP="6407B060" w:rsidRDefault="44B73F77" w14:paraId="4160CFDE" w14:textId="0C17183E">
      <w:pPr>
        <w:pStyle w:val="Heading1"/>
        <w:keepNext w:val="0"/>
        <w:keepLines w:val="0"/>
        <w:spacing w:line="360" w:lineRule="auto"/>
        <w:rPr>
          <w:rFonts w:ascii="Arial" w:hAnsi="Arial" w:eastAsia="Arial" w:cs="Arial"/>
          <w:b w:val="0"/>
          <w:bCs w:val="0"/>
          <w:sz w:val="32"/>
          <w:szCs w:val="32"/>
        </w:rPr>
      </w:pPr>
      <w:bookmarkStart w:name="_Toc532973569" w:id="1441793389"/>
      <w:r w:rsidRPr="6407B060" w:rsidR="44B73F77">
        <w:rPr>
          <w:rFonts w:ascii="Arial" w:hAnsi="Arial" w:eastAsia="Arial" w:cs="Arial"/>
          <w:b w:val="0"/>
          <w:bCs w:val="0"/>
          <w:sz w:val="32"/>
          <w:szCs w:val="32"/>
        </w:rPr>
        <w:t xml:space="preserve">3. </w:t>
      </w:r>
      <w:r w:rsidRPr="6407B060" w:rsidR="44B73F77">
        <w:rPr>
          <w:rFonts w:ascii="Arial" w:hAnsi="Arial" w:eastAsia="Arial" w:cs="Arial"/>
          <w:b w:val="0"/>
          <w:bCs w:val="0"/>
          <w:sz w:val="32"/>
          <w:szCs w:val="32"/>
        </w:rPr>
        <w:t>Strategic Financial Restructuring Plan</w:t>
      </w:r>
      <w:bookmarkEnd w:id="1441793389"/>
    </w:p>
    <w:p w:rsidR="380F5EF7" w:rsidP="6407B060" w:rsidRDefault="380F5EF7" w14:paraId="613C216E" w14:textId="2C97A1CF">
      <w:pPr>
        <w:pStyle w:val="Normal"/>
        <w:keepNext w:val="0"/>
        <w:keepLines w:val="0"/>
        <w:spacing w:line="360" w:lineRule="auto"/>
        <w:jc w:val="both"/>
        <w:rPr>
          <w:rFonts w:ascii="Arial" w:hAnsi="Arial" w:eastAsia="Arial" w:cs="Arial"/>
          <w:sz w:val="24"/>
          <w:szCs w:val="24"/>
        </w:rPr>
      </w:pPr>
      <w:r w:rsidRPr="6407B060" w:rsidR="380F5EF7">
        <w:rPr>
          <w:rFonts w:ascii="Arial" w:hAnsi="Arial" w:eastAsia="Arial" w:cs="Arial"/>
          <w:sz w:val="24"/>
          <w:szCs w:val="24"/>
        </w:rPr>
        <w:t xml:space="preserve">In response to increasing capital requirements, technological disruption, and global market uncertainty, Volkswagen may </w:t>
      </w:r>
      <w:r w:rsidRPr="6407B060" w:rsidR="380F5EF7">
        <w:rPr>
          <w:rFonts w:ascii="Arial" w:hAnsi="Arial" w:eastAsia="Arial" w:cs="Arial"/>
          <w:sz w:val="24"/>
          <w:szCs w:val="24"/>
        </w:rPr>
        <w:t>benefit</w:t>
      </w:r>
      <w:r w:rsidRPr="6407B060" w:rsidR="380F5EF7">
        <w:rPr>
          <w:rFonts w:ascii="Arial" w:hAnsi="Arial" w:eastAsia="Arial" w:cs="Arial"/>
          <w:sz w:val="24"/>
          <w:szCs w:val="24"/>
        </w:rPr>
        <w:t xml:space="preserve"> from a strategic financial restructuring plan designed to strengthen its capital structure, improve operational flexibility, and enhance long-term shareholder value. </w:t>
      </w:r>
      <w:r w:rsidRPr="6407B060" w:rsidR="3B2E05D1">
        <w:rPr>
          <w:rFonts w:ascii="Arial" w:hAnsi="Arial" w:eastAsia="Arial" w:cs="Arial"/>
          <w:sz w:val="24"/>
          <w:szCs w:val="24"/>
        </w:rPr>
        <w:t xml:space="preserve">Financial restructuring, </w:t>
      </w:r>
      <w:r w:rsidRPr="6407B060" w:rsidR="095EBD31">
        <w:rPr>
          <w:rFonts w:ascii="Arial" w:hAnsi="Arial" w:eastAsia="Arial" w:cs="Arial"/>
          <w:sz w:val="24"/>
          <w:szCs w:val="24"/>
        </w:rPr>
        <w:t xml:space="preserve">defined </w:t>
      </w:r>
      <w:r w:rsidRPr="6407B060" w:rsidR="3B2E05D1">
        <w:rPr>
          <w:rFonts w:ascii="Arial" w:hAnsi="Arial" w:eastAsia="Arial" w:cs="Arial"/>
          <w:sz w:val="24"/>
          <w:szCs w:val="24"/>
        </w:rPr>
        <w:t>as the reorgani</w:t>
      </w:r>
      <w:r w:rsidRPr="6407B060" w:rsidR="4CB59254">
        <w:rPr>
          <w:rFonts w:ascii="Arial" w:hAnsi="Arial" w:eastAsia="Arial" w:cs="Arial"/>
          <w:sz w:val="24"/>
          <w:szCs w:val="24"/>
        </w:rPr>
        <w:t>s</w:t>
      </w:r>
      <w:r w:rsidRPr="6407B060" w:rsidR="3B2E05D1">
        <w:rPr>
          <w:rFonts w:ascii="Arial" w:hAnsi="Arial" w:eastAsia="Arial" w:cs="Arial"/>
          <w:sz w:val="24"/>
          <w:szCs w:val="24"/>
        </w:rPr>
        <w:t>ation of a company’s assets, liabilities, and equity to enhance financial stability and support strategic goals, is addressed in various empirical and theoretical studies</w:t>
      </w:r>
      <w:r w:rsidRPr="6407B060" w:rsidR="5F01F0AA">
        <w:rPr>
          <w:rFonts w:ascii="Arial" w:hAnsi="Arial" w:eastAsia="Arial" w:cs="Arial"/>
          <w:sz w:val="24"/>
          <w:szCs w:val="24"/>
        </w:rPr>
        <w:t xml:space="preserve"> (</w:t>
      </w:r>
      <w:r w:rsidRPr="6407B060" w:rsidR="31903739">
        <w:rPr>
          <w:rFonts w:ascii="Arial" w:hAnsi="Arial" w:eastAsia="Arial" w:cs="Arial"/>
          <w:sz w:val="24"/>
          <w:szCs w:val="24"/>
        </w:rPr>
        <w:t>Akbar et al., 2022</w:t>
      </w:r>
      <w:r w:rsidRPr="6407B060" w:rsidR="2AAE3712">
        <w:rPr>
          <w:rFonts w:ascii="Arial" w:hAnsi="Arial" w:eastAsia="Arial" w:cs="Arial"/>
          <w:sz w:val="24"/>
          <w:szCs w:val="24"/>
        </w:rPr>
        <w:t xml:space="preserve">; </w:t>
      </w:r>
      <w:r w:rsidRPr="6407B060" w:rsidR="2AAE3712">
        <w:rPr>
          <w:rFonts w:ascii="Arial" w:hAnsi="Arial" w:eastAsia="Arial" w:cs="Arial"/>
          <w:sz w:val="24"/>
          <w:szCs w:val="24"/>
        </w:rPr>
        <w:t>Kiymaz</w:t>
      </w:r>
      <w:r w:rsidRPr="6407B060" w:rsidR="2AAE3712">
        <w:rPr>
          <w:rFonts w:ascii="Arial" w:hAnsi="Arial" w:eastAsia="Arial" w:cs="Arial"/>
          <w:sz w:val="24"/>
          <w:szCs w:val="24"/>
        </w:rPr>
        <w:t xml:space="preserve"> et al., 2024</w:t>
      </w:r>
      <w:r w:rsidRPr="6407B060" w:rsidR="31903739">
        <w:rPr>
          <w:rFonts w:ascii="Arial" w:hAnsi="Arial" w:eastAsia="Arial" w:cs="Arial"/>
          <w:sz w:val="24"/>
          <w:szCs w:val="24"/>
        </w:rPr>
        <w:t>)</w:t>
      </w:r>
      <w:r w:rsidRPr="6407B060" w:rsidR="3B2E05D1">
        <w:rPr>
          <w:rFonts w:ascii="Arial" w:hAnsi="Arial" w:eastAsia="Arial" w:cs="Arial"/>
          <w:sz w:val="24"/>
          <w:szCs w:val="24"/>
        </w:rPr>
        <w:t>.</w:t>
      </w:r>
    </w:p>
    <w:p w:rsidR="380F5EF7" w:rsidP="6407B060" w:rsidRDefault="380F5EF7" w14:paraId="50572740" w14:textId="5E32A96D">
      <w:pPr>
        <w:pStyle w:val="Normal"/>
        <w:keepNext w:val="0"/>
        <w:keepLines w:val="0"/>
        <w:spacing w:line="360" w:lineRule="auto"/>
        <w:jc w:val="both"/>
        <w:rPr>
          <w:rFonts w:ascii="Arial" w:hAnsi="Arial" w:eastAsia="Arial" w:cs="Arial"/>
          <w:sz w:val="24"/>
          <w:szCs w:val="24"/>
        </w:rPr>
      </w:pPr>
      <w:r w:rsidRPr="6407B060" w:rsidR="380F5EF7">
        <w:rPr>
          <w:rFonts w:ascii="Arial" w:hAnsi="Arial" w:eastAsia="Arial" w:cs="Arial"/>
          <w:sz w:val="24"/>
          <w:szCs w:val="24"/>
        </w:rPr>
        <w:t xml:space="preserve">One potential restructuring strategy </w:t>
      </w:r>
      <w:r w:rsidRPr="6407B060" w:rsidR="451E3B8F">
        <w:rPr>
          <w:rFonts w:ascii="Arial" w:hAnsi="Arial" w:eastAsia="Arial" w:cs="Arial"/>
          <w:sz w:val="24"/>
          <w:szCs w:val="24"/>
        </w:rPr>
        <w:t xml:space="preserve">for Volkswagen </w:t>
      </w:r>
      <w:r w:rsidRPr="6407B060" w:rsidR="380F5EF7">
        <w:rPr>
          <w:rFonts w:ascii="Arial" w:hAnsi="Arial" w:eastAsia="Arial" w:cs="Arial"/>
          <w:sz w:val="24"/>
          <w:szCs w:val="24"/>
        </w:rPr>
        <w:t>is targeted divestiture of non-core assets or underperforming subsidiaries</w:t>
      </w:r>
      <w:r w:rsidRPr="6407B060" w:rsidR="380F5EF7">
        <w:rPr>
          <w:rFonts w:ascii="Arial" w:hAnsi="Arial" w:eastAsia="Arial" w:cs="Arial"/>
          <w:sz w:val="24"/>
          <w:szCs w:val="24"/>
        </w:rPr>
        <w:t>. Large multinational automotive groups often hold diverse business units that may not directly contribute to strategic priorities. By divesting non-core operations, Volkswagen could release capital that can be reinvested into high-growth areas such as electric vehicles, battery technology, and digital mobility services. Divestitures also reduce operational complexity and improve management focus. From a shareholder value perspective, this strategy may improve profitability and capital efficiency by reallocating resources toward segments with stronger growth potential.</w:t>
      </w:r>
    </w:p>
    <w:p w:rsidR="380F5EF7" w:rsidP="6407B060" w:rsidRDefault="380F5EF7" w14:paraId="47889424" w14:textId="4BAF356A">
      <w:pPr>
        <w:pStyle w:val="Normal"/>
        <w:keepNext w:val="0"/>
        <w:keepLines w:val="0"/>
        <w:spacing w:line="360" w:lineRule="auto"/>
        <w:jc w:val="both"/>
        <w:rPr>
          <w:rFonts w:ascii="Arial" w:hAnsi="Arial" w:eastAsia="Arial" w:cs="Arial"/>
          <w:sz w:val="24"/>
          <w:szCs w:val="24"/>
        </w:rPr>
      </w:pPr>
      <w:r w:rsidRPr="6407B060" w:rsidR="380F5EF7">
        <w:rPr>
          <w:rFonts w:ascii="Arial" w:hAnsi="Arial" w:eastAsia="Arial" w:cs="Arial"/>
          <w:sz w:val="24"/>
          <w:szCs w:val="24"/>
        </w:rPr>
        <w:t xml:space="preserve">A second restructuring option is strategic mergers, partnerships, or joint ventures, particularly in battery technology, software development, and autonomous driving. Given the substantial research and development costs associated with next-generation mobility technologies, collaboration with technology firms or other automotive manufacturers could distribute financial risk while accelerating innovation. </w:t>
      </w:r>
      <w:r w:rsidRPr="6407B060" w:rsidR="7E732D9A">
        <w:rPr>
          <w:rFonts w:ascii="Arial" w:hAnsi="Arial" w:eastAsia="Arial" w:cs="Arial"/>
          <w:sz w:val="24"/>
          <w:szCs w:val="24"/>
        </w:rPr>
        <w:t xml:space="preserve">Despite some volatility in dividend payments over the past decade </w:t>
      </w:r>
      <w:r w:rsidRPr="6407B060" w:rsidR="7E732D9A">
        <w:rPr>
          <w:rFonts w:ascii="Arial" w:hAnsi="Arial" w:eastAsia="Arial" w:cs="Arial"/>
          <w:sz w:val="24"/>
          <w:szCs w:val="24"/>
        </w:rPr>
        <w:t>(see</w:t>
      </w:r>
      <w:r w:rsidRPr="6407B060" w:rsidR="7E732D9A">
        <w:rPr>
          <w:rFonts w:ascii="Arial" w:hAnsi="Arial" w:eastAsia="Arial" w:cs="Arial"/>
          <w:sz w:val="24"/>
          <w:szCs w:val="24"/>
        </w:rPr>
        <w:t xml:space="preserve"> Figure</w:t>
      </w:r>
      <w:r w:rsidRPr="6407B060" w:rsidR="7EFAD82A">
        <w:rPr>
          <w:rFonts w:ascii="Arial" w:hAnsi="Arial" w:eastAsia="Arial" w:cs="Arial"/>
          <w:sz w:val="24"/>
          <w:szCs w:val="24"/>
        </w:rPr>
        <w:t xml:space="preserve"> 16</w:t>
      </w:r>
      <w:r w:rsidRPr="6407B060" w:rsidR="7E732D9A">
        <w:rPr>
          <w:rFonts w:ascii="Arial" w:hAnsi="Arial" w:eastAsia="Arial" w:cs="Arial"/>
          <w:sz w:val="24"/>
          <w:szCs w:val="24"/>
        </w:rPr>
        <w:t xml:space="preserve">), Volkswagen has </w:t>
      </w:r>
      <w:r w:rsidRPr="6407B060" w:rsidR="7E732D9A">
        <w:rPr>
          <w:rFonts w:ascii="Arial" w:hAnsi="Arial" w:eastAsia="Arial" w:cs="Arial"/>
          <w:sz w:val="24"/>
          <w:szCs w:val="24"/>
        </w:rPr>
        <w:t>demonstrated</w:t>
      </w:r>
      <w:r w:rsidRPr="6407B060" w:rsidR="7E732D9A">
        <w:rPr>
          <w:rFonts w:ascii="Arial" w:hAnsi="Arial" w:eastAsia="Arial" w:cs="Arial"/>
          <w:sz w:val="24"/>
          <w:szCs w:val="24"/>
        </w:rPr>
        <w:t xml:space="preserve"> an overall upward trend in shareholder distributions, </w:t>
      </w:r>
      <w:r w:rsidRPr="6407B060" w:rsidR="7E732D9A">
        <w:rPr>
          <w:rFonts w:ascii="Arial" w:hAnsi="Arial" w:eastAsia="Arial" w:cs="Arial"/>
          <w:sz w:val="24"/>
          <w:szCs w:val="24"/>
        </w:rPr>
        <w:t>indicating</w:t>
      </w:r>
      <w:r w:rsidRPr="6407B060" w:rsidR="7E732D9A">
        <w:rPr>
          <w:rFonts w:ascii="Arial" w:hAnsi="Arial" w:eastAsia="Arial" w:cs="Arial"/>
          <w:sz w:val="24"/>
          <w:szCs w:val="24"/>
        </w:rPr>
        <w:t xml:space="preserve"> a commitment to returning value to investors while pursuing long-term growth (Simply Wall St., 2026).</w:t>
      </w:r>
    </w:p>
    <w:p w:rsidR="0A6A8EC7" w:rsidP="6407B060" w:rsidRDefault="0A6A8EC7" w14:paraId="5CEE43B9" w14:textId="48F14C7D">
      <w:pPr>
        <w:pStyle w:val="Normal"/>
        <w:keepNext w:val="0"/>
        <w:keepLines w:val="0"/>
        <w:spacing w:line="360" w:lineRule="auto"/>
        <w:jc w:val="both"/>
      </w:pPr>
      <w:r w:rsidR="0A6A8EC7">
        <w:drawing>
          <wp:inline wp14:editId="48EFA403" wp14:anchorId="0EB94486">
            <wp:extent cx="4219575" cy="2808369"/>
            <wp:effectExtent l="0" t="0" r="0" b="0"/>
            <wp:docPr id="18338180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3818090" name="Picture 1833818090"/>
                    <pic:cNvPicPr/>
                  </pic:nvPicPr>
                  <pic:blipFill>
                    <a:blip xmlns:r="http://schemas.openxmlformats.org/officeDocument/2006/relationships" r:embed="rId708059086">
                      <a:extLst>
                        <a:ext uri="{28A0092B-C50C-407E-A947-70E740481C1C}">
                          <a14:useLocalDpi xmlns:a14="http://schemas.microsoft.com/office/drawing/2010/main"/>
                        </a:ext>
                      </a:extLst>
                    </a:blip>
                    <a:stretch>
                      <a:fillRect/>
                    </a:stretch>
                  </pic:blipFill>
                  <pic:spPr>
                    <a:xfrm rot="0">
                      <a:off x="0" y="0"/>
                      <a:ext cx="4219575" cy="2808369"/>
                    </a:xfrm>
                    <a:prstGeom prst="rect">
                      <a:avLst/>
                    </a:prstGeom>
                  </pic:spPr>
                </pic:pic>
              </a:graphicData>
            </a:graphic>
          </wp:inline>
        </w:drawing>
      </w:r>
    </w:p>
    <w:p w:rsidR="0A6A8EC7" w:rsidP="6407B060" w:rsidRDefault="0A6A8EC7" w14:paraId="2D2E56B8" w14:textId="360D853E">
      <w:pPr>
        <w:pStyle w:val="Normal"/>
        <w:keepNext w:val="0"/>
        <w:keepLines w:val="0"/>
        <w:spacing w:line="360" w:lineRule="auto"/>
        <w:jc w:val="both"/>
        <w:rPr>
          <w:rFonts w:ascii="Arial" w:hAnsi="Arial" w:eastAsia="Arial" w:cs="Arial"/>
          <w:sz w:val="24"/>
          <w:szCs w:val="24"/>
        </w:rPr>
      </w:pPr>
      <w:r w:rsidRPr="6407B060" w:rsidR="0A6A8EC7">
        <w:rPr>
          <w:rFonts w:ascii="Arial" w:hAnsi="Arial" w:eastAsia="Arial" w:cs="Arial"/>
          <w:sz w:val="24"/>
          <w:szCs w:val="24"/>
        </w:rPr>
        <w:t>Figure</w:t>
      </w:r>
      <w:r w:rsidRPr="6407B060" w:rsidR="5A793375">
        <w:rPr>
          <w:rFonts w:ascii="Arial" w:hAnsi="Arial" w:eastAsia="Arial" w:cs="Arial"/>
          <w:sz w:val="24"/>
          <w:szCs w:val="24"/>
        </w:rPr>
        <w:t xml:space="preserve"> 16</w:t>
      </w:r>
      <w:r w:rsidRPr="6407B060" w:rsidR="0A6A8EC7">
        <w:rPr>
          <w:rFonts w:ascii="Arial" w:hAnsi="Arial" w:eastAsia="Arial" w:cs="Arial"/>
          <w:sz w:val="24"/>
          <w:szCs w:val="24"/>
        </w:rPr>
        <w:t xml:space="preserve">: </w:t>
      </w:r>
      <w:r w:rsidRPr="6407B060" w:rsidR="2F512A15">
        <w:rPr>
          <w:rFonts w:ascii="Arial" w:hAnsi="Arial" w:eastAsia="Arial" w:cs="Arial"/>
          <w:sz w:val="24"/>
          <w:szCs w:val="24"/>
        </w:rPr>
        <w:t>Stability and Growth of Payments.</w:t>
      </w:r>
    </w:p>
    <w:p w:rsidR="0A6A8EC7" w:rsidP="6407B060" w:rsidRDefault="0A6A8EC7" w14:paraId="35437CF8" w14:textId="5DA3395F">
      <w:pPr>
        <w:pStyle w:val="Normal"/>
        <w:keepNext w:val="0"/>
        <w:keepLines w:val="0"/>
        <w:spacing w:line="360" w:lineRule="auto"/>
        <w:jc w:val="both"/>
        <w:rPr>
          <w:rFonts w:ascii="Arial" w:hAnsi="Arial" w:eastAsia="Arial" w:cs="Arial"/>
          <w:sz w:val="24"/>
          <w:szCs w:val="24"/>
        </w:rPr>
      </w:pPr>
      <w:r w:rsidRPr="6407B060" w:rsidR="0A6A8EC7">
        <w:rPr>
          <w:rFonts w:ascii="Arial" w:hAnsi="Arial" w:eastAsia="Arial" w:cs="Arial"/>
          <w:sz w:val="24"/>
          <w:szCs w:val="24"/>
        </w:rPr>
        <w:t>Source:</w:t>
      </w:r>
      <w:r w:rsidRPr="6407B060" w:rsidR="0A6A8EC7">
        <w:rPr>
          <w:rFonts w:ascii="Arial" w:hAnsi="Arial" w:eastAsia="Arial" w:cs="Arial"/>
          <w:sz w:val="24"/>
          <w:szCs w:val="24"/>
        </w:rPr>
        <w:t xml:space="preserve"> </w:t>
      </w:r>
      <w:r w:rsidRPr="6407B060" w:rsidR="4F3B0B45">
        <w:rPr>
          <w:rFonts w:ascii="Arial" w:hAnsi="Arial" w:eastAsia="Arial" w:cs="Arial"/>
          <w:sz w:val="24"/>
          <w:szCs w:val="24"/>
        </w:rPr>
        <w:t>Simply Wall St. (2026)</w:t>
      </w:r>
    </w:p>
    <w:p w:rsidR="7E732D9A" w:rsidP="6407B060" w:rsidRDefault="7E732D9A" w14:paraId="0B8FD492" w14:textId="5D441165">
      <w:pPr>
        <w:pStyle w:val="Normal"/>
        <w:keepNext w:val="0"/>
        <w:keepLines w:val="0"/>
        <w:spacing w:line="360" w:lineRule="auto"/>
        <w:jc w:val="both"/>
        <w:rPr>
          <w:rFonts w:ascii="Arial" w:hAnsi="Arial" w:eastAsia="Arial" w:cs="Arial"/>
          <w:sz w:val="24"/>
          <w:szCs w:val="24"/>
        </w:rPr>
      </w:pPr>
      <w:r w:rsidRPr="6407B060" w:rsidR="7E732D9A">
        <w:rPr>
          <w:rFonts w:ascii="Arial" w:hAnsi="Arial" w:eastAsia="Arial" w:cs="Arial"/>
          <w:sz w:val="24"/>
          <w:szCs w:val="24"/>
        </w:rPr>
        <w:t>In this context, strategic alliances, mergers, and joint ventures can pla</w:t>
      </w:r>
      <w:r w:rsidRPr="6407B060" w:rsidR="7E732D9A">
        <w:rPr>
          <w:rFonts w:ascii="Arial" w:hAnsi="Arial" w:eastAsia="Arial" w:cs="Arial"/>
          <w:sz w:val="24"/>
          <w:szCs w:val="24"/>
        </w:rPr>
        <w:t xml:space="preserve">y </w:t>
      </w:r>
      <w:r w:rsidRPr="6407B060" w:rsidR="7E732D9A">
        <w:rPr>
          <w:rFonts w:ascii="Arial" w:hAnsi="Arial" w:eastAsia="Arial" w:cs="Arial"/>
          <w:sz w:val="24"/>
          <w:szCs w:val="24"/>
        </w:rPr>
        <w:t>an important ro</w:t>
      </w:r>
      <w:r w:rsidRPr="6407B060" w:rsidR="7E732D9A">
        <w:rPr>
          <w:rFonts w:ascii="Arial" w:hAnsi="Arial" w:eastAsia="Arial" w:cs="Arial"/>
          <w:sz w:val="24"/>
          <w:szCs w:val="24"/>
        </w:rPr>
        <w:t>le</w:t>
      </w:r>
      <w:r w:rsidRPr="6407B060" w:rsidR="7E732D9A">
        <w:rPr>
          <w:rFonts w:ascii="Arial" w:hAnsi="Arial" w:eastAsia="Arial" w:cs="Arial"/>
          <w:sz w:val="24"/>
          <w:szCs w:val="24"/>
        </w:rPr>
        <w:t xml:space="preserve"> in sustaining financial performance by enabling the company to access new markets, advanced technologies, and specialised </w:t>
      </w:r>
      <w:r w:rsidRPr="6407B060" w:rsidR="7E732D9A">
        <w:rPr>
          <w:rFonts w:ascii="Arial" w:hAnsi="Arial" w:eastAsia="Arial" w:cs="Arial"/>
          <w:sz w:val="24"/>
          <w:szCs w:val="24"/>
        </w:rPr>
        <w:t>expertise</w:t>
      </w:r>
      <w:r w:rsidRPr="6407B060" w:rsidR="7E732D9A">
        <w:rPr>
          <w:rFonts w:ascii="Arial" w:hAnsi="Arial" w:eastAsia="Arial" w:cs="Arial"/>
          <w:sz w:val="24"/>
          <w:szCs w:val="24"/>
        </w:rPr>
        <w:t xml:space="preserve">. However, such collaborations must be carefully structured to ensure governance transparency and alignment with long-term strategic </w:t>
      </w:r>
      <w:r w:rsidRPr="6407B060" w:rsidR="7E732D9A">
        <w:rPr>
          <w:rFonts w:ascii="Arial" w:hAnsi="Arial" w:eastAsia="Arial" w:cs="Arial"/>
          <w:sz w:val="24"/>
          <w:szCs w:val="24"/>
        </w:rPr>
        <w:t>objectives</w:t>
      </w:r>
      <w:r w:rsidRPr="6407B060" w:rsidR="7E732D9A">
        <w:rPr>
          <w:rFonts w:ascii="Arial" w:hAnsi="Arial" w:eastAsia="Arial" w:cs="Arial"/>
          <w:sz w:val="24"/>
          <w:szCs w:val="24"/>
        </w:rPr>
        <w:t>, so that growth initiatives do not undermine dividend stability or shareholder confidence.</w:t>
      </w:r>
    </w:p>
    <w:p w:rsidR="6407B060" w:rsidP="6407B060" w:rsidRDefault="6407B060" w14:paraId="0A719458" w14:textId="431CD731">
      <w:pPr>
        <w:pStyle w:val="Normal"/>
        <w:keepNext w:val="0"/>
        <w:keepLines w:val="0"/>
        <w:spacing w:line="360" w:lineRule="auto"/>
        <w:jc w:val="both"/>
        <w:rPr>
          <w:rFonts w:ascii="Arial" w:hAnsi="Arial" w:eastAsia="Arial" w:cs="Arial"/>
          <w:sz w:val="24"/>
          <w:szCs w:val="24"/>
        </w:rPr>
      </w:pPr>
    </w:p>
    <w:p w:rsidR="380F5EF7" w:rsidP="6407B060" w:rsidRDefault="380F5EF7" w14:paraId="24340CED" w14:textId="6C405A20">
      <w:pPr>
        <w:pStyle w:val="Normal"/>
        <w:keepNext w:val="0"/>
        <w:keepLines w:val="0"/>
        <w:spacing w:line="360" w:lineRule="auto"/>
        <w:jc w:val="both"/>
        <w:rPr>
          <w:rFonts w:ascii="Arial" w:hAnsi="Arial" w:eastAsia="Arial" w:cs="Arial"/>
          <w:sz w:val="24"/>
          <w:szCs w:val="24"/>
        </w:rPr>
      </w:pPr>
      <w:r w:rsidRPr="6407B060" w:rsidR="380F5EF7">
        <w:rPr>
          <w:rFonts w:ascii="Arial" w:hAnsi="Arial" w:eastAsia="Arial" w:cs="Arial"/>
          <w:sz w:val="24"/>
          <w:szCs w:val="24"/>
        </w:rPr>
        <w:t xml:space="preserve">Another key restructuring approach involves equity injections or capital raising initiatives. Issuing new equity or attracting strategic investors could strengthen Volkswagen’s balance sheet by reducing leverage and increasing financial resilience. Although equity financing may dilute existing shareholders in the short term, it can support long-term value creation by lowering financial risk and providing </w:t>
      </w:r>
      <w:r w:rsidRPr="6407B060" w:rsidR="380F5EF7">
        <w:rPr>
          <w:rFonts w:ascii="Arial" w:hAnsi="Arial" w:eastAsia="Arial" w:cs="Arial"/>
          <w:sz w:val="24"/>
          <w:szCs w:val="24"/>
        </w:rPr>
        <w:t>additional</w:t>
      </w:r>
      <w:r w:rsidRPr="6407B060" w:rsidR="380F5EF7">
        <w:rPr>
          <w:rFonts w:ascii="Arial" w:hAnsi="Arial" w:eastAsia="Arial" w:cs="Arial"/>
          <w:sz w:val="24"/>
          <w:szCs w:val="24"/>
        </w:rPr>
        <w:t xml:space="preserve"> capital for innovation and sustainability investments. Maintaining a balanced debt-to-equity structure is particularly important as the company continues to fund large-scale electrification programmes and digital transformation initiatives.</w:t>
      </w:r>
    </w:p>
    <w:p w:rsidR="380F5EF7" w:rsidP="6407B060" w:rsidRDefault="380F5EF7" w14:paraId="765E6611" w14:textId="2D6073AE">
      <w:pPr>
        <w:pStyle w:val="Normal"/>
        <w:keepNext w:val="0"/>
        <w:keepLines w:val="0"/>
        <w:spacing w:line="360" w:lineRule="auto"/>
        <w:jc w:val="both"/>
        <w:rPr>
          <w:rFonts w:ascii="Arial" w:hAnsi="Arial" w:eastAsia="Arial" w:cs="Arial"/>
          <w:sz w:val="24"/>
          <w:szCs w:val="24"/>
        </w:rPr>
      </w:pPr>
      <w:r w:rsidRPr="6407B060" w:rsidR="380F5EF7">
        <w:rPr>
          <w:rFonts w:ascii="Arial" w:hAnsi="Arial" w:eastAsia="Arial" w:cs="Arial"/>
          <w:sz w:val="24"/>
          <w:szCs w:val="24"/>
        </w:rPr>
        <w:t>From a debt structure perspective, restructuring could also involve refinancing existing debt with longer-term instruments at favourable interest rates. This would reduce refinancing risk and improve cash flow predictability. Optimising the maturity structure of debt allows companies to align financing obligations with long-term investment cycles, particularly in capital-intensive industries such as automotive manufacturing.</w:t>
      </w:r>
      <w:r w:rsidRPr="6407B060" w:rsidR="05824204">
        <w:rPr>
          <w:rFonts w:ascii="Arial" w:hAnsi="Arial" w:eastAsia="Arial" w:cs="Arial"/>
          <w:sz w:val="24"/>
          <w:szCs w:val="24"/>
        </w:rPr>
        <w:t xml:space="preserve"> </w:t>
      </w:r>
      <w:r w:rsidRPr="6407B060" w:rsidR="380F5EF7">
        <w:rPr>
          <w:rFonts w:ascii="Arial" w:hAnsi="Arial" w:eastAsia="Arial" w:cs="Arial"/>
          <w:sz w:val="24"/>
          <w:szCs w:val="24"/>
        </w:rPr>
        <w:t xml:space="preserve">International considerations also play a crucial role in financial restructuring for global corporations like Volkswagen. The company </w:t>
      </w:r>
      <w:r w:rsidRPr="6407B060" w:rsidR="380F5EF7">
        <w:rPr>
          <w:rFonts w:ascii="Arial" w:hAnsi="Arial" w:eastAsia="Arial" w:cs="Arial"/>
          <w:sz w:val="24"/>
          <w:szCs w:val="24"/>
        </w:rPr>
        <w:t>operates</w:t>
      </w:r>
      <w:r w:rsidRPr="6407B060" w:rsidR="380F5EF7">
        <w:rPr>
          <w:rFonts w:ascii="Arial" w:hAnsi="Arial" w:eastAsia="Arial" w:cs="Arial"/>
          <w:sz w:val="24"/>
          <w:szCs w:val="24"/>
        </w:rPr>
        <w:t xml:space="preserve"> across multiple </w:t>
      </w:r>
      <w:r w:rsidRPr="6407B060" w:rsidR="380F5EF7">
        <w:rPr>
          <w:rFonts w:ascii="Arial" w:hAnsi="Arial" w:eastAsia="Arial" w:cs="Arial"/>
          <w:sz w:val="24"/>
          <w:szCs w:val="24"/>
        </w:rPr>
        <w:t>jurisdictions</w:t>
      </w:r>
      <w:r w:rsidRPr="6407B060" w:rsidR="380F5EF7">
        <w:rPr>
          <w:rFonts w:ascii="Arial" w:hAnsi="Arial" w:eastAsia="Arial" w:cs="Arial"/>
          <w:sz w:val="24"/>
          <w:szCs w:val="24"/>
        </w:rPr>
        <w:t xml:space="preserve">, exposing it to currency risk, taxation differences, and inflationary pressures. </w:t>
      </w:r>
      <w:r w:rsidRPr="6407B060" w:rsidR="19B067F0">
        <w:rPr>
          <w:rFonts w:ascii="Arial" w:hAnsi="Arial" w:eastAsia="Arial" w:cs="Arial"/>
          <w:sz w:val="24"/>
          <w:szCs w:val="24"/>
        </w:rPr>
        <w:t>Zhou (2025) highlights that c</w:t>
      </w:r>
      <w:r w:rsidRPr="6407B060" w:rsidR="380F5EF7">
        <w:rPr>
          <w:rFonts w:ascii="Arial" w:hAnsi="Arial" w:eastAsia="Arial" w:cs="Arial"/>
          <w:sz w:val="24"/>
          <w:szCs w:val="24"/>
        </w:rPr>
        <w:t xml:space="preserve">urrency fluctuations can significantly affect profitability, particularly when revenues and costs are denominated in different currencies. Implementing effective hedging strategies and </w:t>
      </w:r>
      <w:r w:rsidRPr="6407B060" w:rsidR="380F5EF7">
        <w:rPr>
          <w:rFonts w:ascii="Arial" w:hAnsi="Arial" w:eastAsia="Arial" w:cs="Arial"/>
          <w:sz w:val="24"/>
          <w:szCs w:val="24"/>
        </w:rPr>
        <w:t>maintaining</w:t>
      </w:r>
      <w:r w:rsidRPr="6407B060" w:rsidR="380F5EF7">
        <w:rPr>
          <w:rFonts w:ascii="Arial" w:hAnsi="Arial" w:eastAsia="Arial" w:cs="Arial"/>
          <w:sz w:val="24"/>
          <w:szCs w:val="24"/>
        </w:rPr>
        <w:t xml:space="preserve"> geographically diversified revenue streams can reduce exposure to exchange rate volatility. Additionally, careful tax planning and compliance with international tax regulations are essential to ensure transparency and minimise reputational risk.</w:t>
      </w:r>
    </w:p>
    <w:p w:rsidR="380F5EF7" w:rsidP="6407B060" w:rsidRDefault="380F5EF7" w14:paraId="4B2CE1B4" w14:textId="7960BB18">
      <w:pPr>
        <w:pStyle w:val="Normal"/>
        <w:keepNext w:val="0"/>
        <w:keepLines w:val="0"/>
        <w:spacing w:line="360" w:lineRule="auto"/>
        <w:jc w:val="both"/>
        <w:rPr>
          <w:rFonts w:ascii="Arial" w:hAnsi="Arial" w:eastAsia="Arial" w:cs="Arial"/>
          <w:sz w:val="24"/>
          <w:szCs w:val="24"/>
        </w:rPr>
      </w:pPr>
      <w:r w:rsidRPr="6407B060" w:rsidR="380F5EF7">
        <w:rPr>
          <w:rFonts w:ascii="Arial" w:hAnsi="Arial" w:eastAsia="Arial" w:cs="Arial"/>
          <w:sz w:val="24"/>
          <w:szCs w:val="24"/>
        </w:rPr>
        <w:t xml:space="preserve">Ethical considerations must also be incorporated into restructuring strategies. Corporate governance, environmental responsibility, and stakeholder accountability are increasingly </w:t>
      </w:r>
      <w:r w:rsidRPr="6407B060" w:rsidR="380F5EF7">
        <w:rPr>
          <w:rFonts w:ascii="Arial" w:hAnsi="Arial" w:eastAsia="Arial" w:cs="Arial"/>
          <w:sz w:val="24"/>
          <w:szCs w:val="24"/>
        </w:rPr>
        <w:t>important factors</w:t>
      </w:r>
      <w:r w:rsidRPr="6407B060" w:rsidR="380F5EF7">
        <w:rPr>
          <w:rFonts w:ascii="Arial" w:hAnsi="Arial" w:eastAsia="Arial" w:cs="Arial"/>
          <w:sz w:val="24"/>
          <w:szCs w:val="24"/>
        </w:rPr>
        <w:t xml:space="preserve"> in investor decision-making. Volkswagen’s past reputational challenges highlight the importance of </w:t>
      </w:r>
      <w:r w:rsidRPr="6407B060" w:rsidR="380F5EF7">
        <w:rPr>
          <w:rFonts w:ascii="Arial" w:hAnsi="Arial" w:eastAsia="Arial" w:cs="Arial"/>
          <w:sz w:val="24"/>
          <w:szCs w:val="24"/>
        </w:rPr>
        <w:t>maintaining</w:t>
      </w:r>
      <w:r w:rsidRPr="6407B060" w:rsidR="380F5EF7">
        <w:rPr>
          <w:rFonts w:ascii="Arial" w:hAnsi="Arial" w:eastAsia="Arial" w:cs="Arial"/>
          <w:sz w:val="24"/>
          <w:szCs w:val="24"/>
        </w:rPr>
        <w:t xml:space="preserve"> strong corporate social responsibility (CSR) commitments and ethical business practices. Investments in sustainable technologies, transparent reporting, and responsible supply chain management can strengthen stakeholder trust while supporting long-term financial performance.</w:t>
      </w:r>
      <w:r w:rsidRPr="6407B060" w:rsidR="761DC5FA">
        <w:rPr>
          <w:rFonts w:ascii="Arial" w:hAnsi="Arial" w:eastAsia="Arial" w:cs="Arial"/>
          <w:sz w:val="24"/>
          <w:szCs w:val="24"/>
        </w:rPr>
        <w:t xml:space="preserve"> </w:t>
      </w:r>
      <w:r w:rsidRPr="6407B060" w:rsidR="380F5EF7">
        <w:rPr>
          <w:rFonts w:ascii="Arial" w:hAnsi="Arial" w:eastAsia="Arial" w:cs="Arial"/>
          <w:sz w:val="24"/>
          <w:szCs w:val="24"/>
        </w:rPr>
        <w:t>Overall, a strategic financial restructuring plan that combines selective divestitures, strategic partnerships, equity strengthening, and improved debt management could enhance Volkswagen’s financial resilience. By integrating international risk management and ethical governance considerations, the company can improve operational flexibility while supporting sustainable growth and long-term shareholder value creation.</w:t>
      </w:r>
    </w:p>
    <w:p w:rsidR="6407B060" w:rsidP="6407B060" w:rsidRDefault="6407B060" w14:paraId="492E096C" w14:textId="5F0A2F3A">
      <w:pPr>
        <w:pStyle w:val="Normal"/>
        <w:keepNext w:val="0"/>
        <w:keepLines w:val="0"/>
        <w:spacing w:line="360" w:lineRule="auto"/>
      </w:pPr>
    </w:p>
    <w:p w:rsidR="44B73F77" w:rsidP="6407B060" w:rsidRDefault="44B73F77" w14:paraId="537CCD1B" w14:textId="69C5B1C8">
      <w:pPr>
        <w:pStyle w:val="Heading1"/>
        <w:keepNext w:val="0"/>
        <w:keepLines w:val="0"/>
        <w:spacing w:line="360" w:lineRule="auto"/>
        <w:rPr>
          <w:rFonts w:ascii="Arial" w:hAnsi="Arial" w:eastAsia="Arial" w:cs="Arial"/>
          <w:sz w:val="32"/>
          <w:szCs w:val="32"/>
        </w:rPr>
      </w:pPr>
      <w:bookmarkStart w:name="_Toc1457031231" w:id="1156012152"/>
      <w:r w:rsidRPr="6407B060" w:rsidR="44B73F77">
        <w:rPr>
          <w:rFonts w:ascii="Arial" w:hAnsi="Arial" w:eastAsia="Arial" w:cs="Arial"/>
          <w:sz w:val="32"/>
          <w:szCs w:val="32"/>
        </w:rPr>
        <w:t xml:space="preserve">4. </w:t>
      </w:r>
      <w:r w:rsidRPr="6407B060" w:rsidR="44B73F77">
        <w:rPr>
          <w:rFonts w:ascii="Arial" w:hAnsi="Arial" w:eastAsia="Arial" w:cs="Arial"/>
          <w:sz w:val="32"/>
          <w:szCs w:val="32"/>
        </w:rPr>
        <w:t>Investment Appraisal and Capital Budgeting</w:t>
      </w:r>
      <w:bookmarkEnd w:id="1156012152"/>
    </w:p>
    <w:p w:rsidR="58C43281" w:rsidP="6407B060" w:rsidRDefault="58C43281" w14:paraId="771DE544" w14:textId="1A0E02A5">
      <w:pPr>
        <w:pStyle w:val="Normal"/>
        <w:keepNext w:val="0"/>
        <w:keepLines w:val="0"/>
        <w:spacing w:line="360" w:lineRule="auto"/>
        <w:jc w:val="both"/>
        <w:rPr>
          <w:rFonts w:ascii="Arial" w:hAnsi="Arial" w:eastAsia="Arial" w:cs="Arial"/>
          <w:sz w:val="24"/>
          <w:szCs w:val="24"/>
        </w:rPr>
      </w:pPr>
      <w:r w:rsidRPr="6407B060" w:rsidR="58C43281">
        <w:rPr>
          <w:rFonts w:ascii="Arial" w:hAnsi="Arial" w:eastAsia="Arial" w:cs="Arial"/>
          <w:sz w:val="24"/>
          <w:szCs w:val="24"/>
        </w:rPr>
        <w:t xml:space="preserve">Capital budgeting </w:t>
      </w:r>
      <w:r w:rsidRPr="6407B060" w:rsidR="58C43281">
        <w:rPr>
          <w:rFonts w:ascii="Arial" w:hAnsi="Arial" w:eastAsia="Arial" w:cs="Arial"/>
          <w:sz w:val="24"/>
          <w:szCs w:val="24"/>
        </w:rPr>
        <w:t>represents</w:t>
      </w:r>
      <w:r w:rsidRPr="6407B060" w:rsidR="58C43281">
        <w:rPr>
          <w:rFonts w:ascii="Arial" w:hAnsi="Arial" w:eastAsia="Arial" w:cs="Arial"/>
          <w:sz w:val="24"/>
          <w:szCs w:val="24"/>
        </w:rPr>
        <w:t xml:space="preserve"> a fundamental </w:t>
      </w:r>
      <w:r w:rsidRPr="6407B060" w:rsidR="58C43281">
        <w:rPr>
          <w:rFonts w:ascii="Arial" w:hAnsi="Arial" w:eastAsia="Arial" w:cs="Arial"/>
          <w:sz w:val="24"/>
          <w:szCs w:val="24"/>
        </w:rPr>
        <w:t>component</w:t>
      </w:r>
      <w:r w:rsidRPr="6407B060" w:rsidR="58C43281">
        <w:rPr>
          <w:rFonts w:ascii="Arial" w:hAnsi="Arial" w:eastAsia="Arial" w:cs="Arial"/>
          <w:sz w:val="24"/>
          <w:szCs w:val="24"/>
        </w:rPr>
        <w:t xml:space="preserve"> of strategic </w:t>
      </w:r>
      <w:r w:rsidRPr="6407B060" w:rsidR="58C43281">
        <w:rPr>
          <w:rFonts w:ascii="Arial" w:hAnsi="Arial" w:eastAsia="Arial" w:cs="Arial"/>
          <w:sz w:val="24"/>
          <w:szCs w:val="24"/>
        </w:rPr>
        <w:t>financial management</w:t>
      </w:r>
      <w:r w:rsidRPr="6407B060" w:rsidR="58C43281">
        <w:rPr>
          <w:rFonts w:ascii="Arial" w:hAnsi="Arial" w:eastAsia="Arial" w:cs="Arial"/>
          <w:sz w:val="24"/>
          <w:szCs w:val="24"/>
        </w:rPr>
        <w:t xml:space="preserve">, enabling organisations to evaluate long-term investment opportunities and </w:t>
      </w:r>
      <w:r w:rsidRPr="6407B060" w:rsidR="58C43281">
        <w:rPr>
          <w:rFonts w:ascii="Arial" w:hAnsi="Arial" w:eastAsia="Arial" w:cs="Arial"/>
          <w:sz w:val="24"/>
          <w:szCs w:val="24"/>
        </w:rPr>
        <w:t>allocate</w:t>
      </w:r>
      <w:r w:rsidRPr="6407B060" w:rsidR="58C43281">
        <w:rPr>
          <w:rFonts w:ascii="Arial" w:hAnsi="Arial" w:eastAsia="Arial" w:cs="Arial"/>
          <w:sz w:val="24"/>
          <w:szCs w:val="24"/>
        </w:rPr>
        <w:t xml:space="preserve"> capital to projects that maximise value creation. The process is particularly critical in capital-intensive industries such as the automotive sector, where large-scale investments in research and development, advanced manufacturing, battery technologies, and digital infrastructure are </w:t>
      </w:r>
      <w:r w:rsidRPr="6407B060" w:rsidR="58C43281">
        <w:rPr>
          <w:rFonts w:ascii="Arial" w:hAnsi="Arial" w:eastAsia="Arial" w:cs="Arial"/>
          <w:sz w:val="24"/>
          <w:szCs w:val="24"/>
        </w:rPr>
        <w:t>required</w:t>
      </w:r>
      <w:r w:rsidRPr="6407B060" w:rsidR="58C43281">
        <w:rPr>
          <w:rFonts w:ascii="Arial" w:hAnsi="Arial" w:eastAsia="Arial" w:cs="Arial"/>
          <w:sz w:val="24"/>
          <w:szCs w:val="24"/>
        </w:rPr>
        <w:t xml:space="preserve"> to sustain competitiveness. For Volkswagen Group, capital allocation decisions have become increasingly complex due to the strategic transition toward electrification and sustainable mobility, which requires significant financial commitments and exposes the firm to technological and market uncertainty.</w:t>
      </w:r>
    </w:p>
    <w:p w:rsidR="58C43281" w:rsidP="6407B060" w:rsidRDefault="58C43281" w14:paraId="6877C9C5" w14:textId="60D9E3DB">
      <w:pPr>
        <w:pStyle w:val="Normal"/>
        <w:keepNext w:val="0"/>
        <w:keepLines w:val="0"/>
        <w:spacing w:line="360" w:lineRule="auto"/>
        <w:jc w:val="both"/>
        <w:rPr>
          <w:rFonts w:ascii="Arial" w:hAnsi="Arial" w:eastAsia="Arial" w:cs="Arial"/>
          <w:sz w:val="24"/>
          <w:szCs w:val="24"/>
        </w:rPr>
      </w:pPr>
      <w:r w:rsidRPr="6407B060" w:rsidR="58C43281">
        <w:rPr>
          <w:rFonts w:ascii="Arial" w:hAnsi="Arial" w:eastAsia="Arial" w:cs="Arial"/>
          <w:sz w:val="24"/>
          <w:szCs w:val="24"/>
        </w:rPr>
        <w:t xml:space="preserve">In practice, firms rarely </w:t>
      </w:r>
      <w:r w:rsidRPr="6407B060" w:rsidR="58C43281">
        <w:rPr>
          <w:rFonts w:ascii="Arial" w:hAnsi="Arial" w:eastAsia="Arial" w:cs="Arial"/>
          <w:sz w:val="24"/>
          <w:szCs w:val="24"/>
        </w:rPr>
        <w:t>operate</w:t>
      </w:r>
      <w:r w:rsidRPr="6407B060" w:rsidR="58C43281">
        <w:rPr>
          <w:rFonts w:ascii="Arial" w:hAnsi="Arial" w:eastAsia="Arial" w:cs="Arial"/>
          <w:sz w:val="24"/>
          <w:szCs w:val="24"/>
        </w:rPr>
        <w:t xml:space="preserve"> without financial constraints. The availability of investment opportunities often exceeds the financial resources available, forcing organisations to prioritise projects based on their expected financial and strategic returns. This situation gives rise to capital rationing, where management must select the combination of projects that generates the greatest value within a limited investment budget (Khan, 2024). Consequently, robust investment appraisal techniques are </w:t>
      </w:r>
      <w:r w:rsidRPr="6407B060" w:rsidR="58C43281">
        <w:rPr>
          <w:rFonts w:ascii="Arial" w:hAnsi="Arial" w:eastAsia="Arial" w:cs="Arial"/>
          <w:sz w:val="24"/>
          <w:szCs w:val="24"/>
        </w:rPr>
        <w:t>required</w:t>
      </w:r>
      <w:r w:rsidRPr="6407B060" w:rsidR="58C43281">
        <w:rPr>
          <w:rFonts w:ascii="Arial" w:hAnsi="Arial" w:eastAsia="Arial" w:cs="Arial"/>
          <w:sz w:val="24"/>
          <w:szCs w:val="24"/>
        </w:rPr>
        <w:t xml:space="preserve"> to support objective decision-making and reduce the risk of inefficient capital allocation. To evaluate the proposed investments, several widely recognised appraisal techniques are employed, including Payback Period (PBP), Accounting Rate of Return (ARR), Net Present Value (NPV), Profitability Index (PI), and Internal Rate of Return (IRR). These methods </w:t>
      </w:r>
      <w:r w:rsidRPr="6407B060" w:rsidR="58C43281">
        <w:rPr>
          <w:rFonts w:ascii="Arial" w:hAnsi="Arial" w:eastAsia="Arial" w:cs="Arial"/>
          <w:sz w:val="24"/>
          <w:szCs w:val="24"/>
        </w:rPr>
        <w:t>provide</w:t>
      </w:r>
      <w:r w:rsidRPr="6407B060" w:rsidR="58C43281">
        <w:rPr>
          <w:rFonts w:ascii="Arial" w:hAnsi="Arial" w:eastAsia="Arial" w:cs="Arial"/>
          <w:sz w:val="24"/>
          <w:szCs w:val="24"/>
        </w:rPr>
        <w:t xml:space="preserve"> complementary insights into project viability by assessing liquidity risk, accounting profitability, value creation, and expected return </w:t>
      </w:r>
      <w:r w:rsidRPr="6407B060" w:rsidR="58C43281">
        <w:rPr>
          <w:rFonts w:ascii="Arial" w:hAnsi="Arial" w:eastAsia="Arial" w:cs="Arial"/>
          <w:sz w:val="24"/>
          <w:szCs w:val="24"/>
        </w:rPr>
        <w:t>relative</w:t>
      </w:r>
      <w:r w:rsidRPr="6407B060" w:rsidR="58C43281">
        <w:rPr>
          <w:rFonts w:ascii="Arial" w:hAnsi="Arial" w:eastAsia="Arial" w:cs="Arial"/>
          <w:sz w:val="24"/>
          <w:szCs w:val="24"/>
        </w:rPr>
        <w:t xml:space="preserve"> to the firm’s cost of capital. While some techniques focus on short-term capital recovery, others incorporate the time value of money and long-term value generation, allowing for a more comprehensive evaluation of investment performance.</w:t>
      </w:r>
    </w:p>
    <w:p w:rsidR="58C43281" w:rsidP="6407B060" w:rsidRDefault="58C43281" w14:paraId="22157E88" w14:textId="1AB2583B">
      <w:pPr>
        <w:pStyle w:val="Normal"/>
        <w:keepNext w:val="0"/>
        <w:keepLines w:val="0"/>
        <w:spacing w:line="360" w:lineRule="auto"/>
        <w:jc w:val="both"/>
        <w:rPr>
          <w:rFonts w:ascii="Arial" w:hAnsi="Arial" w:eastAsia="Arial" w:cs="Arial"/>
          <w:sz w:val="24"/>
          <w:szCs w:val="24"/>
        </w:rPr>
      </w:pPr>
      <w:r w:rsidRPr="6407B060" w:rsidR="58C43281">
        <w:rPr>
          <w:rFonts w:ascii="Arial" w:hAnsi="Arial" w:eastAsia="Arial" w:cs="Arial"/>
          <w:sz w:val="24"/>
          <w:szCs w:val="24"/>
        </w:rPr>
        <w:t xml:space="preserve">Each proposed project requires </w:t>
      </w:r>
      <w:r w:rsidRPr="6407B060" w:rsidR="58C43281">
        <w:rPr>
          <w:rFonts w:ascii="Arial" w:hAnsi="Arial" w:eastAsia="Arial" w:cs="Arial"/>
          <w:sz w:val="24"/>
          <w:szCs w:val="24"/>
        </w:rPr>
        <w:t>an initial</w:t>
      </w:r>
      <w:r w:rsidRPr="6407B060" w:rsidR="58C43281">
        <w:rPr>
          <w:rFonts w:ascii="Arial" w:hAnsi="Arial" w:eastAsia="Arial" w:cs="Arial"/>
          <w:sz w:val="24"/>
          <w:szCs w:val="24"/>
        </w:rPr>
        <w:t xml:space="preserve"> capital investment of £50 million and is expected to generate cash inflows over a five-year period. For evaluation purposes, a 10% discount rate is applied to reflect the firm’s approximate cost of capital and required return on investment. Additionally, depreciation is calculated using the straight-line method over five years, resulting in an annual depreciation charge of £10 million, which is incorporated in the calculation of accounting-based performance measures such as ARR. Together, these assumptions provide the financial framework for the comparative analysis of the three investment alternatives.</w:t>
      </w:r>
    </w:p>
    <w:p w:rsidR="47FB7408" w:rsidP="6407B060" w:rsidRDefault="47FB7408" w14:paraId="40682025" w14:textId="62F5C6A3">
      <w:pPr>
        <w:pStyle w:val="Heading2"/>
        <w:keepNext w:val="0"/>
        <w:keepLines w:val="0"/>
        <w:spacing w:line="360" w:lineRule="auto"/>
        <w:rPr>
          <w:rFonts w:ascii="Arial" w:hAnsi="Arial" w:eastAsia="Arial" w:cs="Arial"/>
          <w:sz w:val="28"/>
          <w:szCs w:val="28"/>
        </w:rPr>
      </w:pPr>
      <w:bookmarkStart w:name="_Toc1129213001" w:id="393224659"/>
      <w:r w:rsidRPr="6407B060" w:rsidR="47FB7408">
        <w:rPr>
          <w:rFonts w:ascii="Arial" w:hAnsi="Arial" w:eastAsia="Arial" w:cs="Arial"/>
          <w:sz w:val="28"/>
          <w:szCs w:val="28"/>
        </w:rPr>
        <w:t>4.1 Payback Period (PBP)</w:t>
      </w:r>
      <w:bookmarkEnd w:id="393224659"/>
    </w:p>
    <w:p w:rsidR="73B5D860" w:rsidP="6407B060" w:rsidRDefault="73B5D860" w14:paraId="0A3157A0" w14:textId="53D70C7A">
      <w:pPr>
        <w:pStyle w:val="Normal"/>
        <w:keepNext w:val="0"/>
        <w:keepLines w:val="0"/>
        <w:spacing w:line="360" w:lineRule="auto"/>
        <w:jc w:val="both"/>
        <w:rPr>
          <w:rFonts w:ascii="Arial" w:hAnsi="Arial" w:eastAsia="Arial" w:cs="Arial"/>
          <w:sz w:val="24"/>
          <w:szCs w:val="24"/>
        </w:rPr>
      </w:pPr>
      <w:r w:rsidRPr="6407B060" w:rsidR="73B5D860">
        <w:rPr>
          <w:rFonts w:ascii="Arial" w:hAnsi="Arial" w:eastAsia="Arial" w:cs="Arial"/>
          <w:sz w:val="24"/>
          <w:szCs w:val="24"/>
        </w:rPr>
        <w:t xml:space="preserve">The amount of time needed for a project's </w:t>
      </w:r>
      <w:r w:rsidRPr="6407B060" w:rsidR="73B5D860">
        <w:rPr>
          <w:rFonts w:ascii="Arial" w:hAnsi="Arial" w:eastAsia="Arial" w:cs="Arial"/>
          <w:sz w:val="24"/>
          <w:szCs w:val="24"/>
        </w:rPr>
        <w:t>initial</w:t>
      </w:r>
      <w:r w:rsidRPr="6407B060" w:rsidR="73B5D860">
        <w:rPr>
          <w:rFonts w:ascii="Arial" w:hAnsi="Arial" w:eastAsia="Arial" w:cs="Arial"/>
          <w:sz w:val="24"/>
          <w:szCs w:val="24"/>
        </w:rPr>
        <w:t xml:space="preserve"> investment to be recovered through cash inflows is known as the payback period (</w:t>
      </w:r>
      <w:r w:rsidRPr="6407B060" w:rsidR="1CBA89C2">
        <w:rPr>
          <w:rFonts w:ascii="Arial" w:hAnsi="Arial" w:eastAsia="Arial" w:cs="Arial"/>
          <w:sz w:val="24"/>
          <w:szCs w:val="24"/>
        </w:rPr>
        <w:t>Jonathan, 2016). Although it ignores the time value of money, it is widely used as an indicator of liquidity risk.</w:t>
      </w:r>
    </w:p>
    <w:p w:rsidR="12078A21" w:rsidP="6407B060" w:rsidRDefault="12078A21" w14:paraId="436FAD0E" w14:textId="1623CDD0">
      <w:pPr>
        <w:pStyle w:val="Normal"/>
        <w:keepNext w:val="0"/>
        <w:keepLines w:val="0"/>
        <w:spacing w:line="360" w:lineRule="auto"/>
        <w:jc w:val="both"/>
        <w:rPr>
          <w:rFonts w:ascii="Arial" w:hAnsi="Arial" w:eastAsia="Arial" w:cs="Arial"/>
          <w:sz w:val="24"/>
          <w:szCs w:val="24"/>
        </w:rPr>
      </w:pPr>
      <w:r w:rsidRPr="6407B060" w:rsidR="12078A21">
        <w:rPr>
          <w:rFonts w:ascii="Arial" w:hAnsi="Arial" w:eastAsia="Arial" w:cs="Arial"/>
          <w:sz w:val="24"/>
          <w:szCs w:val="24"/>
        </w:rPr>
        <w:t>Project A</w:t>
      </w:r>
    </w:p>
    <w:p w:rsidR="12078A21" w:rsidP="6407B060" w:rsidRDefault="12078A21" w14:paraId="7E86BAFD" w14:textId="5C9FD04A">
      <w:pPr>
        <w:pStyle w:val="Normal"/>
        <w:keepNext w:val="0"/>
        <w:keepLines w:val="0"/>
        <w:spacing w:line="360" w:lineRule="auto"/>
        <w:jc w:val="both"/>
      </w:pPr>
      <w:r w:rsidR="12078A21">
        <w:drawing>
          <wp:inline wp14:editId="7F399AAC" wp14:anchorId="6A27F408">
            <wp:extent cx="2619599" cy="1337848"/>
            <wp:effectExtent l="0" t="0" r="0" b="0"/>
            <wp:docPr id="7586364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8636496" name="Picture 758636496"/>
                    <pic:cNvPicPr/>
                  </pic:nvPicPr>
                  <pic:blipFill>
                    <a:blip xmlns:r="http://schemas.openxmlformats.org/officeDocument/2006/relationships" r:embed="rId2073361132">
                      <a:extLst>
                        <a:ext uri="{28A0092B-C50C-407E-A947-70E740481C1C}">
                          <a14:useLocalDpi xmlns:a14="http://schemas.microsoft.com/office/drawing/2010/main"/>
                        </a:ext>
                      </a:extLst>
                    </a:blip>
                    <a:stretch>
                      <a:fillRect/>
                    </a:stretch>
                  </pic:blipFill>
                  <pic:spPr>
                    <a:xfrm rot="0">
                      <a:off x="0" y="0"/>
                      <a:ext cx="2619599" cy="1337848"/>
                    </a:xfrm>
                    <a:prstGeom prst="rect">
                      <a:avLst/>
                    </a:prstGeom>
                  </pic:spPr>
                </pic:pic>
              </a:graphicData>
            </a:graphic>
          </wp:inline>
        </w:drawing>
      </w:r>
    </w:p>
    <w:p w:rsidR="5D758161" w:rsidP="6407B060" w:rsidRDefault="5D758161" w14:paraId="2908639B" w14:textId="57662C25">
      <w:pPr>
        <w:pStyle w:val="Normal"/>
        <w:keepNext w:val="0"/>
        <w:keepLines w:val="0"/>
        <w:spacing w:line="360" w:lineRule="auto"/>
        <w:jc w:val="both"/>
        <w:rPr>
          <w:rFonts w:ascii="Arial" w:hAnsi="Arial" w:eastAsia="Arial" w:cs="Arial"/>
          <w:sz w:val="24"/>
          <w:szCs w:val="24"/>
        </w:rPr>
      </w:pPr>
      <w:r w:rsidRPr="6407B060" w:rsidR="5D758161">
        <w:rPr>
          <w:rFonts w:ascii="Arial" w:hAnsi="Arial" w:eastAsia="Arial" w:cs="Arial"/>
          <w:sz w:val="24"/>
          <w:szCs w:val="24"/>
        </w:rPr>
        <w:t>Figure 17: PBP Project A</w:t>
      </w:r>
    </w:p>
    <w:p w:rsidR="6407B060" w:rsidP="6407B060" w:rsidRDefault="6407B060" w14:paraId="0AE889C6" w14:textId="1FAA229B">
      <w:pPr>
        <w:pStyle w:val="Normal"/>
        <w:keepNext w:val="0"/>
        <w:keepLines w:val="0"/>
        <w:spacing w:line="360" w:lineRule="auto"/>
        <w:jc w:val="both"/>
      </w:pPr>
      <m:oMathPara xmlns:m="http://schemas.openxmlformats.org/officeDocument/2006/math">
        <m:oMath xmlns:m="http://schemas.openxmlformats.org/officeDocument/2006/math">
          <m:r xmlns:m="http://schemas.openxmlformats.org/officeDocument/2006/math">
            <m:t xmlns:m="http://schemas.openxmlformats.org/officeDocument/2006/math">𝑃𝐵𝑃</m:t>
          </m:r>
          <m:r xmlns:m="http://schemas.openxmlformats.org/officeDocument/2006/math">
            <m:t xmlns:m="http://schemas.openxmlformats.org/officeDocument/2006/math">=4+</m:t>
          </m:r>
          <m:f xmlns:m="http://schemas.openxmlformats.org/officeDocument/2006/math">
            <m:fPr>
              <m:ctrlPr/>
            </m:fPr>
            <m:num>
              <m:r>
                <m:t>50−46</m:t>
              </m:r>
            </m:num>
            <m:den>
              <m:r>
                <m:t>8</m:t>
              </m:r>
            </m:den>
          </m:f>
          <m:r xmlns:m="http://schemas.openxmlformats.org/officeDocument/2006/math">
            <m:t xmlns:m="http://schemas.openxmlformats.org/officeDocument/2006/math">=4.5 </m:t>
          </m:r>
          <m:r xmlns:m="http://schemas.openxmlformats.org/officeDocument/2006/math">
            <m:t xmlns:m="http://schemas.openxmlformats.org/officeDocument/2006/math">𝑦𝑒𝑎𝑟𝑠</m:t>
          </m:r>
        </m:oMath>
      </m:oMathPara>
    </w:p>
    <w:p w:rsidR="12078A21" w:rsidP="6407B060" w:rsidRDefault="12078A21" w14:paraId="61B1511C" w14:textId="54767F8E">
      <w:pPr>
        <w:pStyle w:val="Normal"/>
        <w:keepNext w:val="0"/>
        <w:keepLines w:val="0"/>
        <w:spacing w:line="360" w:lineRule="auto"/>
        <w:jc w:val="both"/>
        <w:rPr>
          <w:rFonts w:ascii="Arial" w:hAnsi="Arial" w:eastAsia="Arial" w:cs="Arial"/>
          <w:sz w:val="24"/>
          <w:szCs w:val="24"/>
        </w:rPr>
      </w:pPr>
      <w:r w:rsidRPr="6407B060" w:rsidR="12078A21">
        <w:rPr>
          <w:rFonts w:ascii="Arial" w:hAnsi="Arial" w:eastAsia="Arial" w:cs="Arial"/>
          <w:sz w:val="24"/>
          <w:szCs w:val="24"/>
        </w:rPr>
        <w:t>The investment of £50m is recovered between years 4 and 5.</w:t>
      </w:r>
    </w:p>
    <w:p w:rsidR="6FD541ED" w:rsidP="6407B060" w:rsidRDefault="6FD541ED" w14:paraId="7EAC1F21" w14:textId="3A1C6B88">
      <w:pPr>
        <w:pStyle w:val="Normal"/>
        <w:keepNext w:val="0"/>
        <w:keepLines w:val="0"/>
        <w:spacing w:line="360" w:lineRule="auto"/>
        <w:jc w:val="both"/>
        <w:rPr>
          <w:rFonts w:ascii="Arial" w:hAnsi="Arial" w:eastAsia="Arial" w:cs="Arial"/>
          <w:sz w:val="24"/>
          <w:szCs w:val="24"/>
        </w:rPr>
      </w:pPr>
      <w:r w:rsidRPr="6407B060" w:rsidR="6FD541ED">
        <w:rPr>
          <w:rFonts w:ascii="Arial" w:hAnsi="Arial" w:eastAsia="Arial" w:cs="Arial"/>
          <w:sz w:val="24"/>
          <w:szCs w:val="24"/>
        </w:rPr>
        <w:t>Project B</w:t>
      </w:r>
    </w:p>
    <w:p w:rsidR="6FD541ED" w:rsidP="6407B060" w:rsidRDefault="6FD541ED" w14:paraId="19CF8877" w14:textId="1D9A4D0A">
      <w:pPr>
        <w:pStyle w:val="Normal"/>
        <w:keepNext w:val="0"/>
        <w:keepLines w:val="0"/>
        <w:spacing w:line="360" w:lineRule="auto"/>
        <w:jc w:val="both"/>
      </w:pPr>
      <w:r w:rsidR="6FD541ED">
        <w:drawing>
          <wp:inline wp14:editId="69C00E04" wp14:anchorId="18BE8C7A">
            <wp:extent cx="2524477" cy="1297321"/>
            <wp:effectExtent l="0" t="0" r="0" b="0"/>
            <wp:docPr id="814144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4144495" name="Picture 814144495"/>
                    <pic:cNvPicPr/>
                  </pic:nvPicPr>
                  <pic:blipFill>
                    <a:blip xmlns:r="http://schemas.openxmlformats.org/officeDocument/2006/relationships" r:embed="rId1156961107">
                      <a:extLst>
                        <a:ext uri="{28A0092B-C50C-407E-A947-70E740481C1C}">
                          <a14:useLocalDpi xmlns:a14="http://schemas.microsoft.com/office/drawing/2010/main"/>
                        </a:ext>
                      </a:extLst>
                    </a:blip>
                    <a:stretch>
                      <a:fillRect/>
                    </a:stretch>
                  </pic:blipFill>
                  <pic:spPr>
                    <a:xfrm rot="0">
                      <a:off x="0" y="0"/>
                      <a:ext cx="2524477" cy="1297321"/>
                    </a:xfrm>
                    <a:prstGeom prst="rect">
                      <a:avLst/>
                    </a:prstGeom>
                  </pic:spPr>
                </pic:pic>
              </a:graphicData>
            </a:graphic>
          </wp:inline>
        </w:drawing>
      </w:r>
    </w:p>
    <w:p w:rsidR="359A5297" w:rsidP="6407B060" w:rsidRDefault="359A5297" w14:paraId="1652B8A4" w14:textId="41465682">
      <w:pPr>
        <w:pStyle w:val="Normal"/>
        <w:keepNext w:val="0"/>
        <w:keepLines w:val="0"/>
        <w:spacing w:line="360" w:lineRule="auto"/>
        <w:jc w:val="both"/>
        <w:rPr>
          <w:rFonts w:ascii="Arial" w:hAnsi="Arial" w:eastAsia="Arial" w:cs="Arial"/>
          <w:sz w:val="24"/>
          <w:szCs w:val="24"/>
        </w:rPr>
      </w:pPr>
      <w:r w:rsidRPr="6407B060" w:rsidR="359A5297">
        <w:rPr>
          <w:rFonts w:ascii="Arial" w:hAnsi="Arial" w:eastAsia="Arial" w:cs="Arial"/>
          <w:sz w:val="24"/>
          <w:szCs w:val="24"/>
        </w:rPr>
        <w:t>Figure 18: PBP Project B</w:t>
      </w:r>
    </w:p>
    <w:p w:rsidR="6407B060" w:rsidP="6407B060" w:rsidRDefault="6407B060" w14:paraId="0AB1C064" w14:textId="502839CC">
      <w:pPr>
        <w:pStyle w:val="Normal"/>
        <w:keepNext w:val="0"/>
        <w:keepLines w:val="0"/>
        <w:spacing w:line="360" w:lineRule="auto"/>
        <w:jc w:val="both"/>
      </w:pPr>
      <m:oMathPara xmlns:m="http://schemas.openxmlformats.org/officeDocument/2006/math">
        <m:oMath xmlns:m="http://schemas.openxmlformats.org/officeDocument/2006/math">
          <m:r xmlns:m="http://schemas.openxmlformats.org/officeDocument/2006/math">
            <m:t xmlns:m="http://schemas.openxmlformats.org/officeDocument/2006/math">𝑃𝐵𝑃</m:t>
          </m:r>
          <m:r xmlns:m="http://schemas.openxmlformats.org/officeDocument/2006/math">
            <m:t xmlns:m="http://schemas.openxmlformats.org/officeDocument/2006/math">=4+</m:t>
          </m:r>
          <m:f xmlns:m="http://schemas.openxmlformats.org/officeDocument/2006/math">
            <m:fPr>
              <m:ctrlPr/>
            </m:fPr>
            <m:num>
              <m:r>
                <m:t>50−44</m:t>
              </m:r>
            </m:num>
            <m:den>
              <m:r>
                <m:t>11</m:t>
              </m:r>
            </m:den>
          </m:f>
          <m:r xmlns:m="http://schemas.openxmlformats.org/officeDocument/2006/math">
            <m:t xmlns:m="http://schemas.openxmlformats.org/officeDocument/2006/math">=4.55 </m:t>
          </m:r>
          <m:r xmlns:m="http://schemas.openxmlformats.org/officeDocument/2006/math">
            <m:t xmlns:m="http://schemas.openxmlformats.org/officeDocument/2006/math">𝑦𝑒𝑎𝑟𝑠</m:t>
          </m:r>
        </m:oMath>
      </m:oMathPara>
    </w:p>
    <w:p w:rsidR="086AA293" w:rsidP="6407B060" w:rsidRDefault="086AA293" w14:paraId="765D0EE9" w14:textId="47B3F42D">
      <w:pPr>
        <w:pStyle w:val="Normal"/>
        <w:keepNext w:val="0"/>
        <w:keepLines w:val="0"/>
        <w:spacing w:line="360" w:lineRule="auto"/>
        <w:jc w:val="both"/>
        <w:rPr>
          <w:rFonts w:ascii="Arial" w:hAnsi="Arial" w:eastAsia="Arial" w:cs="Arial"/>
          <w:sz w:val="24"/>
          <w:szCs w:val="24"/>
        </w:rPr>
      </w:pPr>
      <w:r w:rsidRPr="6407B060" w:rsidR="086AA293">
        <w:rPr>
          <w:rFonts w:ascii="Arial" w:hAnsi="Arial" w:eastAsia="Arial" w:cs="Arial"/>
          <w:sz w:val="24"/>
          <w:szCs w:val="24"/>
        </w:rPr>
        <w:t>Project C</w:t>
      </w:r>
    </w:p>
    <w:p w:rsidR="6407B060" w:rsidP="6407B060" w:rsidRDefault="6407B060" w14:paraId="3D3179D3" w14:textId="5D49F41A">
      <w:pPr>
        <w:pStyle w:val="Normal"/>
        <w:keepNext w:val="0"/>
        <w:keepLines w:val="0"/>
        <w:spacing w:line="360" w:lineRule="auto"/>
        <w:jc w:val="both"/>
        <w:rPr>
          <w:rFonts w:ascii="Arial" w:hAnsi="Arial" w:eastAsia="Arial" w:cs="Arial"/>
          <w:sz w:val="24"/>
          <w:szCs w:val="24"/>
        </w:rPr>
      </w:pPr>
      <m:oMathPara xmlns:m="http://schemas.openxmlformats.org/officeDocument/2006/math">
        <m:oMath xmlns:m="http://schemas.openxmlformats.org/officeDocument/2006/math">
          <m:r xmlns:m="http://schemas.openxmlformats.org/officeDocument/2006/math">
            <m:t xmlns:m="http://schemas.openxmlformats.org/officeDocument/2006/math">𝑃𝐵𝑃</m:t>
          </m:r>
          <m:r xmlns:m="http://schemas.openxmlformats.org/officeDocument/2006/math">
            <m:t xmlns:m="http://schemas.openxmlformats.org/officeDocument/2006/math">=3+</m:t>
          </m:r>
          <m:f xmlns:m="http://schemas.openxmlformats.org/officeDocument/2006/math">
            <m:fPr>
              <m:ctrlPr/>
            </m:fPr>
            <m:num>
              <m:r>
                <m:t>50−35</m:t>
              </m:r>
            </m:num>
            <m:den>
              <m:r>
                <m:t>25</m:t>
              </m:r>
            </m:den>
          </m:f>
          <m:r xmlns:m="http://schemas.openxmlformats.org/officeDocument/2006/math">
            <m:t xmlns:m="http://schemas.openxmlformats.org/officeDocument/2006/math">=3.6 </m:t>
          </m:r>
          <m:r xmlns:m="http://schemas.openxmlformats.org/officeDocument/2006/math">
            <m:t xmlns:m="http://schemas.openxmlformats.org/officeDocument/2006/math">𝑦𝑒𝑎𝑟𝑠</m:t>
          </m:r>
        </m:oMath>
      </m:oMathPara>
    </w:p>
    <w:p w:rsidR="6407B060" w:rsidP="6407B060" w:rsidRDefault="6407B060" w14:paraId="7CE567A0" w14:textId="70B978B9">
      <w:pPr>
        <w:pStyle w:val="Normal"/>
        <w:keepNext w:val="0"/>
        <w:keepLines w:val="0"/>
        <w:spacing w:line="360" w:lineRule="auto"/>
        <w:jc w:val="both"/>
        <w:rPr>
          <w:rFonts w:ascii="Arial" w:hAnsi="Arial" w:eastAsia="Arial" w:cs="Arial"/>
          <w:sz w:val="24"/>
          <w:szCs w:val="24"/>
        </w:rPr>
      </w:pPr>
    </w:p>
    <w:p w:rsidR="086AA293" w:rsidP="6407B060" w:rsidRDefault="086AA293" w14:paraId="29A03963" w14:textId="31BAF1F7">
      <w:pPr>
        <w:pStyle w:val="Normal"/>
        <w:keepNext w:val="0"/>
        <w:keepLines w:val="0"/>
        <w:spacing w:line="360" w:lineRule="auto"/>
        <w:jc w:val="both"/>
      </w:pPr>
      <w:r w:rsidR="086AA293">
        <w:drawing>
          <wp:inline wp14:editId="2B1A863F" wp14:anchorId="73D59C05">
            <wp:extent cx="2740030" cy="1314981"/>
            <wp:effectExtent l="0" t="0" r="0" b="0"/>
            <wp:docPr id="16745585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4558588" name="Picture 1674558588"/>
                    <pic:cNvPicPr/>
                  </pic:nvPicPr>
                  <pic:blipFill>
                    <a:blip xmlns:r="http://schemas.openxmlformats.org/officeDocument/2006/relationships" r:embed="rId816094468">
                      <a:extLst>
                        <a:ext uri="{28A0092B-C50C-407E-A947-70E740481C1C}">
                          <a14:useLocalDpi xmlns:a14="http://schemas.microsoft.com/office/drawing/2010/main"/>
                        </a:ext>
                      </a:extLst>
                    </a:blip>
                    <a:stretch>
                      <a:fillRect/>
                    </a:stretch>
                  </pic:blipFill>
                  <pic:spPr>
                    <a:xfrm rot="0">
                      <a:off x="0" y="0"/>
                      <a:ext cx="2740030" cy="1314981"/>
                    </a:xfrm>
                    <a:prstGeom prst="rect">
                      <a:avLst/>
                    </a:prstGeom>
                  </pic:spPr>
                </pic:pic>
              </a:graphicData>
            </a:graphic>
          </wp:inline>
        </w:drawing>
      </w:r>
    </w:p>
    <w:p w:rsidR="507B0784" w:rsidP="6407B060" w:rsidRDefault="507B0784" w14:paraId="19FDCA10" w14:textId="1016908D">
      <w:pPr>
        <w:pStyle w:val="Normal"/>
        <w:keepNext w:val="0"/>
        <w:keepLines w:val="0"/>
        <w:spacing w:line="360" w:lineRule="auto"/>
        <w:jc w:val="both"/>
        <w:rPr>
          <w:rFonts w:ascii="Arial" w:hAnsi="Arial" w:eastAsia="Arial" w:cs="Arial"/>
          <w:sz w:val="24"/>
          <w:szCs w:val="24"/>
        </w:rPr>
      </w:pPr>
      <w:r w:rsidRPr="6407B060" w:rsidR="507B0784">
        <w:rPr>
          <w:rFonts w:ascii="Arial" w:hAnsi="Arial" w:eastAsia="Arial" w:cs="Arial"/>
          <w:sz w:val="24"/>
          <w:szCs w:val="24"/>
        </w:rPr>
        <w:t>Figure 19: PBP Project C</w:t>
      </w:r>
    </w:p>
    <w:p w:rsidR="6407B060" w:rsidP="6407B060" w:rsidRDefault="6407B060" w14:paraId="7CA955C1" w14:textId="7EDABCBA">
      <w:pPr>
        <w:pStyle w:val="Normal"/>
        <w:keepNext w:val="0"/>
        <w:keepLines w:val="0"/>
        <w:spacing w:line="360" w:lineRule="auto"/>
        <w:jc w:val="both"/>
      </w:pPr>
    </w:p>
    <w:p w:rsidR="1B51F25E" w:rsidP="6407B060" w:rsidRDefault="1B51F25E" w14:paraId="74FDA44C" w14:textId="1F5CF7F8">
      <w:pPr>
        <w:pStyle w:val="Normal"/>
        <w:keepNext w:val="0"/>
        <w:keepLines w:val="0"/>
        <w:spacing w:line="360" w:lineRule="auto"/>
        <w:jc w:val="both"/>
        <w:rPr>
          <w:rFonts w:ascii="Arial" w:hAnsi="Arial" w:eastAsia="Arial" w:cs="Arial"/>
          <w:sz w:val="24"/>
          <w:szCs w:val="24"/>
        </w:rPr>
      </w:pPr>
      <w:r w:rsidRPr="6407B060" w:rsidR="1B51F25E">
        <w:rPr>
          <w:rFonts w:ascii="Arial" w:hAnsi="Arial" w:eastAsia="Arial" w:cs="Arial"/>
          <w:sz w:val="24"/>
          <w:szCs w:val="24"/>
        </w:rPr>
        <w:t xml:space="preserve">Project C achieves the fastest payback period of approximately 3.6 years, significantly earlier than Projects A and B. From </w:t>
      </w:r>
      <w:r w:rsidRPr="6407B060" w:rsidR="1B51F25E">
        <w:rPr>
          <w:rFonts w:ascii="Arial" w:hAnsi="Arial" w:eastAsia="Arial" w:cs="Arial"/>
          <w:sz w:val="24"/>
          <w:szCs w:val="24"/>
        </w:rPr>
        <w:t>a financial management</w:t>
      </w:r>
      <w:r w:rsidRPr="6407B060" w:rsidR="1B51F25E">
        <w:rPr>
          <w:rFonts w:ascii="Arial" w:hAnsi="Arial" w:eastAsia="Arial" w:cs="Arial"/>
          <w:sz w:val="24"/>
          <w:szCs w:val="24"/>
        </w:rPr>
        <w:t xml:space="preserve"> perspective, a shorter payback period reduces investment risk and improves liquidity by allowing capital to be recovered and reinvested more quickly. This is particularly </w:t>
      </w:r>
      <w:r w:rsidRPr="6407B060" w:rsidR="1B51F25E">
        <w:rPr>
          <w:rFonts w:ascii="Arial" w:hAnsi="Arial" w:eastAsia="Arial" w:cs="Arial"/>
          <w:sz w:val="24"/>
          <w:szCs w:val="24"/>
        </w:rPr>
        <w:t>advantageous</w:t>
      </w:r>
      <w:r w:rsidRPr="6407B060" w:rsidR="1B51F25E">
        <w:rPr>
          <w:rFonts w:ascii="Arial" w:hAnsi="Arial" w:eastAsia="Arial" w:cs="Arial"/>
          <w:sz w:val="24"/>
          <w:szCs w:val="24"/>
        </w:rPr>
        <w:t xml:space="preserve"> for Volkswagen Group, which must </w:t>
      </w:r>
      <w:r w:rsidRPr="6407B060" w:rsidR="1B51F25E">
        <w:rPr>
          <w:rFonts w:ascii="Arial" w:hAnsi="Arial" w:eastAsia="Arial" w:cs="Arial"/>
          <w:sz w:val="24"/>
          <w:szCs w:val="24"/>
        </w:rPr>
        <w:t>allocate</w:t>
      </w:r>
      <w:r w:rsidRPr="6407B060" w:rsidR="1B51F25E">
        <w:rPr>
          <w:rFonts w:ascii="Arial" w:hAnsi="Arial" w:eastAsia="Arial" w:cs="Arial"/>
          <w:sz w:val="24"/>
          <w:szCs w:val="24"/>
        </w:rPr>
        <w:t xml:space="preserve"> substantial financial resources toward electrification and technological innovation in the highly competitive EV market.</w:t>
      </w:r>
    </w:p>
    <w:p w:rsidR="1B51F25E" w:rsidP="6407B060" w:rsidRDefault="1B51F25E" w14:paraId="676EA7F0" w14:textId="616EC847">
      <w:pPr>
        <w:pStyle w:val="Heading2"/>
        <w:keepNext w:val="0"/>
        <w:keepLines w:val="0"/>
        <w:spacing w:line="360" w:lineRule="auto"/>
        <w:rPr>
          <w:rFonts w:ascii="Arial" w:hAnsi="Arial" w:eastAsia="Arial" w:cs="Arial"/>
          <w:sz w:val="28"/>
          <w:szCs w:val="28"/>
        </w:rPr>
      </w:pPr>
      <w:bookmarkStart w:name="_Toc1296441266" w:id="583711960"/>
      <w:r w:rsidRPr="6407B060" w:rsidR="1B51F25E">
        <w:rPr>
          <w:rFonts w:ascii="Arial" w:hAnsi="Arial" w:eastAsia="Arial" w:cs="Arial"/>
          <w:sz w:val="28"/>
          <w:szCs w:val="28"/>
        </w:rPr>
        <w:t>4.2 Accounting Rate of Return (ARR)</w:t>
      </w:r>
      <w:bookmarkEnd w:id="583711960"/>
    </w:p>
    <w:p w:rsidR="19F173D4" w:rsidP="6407B060" w:rsidRDefault="19F173D4" w14:paraId="4ECA350E" w14:textId="1C16BB9D">
      <w:pPr>
        <w:pStyle w:val="Normal"/>
        <w:keepNext w:val="0"/>
        <w:keepLines w:val="0"/>
        <w:spacing w:line="360" w:lineRule="auto"/>
        <w:rPr>
          <w:rFonts w:ascii="Arial" w:hAnsi="Arial" w:eastAsia="Arial" w:cs="Arial"/>
          <w:sz w:val="24"/>
          <w:szCs w:val="24"/>
        </w:rPr>
      </w:pPr>
      <w:r w:rsidRPr="6407B060" w:rsidR="19F173D4">
        <w:rPr>
          <w:rFonts w:ascii="Arial" w:hAnsi="Arial" w:eastAsia="Arial" w:cs="Arial"/>
          <w:sz w:val="24"/>
          <w:szCs w:val="24"/>
        </w:rPr>
        <w:t>ARR measures profitability based on accounting profit rather than cash flows.</w:t>
      </w:r>
    </w:p>
    <w:p w:rsidR="75F98943" w:rsidP="6407B060" w:rsidRDefault="75F98943" w14:paraId="3D224F51" w14:textId="5DF9F240">
      <w:pPr>
        <w:pStyle w:val="Normal"/>
        <w:keepNext w:val="0"/>
        <w:keepLines w:val="0"/>
        <w:spacing w:line="360" w:lineRule="auto"/>
        <w:rPr>
          <w:rFonts w:ascii="Arial" w:hAnsi="Arial" w:eastAsia="Arial" w:cs="Arial"/>
          <w:sz w:val="24"/>
          <w:szCs w:val="24"/>
        </w:rPr>
      </w:pPr>
      <w:r w:rsidRPr="6407B060" w:rsidR="75F98943">
        <w:rPr>
          <w:rFonts w:ascii="Arial" w:hAnsi="Arial" w:eastAsia="Arial" w:cs="Arial"/>
          <w:sz w:val="24"/>
          <w:szCs w:val="24"/>
        </w:rPr>
        <w:t>Project A</w:t>
      </w:r>
    </w:p>
    <w:p w:rsidR="2FBF4375" w:rsidP="6407B060" w:rsidRDefault="2FBF4375" w14:paraId="1E265A00" w14:textId="30B3C879">
      <w:pPr>
        <w:pStyle w:val="Normal"/>
        <w:keepNext w:val="0"/>
        <w:keepLines w:val="0"/>
        <w:spacing w:line="360" w:lineRule="auto"/>
        <w:rPr>
          <w:rFonts w:ascii="Arial" w:hAnsi="Arial" w:eastAsia="Arial" w:cs="Arial"/>
          <w:sz w:val="24"/>
          <w:szCs w:val="24"/>
        </w:rPr>
      </w:pPr>
      <w:r w:rsidRPr="6407B060" w:rsidR="2FBF4375">
        <w:rPr>
          <w:rFonts w:ascii="Arial" w:hAnsi="Arial" w:eastAsia="Arial" w:cs="Arial"/>
          <w:sz w:val="24"/>
          <w:szCs w:val="24"/>
        </w:rPr>
        <w:t xml:space="preserve">Straight-line depreciation: </w:t>
      </w:r>
      <m:oMathPara xmlns:m="http://schemas.openxmlformats.org/officeDocument/2006/math">
        <m:oMath xmlns:m="http://schemas.openxmlformats.org/officeDocument/2006/math">
          <m:r xmlns:m="http://schemas.openxmlformats.org/officeDocument/2006/math">
            <m:t xmlns:m="http://schemas.openxmlformats.org/officeDocument/2006/math">𝐷𝑒𝑝𝑟𝑒𝑐𝑖𝑎𝑡𝑖𝑜𝑛</m:t>
          </m:r>
          <m:r xmlns:m="http://schemas.openxmlformats.org/officeDocument/2006/math">
            <m:t xmlns:m="http://schemas.openxmlformats.org/officeDocument/2006/math">=</m:t>
          </m:r>
          <m:f xmlns:m="http://schemas.openxmlformats.org/officeDocument/2006/math">
            <m:fPr>
              <m:ctrlPr/>
            </m:fPr>
            <m:num>
              <m:r>
                <m:t>50</m:t>
              </m:r>
            </m:num>
            <m:den>
              <m:r>
                <m:t>5</m:t>
              </m:r>
            </m:den>
          </m:f>
          <m:r xmlns:m="http://schemas.openxmlformats.org/officeDocument/2006/math">
            <m:t xmlns:m="http://schemas.openxmlformats.org/officeDocument/2006/math">=10 </m:t>
          </m:r>
          <m:r xmlns:m="http://schemas.openxmlformats.org/officeDocument/2006/math">
            <m:t xmlns:m="http://schemas.openxmlformats.org/officeDocument/2006/math">𝑚𝑖𝑙𝑙𝑖𝑜𝑛</m:t>
          </m:r>
          <m:r xmlns:m="http://schemas.openxmlformats.org/officeDocument/2006/math">
            <m:t xmlns:m="http://schemas.openxmlformats.org/officeDocument/2006/math"> </m:t>
          </m:r>
          <m:r xmlns:m="http://schemas.openxmlformats.org/officeDocument/2006/math">
            <m:t xmlns:m="http://schemas.openxmlformats.org/officeDocument/2006/math">𝑝𝑒𝑟</m:t>
          </m:r>
          <m:r xmlns:m="http://schemas.openxmlformats.org/officeDocument/2006/math">
            <m:t xmlns:m="http://schemas.openxmlformats.org/officeDocument/2006/math"> </m:t>
          </m:r>
          <m:r xmlns:m="http://schemas.openxmlformats.org/officeDocument/2006/math">
            <m:t xmlns:m="http://schemas.openxmlformats.org/officeDocument/2006/math">𝑦𝑒𝑎𝑟</m:t>
          </m:r>
        </m:oMath>
      </m:oMathPara>
    </w:p>
    <w:p w:rsidR="666958A1" w:rsidP="6407B060" w:rsidRDefault="666958A1" w14:paraId="79F2F17A" w14:textId="21712028">
      <w:pPr>
        <w:pStyle w:val="Normal"/>
        <w:keepNext w:val="0"/>
        <w:keepLines w:val="0"/>
        <w:spacing w:line="360" w:lineRule="auto"/>
      </w:pPr>
      <w:r w:rsidR="666958A1">
        <w:drawing>
          <wp:inline wp14:editId="5408E15A" wp14:anchorId="47A94C22">
            <wp:extent cx="2295846" cy="1448349"/>
            <wp:effectExtent l="0" t="0" r="0" b="0"/>
            <wp:docPr id="648951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8951399" name="Picture 648951399"/>
                    <pic:cNvPicPr/>
                  </pic:nvPicPr>
                  <pic:blipFill>
                    <a:blip xmlns:r="http://schemas.openxmlformats.org/officeDocument/2006/relationships" r:embed="rId390038308">
                      <a:extLst>
                        <a:ext uri="{28A0092B-C50C-407E-A947-70E740481C1C}">
                          <a14:useLocalDpi xmlns:a14="http://schemas.microsoft.com/office/drawing/2010/main"/>
                        </a:ext>
                      </a:extLst>
                    </a:blip>
                    <a:stretch>
                      <a:fillRect/>
                    </a:stretch>
                  </pic:blipFill>
                  <pic:spPr>
                    <a:xfrm rot="0">
                      <a:off x="0" y="0"/>
                      <a:ext cx="2295846" cy="1448349"/>
                    </a:xfrm>
                    <a:prstGeom prst="rect">
                      <a:avLst/>
                    </a:prstGeom>
                  </pic:spPr>
                </pic:pic>
              </a:graphicData>
            </a:graphic>
          </wp:inline>
        </w:drawing>
      </w:r>
    </w:p>
    <w:p w:rsidR="4401F474" w:rsidP="6407B060" w:rsidRDefault="4401F474" w14:paraId="336CAF47" w14:textId="2D454012">
      <w:pPr>
        <w:pStyle w:val="Normal"/>
        <w:keepNext w:val="0"/>
        <w:keepLines w:val="0"/>
        <w:spacing w:line="360" w:lineRule="auto"/>
        <w:rPr>
          <w:rFonts w:ascii="Arial" w:hAnsi="Arial" w:eastAsia="Arial" w:cs="Arial"/>
          <w:sz w:val="24"/>
          <w:szCs w:val="24"/>
        </w:rPr>
      </w:pPr>
      <w:r w:rsidRPr="6407B060" w:rsidR="4401F474">
        <w:rPr>
          <w:rFonts w:ascii="Arial" w:hAnsi="Arial" w:eastAsia="Arial" w:cs="Arial"/>
          <w:sz w:val="24"/>
          <w:szCs w:val="24"/>
        </w:rPr>
        <w:t>Figure 20:</w:t>
      </w:r>
      <w:r w:rsidRPr="6407B060" w:rsidR="4401F474">
        <w:rPr>
          <w:rFonts w:ascii="Arial" w:hAnsi="Arial" w:eastAsia="Arial" w:cs="Arial"/>
          <w:sz w:val="24"/>
          <w:szCs w:val="24"/>
        </w:rPr>
        <w:t xml:space="preserve"> ARR Project A</w:t>
      </w:r>
    </w:p>
    <w:p w:rsidR="01D78270" w:rsidP="6407B060" w:rsidRDefault="01D78270" w14:paraId="72B9196B" w14:textId="7AA339D8">
      <w:pPr>
        <w:keepNext w:val="0"/>
        <w:keepLines w:val="0"/>
        <w:spacing w:before="240" w:beforeAutospacing="off" w:after="240" w:afterAutospacing="off" w:line="360" w:lineRule="auto"/>
        <w:rPr>
          <w:rFonts w:ascii="Arial" w:hAnsi="Arial" w:eastAsia="Arial" w:cs="Arial"/>
          <w:sz w:val="24"/>
          <w:szCs w:val="24"/>
        </w:rPr>
      </w:pPr>
      <w:r w:rsidRPr="6407B060" w:rsidR="01D78270">
        <w:rPr>
          <w:rFonts w:ascii="Arial" w:hAnsi="Arial" w:eastAsia="Arial" w:cs="Arial"/>
          <w:sz w:val="24"/>
          <w:szCs w:val="24"/>
        </w:rPr>
        <w:t>Average pro</w:t>
      </w:r>
      <w:r w:rsidRPr="6407B060" w:rsidR="243CBB97">
        <w:rPr>
          <w:rFonts w:ascii="Arial" w:hAnsi="Arial" w:eastAsia="Arial" w:cs="Arial"/>
          <w:sz w:val="24"/>
          <w:szCs w:val="24"/>
        </w:rPr>
        <w:t xml:space="preserve">fit:                   </w:t>
      </w:r>
      <m:oMathPara xmlns:m="http://schemas.openxmlformats.org/officeDocument/2006/math">
        <m:oMath xmlns:m="http://schemas.openxmlformats.org/officeDocument/2006/math">
          <m:f xmlns:m="http://schemas.openxmlformats.org/officeDocument/2006/math">
            <m:fPr>
              <m:ctrlPr/>
            </m:fPr>
            <m:num>
              <m:r>
                <m:t>0+2+4+0−2</m:t>
              </m:r>
            </m:num>
            <m:den>
              <m:r>
                <m:t>5</m:t>
              </m:r>
            </m:den>
          </m:f>
          <m:r xmlns:m="http://schemas.openxmlformats.org/officeDocument/2006/math">
            <m:t xmlns:m="http://schemas.openxmlformats.org/officeDocument/2006/math">=0.8</m:t>
          </m:r>
        </m:oMath>
      </m:oMathPara>
      <m:oMathPara xmlns:m="http://schemas.openxmlformats.org/officeDocument/2006/math">
        <m:oMath xmlns:m="http://schemas.openxmlformats.org/officeDocument/2006/math">
          <m:r xmlns:m="http://schemas.openxmlformats.org/officeDocument/2006/math">
            <m:t xmlns:m="http://schemas.openxmlformats.org/officeDocument/2006/math">𝐴𝑅𝑅</m:t>
          </m:r>
          <m:r xmlns:m="http://schemas.openxmlformats.org/officeDocument/2006/math">
            <m:t xmlns:m="http://schemas.openxmlformats.org/officeDocument/2006/math">=</m:t>
          </m:r>
          <m:f xmlns:m="http://schemas.openxmlformats.org/officeDocument/2006/math">
            <m:fPr>
              <m:ctrlPr/>
            </m:fPr>
            <m:num>
              <m:r>
                <m:t>𝐴𝑣𝑒𝑟𝑎𝑔𝑒</m:t>
              </m:r>
              <m:r>
                <m:t> </m:t>
              </m:r>
              <m:r>
                <m:t>𝑎𝑛𝑛𝑢𝑎𝑙</m:t>
              </m:r>
              <m:r>
                <m:t> </m:t>
              </m:r>
              <m:r>
                <m:t>𝑜𝑝𝑒𝑟𝑎𝑡𝑖𝑛𝑔</m:t>
              </m:r>
              <m:r>
                <m:t> </m:t>
              </m:r>
              <m:r>
                <m:t>𝑝𝑟𝑜𝑓𝑖𝑡</m:t>
              </m:r>
            </m:num>
            <m:den>
              <m:r>
                <m:t>𝐼𝑛𝑖𝑡𝑖𝑎𝑙</m:t>
              </m:r>
              <m:r>
                <m:t> </m:t>
              </m:r>
              <m:r>
                <m:t>𝐼𝑛𝑣𝑒𝑠𝑡𝑚𝑒𝑛𝑡</m:t>
              </m:r>
              <m:r>
                <m:t> </m:t>
              </m:r>
              <m:r>
                <m:t>𝑜𝑟</m:t>
              </m:r>
              <m:r>
                <m:t> </m:t>
              </m:r>
              <m:r>
                <m:t>𝐴𝑣𝑒𝑟𝑎𝑔𝑒</m:t>
              </m:r>
              <m:r>
                <m:t> </m:t>
              </m:r>
              <m:r>
                <m:t>𝐼𝑛𝑣𝑒𝑠𝑡𝑚𝑒𝑛𝑡</m:t>
              </m:r>
            </m:den>
          </m:f>
          <m:r xmlns:m="http://schemas.openxmlformats.org/officeDocument/2006/math">
            <m:t xmlns:m="http://schemas.openxmlformats.org/officeDocument/2006/math"> </m:t>
          </m:r>
        </m:oMath>
      </m:oMathPara>
      <w:r w:rsidRPr="6407B060" w:rsidR="025D3BCC">
        <w:rPr>
          <w:rFonts w:ascii="Arial" w:hAnsi="Arial" w:eastAsia="Arial" w:cs="Arial"/>
          <w:sz w:val="24"/>
          <w:szCs w:val="24"/>
        </w:rPr>
        <w:t>× 100%</w:t>
      </w:r>
    </w:p>
    <w:p w:rsidR="025D3BCC" w:rsidP="6407B060" w:rsidRDefault="025D3BCC" w14:paraId="78B745CA" w14:textId="161A032D">
      <w:pPr>
        <w:pStyle w:val="Normal"/>
        <w:keepNext w:val="0"/>
        <w:keepLines w:val="0"/>
        <w:spacing w:before="240" w:beforeAutospacing="off" w:after="240" w:afterAutospacing="off" w:line="360" w:lineRule="auto"/>
        <w:rPr>
          <w:rFonts w:ascii="Arial" w:hAnsi="Arial" w:eastAsia="Arial" w:cs="Arial"/>
          <w:sz w:val="24"/>
          <w:szCs w:val="24"/>
        </w:rPr>
      </w:pPr>
      <w:r w:rsidRPr="6407B060" w:rsidR="025D3BCC">
        <w:rPr>
          <w:rFonts w:ascii="Arial" w:hAnsi="Arial" w:eastAsia="Arial" w:cs="Arial"/>
          <w:sz w:val="24"/>
          <w:szCs w:val="24"/>
        </w:rPr>
        <w:t xml:space="preserve">ARR= </w:t>
      </w:r>
      <m:oMathPara xmlns:m="http://schemas.openxmlformats.org/officeDocument/2006/math">
        <m:oMath xmlns:m="http://schemas.openxmlformats.org/officeDocument/2006/math">
          <m:f xmlns:m="http://schemas.openxmlformats.org/officeDocument/2006/math">
            <m:fPr>
              <m:ctrlPr/>
            </m:fPr>
            <m:num>
              <m:r>
                <m:t>0.8</m:t>
              </m:r>
            </m:num>
            <m:den>
              <m:r>
                <m:t>50</m:t>
              </m:r>
            </m:den>
          </m:f>
          <m:r xmlns:m="http://schemas.openxmlformats.org/officeDocument/2006/math">
            <m:t xmlns:m="http://schemas.openxmlformats.org/officeDocument/2006/math">=1.6  </m:t>
          </m:r>
        </m:oMath>
      </m:oMathPara>
      <w:r w:rsidRPr="6407B060" w:rsidR="1750BBCF">
        <w:rPr>
          <w:rFonts w:ascii="Arial" w:hAnsi="Arial" w:eastAsia="Arial" w:cs="Arial"/>
          <w:sz w:val="24"/>
          <w:szCs w:val="24"/>
        </w:rPr>
        <w:t xml:space="preserve">                 </w:t>
      </w:r>
      <w:r w:rsidRPr="6407B060" w:rsidR="383334B8">
        <w:rPr>
          <w:rFonts w:ascii="Arial" w:hAnsi="Arial" w:eastAsia="Arial" w:cs="Arial"/>
          <w:sz w:val="24"/>
          <w:szCs w:val="24"/>
        </w:rPr>
        <w:t>%</w:t>
      </w:r>
    </w:p>
    <w:p w:rsidR="383334B8" w:rsidP="6407B060" w:rsidRDefault="383334B8" w14:paraId="236023DF" w14:textId="0D8A2101">
      <w:pPr>
        <w:keepNext w:val="0"/>
        <w:keepLines w:val="0"/>
        <w:spacing w:before="240" w:beforeAutospacing="off" w:after="240" w:afterAutospacing="off" w:line="360" w:lineRule="auto"/>
        <w:rPr>
          <w:rFonts w:ascii="Arial" w:hAnsi="Arial" w:eastAsia="Arial" w:cs="Arial"/>
          <w:sz w:val="24"/>
          <w:szCs w:val="24"/>
        </w:rPr>
      </w:pPr>
      <w:r w:rsidRPr="6407B060" w:rsidR="383334B8">
        <w:rPr>
          <w:rFonts w:ascii="Arial" w:hAnsi="Arial" w:eastAsia="Arial" w:cs="Arial"/>
          <w:sz w:val="24"/>
          <w:szCs w:val="24"/>
        </w:rPr>
        <w:t xml:space="preserve">Project B </w:t>
      </w:r>
    </w:p>
    <w:p w:rsidR="078857DE" w:rsidP="6407B060" w:rsidRDefault="078857DE" w14:paraId="2817C4D5" w14:textId="55016662">
      <w:pPr>
        <w:pStyle w:val="Normal"/>
        <w:keepNext w:val="0"/>
        <w:keepLines w:val="0"/>
        <w:spacing w:before="240" w:beforeAutospacing="off" w:after="240" w:afterAutospacing="off" w:line="360" w:lineRule="auto"/>
        <w:rPr>
          <w:rFonts w:ascii="Arial" w:hAnsi="Arial" w:eastAsia="Arial" w:cs="Arial"/>
          <w:b w:val="0"/>
          <w:bCs w:val="0"/>
          <w:sz w:val="24"/>
          <w:szCs w:val="24"/>
        </w:rPr>
      </w:pPr>
      <w:r w:rsidRPr="6407B060" w:rsidR="078857DE">
        <w:rPr>
          <w:rFonts w:ascii="Arial" w:hAnsi="Arial" w:eastAsia="Arial" w:cs="Arial"/>
          <w:b w:val="0"/>
          <w:bCs w:val="0"/>
          <w:sz w:val="24"/>
          <w:szCs w:val="24"/>
        </w:rPr>
        <w:t>Average profit = 1</w:t>
      </w:r>
      <w:r w:rsidRPr="6407B060" w:rsidR="58EA44D9">
        <w:rPr>
          <w:rFonts w:ascii="Arial" w:hAnsi="Arial" w:eastAsia="Arial" w:cs="Arial"/>
          <w:b w:val="0"/>
          <w:bCs w:val="0"/>
          <w:sz w:val="24"/>
          <w:szCs w:val="24"/>
        </w:rPr>
        <w:t xml:space="preserve"> </w:t>
      </w:r>
    </w:p>
    <w:p w:rsidR="6407B060" w:rsidP="6407B060" w:rsidRDefault="6407B060" w14:paraId="66B3D7FE" w14:textId="073A61BC">
      <w:pPr>
        <w:pStyle w:val="Normal"/>
        <w:keepNext w:val="0"/>
        <w:keepLines w:val="0"/>
        <w:spacing w:before="240" w:beforeAutospacing="off" w:after="240" w:afterAutospacing="off" w:line="360" w:lineRule="auto"/>
        <w:rPr>
          <w:rFonts w:ascii="Arial" w:hAnsi="Arial" w:eastAsia="Arial" w:cs="Arial"/>
          <w:b w:val="0"/>
          <w:bCs w:val="0"/>
          <w:sz w:val="24"/>
          <w:szCs w:val="24"/>
        </w:rPr>
      </w:pPr>
      <m:oMathPara xmlns:m="http://schemas.openxmlformats.org/officeDocument/2006/math">
        <m:oMath xmlns:m="http://schemas.openxmlformats.org/officeDocument/2006/math">
          <m:r xmlns:m="http://schemas.openxmlformats.org/officeDocument/2006/math">
            <m:t xmlns:m="http://schemas.openxmlformats.org/officeDocument/2006/math">𝐴𝑅𝑅</m:t>
          </m:r>
          <m:r xmlns:m="http://schemas.openxmlformats.org/officeDocument/2006/math">
            <m:t xmlns:m="http://schemas.openxmlformats.org/officeDocument/2006/math">=</m:t>
          </m:r>
          <m:f xmlns:m="http://schemas.openxmlformats.org/officeDocument/2006/math">
            <m:fPr>
              <m:ctrlPr/>
            </m:fPr>
            <m:num>
              <m:r>
                <m:t>1</m:t>
              </m:r>
            </m:num>
            <m:den>
              <m:r>
                <m:t>50</m:t>
              </m:r>
            </m:den>
          </m:f>
          <m:r xmlns:m="http://schemas.openxmlformats.org/officeDocument/2006/math">
            <m:t xmlns:m="http://schemas.openxmlformats.org/officeDocument/2006/math">=2  </m:t>
          </m:r>
        </m:oMath>
      </m:oMathPara>
      <w:r w:rsidRPr="6407B060" w:rsidR="573D2739">
        <w:rPr>
          <w:rFonts w:ascii="Arial" w:hAnsi="Arial" w:eastAsia="Arial" w:cs="Arial"/>
          <w:b w:val="0"/>
          <w:bCs w:val="0"/>
          <w:sz w:val="24"/>
          <w:szCs w:val="24"/>
        </w:rPr>
        <w:t>%</w:t>
      </w:r>
    </w:p>
    <w:p w:rsidR="1181A8A8" w:rsidP="6407B060" w:rsidRDefault="1181A8A8" w14:paraId="4E9A7A40" w14:textId="6857FE42">
      <w:pPr>
        <w:pStyle w:val="Normal"/>
        <w:keepNext w:val="0"/>
        <w:keepLines w:val="0"/>
        <w:spacing w:before="240" w:beforeAutospacing="off" w:after="240" w:afterAutospacing="off" w:line="360" w:lineRule="auto"/>
      </w:pPr>
      <w:r w:rsidR="1181A8A8">
        <w:drawing>
          <wp:inline wp14:editId="1E29E0D4" wp14:anchorId="27E594EC">
            <wp:extent cx="2743582" cy="1503937"/>
            <wp:effectExtent l="0" t="0" r="0" b="0"/>
            <wp:docPr id="13097460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9746037" name="Picture 1309746037"/>
                    <pic:cNvPicPr/>
                  </pic:nvPicPr>
                  <pic:blipFill>
                    <a:blip xmlns:r="http://schemas.openxmlformats.org/officeDocument/2006/relationships" r:embed="rId2058321493">
                      <a:extLst>
                        <a:ext uri="{28A0092B-C50C-407E-A947-70E740481C1C}">
                          <a14:useLocalDpi xmlns:a14="http://schemas.microsoft.com/office/drawing/2010/main"/>
                        </a:ext>
                      </a:extLst>
                    </a:blip>
                    <a:stretch>
                      <a:fillRect/>
                    </a:stretch>
                  </pic:blipFill>
                  <pic:spPr>
                    <a:xfrm rot="0">
                      <a:off x="0" y="0"/>
                      <a:ext cx="2743582" cy="1503937"/>
                    </a:xfrm>
                    <a:prstGeom prst="rect">
                      <a:avLst/>
                    </a:prstGeom>
                  </pic:spPr>
                </pic:pic>
              </a:graphicData>
            </a:graphic>
          </wp:inline>
        </w:drawing>
      </w:r>
    </w:p>
    <w:p w:rsidR="6A68FB41" w:rsidP="6407B060" w:rsidRDefault="6A68FB41" w14:paraId="44243334" w14:textId="17BFF057">
      <w:pPr>
        <w:pStyle w:val="Normal"/>
        <w:keepNext w:val="0"/>
        <w:keepLines w:val="0"/>
        <w:spacing w:line="360" w:lineRule="auto"/>
        <w:rPr>
          <w:rFonts w:ascii="Arial" w:hAnsi="Arial" w:eastAsia="Arial" w:cs="Arial"/>
          <w:sz w:val="24"/>
          <w:szCs w:val="24"/>
        </w:rPr>
      </w:pPr>
      <w:r w:rsidRPr="6407B060" w:rsidR="6A68FB41">
        <w:rPr>
          <w:rFonts w:ascii="Arial" w:hAnsi="Arial" w:eastAsia="Arial" w:cs="Arial"/>
          <w:sz w:val="24"/>
          <w:szCs w:val="24"/>
        </w:rPr>
        <w:t>Figure 21: ARR Project B</w:t>
      </w:r>
    </w:p>
    <w:p w:rsidR="6407B060" w:rsidP="6407B060" w:rsidRDefault="6407B060" w14:paraId="020C6848" w14:textId="51218700">
      <w:pPr>
        <w:pStyle w:val="Normal"/>
        <w:keepNext w:val="0"/>
        <w:keepLines w:val="0"/>
        <w:spacing w:before="240" w:beforeAutospacing="off" w:after="240" w:afterAutospacing="off" w:line="360" w:lineRule="auto"/>
      </w:pPr>
    </w:p>
    <w:p w:rsidR="6407B060" w:rsidP="6407B060" w:rsidRDefault="6407B060" w14:paraId="7E7A61FE" w14:textId="4B8E893F">
      <w:pPr>
        <w:pStyle w:val="Normal"/>
        <w:keepNext w:val="0"/>
        <w:keepLines w:val="0"/>
        <w:spacing w:before="240" w:beforeAutospacing="off" w:after="240" w:afterAutospacing="off" w:line="360" w:lineRule="auto"/>
        <w:rPr>
          <w:rFonts w:ascii="Arial" w:hAnsi="Arial" w:eastAsia="Arial" w:cs="Arial"/>
          <w:sz w:val="24"/>
          <w:szCs w:val="24"/>
        </w:rPr>
      </w:pPr>
    </w:p>
    <w:p w:rsidR="6407B060" w:rsidP="6407B060" w:rsidRDefault="6407B060" w14:paraId="76A6B1F9" w14:textId="11C953EF">
      <w:pPr>
        <w:pStyle w:val="Normal"/>
        <w:keepNext w:val="0"/>
        <w:keepLines w:val="0"/>
        <w:spacing w:before="240" w:beforeAutospacing="off" w:after="240" w:afterAutospacing="off" w:line="360" w:lineRule="auto"/>
        <w:rPr>
          <w:rFonts w:ascii="Arial" w:hAnsi="Arial" w:eastAsia="Arial" w:cs="Arial"/>
          <w:sz w:val="24"/>
          <w:szCs w:val="24"/>
        </w:rPr>
      </w:pPr>
    </w:p>
    <w:p w:rsidR="1181A8A8" w:rsidP="6407B060" w:rsidRDefault="1181A8A8" w14:paraId="20FD0461" w14:textId="2D208071">
      <w:pPr>
        <w:pStyle w:val="Normal"/>
        <w:keepNext w:val="0"/>
        <w:keepLines w:val="0"/>
        <w:spacing w:before="240" w:beforeAutospacing="off" w:after="240" w:afterAutospacing="off" w:line="360" w:lineRule="auto"/>
        <w:rPr>
          <w:rFonts w:ascii="Arial" w:hAnsi="Arial" w:eastAsia="Arial" w:cs="Arial"/>
          <w:sz w:val="24"/>
          <w:szCs w:val="24"/>
        </w:rPr>
      </w:pPr>
      <w:r w:rsidRPr="6407B060" w:rsidR="1181A8A8">
        <w:rPr>
          <w:rFonts w:ascii="Arial" w:hAnsi="Arial" w:eastAsia="Arial" w:cs="Arial"/>
          <w:sz w:val="24"/>
          <w:szCs w:val="24"/>
        </w:rPr>
        <w:t>Project C</w:t>
      </w:r>
    </w:p>
    <w:p w:rsidR="138B952C" w:rsidP="6407B060" w:rsidRDefault="138B952C" w14:paraId="179CBBFF" w14:textId="3A816E95">
      <w:pPr>
        <w:pStyle w:val="Normal"/>
        <w:keepNext w:val="0"/>
        <w:keepLines w:val="0"/>
        <w:spacing w:before="240" w:beforeAutospacing="off" w:after="240" w:afterAutospacing="off" w:line="360" w:lineRule="auto"/>
      </w:pPr>
      <w:r w:rsidR="138B952C">
        <w:drawing>
          <wp:inline wp14:editId="563547F9" wp14:anchorId="4ACFF732">
            <wp:extent cx="2572110" cy="2000529"/>
            <wp:effectExtent l="0" t="0" r="0" b="0"/>
            <wp:docPr id="1561712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1712649" name="Picture 1561712649"/>
                    <pic:cNvPicPr/>
                  </pic:nvPicPr>
                  <pic:blipFill>
                    <a:blip xmlns:r="http://schemas.openxmlformats.org/officeDocument/2006/relationships" r:embed="rId1194054560">
                      <a:extLst>
                        <a:ext uri="{28A0092B-C50C-407E-A947-70E740481C1C}">
                          <a14:useLocalDpi xmlns:a14="http://schemas.microsoft.com/office/drawing/2010/main"/>
                        </a:ext>
                      </a:extLst>
                    </a:blip>
                    <a:stretch>
                      <a:fillRect/>
                    </a:stretch>
                  </pic:blipFill>
                  <pic:spPr>
                    <a:xfrm rot="0">
                      <a:off x="0" y="0"/>
                      <a:ext cx="2572110" cy="2000529"/>
                    </a:xfrm>
                    <a:prstGeom prst="rect">
                      <a:avLst/>
                    </a:prstGeom>
                  </pic:spPr>
                </pic:pic>
              </a:graphicData>
            </a:graphic>
          </wp:inline>
        </w:drawing>
      </w:r>
    </w:p>
    <w:p w:rsidR="3F134330" w:rsidP="6407B060" w:rsidRDefault="3F134330" w14:paraId="61F6FE3A" w14:textId="0E12E385">
      <w:pPr>
        <w:pStyle w:val="Normal"/>
        <w:keepNext w:val="0"/>
        <w:keepLines w:val="0"/>
        <w:spacing w:line="360" w:lineRule="auto"/>
        <w:rPr>
          <w:rFonts w:ascii="Arial" w:hAnsi="Arial" w:eastAsia="Arial" w:cs="Arial"/>
          <w:sz w:val="24"/>
          <w:szCs w:val="24"/>
        </w:rPr>
      </w:pPr>
      <w:r w:rsidRPr="6407B060" w:rsidR="3F134330">
        <w:rPr>
          <w:rFonts w:ascii="Arial" w:hAnsi="Arial" w:eastAsia="Arial" w:cs="Arial"/>
          <w:sz w:val="24"/>
          <w:szCs w:val="24"/>
        </w:rPr>
        <w:t>Figure 22: ARR Project C</w:t>
      </w:r>
    </w:p>
    <w:p w:rsidR="138B952C" w:rsidP="6407B060" w:rsidRDefault="138B952C" w14:paraId="02265101" w14:textId="0682C1F6">
      <w:pPr>
        <w:pStyle w:val="Normal"/>
        <w:keepNext w:val="0"/>
        <w:keepLines w:val="0"/>
        <w:spacing w:before="240" w:beforeAutospacing="off" w:after="240" w:afterAutospacing="off" w:line="360" w:lineRule="auto"/>
        <w:rPr>
          <w:rFonts w:ascii="Arial" w:hAnsi="Arial" w:eastAsia="Arial" w:cs="Arial"/>
          <w:sz w:val="24"/>
          <w:szCs w:val="24"/>
        </w:rPr>
      </w:pPr>
      <w:r w:rsidRPr="6407B060" w:rsidR="138B952C">
        <w:rPr>
          <w:rFonts w:ascii="Arial" w:hAnsi="Arial" w:eastAsia="Arial" w:cs="Arial"/>
          <w:sz w:val="24"/>
          <w:szCs w:val="24"/>
        </w:rPr>
        <w:t xml:space="preserve">Average profit: </w:t>
      </w:r>
      <m:oMathPara xmlns:m="http://schemas.openxmlformats.org/officeDocument/2006/math">
        <m:oMath xmlns:m="http://schemas.openxmlformats.org/officeDocument/2006/math">
          <m:f xmlns:m="http://schemas.openxmlformats.org/officeDocument/2006/math">
            <m:fPr>
              <m:ctrlPr/>
            </m:fPr>
            <m:num>
              <m:r>
                <m:t>−5+0+10+15−5</m:t>
              </m:r>
            </m:num>
            <m:den>
              <m:r>
                <m:t>5</m:t>
              </m:r>
            </m:den>
          </m:f>
          <m:r xmlns:m="http://schemas.openxmlformats.org/officeDocument/2006/math">
            <m:t xmlns:m="http://schemas.openxmlformats.org/officeDocument/2006/math">=3</m:t>
          </m:r>
        </m:oMath>
      </m:oMathPara>
      <w:r w:rsidRPr="6407B060" w:rsidR="4C8583A2">
        <w:rPr>
          <w:rFonts w:ascii="Arial" w:hAnsi="Arial" w:eastAsia="Arial" w:cs="Arial"/>
          <w:sz w:val="24"/>
          <w:szCs w:val="24"/>
        </w:rPr>
        <w:t xml:space="preserve">                                        </w:t>
      </w:r>
    </w:p>
    <w:p w:rsidR="6407B060" w:rsidP="6407B060" w:rsidRDefault="6407B060" w14:paraId="721C7BE0" w14:textId="0274BE7E">
      <w:pPr>
        <w:pStyle w:val="Normal"/>
        <w:keepNext w:val="0"/>
        <w:keepLines w:val="0"/>
        <w:spacing w:before="240" w:beforeAutospacing="off" w:after="240" w:afterAutospacing="off" w:line="360" w:lineRule="auto"/>
        <w:rPr>
          <w:rFonts w:ascii="Arial" w:hAnsi="Arial" w:eastAsia="Arial" w:cs="Arial"/>
          <w:sz w:val="24"/>
          <w:szCs w:val="24"/>
        </w:rPr>
      </w:pPr>
      <m:oMathPara xmlns:m="http://schemas.openxmlformats.org/officeDocument/2006/math">
        <m:oMath xmlns:m="http://schemas.openxmlformats.org/officeDocument/2006/math">
          <m:r xmlns:m="http://schemas.openxmlformats.org/officeDocument/2006/math">
            <m:t xmlns:m="http://schemas.openxmlformats.org/officeDocument/2006/math">𝐴𝑅𝑅</m:t>
          </m:r>
          <m:r xmlns:m="http://schemas.openxmlformats.org/officeDocument/2006/math">
            <m:t xmlns:m="http://schemas.openxmlformats.org/officeDocument/2006/math">=</m:t>
          </m:r>
          <m:f xmlns:m="http://schemas.openxmlformats.org/officeDocument/2006/math">
            <m:fPr>
              <m:ctrlPr/>
            </m:fPr>
            <m:num>
              <m:r>
                <m:t>3</m:t>
              </m:r>
            </m:num>
            <m:den>
              <m:r>
                <m:t>50</m:t>
              </m:r>
            </m:den>
          </m:f>
          <m:r xmlns:m="http://schemas.openxmlformats.org/officeDocument/2006/math">
            <m:t xmlns:m="http://schemas.openxmlformats.org/officeDocument/2006/math">=6</m:t>
          </m:r>
        </m:oMath>
      </m:oMathPara>
      <w:r w:rsidRPr="6407B060" w:rsidR="7710AB73">
        <w:rPr>
          <w:rFonts w:ascii="Arial" w:hAnsi="Arial" w:eastAsia="Arial" w:cs="Arial"/>
          <w:sz w:val="24"/>
          <w:szCs w:val="24"/>
        </w:rPr>
        <w:t xml:space="preserve">                        %</w:t>
      </w:r>
    </w:p>
    <w:p w:rsidR="6245DECE" w:rsidP="6407B060" w:rsidRDefault="6245DECE" w14:paraId="5892D254" w14:textId="0ED0C409">
      <w:pPr>
        <w:pStyle w:val="Normal"/>
        <w:keepNext w:val="0"/>
        <w:keepLines w:val="0"/>
        <w:spacing w:before="240" w:beforeAutospacing="off" w:after="240" w:afterAutospacing="off" w:line="360" w:lineRule="auto"/>
        <w:rPr>
          <w:rFonts w:ascii="Arial" w:hAnsi="Arial" w:eastAsia="Arial" w:cs="Arial"/>
          <w:sz w:val="24"/>
          <w:szCs w:val="24"/>
        </w:rPr>
      </w:pPr>
      <w:r w:rsidRPr="6407B060" w:rsidR="6245DECE">
        <w:rPr>
          <w:rFonts w:ascii="Arial" w:hAnsi="Arial" w:eastAsia="Arial" w:cs="Arial"/>
          <w:sz w:val="24"/>
          <w:szCs w:val="24"/>
        </w:rPr>
        <w:t xml:space="preserve">Project C produces the highest ARR, </w:t>
      </w:r>
      <w:r w:rsidRPr="6407B060" w:rsidR="6245DECE">
        <w:rPr>
          <w:rFonts w:ascii="Arial" w:hAnsi="Arial" w:eastAsia="Arial" w:cs="Arial"/>
          <w:sz w:val="24"/>
          <w:szCs w:val="24"/>
        </w:rPr>
        <w:t>indicating</w:t>
      </w:r>
      <w:r w:rsidRPr="6407B060" w:rsidR="6245DECE">
        <w:rPr>
          <w:rFonts w:ascii="Arial" w:hAnsi="Arial" w:eastAsia="Arial" w:cs="Arial"/>
          <w:sz w:val="24"/>
          <w:szCs w:val="24"/>
        </w:rPr>
        <w:t xml:space="preserve"> stronger accounting profitability </w:t>
      </w:r>
      <w:r w:rsidRPr="6407B060" w:rsidR="6245DECE">
        <w:rPr>
          <w:rFonts w:ascii="Arial" w:hAnsi="Arial" w:eastAsia="Arial" w:cs="Arial"/>
          <w:sz w:val="24"/>
          <w:szCs w:val="24"/>
        </w:rPr>
        <w:t>relative</w:t>
      </w:r>
      <w:r w:rsidRPr="6407B060" w:rsidR="6245DECE">
        <w:rPr>
          <w:rFonts w:ascii="Arial" w:hAnsi="Arial" w:eastAsia="Arial" w:cs="Arial"/>
          <w:sz w:val="24"/>
          <w:szCs w:val="24"/>
        </w:rPr>
        <w:t xml:space="preserve"> to the </w:t>
      </w:r>
      <w:r w:rsidRPr="6407B060" w:rsidR="6245DECE">
        <w:rPr>
          <w:rFonts w:ascii="Arial" w:hAnsi="Arial" w:eastAsia="Arial" w:cs="Arial"/>
          <w:sz w:val="24"/>
          <w:szCs w:val="24"/>
        </w:rPr>
        <w:t>initial</w:t>
      </w:r>
      <w:r w:rsidRPr="6407B060" w:rsidR="6245DECE">
        <w:rPr>
          <w:rFonts w:ascii="Arial" w:hAnsi="Arial" w:eastAsia="Arial" w:cs="Arial"/>
          <w:sz w:val="24"/>
          <w:szCs w:val="24"/>
        </w:rPr>
        <w:t xml:space="preserve"> investment.</w:t>
      </w:r>
    </w:p>
    <w:p w:rsidR="6245DECE" w:rsidP="6407B060" w:rsidRDefault="6245DECE" w14:paraId="6D728881" w14:textId="18EBC4AD">
      <w:pPr>
        <w:pStyle w:val="Heading2"/>
        <w:keepNext w:val="0"/>
        <w:keepLines w:val="0"/>
        <w:spacing w:line="360" w:lineRule="auto"/>
        <w:rPr>
          <w:rFonts w:ascii="Arial" w:hAnsi="Arial" w:eastAsia="Arial" w:cs="Arial"/>
          <w:sz w:val="28"/>
          <w:szCs w:val="28"/>
        </w:rPr>
      </w:pPr>
      <w:bookmarkStart w:name="_Toc1045162894" w:id="447647995"/>
      <w:r w:rsidRPr="6407B060" w:rsidR="6245DECE">
        <w:rPr>
          <w:rFonts w:ascii="Arial" w:hAnsi="Arial" w:eastAsia="Arial" w:cs="Arial"/>
          <w:sz w:val="28"/>
          <w:szCs w:val="28"/>
        </w:rPr>
        <w:t>4.3 Net Present Value (NPV)</w:t>
      </w:r>
      <w:bookmarkEnd w:id="447647995"/>
    </w:p>
    <w:p w:rsidR="4D34B043" w:rsidP="6407B060" w:rsidRDefault="4D34B043" w14:paraId="56423BD4" w14:textId="42D820E8">
      <w:pPr>
        <w:pStyle w:val="Normal"/>
        <w:keepNext w:val="0"/>
        <w:keepLines w:val="0"/>
        <w:spacing w:line="360" w:lineRule="auto"/>
        <w:rPr>
          <w:rFonts w:ascii="Arial" w:hAnsi="Arial" w:eastAsia="Arial" w:cs="Arial"/>
          <w:sz w:val="24"/>
          <w:szCs w:val="24"/>
        </w:rPr>
      </w:pPr>
      <w:r w:rsidRPr="6407B060" w:rsidR="4D34B043">
        <w:rPr>
          <w:rFonts w:ascii="Arial" w:hAnsi="Arial" w:eastAsia="Arial" w:cs="Arial"/>
          <w:sz w:val="24"/>
          <w:szCs w:val="24"/>
        </w:rPr>
        <w:t>Net Present Value is a simple, straightforward measurement when judging investment projects, according to Dai et al. (202</w:t>
      </w:r>
      <w:r w:rsidRPr="6407B060" w:rsidR="1C3BE6C8">
        <w:rPr>
          <w:rFonts w:ascii="Arial" w:hAnsi="Arial" w:eastAsia="Arial" w:cs="Arial"/>
          <w:sz w:val="24"/>
          <w:szCs w:val="24"/>
        </w:rPr>
        <w:t xml:space="preserve">2). The </w:t>
      </w:r>
      <w:r w:rsidRPr="6407B060" w:rsidR="6245DECE">
        <w:rPr>
          <w:rFonts w:ascii="Arial" w:hAnsi="Arial" w:eastAsia="Arial" w:cs="Arial"/>
          <w:sz w:val="24"/>
          <w:szCs w:val="24"/>
        </w:rPr>
        <w:t>NPV incorporates the time value of money by discounting future cash flows at the required rate of return (10%). A positive NPV indicates value creation (</w:t>
      </w:r>
      <w:r w:rsidRPr="6407B060" w:rsidR="491FCB55">
        <w:rPr>
          <w:rFonts w:ascii="Arial" w:hAnsi="Arial" w:eastAsia="Arial" w:cs="Arial"/>
          <w:sz w:val="24"/>
          <w:szCs w:val="24"/>
        </w:rPr>
        <w:t>Present Value Table in Appendix).</w:t>
      </w:r>
    </w:p>
    <w:p w:rsidR="491FCB55" w:rsidP="6407B060" w:rsidRDefault="491FCB55" w14:paraId="4A6B1F14" w14:textId="1EAA06F9">
      <w:pPr>
        <w:pStyle w:val="Normal"/>
        <w:keepNext w:val="0"/>
        <w:keepLines w:val="0"/>
        <w:spacing w:line="360" w:lineRule="auto"/>
        <w:rPr>
          <w:rFonts w:ascii="Arial" w:hAnsi="Arial" w:eastAsia="Arial" w:cs="Arial"/>
          <w:sz w:val="24"/>
          <w:szCs w:val="24"/>
        </w:rPr>
      </w:pPr>
      <w:r w:rsidRPr="6407B060" w:rsidR="491FCB55">
        <w:rPr>
          <w:rFonts w:ascii="Arial" w:hAnsi="Arial" w:eastAsia="Arial" w:cs="Arial"/>
          <w:sz w:val="24"/>
          <w:szCs w:val="24"/>
        </w:rPr>
        <w:t>Project A</w:t>
      </w:r>
    </w:p>
    <w:p w:rsidR="491FCB55" w:rsidP="6407B060" w:rsidRDefault="491FCB55" w14:paraId="5772100C" w14:textId="61E9CCCB">
      <w:pPr>
        <w:pStyle w:val="Normal"/>
        <w:keepNext w:val="0"/>
        <w:keepLines w:val="0"/>
        <w:spacing w:line="360" w:lineRule="auto"/>
      </w:pPr>
      <w:r w:rsidRPr="6407B060" w:rsidR="491FCB55">
        <w:rPr>
          <w:rFonts w:ascii="Arial" w:hAnsi="Arial" w:eastAsia="Arial" w:cs="Arial"/>
          <w:sz w:val="24"/>
          <w:szCs w:val="24"/>
        </w:rPr>
        <w:t>Total present value of inflows:</w:t>
      </w:r>
    </w:p>
    <w:p w:rsidR="491FCB55" w:rsidP="6407B060" w:rsidRDefault="491FCB55" w14:paraId="7E8248DA" w14:textId="5508BD44">
      <w:pPr>
        <w:pStyle w:val="Normal"/>
        <w:keepNext w:val="0"/>
        <w:keepLines w:val="0"/>
        <w:spacing w:line="360" w:lineRule="auto"/>
      </w:pPr>
      <w:r w:rsidRPr="6407B060" w:rsidR="491FCB55">
        <w:rPr>
          <w:rFonts w:ascii="Arial" w:hAnsi="Arial" w:eastAsia="Arial" w:cs="Arial"/>
          <w:sz w:val="24"/>
          <w:szCs w:val="24"/>
        </w:rPr>
        <w:t>= 9.09 + 9.92 + 10.52 + 6.83 + 4.97 =£41.32m</w:t>
      </w:r>
    </w:p>
    <w:p w:rsidR="491FCB55" w:rsidP="6407B060" w:rsidRDefault="491FCB55" w14:paraId="784093FF" w14:textId="7F17293C">
      <w:pPr>
        <w:pStyle w:val="Normal"/>
        <w:keepNext w:val="0"/>
        <w:keepLines w:val="0"/>
        <w:spacing w:line="360" w:lineRule="auto"/>
      </w:pPr>
      <w:r w:rsidRPr="6407B060" w:rsidR="491FCB55">
        <w:rPr>
          <w:rFonts w:ascii="Arial" w:hAnsi="Arial" w:eastAsia="Arial" w:cs="Arial"/>
          <w:sz w:val="24"/>
          <w:szCs w:val="24"/>
        </w:rPr>
        <w:t>NPV=41.32−50= −£8.68m</w:t>
      </w:r>
    </w:p>
    <w:p w:rsidR="5EF8E2AD" w:rsidP="6407B060" w:rsidRDefault="5EF8E2AD" w14:paraId="19F8C837" w14:textId="5B127F61">
      <w:pPr>
        <w:pStyle w:val="Normal"/>
        <w:keepNext w:val="0"/>
        <w:keepLines w:val="0"/>
        <w:spacing w:line="360" w:lineRule="auto"/>
        <w:rPr>
          <w:rFonts w:ascii="Arial" w:hAnsi="Arial" w:eastAsia="Arial" w:cs="Arial"/>
          <w:sz w:val="24"/>
          <w:szCs w:val="24"/>
        </w:rPr>
      </w:pPr>
      <w:r w:rsidRPr="6407B060" w:rsidR="5EF8E2AD">
        <w:rPr>
          <w:rFonts w:ascii="Arial" w:hAnsi="Arial" w:eastAsia="Arial" w:cs="Arial"/>
          <w:sz w:val="24"/>
          <w:szCs w:val="24"/>
        </w:rPr>
        <w:t>Project B</w:t>
      </w:r>
    </w:p>
    <w:p w:rsidR="5EF8E2AD" w:rsidP="6407B060" w:rsidRDefault="5EF8E2AD" w14:paraId="669E6ED2" w14:textId="15468242">
      <w:pPr>
        <w:pStyle w:val="Normal"/>
        <w:keepNext w:val="0"/>
        <w:keepLines w:val="0"/>
        <w:spacing w:line="360" w:lineRule="auto"/>
      </w:pPr>
      <w:r w:rsidRPr="6407B060" w:rsidR="5EF8E2AD">
        <w:rPr>
          <w:rFonts w:ascii="Arial" w:hAnsi="Arial" w:eastAsia="Arial" w:cs="Arial"/>
          <w:sz w:val="24"/>
          <w:szCs w:val="24"/>
        </w:rPr>
        <w:t>Total present value:</w:t>
      </w:r>
    </w:p>
    <w:p w:rsidR="5EF8E2AD" w:rsidP="6407B060" w:rsidRDefault="5EF8E2AD" w14:paraId="33E3F20A" w14:textId="307EB2C9">
      <w:pPr>
        <w:pStyle w:val="Normal"/>
        <w:keepNext w:val="0"/>
        <w:keepLines w:val="0"/>
        <w:spacing w:line="360" w:lineRule="auto"/>
      </w:pPr>
      <w:r w:rsidRPr="6407B060" w:rsidR="5EF8E2AD">
        <w:rPr>
          <w:rFonts w:ascii="Arial" w:hAnsi="Arial" w:eastAsia="Arial" w:cs="Arial"/>
          <w:sz w:val="24"/>
          <w:szCs w:val="24"/>
        </w:rPr>
        <w:t>= 10.00 + 9.09 + 8.26 + 7.51 + 6.83 = £41.70m</w:t>
      </w:r>
    </w:p>
    <w:p w:rsidR="5EF8E2AD" w:rsidP="6407B060" w:rsidRDefault="5EF8E2AD" w14:paraId="62CD5CAE" w14:textId="0B0E3224">
      <w:pPr>
        <w:pStyle w:val="Normal"/>
        <w:keepNext w:val="0"/>
        <w:keepLines w:val="0"/>
        <w:spacing w:line="360" w:lineRule="auto"/>
      </w:pPr>
      <w:r w:rsidRPr="6407B060" w:rsidR="5EF8E2AD">
        <w:rPr>
          <w:rFonts w:ascii="Arial" w:hAnsi="Arial" w:eastAsia="Arial" w:cs="Arial"/>
          <w:sz w:val="24"/>
          <w:szCs w:val="24"/>
        </w:rPr>
        <w:t>NPV=41.70−50=−£8.30m</w:t>
      </w:r>
    </w:p>
    <w:p w:rsidR="5EF8E2AD" w:rsidP="6407B060" w:rsidRDefault="5EF8E2AD" w14:paraId="4F2220C8" w14:textId="4249F19C">
      <w:pPr>
        <w:pStyle w:val="Normal"/>
        <w:keepNext w:val="0"/>
        <w:keepLines w:val="0"/>
        <w:spacing w:line="360" w:lineRule="auto"/>
        <w:rPr>
          <w:rFonts w:ascii="Arial" w:hAnsi="Arial" w:eastAsia="Arial" w:cs="Arial"/>
          <w:sz w:val="24"/>
          <w:szCs w:val="24"/>
        </w:rPr>
      </w:pPr>
      <w:r w:rsidRPr="6407B060" w:rsidR="5EF8E2AD">
        <w:rPr>
          <w:rFonts w:ascii="Arial" w:hAnsi="Arial" w:eastAsia="Arial" w:cs="Arial"/>
          <w:sz w:val="24"/>
          <w:szCs w:val="24"/>
        </w:rPr>
        <w:t>Project C</w:t>
      </w:r>
    </w:p>
    <w:p w:rsidR="5EF8E2AD" w:rsidP="6407B060" w:rsidRDefault="5EF8E2AD" w14:paraId="21AFF3C8" w14:textId="149BEBBB">
      <w:pPr>
        <w:pStyle w:val="Normal"/>
        <w:keepNext w:val="0"/>
        <w:keepLines w:val="0"/>
        <w:spacing w:line="360" w:lineRule="auto"/>
      </w:pPr>
      <w:r w:rsidRPr="6407B060" w:rsidR="5EF8E2AD">
        <w:rPr>
          <w:rFonts w:ascii="Arial" w:hAnsi="Arial" w:eastAsia="Arial" w:cs="Arial"/>
          <w:sz w:val="24"/>
          <w:szCs w:val="24"/>
        </w:rPr>
        <w:t>Total present value:</w:t>
      </w:r>
    </w:p>
    <w:p w:rsidR="5EF8E2AD" w:rsidP="6407B060" w:rsidRDefault="5EF8E2AD" w14:paraId="785E1356" w14:textId="13A654DD">
      <w:pPr>
        <w:pStyle w:val="Normal"/>
        <w:keepNext w:val="0"/>
        <w:keepLines w:val="0"/>
        <w:spacing w:line="360" w:lineRule="auto"/>
      </w:pPr>
      <w:r w:rsidRPr="6407B060" w:rsidR="5EF8E2AD">
        <w:rPr>
          <w:rFonts w:ascii="Arial" w:hAnsi="Arial" w:eastAsia="Arial" w:cs="Arial"/>
          <w:sz w:val="24"/>
          <w:szCs w:val="24"/>
        </w:rPr>
        <w:t>= 4.55 + 8.26 + 15.03 + 17.08 + 3.10 = £48.02m</w:t>
      </w:r>
    </w:p>
    <w:p w:rsidR="5EF8E2AD" w:rsidP="6407B060" w:rsidRDefault="5EF8E2AD" w14:paraId="4A35A8F3" w14:textId="5FE571B9">
      <w:pPr>
        <w:pStyle w:val="Normal"/>
        <w:keepNext w:val="0"/>
        <w:keepLines w:val="0"/>
        <w:spacing w:line="360" w:lineRule="auto"/>
      </w:pPr>
      <w:r w:rsidRPr="6407B060" w:rsidR="5EF8E2AD">
        <w:rPr>
          <w:rFonts w:ascii="Arial" w:hAnsi="Arial" w:eastAsia="Arial" w:cs="Arial"/>
          <w:sz w:val="24"/>
          <w:szCs w:val="24"/>
        </w:rPr>
        <w:t>NPV=48.02−50=−£1.98m</w:t>
      </w:r>
    </w:p>
    <w:p w:rsidR="5EF8E2AD" w:rsidP="6407B060" w:rsidRDefault="5EF8E2AD" w14:paraId="1AF4210F" w14:textId="2B939036">
      <w:pPr>
        <w:pStyle w:val="Normal"/>
        <w:keepNext w:val="0"/>
        <w:keepLines w:val="0"/>
        <w:spacing w:line="360" w:lineRule="auto"/>
        <w:jc w:val="both"/>
        <w:rPr>
          <w:rFonts w:ascii="Arial" w:hAnsi="Arial" w:eastAsia="Arial" w:cs="Arial"/>
          <w:sz w:val="24"/>
          <w:szCs w:val="24"/>
        </w:rPr>
      </w:pPr>
      <w:r w:rsidRPr="6407B060" w:rsidR="5EF8E2AD">
        <w:rPr>
          <w:rFonts w:ascii="Arial" w:hAnsi="Arial" w:eastAsia="Arial" w:cs="Arial"/>
          <w:sz w:val="24"/>
          <w:szCs w:val="24"/>
        </w:rPr>
        <w:t xml:space="preserve">Although all projects produce negative NPVs at a 10% discount rate, Project C generates the highest present value and the smallest negative NPV, </w:t>
      </w:r>
      <w:r w:rsidRPr="6407B060" w:rsidR="5EF8E2AD">
        <w:rPr>
          <w:rFonts w:ascii="Arial" w:hAnsi="Arial" w:eastAsia="Arial" w:cs="Arial"/>
          <w:sz w:val="24"/>
          <w:szCs w:val="24"/>
        </w:rPr>
        <w:t>indicating</w:t>
      </w:r>
      <w:r w:rsidRPr="6407B060" w:rsidR="5EF8E2AD">
        <w:rPr>
          <w:rFonts w:ascii="Arial" w:hAnsi="Arial" w:eastAsia="Arial" w:cs="Arial"/>
          <w:sz w:val="24"/>
          <w:szCs w:val="24"/>
        </w:rPr>
        <w:t xml:space="preserve"> it is financially superior </w:t>
      </w:r>
      <w:r w:rsidRPr="6407B060" w:rsidR="5EF8E2AD">
        <w:rPr>
          <w:rFonts w:ascii="Arial" w:hAnsi="Arial" w:eastAsia="Arial" w:cs="Arial"/>
          <w:sz w:val="24"/>
          <w:szCs w:val="24"/>
        </w:rPr>
        <w:t>relative</w:t>
      </w:r>
      <w:r w:rsidRPr="6407B060" w:rsidR="5EF8E2AD">
        <w:rPr>
          <w:rFonts w:ascii="Arial" w:hAnsi="Arial" w:eastAsia="Arial" w:cs="Arial"/>
          <w:sz w:val="24"/>
          <w:szCs w:val="24"/>
        </w:rPr>
        <w:t xml:space="preserve"> to the alternatives.</w:t>
      </w:r>
    </w:p>
    <w:p w:rsidR="5EF8E2AD" w:rsidP="6407B060" w:rsidRDefault="5EF8E2AD" w14:paraId="6BF48F70" w14:textId="497A30F9">
      <w:pPr>
        <w:pStyle w:val="Heading2"/>
        <w:keepNext w:val="0"/>
        <w:keepLines w:val="0"/>
        <w:spacing w:line="360" w:lineRule="auto"/>
        <w:rPr>
          <w:rFonts w:ascii="Arial" w:hAnsi="Arial" w:eastAsia="Arial" w:cs="Arial"/>
          <w:sz w:val="28"/>
          <w:szCs w:val="28"/>
        </w:rPr>
      </w:pPr>
      <w:bookmarkStart w:name="_Toc1661329933" w:id="533619665"/>
      <w:r w:rsidRPr="6407B060" w:rsidR="5EF8E2AD">
        <w:rPr>
          <w:rFonts w:ascii="Arial" w:hAnsi="Arial" w:eastAsia="Arial" w:cs="Arial"/>
          <w:sz w:val="28"/>
          <w:szCs w:val="28"/>
        </w:rPr>
        <w:t>4.4 Profitability Index (PI)</w:t>
      </w:r>
      <w:bookmarkEnd w:id="533619665"/>
    </w:p>
    <w:p w:rsidR="1A3C7771" w:rsidP="6407B060" w:rsidRDefault="1A3C7771" w14:paraId="4C82136E" w14:textId="4B2FD866">
      <w:pPr>
        <w:pStyle w:val="Normal"/>
        <w:keepNext w:val="0"/>
        <w:keepLines w:val="0"/>
        <w:spacing w:line="360" w:lineRule="auto"/>
        <w:rPr>
          <w:rFonts w:ascii="Arial" w:hAnsi="Arial" w:eastAsia="Arial" w:cs="Arial"/>
          <w:sz w:val="24"/>
          <w:szCs w:val="24"/>
        </w:rPr>
      </w:pPr>
      <w:r w:rsidRPr="6407B060" w:rsidR="1A3C7771">
        <w:rPr>
          <w:rFonts w:ascii="Arial" w:hAnsi="Arial" w:eastAsia="Arial" w:cs="Arial"/>
          <w:sz w:val="24"/>
          <w:szCs w:val="24"/>
        </w:rPr>
        <w:t>The profitability index measures the value created per pound invested.</w:t>
      </w:r>
    </w:p>
    <w:p w:rsidR="6407B060" w:rsidP="6407B060" w:rsidRDefault="6407B060" w14:paraId="230BD163" w14:textId="598ECA0F">
      <w:pPr>
        <w:pStyle w:val="Normal"/>
        <w:keepNext w:val="0"/>
        <w:keepLines w:val="0"/>
        <w:spacing w:line="360" w:lineRule="auto"/>
      </w:pPr>
      <m:oMathPara xmlns:m="http://schemas.openxmlformats.org/officeDocument/2006/math">
        <m:oMath xmlns:m="http://schemas.openxmlformats.org/officeDocument/2006/math">
          <m:r xmlns:m="http://schemas.openxmlformats.org/officeDocument/2006/math">
            <m:t xmlns:m="http://schemas.openxmlformats.org/officeDocument/2006/math">𝑃𝐼</m:t>
          </m:r>
          <m:r xmlns:m="http://schemas.openxmlformats.org/officeDocument/2006/math">
            <m:t xmlns:m="http://schemas.openxmlformats.org/officeDocument/2006/math">=</m:t>
          </m:r>
          <m:f xmlns:m="http://schemas.openxmlformats.org/officeDocument/2006/math">
            <m:fPr>
              <m:ctrlPr/>
            </m:fPr>
            <m:num>
              <m:r>
                <m:t>𝑁𝑃𝑉</m:t>
              </m:r>
            </m:num>
            <m:den>
              <m:r>
                <m:t>𝐼𝑛𝑖𝑡𝑖𝑎𝑙</m:t>
              </m:r>
              <m:r>
                <m:t> </m:t>
              </m:r>
              <m:r>
                <m:t>𝐼𝑛𝑣𝑒𝑠𝑡𝑚𝑒𝑛𝑡</m:t>
              </m:r>
            </m:den>
          </m:f>
        </m:oMath>
      </m:oMathPara>
    </w:p>
    <w:p w:rsidR="04FF04AF" w:rsidP="6407B060" w:rsidRDefault="04FF04AF" w14:paraId="640C690B" w14:textId="3B86C002">
      <w:pPr>
        <w:pStyle w:val="Normal"/>
        <w:keepNext w:val="0"/>
        <w:keepLines w:val="0"/>
        <w:spacing w:line="360" w:lineRule="auto"/>
      </w:pPr>
      <w:r w:rsidR="04FF04AF">
        <w:drawing>
          <wp:inline wp14:editId="558A9C12" wp14:anchorId="6847DBF5">
            <wp:extent cx="2872441" cy="1686160"/>
            <wp:effectExtent l="0" t="0" r="0" b="0"/>
            <wp:docPr id="5017292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1729212" name="Picture 501729212"/>
                    <pic:cNvPicPr/>
                  </pic:nvPicPr>
                  <pic:blipFill>
                    <a:blip xmlns:r="http://schemas.openxmlformats.org/officeDocument/2006/relationships" r:embed="rId592775907">
                      <a:extLst>
                        <a:ext uri="{28A0092B-C50C-407E-A947-70E740481C1C}">
                          <a14:useLocalDpi xmlns:a14="http://schemas.microsoft.com/office/drawing/2010/main"/>
                        </a:ext>
                      </a:extLst>
                    </a:blip>
                    <a:stretch>
                      <a:fillRect/>
                    </a:stretch>
                  </pic:blipFill>
                  <pic:spPr>
                    <a:xfrm rot="0">
                      <a:off x="0" y="0"/>
                      <a:ext cx="2872441" cy="1686160"/>
                    </a:xfrm>
                    <a:prstGeom prst="rect">
                      <a:avLst/>
                    </a:prstGeom>
                  </pic:spPr>
                </pic:pic>
              </a:graphicData>
            </a:graphic>
          </wp:inline>
        </w:drawing>
      </w:r>
    </w:p>
    <w:p w:rsidR="62E89158" w:rsidP="6407B060" w:rsidRDefault="62E89158" w14:paraId="1CF951D8" w14:textId="70FCF5FE">
      <w:pPr>
        <w:pStyle w:val="Normal"/>
        <w:keepNext w:val="0"/>
        <w:keepLines w:val="0"/>
        <w:spacing w:line="360" w:lineRule="auto"/>
        <w:rPr>
          <w:rFonts w:ascii="Arial" w:hAnsi="Arial" w:eastAsia="Arial" w:cs="Arial"/>
          <w:sz w:val="24"/>
          <w:szCs w:val="24"/>
        </w:rPr>
      </w:pPr>
      <w:r w:rsidRPr="6407B060" w:rsidR="62E89158">
        <w:rPr>
          <w:rFonts w:ascii="Arial" w:hAnsi="Arial" w:eastAsia="Arial" w:cs="Arial"/>
          <w:sz w:val="24"/>
          <w:szCs w:val="24"/>
        </w:rPr>
        <w:t xml:space="preserve">Figure 23: PI </w:t>
      </w:r>
    </w:p>
    <w:p w:rsidR="04FF04AF" w:rsidP="6407B060" w:rsidRDefault="04FF04AF" w14:paraId="426FB193" w14:textId="13329103">
      <w:pPr>
        <w:pStyle w:val="Normal"/>
        <w:keepNext w:val="0"/>
        <w:keepLines w:val="0"/>
        <w:spacing w:line="360" w:lineRule="auto"/>
        <w:rPr>
          <w:rFonts w:ascii="Arial" w:hAnsi="Arial" w:eastAsia="Arial" w:cs="Arial"/>
          <w:sz w:val="24"/>
          <w:szCs w:val="24"/>
        </w:rPr>
      </w:pPr>
      <w:r w:rsidRPr="6407B060" w:rsidR="04FF04AF">
        <w:rPr>
          <w:rFonts w:ascii="Arial" w:hAnsi="Arial" w:eastAsia="Arial" w:cs="Arial"/>
          <w:sz w:val="24"/>
          <w:szCs w:val="24"/>
        </w:rPr>
        <w:t xml:space="preserve">A PI greater than 1 </w:t>
      </w:r>
      <w:r w:rsidRPr="6407B060" w:rsidR="04FF04AF">
        <w:rPr>
          <w:rFonts w:ascii="Arial" w:hAnsi="Arial" w:eastAsia="Arial" w:cs="Arial"/>
          <w:sz w:val="24"/>
          <w:szCs w:val="24"/>
        </w:rPr>
        <w:t>indicates</w:t>
      </w:r>
      <w:r w:rsidRPr="6407B060" w:rsidR="04FF04AF">
        <w:rPr>
          <w:rFonts w:ascii="Arial" w:hAnsi="Arial" w:eastAsia="Arial" w:cs="Arial"/>
          <w:sz w:val="24"/>
          <w:szCs w:val="24"/>
        </w:rPr>
        <w:t xml:space="preserve"> a profitable project. While none exceed 1, Project C is closest, </w:t>
      </w:r>
      <w:r w:rsidRPr="6407B060" w:rsidR="04FF04AF">
        <w:rPr>
          <w:rFonts w:ascii="Arial" w:hAnsi="Arial" w:eastAsia="Arial" w:cs="Arial"/>
          <w:sz w:val="24"/>
          <w:szCs w:val="24"/>
        </w:rPr>
        <w:t>indicating</w:t>
      </w:r>
      <w:r w:rsidRPr="6407B060" w:rsidR="04FF04AF">
        <w:rPr>
          <w:rFonts w:ascii="Arial" w:hAnsi="Arial" w:eastAsia="Arial" w:cs="Arial"/>
          <w:sz w:val="24"/>
          <w:szCs w:val="24"/>
        </w:rPr>
        <w:t xml:space="preserve"> superior investment efficiency.</w:t>
      </w:r>
    </w:p>
    <w:p w:rsidR="04FF04AF" w:rsidP="6407B060" w:rsidRDefault="04FF04AF" w14:paraId="1F9065FA" w14:textId="793C89EF">
      <w:pPr>
        <w:pStyle w:val="Heading2"/>
        <w:keepNext w:val="0"/>
        <w:keepLines w:val="0"/>
        <w:spacing w:line="360" w:lineRule="auto"/>
        <w:rPr>
          <w:rFonts w:ascii="Arial" w:hAnsi="Arial" w:eastAsia="Arial" w:cs="Arial"/>
          <w:sz w:val="28"/>
          <w:szCs w:val="28"/>
        </w:rPr>
      </w:pPr>
      <w:bookmarkStart w:name="_Toc1916059541" w:id="1493219093"/>
      <w:r w:rsidRPr="6407B060" w:rsidR="04FF04AF">
        <w:rPr>
          <w:rFonts w:ascii="Arial" w:hAnsi="Arial" w:eastAsia="Arial" w:cs="Arial"/>
          <w:sz w:val="28"/>
          <w:szCs w:val="28"/>
        </w:rPr>
        <w:t>4.5 Internal Rate of Return (IRR)</w:t>
      </w:r>
      <w:bookmarkEnd w:id="1493219093"/>
    </w:p>
    <w:p w:rsidR="4BDCCE46" w:rsidP="6407B060" w:rsidRDefault="4BDCCE46" w14:paraId="29CC1560" w14:textId="107D9644">
      <w:pPr>
        <w:pStyle w:val="Normal"/>
        <w:keepNext w:val="0"/>
        <w:keepLines w:val="0"/>
        <w:spacing w:line="360" w:lineRule="auto"/>
        <w:rPr>
          <w:rFonts w:ascii="Arial" w:hAnsi="Arial" w:eastAsia="Arial" w:cs="Arial"/>
          <w:sz w:val="24"/>
          <w:szCs w:val="24"/>
        </w:rPr>
      </w:pPr>
      <w:r w:rsidRPr="6407B060" w:rsidR="4BDCCE46">
        <w:rPr>
          <w:rFonts w:ascii="Arial" w:hAnsi="Arial" w:eastAsia="Arial" w:cs="Arial"/>
          <w:sz w:val="24"/>
          <w:szCs w:val="24"/>
        </w:rPr>
        <w:t xml:space="preserve">IRR </w:t>
      </w:r>
      <w:r w:rsidRPr="6407B060" w:rsidR="4BDCCE46">
        <w:rPr>
          <w:rFonts w:ascii="Arial" w:hAnsi="Arial" w:eastAsia="Arial" w:cs="Arial"/>
          <w:sz w:val="24"/>
          <w:szCs w:val="24"/>
        </w:rPr>
        <w:t>represents</w:t>
      </w:r>
      <w:r w:rsidRPr="6407B060" w:rsidR="4BDCCE46">
        <w:rPr>
          <w:rFonts w:ascii="Arial" w:hAnsi="Arial" w:eastAsia="Arial" w:cs="Arial"/>
          <w:sz w:val="24"/>
          <w:szCs w:val="24"/>
        </w:rPr>
        <w:t xml:space="preserve"> the discount rate that makes the NPV equal to zero.</w:t>
      </w:r>
      <w:r w:rsidRPr="6407B060" w:rsidR="05EBA9F3">
        <w:rPr>
          <w:rFonts w:ascii="Arial" w:hAnsi="Arial" w:eastAsia="Arial" w:cs="Arial"/>
          <w:sz w:val="24"/>
          <w:szCs w:val="24"/>
        </w:rPr>
        <w:t xml:space="preserve"> The private equity (PE) sector </w:t>
      </w:r>
      <w:r w:rsidRPr="6407B060" w:rsidR="05EBA9F3">
        <w:rPr>
          <w:rFonts w:ascii="Arial" w:hAnsi="Arial" w:eastAsia="Arial" w:cs="Arial"/>
          <w:sz w:val="24"/>
          <w:szCs w:val="24"/>
        </w:rPr>
        <w:t>frequently</w:t>
      </w:r>
      <w:r w:rsidRPr="6407B060" w:rsidR="05EBA9F3">
        <w:rPr>
          <w:rFonts w:ascii="Arial" w:hAnsi="Arial" w:eastAsia="Arial" w:cs="Arial"/>
          <w:sz w:val="24"/>
          <w:szCs w:val="24"/>
        </w:rPr>
        <w:t xml:space="preserve"> reports the Internal Rate of Return (IRR), which is regarded as a significant rate of return (</w:t>
      </w:r>
      <w:r w:rsidRPr="6407B060" w:rsidR="05EBA9F3">
        <w:rPr>
          <w:rFonts w:ascii="Arial" w:hAnsi="Arial" w:eastAsia="Arial" w:cs="Arial"/>
          <w:sz w:val="24"/>
          <w:szCs w:val="24"/>
        </w:rPr>
        <w:t>Phalippou</w:t>
      </w:r>
      <w:r w:rsidRPr="6407B060" w:rsidR="05EBA9F3">
        <w:rPr>
          <w:rFonts w:ascii="Arial" w:hAnsi="Arial" w:eastAsia="Arial" w:cs="Arial"/>
          <w:sz w:val="24"/>
          <w:szCs w:val="24"/>
        </w:rPr>
        <w:t>, 2024).</w:t>
      </w:r>
    </w:p>
    <w:p w:rsidR="1B6CC1C5" w:rsidP="6407B060" w:rsidRDefault="1B6CC1C5" w14:paraId="68DF38EA" w14:textId="3E2982FF">
      <w:pPr>
        <w:pStyle w:val="Normal"/>
        <w:keepNext w:val="0"/>
        <w:keepLines w:val="0"/>
        <w:spacing w:line="360" w:lineRule="auto"/>
      </w:pPr>
      <w:r w:rsidR="1B6CC1C5">
        <w:drawing>
          <wp:inline wp14:editId="4AB3D8F2" wp14:anchorId="67EDD6F5">
            <wp:extent cx="1876768" cy="1181282"/>
            <wp:effectExtent l="0" t="0" r="0" b="0"/>
            <wp:docPr id="15540636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4063624" name="Picture 1554063624"/>
                    <pic:cNvPicPr/>
                  </pic:nvPicPr>
                  <pic:blipFill>
                    <a:blip xmlns:r="http://schemas.openxmlformats.org/officeDocument/2006/relationships" r:embed="rId1317911812">
                      <a:extLst>
                        <a:ext uri="{28A0092B-C50C-407E-A947-70E740481C1C}">
                          <a14:useLocalDpi xmlns:a14="http://schemas.microsoft.com/office/drawing/2010/main"/>
                        </a:ext>
                      </a:extLst>
                    </a:blip>
                    <a:stretch>
                      <a:fillRect/>
                    </a:stretch>
                  </pic:blipFill>
                  <pic:spPr>
                    <a:xfrm rot="0">
                      <a:off x="0" y="0"/>
                      <a:ext cx="1876768" cy="1181282"/>
                    </a:xfrm>
                    <a:prstGeom prst="rect">
                      <a:avLst/>
                    </a:prstGeom>
                  </pic:spPr>
                </pic:pic>
              </a:graphicData>
            </a:graphic>
          </wp:inline>
        </w:drawing>
      </w:r>
    </w:p>
    <w:p w:rsidR="1A48FC89" w:rsidP="6407B060" w:rsidRDefault="1A48FC89" w14:paraId="7BA1B3CA" w14:textId="2D48C69F">
      <w:pPr>
        <w:pStyle w:val="Normal"/>
        <w:keepNext w:val="0"/>
        <w:keepLines w:val="0"/>
        <w:spacing w:line="360" w:lineRule="auto"/>
        <w:rPr>
          <w:rFonts w:ascii="Arial" w:hAnsi="Arial" w:eastAsia="Arial" w:cs="Arial"/>
          <w:sz w:val="24"/>
          <w:szCs w:val="24"/>
        </w:rPr>
      </w:pPr>
      <w:r w:rsidRPr="6407B060" w:rsidR="1A48FC89">
        <w:rPr>
          <w:rFonts w:ascii="Arial" w:hAnsi="Arial" w:eastAsia="Arial" w:cs="Arial"/>
          <w:sz w:val="24"/>
          <w:szCs w:val="24"/>
        </w:rPr>
        <w:t xml:space="preserve">Figure 24: </w:t>
      </w:r>
      <w:r w:rsidRPr="6407B060" w:rsidR="7C17CB73">
        <w:rPr>
          <w:rFonts w:ascii="Arial" w:hAnsi="Arial" w:eastAsia="Arial" w:cs="Arial"/>
          <w:sz w:val="24"/>
          <w:szCs w:val="24"/>
        </w:rPr>
        <w:t>Project A</w:t>
      </w:r>
      <w:r w:rsidRPr="6407B060" w:rsidR="3600315F">
        <w:rPr>
          <w:rFonts w:ascii="Arial" w:hAnsi="Arial" w:eastAsia="Arial" w:cs="Arial"/>
          <w:sz w:val="24"/>
          <w:szCs w:val="24"/>
        </w:rPr>
        <w:t>, B, C</w:t>
      </w:r>
      <w:r w:rsidRPr="6407B060" w:rsidR="7C17CB73">
        <w:rPr>
          <w:rFonts w:ascii="Arial" w:hAnsi="Arial" w:eastAsia="Arial" w:cs="Arial"/>
          <w:sz w:val="24"/>
          <w:szCs w:val="24"/>
        </w:rPr>
        <w:t xml:space="preserve"> IRR </w:t>
      </w:r>
      <w:r w:rsidRPr="6407B060" w:rsidR="6FD1862C">
        <w:rPr>
          <w:rFonts w:ascii="Arial" w:hAnsi="Arial" w:eastAsia="Arial" w:cs="Arial"/>
          <w:sz w:val="24"/>
          <w:szCs w:val="24"/>
        </w:rPr>
        <w:t>(</w:t>
      </w:r>
      <w:r w:rsidRPr="6407B060" w:rsidR="7C17CB73">
        <w:rPr>
          <w:rFonts w:ascii="Arial" w:hAnsi="Arial" w:eastAsia="Arial" w:cs="Arial"/>
          <w:sz w:val="24"/>
          <w:szCs w:val="24"/>
        </w:rPr>
        <w:t>Calculation</w:t>
      </w:r>
      <w:r w:rsidRPr="6407B060" w:rsidR="2E63D5BE">
        <w:rPr>
          <w:rFonts w:ascii="Arial" w:hAnsi="Arial" w:eastAsia="Arial" w:cs="Arial"/>
          <w:sz w:val="24"/>
          <w:szCs w:val="24"/>
        </w:rPr>
        <w:t xml:space="preserve"> in </w:t>
      </w:r>
      <w:r w:rsidRPr="6407B060" w:rsidR="4847FFD8">
        <w:rPr>
          <w:rFonts w:ascii="Arial" w:hAnsi="Arial" w:eastAsia="Arial" w:cs="Arial"/>
          <w:sz w:val="24"/>
          <w:szCs w:val="24"/>
        </w:rPr>
        <w:t xml:space="preserve">the </w:t>
      </w:r>
      <w:r w:rsidRPr="6407B060" w:rsidR="2E63D5BE">
        <w:rPr>
          <w:rFonts w:ascii="Arial" w:hAnsi="Arial" w:eastAsia="Arial" w:cs="Arial"/>
          <w:sz w:val="24"/>
          <w:szCs w:val="24"/>
        </w:rPr>
        <w:t>Appendix)</w:t>
      </w:r>
    </w:p>
    <w:p w:rsidR="6407B060" w:rsidP="6407B060" w:rsidRDefault="6407B060" w14:paraId="542CE7D9" w14:textId="0E38DA8E">
      <w:pPr>
        <w:pStyle w:val="Normal"/>
        <w:keepNext w:val="0"/>
        <w:keepLines w:val="0"/>
        <w:spacing w:line="360" w:lineRule="auto"/>
        <w:rPr>
          <w:rFonts w:ascii="Arial" w:hAnsi="Arial" w:eastAsia="Arial" w:cs="Arial"/>
          <w:sz w:val="24"/>
          <w:szCs w:val="24"/>
        </w:rPr>
      </w:pPr>
    </w:p>
    <w:p w:rsidR="1002372C" w:rsidP="6407B060" w:rsidRDefault="1002372C" w14:paraId="25A036F3" w14:textId="5B72B1F6">
      <w:pPr>
        <w:pStyle w:val="Normal"/>
        <w:keepNext w:val="0"/>
        <w:keepLines w:val="0"/>
        <w:spacing w:line="360" w:lineRule="auto"/>
      </w:pPr>
      <w:r w:rsidR="1002372C">
        <w:drawing>
          <wp:inline wp14:editId="5386B6EB" wp14:anchorId="0CB13DED">
            <wp:extent cx="3219450" cy="1885601"/>
            <wp:effectExtent l="0" t="0" r="0" b="0"/>
            <wp:docPr id="307417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7417321" name="Picture 307417321"/>
                    <pic:cNvPicPr/>
                  </pic:nvPicPr>
                  <pic:blipFill>
                    <a:blip xmlns:r="http://schemas.openxmlformats.org/officeDocument/2006/relationships" r:embed="rId405601668">
                      <a:extLst>
                        <a:ext uri="{28A0092B-C50C-407E-A947-70E740481C1C}">
                          <a14:useLocalDpi xmlns:a14="http://schemas.microsoft.com/office/drawing/2010/main"/>
                        </a:ext>
                      </a:extLst>
                    </a:blip>
                    <a:stretch>
                      <a:fillRect/>
                    </a:stretch>
                  </pic:blipFill>
                  <pic:spPr>
                    <a:xfrm rot="0">
                      <a:off x="0" y="0"/>
                      <a:ext cx="3219450" cy="1885601"/>
                    </a:xfrm>
                    <a:prstGeom prst="rect">
                      <a:avLst/>
                    </a:prstGeom>
                  </pic:spPr>
                </pic:pic>
              </a:graphicData>
            </a:graphic>
          </wp:inline>
        </w:drawing>
      </w:r>
    </w:p>
    <w:p w:rsidR="0CAC7609" w:rsidP="6407B060" w:rsidRDefault="0CAC7609" w14:paraId="2C23355D" w14:textId="0B380654">
      <w:pPr>
        <w:pStyle w:val="Normal"/>
        <w:keepNext w:val="0"/>
        <w:keepLines w:val="0"/>
        <w:spacing w:line="360" w:lineRule="auto"/>
        <w:jc w:val="both"/>
        <w:rPr>
          <w:rFonts w:ascii="Arial" w:hAnsi="Arial" w:eastAsia="Arial" w:cs="Arial"/>
          <w:sz w:val="24"/>
          <w:szCs w:val="24"/>
        </w:rPr>
      </w:pPr>
      <w:r w:rsidRPr="6407B060" w:rsidR="0CAC7609">
        <w:rPr>
          <w:rFonts w:ascii="Arial" w:hAnsi="Arial" w:eastAsia="Arial" w:cs="Arial"/>
          <w:sz w:val="24"/>
          <w:szCs w:val="24"/>
        </w:rPr>
        <w:t xml:space="preserve">Project C produces the highest internal rate of return, significantly exceeding the returns generated by Projects A and B. Although the IRR </w:t>
      </w:r>
      <w:r w:rsidRPr="6407B060" w:rsidR="0CAC7609">
        <w:rPr>
          <w:rFonts w:ascii="Arial" w:hAnsi="Arial" w:eastAsia="Arial" w:cs="Arial"/>
          <w:sz w:val="24"/>
          <w:szCs w:val="24"/>
        </w:rPr>
        <w:t>remains</w:t>
      </w:r>
      <w:r w:rsidRPr="6407B060" w:rsidR="0CAC7609">
        <w:rPr>
          <w:rFonts w:ascii="Arial" w:hAnsi="Arial" w:eastAsia="Arial" w:cs="Arial"/>
          <w:sz w:val="24"/>
          <w:szCs w:val="24"/>
        </w:rPr>
        <w:t xml:space="preserve"> slightly below the assumed 10% cost of capital, Project C </w:t>
      </w:r>
      <w:r w:rsidRPr="6407B060" w:rsidR="0CAC7609">
        <w:rPr>
          <w:rFonts w:ascii="Arial" w:hAnsi="Arial" w:eastAsia="Arial" w:cs="Arial"/>
          <w:sz w:val="24"/>
          <w:szCs w:val="24"/>
        </w:rPr>
        <w:t>demonstrates</w:t>
      </w:r>
      <w:r w:rsidRPr="6407B060" w:rsidR="0CAC7609">
        <w:rPr>
          <w:rFonts w:ascii="Arial" w:hAnsi="Arial" w:eastAsia="Arial" w:cs="Arial"/>
          <w:sz w:val="24"/>
          <w:szCs w:val="24"/>
        </w:rPr>
        <w:t xml:space="preserve"> stronger profitability potential and more efficient capital utilisation, making it the most attractive investment option from a financial perspective.</w:t>
      </w:r>
    </w:p>
    <w:p w:rsidR="4F3C014F" w:rsidP="6407B060" w:rsidRDefault="4F3C014F" w14:paraId="2B394F05" w14:textId="01EE419A">
      <w:pPr>
        <w:pStyle w:val="Heading2"/>
        <w:keepNext w:val="0"/>
        <w:keepLines w:val="0"/>
        <w:spacing w:line="360" w:lineRule="auto"/>
        <w:rPr>
          <w:rFonts w:ascii="Arial" w:hAnsi="Arial" w:eastAsia="Arial" w:cs="Arial"/>
          <w:sz w:val="28"/>
          <w:szCs w:val="28"/>
        </w:rPr>
      </w:pPr>
      <w:bookmarkStart w:name="_Toc1834766191" w:id="1821207618"/>
      <w:r w:rsidRPr="6407B060" w:rsidR="4F3C014F">
        <w:rPr>
          <w:rFonts w:ascii="Arial" w:hAnsi="Arial" w:eastAsia="Arial" w:cs="Arial"/>
          <w:sz w:val="28"/>
          <w:szCs w:val="28"/>
        </w:rPr>
        <w:t>4.6 Project Evaluation and Recommendation</w:t>
      </w:r>
      <w:bookmarkEnd w:id="1821207618"/>
    </w:p>
    <w:p w:rsidR="6DCF58FF" w:rsidP="6407B060" w:rsidRDefault="6DCF58FF" w14:paraId="2CDAD87D" w14:textId="635B4DD9">
      <w:pPr>
        <w:pStyle w:val="Normal"/>
        <w:keepNext w:val="0"/>
        <w:keepLines w:val="0"/>
        <w:spacing w:line="360" w:lineRule="auto"/>
        <w:jc w:val="both"/>
        <w:rPr>
          <w:rFonts w:ascii="Arial" w:hAnsi="Arial" w:eastAsia="Arial" w:cs="Arial"/>
          <w:sz w:val="24"/>
          <w:szCs w:val="24"/>
        </w:rPr>
      </w:pPr>
      <w:r w:rsidRPr="6407B060" w:rsidR="6DCF58FF">
        <w:rPr>
          <w:rFonts w:ascii="Arial" w:hAnsi="Arial" w:eastAsia="Arial" w:cs="Arial"/>
          <w:sz w:val="24"/>
          <w:szCs w:val="24"/>
        </w:rPr>
        <w:t>When comparing the results across all investment appraisal methods, Project C consistently performs better than Projects A and B (see Figure).</w:t>
      </w:r>
    </w:p>
    <w:p w:rsidR="5B1D5395" w:rsidP="6407B060" w:rsidRDefault="5B1D5395" w14:paraId="749DDC32" w14:textId="2F980D21">
      <w:pPr>
        <w:pStyle w:val="Normal"/>
        <w:keepNext w:val="0"/>
        <w:keepLines w:val="0"/>
        <w:spacing w:line="360" w:lineRule="auto"/>
      </w:pPr>
      <w:r w:rsidR="5B1D5395">
        <w:drawing>
          <wp:inline wp14:editId="15AE0F37" wp14:anchorId="7B588A06">
            <wp:extent cx="1676633" cy="2176610"/>
            <wp:effectExtent l="0" t="0" r="0" b="0"/>
            <wp:docPr id="20859057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5905720" name="Picture 2085905720"/>
                    <pic:cNvPicPr/>
                  </pic:nvPicPr>
                  <pic:blipFill>
                    <a:blip xmlns:r="http://schemas.openxmlformats.org/officeDocument/2006/relationships" r:embed="rId627522011">
                      <a:extLst>
                        <a:ext uri="{28A0092B-C50C-407E-A947-70E740481C1C}">
                          <a14:useLocalDpi xmlns:a14="http://schemas.microsoft.com/office/drawing/2010/main"/>
                        </a:ext>
                      </a:extLst>
                    </a:blip>
                    <a:stretch>
                      <a:fillRect/>
                    </a:stretch>
                  </pic:blipFill>
                  <pic:spPr>
                    <a:xfrm rot="0">
                      <a:off x="0" y="0"/>
                      <a:ext cx="1676633" cy="2176610"/>
                    </a:xfrm>
                    <a:prstGeom prst="rect">
                      <a:avLst/>
                    </a:prstGeom>
                  </pic:spPr>
                </pic:pic>
              </a:graphicData>
            </a:graphic>
          </wp:inline>
        </w:drawing>
      </w:r>
    </w:p>
    <w:p w:rsidR="70B21312" w:rsidP="6407B060" w:rsidRDefault="70B21312" w14:paraId="579B3363" w14:textId="2D68E5F7">
      <w:pPr>
        <w:pStyle w:val="Normal"/>
        <w:keepNext w:val="0"/>
        <w:keepLines w:val="0"/>
        <w:spacing w:line="360" w:lineRule="auto"/>
        <w:rPr>
          <w:rFonts w:ascii="Arial" w:hAnsi="Arial" w:eastAsia="Arial" w:cs="Arial"/>
          <w:sz w:val="24"/>
          <w:szCs w:val="24"/>
        </w:rPr>
      </w:pPr>
      <w:r w:rsidRPr="6407B060" w:rsidR="70B21312">
        <w:rPr>
          <w:rFonts w:ascii="Arial" w:hAnsi="Arial" w:eastAsia="Arial" w:cs="Arial"/>
          <w:sz w:val="24"/>
          <w:szCs w:val="24"/>
        </w:rPr>
        <w:t>Figure 25: Project evaluation</w:t>
      </w:r>
    </w:p>
    <w:p w:rsidR="5B1D5395" w:rsidP="6407B060" w:rsidRDefault="5B1D5395" w14:paraId="33F855FF" w14:textId="2EA9F6C5">
      <w:pPr>
        <w:pStyle w:val="Normal"/>
        <w:keepNext w:val="0"/>
        <w:keepLines w:val="0"/>
        <w:spacing w:line="360" w:lineRule="auto"/>
        <w:jc w:val="both"/>
        <w:rPr>
          <w:rFonts w:ascii="Arial" w:hAnsi="Arial" w:eastAsia="Arial" w:cs="Arial"/>
          <w:sz w:val="24"/>
          <w:szCs w:val="24"/>
        </w:rPr>
      </w:pPr>
      <w:r w:rsidRPr="6407B060" w:rsidR="5B1D5395">
        <w:rPr>
          <w:rFonts w:ascii="Arial" w:hAnsi="Arial" w:eastAsia="Arial" w:cs="Arial"/>
          <w:sz w:val="24"/>
          <w:szCs w:val="24"/>
        </w:rPr>
        <w:t xml:space="preserve">Project C offers: </w:t>
      </w:r>
      <w:r w:rsidRPr="6407B060" w:rsidR="5B1D5395">
        <w:rPr>
          <w:rFonts w:ascii="Arial" w:hAnsi="Arial" w:eastAsia="Arial" w:cs="Arial"/>
          <w:sz w:val="24"/>
          <w:szCs w:val="24"/>
        </w:rPr>
        <w:t>the shortest payback period, the highest accounting profitability, the largest present value of future cash flows, and the highest internal rate of return.</w:t>
      </w:r>
      <w:r w:rsidRPr="6407B060" w:rsidR="72AD8CFF">
        <w:rPr>
          <w:rFonts w:ascii="Arial" w:hAnsi="Arial" w:eastAsia="Arial" w:cs="Arial"/>
          <w:sz w:val="24"/>
          <w:szCs w:val="24"/>
        </w:rPr>
        <w:t xml:space="preserve"> Therefore, from a financial perspective, Project C </w:t>
      </w:r>
      <w:r w:rsidRPr="6407B060" w:rsidR="72AD8CFF">
        <w:rPr>
          <w:rFonts w:ascii="Arial" w:hAnsi="Arial" w:eastAsia="Arial" w:cs="Arial"/>
          <w:sz w:val="24"/>
          <w:szCs w:val="24"/>
        </w:rPr>
        <w:t>represents</w:t>
      </w:r>
      <w:r w:rsidRPr="6407B060" w:rsidR="72AD8CFF">
        <w:rPr>
          <w:rFonts w:ascii="Arial" w:hAnsi="Arial" w:eastAsia="Arial" w:cs="Arial"/>
          <w:sz w:val="24"/>
          <w:szCs w:val="24"/>
        </w:rPr>
        <w:t xml:space="preserve"> the most attractive investment opportunity.</w:t>
      </w:r>
    </w:p>
    <w:p w:rsidR="72AD8CFF" w:rsidP="6407B060" w:rsidRDefault="72AD8CFF" w14:paraId="58DEFC45" w14:textId="31F22CA3">
      <w:pPr>
        <w:pStyle w:val="Heading2"/>
        <w:keepNext w:val="0"/>
        <w:keepLines w:val="0"/>
        <w:spacing w:line="360" w:lineRule="auto"/>
        <w:rPr>
          <w:rFonts w:ascii="Arial" w:hAnsi="Arial" w:eastAsia="Arial" w:cs="Arial"/>
          <w:sz w:val="28"/>
          <w:szCs w:val="28"/>
        </w:rPr>
      </w:pPr>
      <w:bookmarkStart w:name="_Toc578618294" w:id="211929517"/>
      <w:r w:rsidRPr="6407B060" w:rsidR="72AD8CFF">
        <w:rPr>
          <w:rFonts w:ascii="Arial" w:hAnsi="Arial" w:eastAsia="Arial" w:cs="Arial"/>
          <w:sz w:val="28"/>
          <w:szCs w:val="28"/>
        </w:rPr>
        <w:t>4.7 Strategic Justification Based on Financial Performance</w:t>
      </w:r>
      <w:bookmarkEnd w:id="211929517"/>
    </w:p>
    <w:p w:rsidR="72AD8CFF" w:rsidP="6407B060" w:rsidRDefault="72AD8CFF" w14:paraId="40479E08" w14:textId="3551F48D">
      <w:pPr>
        <w:pStyle w:val="Normal"/>
        <w:keepNext w:val="0"/>
        <w:keepLines w:val="0"/>
        <w:spacing w:line="360" w:lineRule="auto"/>
        <w:jc w:val="both"/>
        <w:rPr>
          <w:rFonts w:ascii="Arial" w:hAnsi="Arial" w:eastAsia="Arial" w:cs="Arial"/>
          <w:sz w:val="24"/>
          <w:szCs w:val="24"/>
        </w:rPr>
      </w:pPr>
      <w:r w:rsidRPr="6407B060" w:rsidR="72AD8CFF">
        <w:rPr>
          <w:rFonts w:ascii="Arial" w:hAnsi="Arial" w:eastAsia="Arial" w:cs="Arial"/>
          <w:sz w:val="24"/>
          <w:szCs w:val="24"/>
        </w:rPr>
        <w:t xml:space="preserve">The financial analysis </w:t>
      </w:r>
      <w:r w:rsidRPr="6407B060" w:rsidR="1CBC5C1F">
        <w:rPr>
          <w:rFonts w:ascii="Arial" w:hAnsi="Arial" w:eastAsia="Arial" w:cs="Arial"/>
          <w:sz w:val="24"/>
          <w:szCs w:val="24"/>
        </w:rPr>
        <w:t xml:space="preserve">evaluated in this report </w:t>
      </w:r>
      <w:r w:rsidRPr="6407B060" w:rsidR="72AD8CFF">
        <w:rPr>
          <w:rFonts w:ascii="Arial" w:hAnsi="Arial" w:eastAsia="Arial" w:cs="Arial"/>
          <w:sz w:val="24"/>
          <w:szCs w:val="24"/>
        </w:rPr>
        <w:t>indicated</w:t>
      </w:r>
      <w:r w:rsidRPr="6407B060" w:rsidR="72AD8CFF">
        <w:rPr>
          <w:rFonts w:ascii="Arial" w:hAnsi="Arial" w:eastAsia="Arial" w:cs="Arial"/>
          <w:sz w:val="24"/>
          <w:szCs w:val="24"/>
        </w:rPr>
        <w:t xml:space="preserve"> that Volkswagen Group faces several financial challenges, including declining ROCE and tightening liquidity ratios. These conditions suggest that the organisation should prioritise projects that recover capital quickly and generate higher returns.</w:t>
      </w:r>
    </w:p>
    <w:p w:rsidR="72AD8CFF" w:rsidP="6407B060" w:rsidRDefault="72AD8CFF" w14:paraId="692E9FB6" w14:textId="64D6464C">
      <w:pPr>
        <w:pStyle w:val="Normal"/>
        <w:keepNext w:val="0"/>
        <w:keepLines w:val="0"/>
        <w:spacing w:line="360" w:lineRule="auto"/>
        <w:jc w:val="both"/>
        <w:rPr>
          <w:rFonts w:ascii="Arial" w:hAnsi="Arial" w:eastAsia="Arial" w:cs="Arial"/>
          <w:sz w:val="24"/>
          <w:szCs w:val="24"/>
        </w:rPr>
      </w:pPr>
      <w:r w:rsidRPr="6407B060" w:rsidR="72AD8CFF">
        <w:rPr>
          <w:rFonts w:ascii="Arial" w:hAnsi="Arial" w:eastAsia="Arial" w:cs="Arial"/>
          <w:sz w:val="24"/>
          <w:szCs w:val="24"/>
        </w:rPr>
        <w:t>Project C aligns with these financial priorities because</w:t>
      </w:r>
      <w:r w:rsidRPr="6407B060" w:rsidR="086A2B2B">
        <w:rPr>
          <w:rFonts w:ascii="Arial" w:hAnsi="Arial" w:eastAsia="Arial" w:cs="Arial"/>
          <w:sz w:val="24"/>
          <w:szCs w:val="24"/>
        </w:rPr>
        <w:t xml:space="preserve"> of the following advantages</w:t>
      </w:r>
      <w:r w:rsidRPr="6407B060" w:rsidR="72AD8CFF">
        <w:rPr>
          <w:rFonts w:ascii="Arial" w:hAnsi="Arial" w:eastAsia="Arial" w:cs="Arial"/>
          <w:sz w:val="24"/>
          <w:szCs w:val="24"/>
        </w:rPr>
        <w:t>:</w:t>
      </w:r>
    </w:p>
    <w:p w:rsidR="72AD8CFF" w:rsidP="6407B060" w:rsidRDefault="72AD8CFF" w14:paraId="348E9B65" w14:textId="5BDAF0ED">
      <w:pPr>
        <w:pStyle w:val="ListParagraph"/>
        <w:keepNext w:val="0"/>
        <w:keepLines w:val="0"/>
        <w:numPr>
          <w:ilvl w:val="0"/>
          <w:numId w:val="3"/>
        </w:numPr>
        <w:spacing w:line="360" w:lineRule="auto"/>
        <w:contextualSpacing w:val="0"/>
        <w:jc w:val="both"/>
        <w:rPr>
          <w:rFonts w:ascii="Arial" w:hAnsi="Arial" w:eastAsia="Arial" w:cs="Arial"/>
          <w:sz w:val="24"/>
          <w:szCs w:val="24"/>
        </w:rPr>
      </w:pPr>
      <w:r w:rsidRPr="6407B060" w:rsidR="72AD8CFF">
        <w:rPr>
          <w:rFonts w:ascii="Arial" w:hAnsi="Arial" w:eastAsia="Arial" w:cs="Arial"/>
          <w:sz w:val="24"/>
          <w:szCs w:val="24"/>
        </w:rPr>
        <w:t>Faster capital recovery</w:t>
      </w:r>
      <w:r>
        <w:br/>
      </w:r>
      <w:r w:rsidRPr="6407B060" w:rsidR="72AD8CFF">
        <w:rPr>
          <w:rFonts w:ascii="Arial" w:hAnsi="Arial" w:eastAsia="Arial" w:cs="Arial"/>
          <w:sz w:val="24"/>
          <w:szCs w:val="24"/>
        </w:rPr>
        <w:t xml:space="preserve"> With a payback period of 3.6 years, Project C reduces investment risk and improves liquidity.</w:t>
      </w:r>
    </w:p>
    <w:p w:rsidR="72AD8CFF" w:rsidP="6407B060" w:rsidRDefault="72AD8CFF" w14:paraId="787DE031" w14:textId="76A42F7B">
      <w:pPr>
        <w:pStyle w:val="ListParagraph"/>
        <w:keepNext w:val="0"/>
        <w:keepLines w:val="0"/>
        <w:numPr>
          <w:ilvl w:val="0"/>
          <w:numId w:val="3"/>
        </w:numPr>
        <w:spacing w:line="360" w:lineRule="auto"/>
        <w:contextualSpacing w:val="0"/>
        <w:jc w:val="both"/>
        <w:rPr>
          <w:rFonts w:ascii="Arial" w:hAnsi="Arial" w:eastAsia="Arial" w:cs="Arial"/>
          <w:sz w:val="24"/>
          <w:szCs w:val="24"/>
        </w:rPr>
      </w:pPr>
      <w:r w:rsidRPr="6407B060" w:rsidR="72AD8CFF">
        <w:rPr>
          <w:rFonts w:ascii="Arial" w:hAnsi="Arial" w:eastAsia="Arial" w:cs="Arial"/>
          <w:sz w:val="24"/>
          <w:szCs w:val="24"/>
        </w:rPr>
        <w:t>Higher profitability potential</w:t>
      </w:r>
      <w:r>
        <w:br/>
      </w:r>
      <w:r w:rsidRPr="6407B060" w:rsidR="72AD8CFF">
        <w:rPr>
          <w:rFonts w:ascii="Arial" w:hAnsi="Arial" w:eastAsia="Arial" w:cs="Arial"/>
          <w:sz w:val="24"/>
          <w:szCs w:val="24"/>
        </w:rPr>
        <w:t xml:space="preserve"> The highest ARR and IRR </w:t>
      </w:r>
      <w:r w:rsidRPr="6407B060" w:rsidR="72AD8CFF">
        <w:rPr>
          <w:rFonts w:ascii="Arial" w:hAnsi="Arial" w:eastAsia="Arial" w:cs="Arial"/>
          <w:sz w:val="24"/>
          <w:szCs w:val="24"/>
        </w:rPr>
        <w:t>indicate</w:t>
      </w:r>
      <w:r w:rsidRPr="6407B060" w:rsidR="72AD8CFF">
        <w:rPr>
          <w:rFonts w:ascii="Arial" w:hAnsi="Arial" w:eastAsia="Arial" w:cs="Arial"/>
          <w:sz w:val="24"/>
          <w:szCs w:val="24"/>
        </w:rPr>
        <w:t xml:space="preserve"> stronger earnings generation </w:t>
      </w:r>
      <w:r w:rsidRPr="6407B060" w:rsidR="72AD8CFF">
        <w:rPr>
          <w:rFonts w:ascii="Arial" w:hAnsi="Arial" w:eastAsia="Arial" w:cs="Arial"/>
          <w:sz w:val="24"/>
          <w:szCs w:val="24"/>
        </w:rPr>
        <w:t>relative</w:t>
      </w:r>
      <w:r w:rsidRPr="6407B060" w:rsidR="72AD8CFF">
        <w:rPr>
          <w:rFonts w:ascii="Arial" w:hAnsi="Arial" w:eastAsia="Arial" w:cs="Arial"/>
          <w:sz w:val="24"/>
          <w:szCs w:val="24"/>
        </w:rPr>
        <w:t xml:space="preserve"> to invested capital.</w:t>
      </w:r>
    </w:p>
    <w:p w:rsidR="72AD8CFF" w:rsidP="6407B060" w:rsidRDefault="72AD8CFF" w14:paraId="33234708" w14:textId="0C956537">
      <w:pPr>
        <w:pStyle w:val="ListParagraph"/>
        <w:keepNext w:val="0"/>
        <w:keepLines w:val="0"/>
        <w:numPr>
          <w:ilvl w:val="0"/>
          <w:numId w:val="3"/>
        </w:numPr>
        <w:spacing w:line="360" w:lineRule="auto"/>
        <w:contextualSpacing w:val="0"/>
        <w:jc w:val="both"/>
        <w:rPr>
          <w:rFonts w:ascii="Arial" w:hAnsi="Arial" w:eastAsia="Arial" w:cs="Arial"/>
          <w:sz w:val="24"/>
          <w:szCs w:val="24"/>
        </w:rPr>
      </w:pPr>
      <w:r w:rsidRPr="6407B060" w:rsidR="72AD8CFF">
        <w:rPr>
          <w:rFonts w:ascii="Arial" w:hAnsi="Arial" w:eastAsia="Arial" w:cs="Arial"/>
          <w:sz w:val="24"/>
          <w:szCs w:val="24"/>
        </w:rPr>
        <w:t>Better capital efficiency</w:t>
      </w:r>
      <w:r>
        <w:br/>
      </w:r>
      <w:r w:rsidRPr="6407B060" w:rsidR="72AD8CFF">
        <w:rPr>
          <w:rFonts w:ascii="Arial" w:hAnsi="Arial" w:eastAsia="Arial" w:cs="Arial"/>
          <w:sz w:val="24"/>
          <w:szCs w:val="24"/>
        </w:rPr>
        <w:t xml:space="preserve"> The higher profitability index suggests better value creation per unit of investment.</w:t>
      </w:r>
    </w:p>
    <w:p w:rsidR="72AD8CFF" w:rsidP="6407B060" w:rsidRDefault="72AD8CFF" w14:paraId="4B137023" w14:textId="68BE7F62">
      <w:pPr>
        <w:pStyle w:val="Normal"/>
        <w:keepNext w:val="0"/>
        <w:keepLines w:val="0"/>
        <w:spacing w:line="360" w:lineRule="auto"/>
        <w:jc w:val="both"/>
        <w:rPr>
          <w:rFonts w:ascii="Arial" w:hAnsi="Arial" w:eastAsia="Arial" w:cs="Arial"/>
          <w:sz w:val="24"/>
          <w:szCs w:val="24"/>
        </w:rPr>
      </w:pPr>
      <w:r w:rsidRPr="6407B060" w:rsidR="72AD8CFF">
        <w:rPr>
          <w:rFonts w:ascii="Arial" w:hAnsi="Arial" w:eastAsia="Arial" w:cs="Arial"/>
          <w:sz w:val="24"/>
          <w:szCs w:val="24"/>
        </w:rPr>
        <w:t>These characteristics are particularly important during periods of large capital expenditure associated with electrification and technological transformation.</w:t>
      </w:r>
      <w:r w:rsidRPr="6407B060" w:rsidR="2508F87A">
        <w:rPr>
          <w:rFonts w:ascii="Arial" w:hAnsi="Arial" w:eastAsia="Arial" w:cs="Arial"/>
          <w:sz w:val="24"/>
          <w:szCs w:val="24"/>
        </w:rPr>
        <w:t xml:space="preserve"> However, Volkswagen should consider that </w:t>
      </w:r>
      <w:r w:rsidRPr="6407B060" w:rsidR="17E752EA">
        <w:rPr>
          <w:rFonts w:ascii="Arial" w:hAnsi="Arial" w:eastAsia="Arial" w:cs="Arial"/>
          <w:sz w:val="24"/>
          <w:szCs w:val="24"/>
        </w:rPr>
        <w:t xml:space="preserve">access to basic energy services is still a major problem in many regions of the world, </w:t>
      </w:r>
      <w:r w:rsidRPr="6407B060" w:rsidR="533A990A">
        <w:rPr>
          <w:rFonts w:ascii="Arial" w:hAnsi="Arial" w:eastAsia="Arial" w:cs="Arial"/>
          <w:sz w:val="24"/>
          <w:szCs w:val="24"/>
        </w:rPr>
        <w:t xml:space="preserve">and </w:t>
      </w:r>
      <w:r w:rsidRPr="6407B060" w:rsidR="17E752EA">
        <w:rPr>
          <w:rFonts w:ascii="Arial" w:hAnsi="Arial" w:eastAsia="Arial" w:cs="Arial"/>
          <w:sz w:val="24"/>
          <w:szCs w:val="24"/>
        </w:rPr>
        <w:t xml:space="preserve">collaboration with </w:t>
      </w:r>
      <w:r w:rsidRPr="6407B060" w:rsidR="5931B531">
        <w:rPr>
          <w:rFonts w:ascii="Arial" w:hAnsi="Arial" w:eastAsia="Arial" w:cs="Arial"/>
          <w:sz w:val="24"/>
          <w:szCs w:val="24"/>
        </w:rPr>
        <w:t xml:space="preserve">Grid companies in certain areas is </w:t>
      </w:r>
      <w:r w:rsidRPr="6407B060" w:rsidR="5931B531">
        <w:rPr>
          <w:rFonts w:ascii="Arial" w:hAnsi="Arial" w:eastAsia="Arial" w:cs="Arial"/>
          <w:sz w:val="24"/>
          <w:szCs w:val="24"/>
        </w:rPr>
        <w:t>highly important</w:t>
      </w:r>
      <w:r w:rsidRPr="6407B060" w:rsidR="027CCA6E">
        <w:rPr>
          <w:rFonts w:ascii="Arial" w:hAnsi="Arial" w:eastAsia="Arial" w:cs="Arial"/>
          <w:sz w:val="24"/>
          <w:szCs w:val="24"/>
        </w:rPr>
        <w:t xml:space="preserve"> (Ciller, 2019)</w:t>
      </w:r>
      <w:r w:rsidRPr="6407B060" w:rsidR="5931B531">
        <w:rPr>
          <w:rFonts w:ascii="Arial" w:hAnsi="Arial" w:eastAsia="Arial" w:cs="Arial"/>
          <w:sz w:val="24"/>
          <w:szCs w:val="24"/>
        </w:rPr>
        <w:t>.</w:t>
      </w:r>
    </w:p>
    <w:p w:rsidR="7C1B1539" w:rsidP="6407B060" w:rsidRDefault="7C1B1539" w14:paraId="44AD4F53" w14:textId="3221DC31">
      <w:pPr>
        <w:pStyle w:val="Heading2"/>
        <w:keepNext w:val="0"/>
        <w:keepLines w:val="0"/>
        <w:spacing w:line="360" w:lineRule="auto"/>
        <w:rPr>
          <w:rFonts w:ascii="Arial" w:hAnsi="Arial" w:eastAsia="Arial" w:cs="Arial"/>
          <w:sz w:val="28"/>
          <w:szCs w:val="28"/>
        </w:rPr>
      </w:pPr>
      <w:bookmarkStart w:name="_Toc1979312279" w:id="686148225"/>
      <w:r w:rsidRPr="6407B060" w:rsidR="7C1B1539">
        <w:rPr>
          <w:rFonts w:ascii="Arial" w:hAnsi="Arial" w:eastAsia="Arial" w:cs="Arial"/>
          <w:sz w:val="28"/>
          <w:szCs w:val="28"/>
        </w:rPr>
        <w:t>4.8 Consideration of Non-Financial Risks</w:t>
      </w:r>
      <w:bookmarkEnd w:id="686148225"/>
    </w:p>
    <w:p w:rsidR="45062D43" w:rsidP="6407B060" w:rsidRDefault="45062D43" w14:paraId="343B553F" w14:textId="341A1BE3">
      <w:pPr>
        <w:pStyle w:val="Normal"/>
        <w:keepNext w:val="0"/>
        <w:keepLines w:val="0"/>
        <w:spacing w:line="360" w:lineRule="auto"/>
        <w:rPr>
          <w:rFonts w:ascii="Arial" w:hAnsi="Arial" w:eastAsia="Arial" w:cs="Arial"/>
          <w:sz w:val="24"/>
          <w:szCs w:val="24"/>
        </w:rPr>
      </w:pPr>
      <w:r w:rsidRPr="6407B060" w:rsidR="45062D43">
        <w:rPr>
          <w:rFonts w:ascii="Arial" w:hAnsi="Arial" w:eastAsia="Arial" w:cs="Arial"/>
          <w:sz w:val="24"/>
          <w:szCs w:val="24"/>
        </w:rPr>
        <w:t>Investment decisions must also consider strategic and non-financial factors.</w:t>
      </w:r>
    </w:p>
    <w:p w:rsidR="45062D43" w:rsidP="6407B060" w:rsidRDefault="45062D43" w14:paraId="07E38A5D" w14:textId="4EA9E078">
      <w:pPr>
        <w:pStyle w:val="Heading3"/>
        <w:keepNext w:val="0"/>
        <w:keepLines w:val="0"/>
        <w:spacing w:line="360" w:lineRule="auto"/>
        <w:rPr>
          <w:rFonts w:ascii="Arial" w:hAnsi="Arial" w:eastAsia="Arial" w:cs="Arial"/>
          <w:sz w:val="24"/>
          <w:szCs w:val="24"/>
        </w:rPr>
      </w:pPr>
      <w:bookmarkStart w:name="_Toc888194044" w:id="1108539268"/>
      <w:r w:rsidRPr="6407B060" w:rsidR="45062D43">
        <w:rPr>
          <w:rFonts w:ascii="Arial" w:hAnsi="Arial" w:eastAsia="Arial" w:cs="Arial"/>
          <w:sz w:val="24"/>
          <w:szCs w:val="24"/>
        </w:rPr>
        <w:t>4.8.1 Political and Regulatory Risk</w:t>
      </w:r>
      <w:bookmarkEnd w:id="1108539268"/>
    </w:p>
    <w:p w:rsidR="2A1191FB" w:rsidP="6407B060" w:rsidRDefault="2A1191FB" w14:paraId="1AE3596C" w14:textId="2C9C90B3">
      <w:pPr>
        <w:pStyle w:val="Normal"/>
        <w:keepNext w:val="0"/>
        <w:keepLines w:val="0"/>
        <w:spacing w:line="360" w:lineRule="auto"/>
        <w:jc w:val="both"/>
        <w:rPr>
          <w:rFonts w:ascii="Arial" w:hAnsi="Arial" w:eastAsia="Arial" w:cs="Arial"/>
          <w:sz w:val="24"/>
          <w:szCs w:val="24"/>
        </w:rPr>
      </w:pPr>
      <w:r w:rsidRPr="6407B060" w:rsidR="2A1191FB">
        <w:rPr>
          <w:rFonts w:ascii="Arial" w:hAnsi="Arial" w:eastAsia="Arial" w:cs="Arial"/>
          <w:b w:val="0"/>
          <w:bCs w:val="0"/>
          <w:i w:val="0"/>
          <w:iCs w:val="0"/>
          <w:caps w:val="0"/>
          <w:smallCaps w:val="0"/>
          <w:color w:val="000000" w:themeColor="text1" w:themeTint="FF" w:themeShade="FF"/>
          <w:sz w:val="24"/>
          <w:szCs w:val="24"/>
        </w:rPr>
        <w:t xml:space="preserve">Cârstea (2017) states that the </w:t>
      </w:r>
      <w:r w:rsidRPr="6407B060" w:rsidR="53735248">
        <w:rPr>
          <w:rFonts w:ascii="Arial" w:hAnsi="Arial" w:eastAsia="Arial" w:cs="Arial"/>
          <w:b w:val="0"/>
          <w:bCs w:val="0"/>
          <w:i w:val="0"/>
          <w:iCs w:val="0"/>
          <w:caps w:val="0"/>
          <w:smallCaps w:val="0"/>
          <w:color w:val="000000" w:themeColor="text1" w:themeTint="FF" w:themeShade="FF"/>
          <w:sz w:val="24"/>
          <w:szCs w:val="24"/>
        </w:rPr>
        <w:t>a</w:t>
      </w:r>
      <w:r w:rsidRPr="6407B060" w:rsidR="0AC16955">
        <w:rPr>
          <w:rFonts w:ascii="Arial" w:hAnsi="Arial" w:eastAsia="Arial" w:cs="Arial"/>
          <w:b w:val="0"/>
          <w:bCs w:val="0"/>
          <w:i w:val="0"/>
          <w:iCs w:val="0"/>
          <w:caps w:val="0"/>
          <w:smallCaps w:val="0"/>
          <w:color w:val="000000" w:themeColor="text1" w:themeTint="FF" w:themeShade="FF"/>
          <w:sz w:val="24"/>
          <w:szCs w:val="24"/>
        </w:rPr>
        <w:t xml:space="preserve">utomotive manufacturers </w:t>
      </w:r>
      <w:r w:rsidRPr="6407B060" w:rsidR="0AC16955">
        <w:rPr>
          <w:rFonts w:ascii="Arial" w:hAnsi="Arial" w:eastAsia="Arial" w:cs="Arial"/>
          <w:b w:val="0"/>
          <w:bCs w:val="0"/>
          <w:i w:val="0"/>
          <w:iCs w:val="0"/>
          <w:caps w:val="0"/>
          <w:smallCaps w:val="0"/>
          <w:color w:val="000000" w:themeColor="text1" w:themeTint="FF" w:themeShade="FF"/>
          <w:sz w:val="24"/>
          <w:szCs w:val="24"/>
        </w:rPr>
        <w:t>operate</w:t>
      </w:r>
      <w:r w:rsidRPr="6407B060" w:rsidR="0AC16955">
        <w:rPr>
          <w:rFonts w:ascii="Arial" w:hAnsi="Arial" w:eastAsia="Arial" w:cs="Arial"/>
          <w:b w:val="0"/>
          <w:bCs w:val="0"/>
          <w:i w:val="0"/>
          <w:iCs w:val="0"/>
          <w:caps w:val="0"/>
          <w:smallCaps w:val="0"/>
          <w:color w:val="000000" w:themeColor="text1" w:themeTint="FF" w:themeShade="FF"/>
          <w:sz w:val="24"/>
          <w:szCs w:val="24"/>
        </w:rPr>
        <w:t xml:space="preserve"> within a regulatory framework that addresses multiple dimensions, including environmental, safety, and political factors. The automotive industry is recogni</w:t>
      </w:r>
      <w:r w:rsidRPr="6407B060" w:rsidR="21ED0653">
        <w:rPr>
          <w:rFonts w:ascii="Arial" w:hAnsi="Arial" w:eastAsia="Arial" w:cs="Arial"/>
          <w:b w:val="0"/>
          <w:bCs w:val="0"/>
          <w:i w:val="0"/>
          <w:iCs w:val="0"/>
          <w:caps w:val="0"/>
          <w:smallCaps w:val="0"/>
          <w:color w:val="000000" w:themeColor="text1" w:themeTint="FF" w:themeShade="FF"/>
          <w:sz w:val="24"/>
          <w:szCs w:val="24"/>
        </w:rPr>
        <w:t>s</w:t>
      </w:r>
      <w:r w:rsidRPr="6407B060" w:rsidR="0AC16955">
        <w:rPr>
          <w:rFonts w:ascii="Arial" w:hAnsi="Arial" w:eastAsia="Arial" w:cs="Arial"/>
          <w:b w:val="0"/>
          <w:bCs w:val="0"/>
          <w:i w:val="0"/>
          <w:iCs w:val="0"/>
          <w:caps w:val="0"/>
          <w:smallCaps w:val="0"/>
          <w:color w:val="000000" w:themeColor="text1" w:themeTint="FF" w:themeShade="FF"/>
          <w:sz w:val="24"/>
          <w:szCs w:val="24"/>
        </w:rPr>
        <w:t>ed as a significant source of air pollution, emitting CO2, NOx, and other harmful substances. Consequently, governments and regulatory bodies implement various measures to reduce emissions across the vehicle fleet, aiming to improve environmental quality.</w:t>
      </w:r>
      <w:r w:rsidRPr="6407B060" w:rsidR="45062D43">
        <w:rPr>
          <w:rFonts w:ascii="Arial" w:hAnsi="Arial" w:eastAsia="Arial" w:cs="Arial"/>
          <w:sz w:val="24"/>
          <w:szCs w:val="24"/>
        </w:rPr>
        <w:t xml:space="preserve"> Investment projects with shorter payback periods, such as Project C, reduce exposure to long-term regulatory uncertainty.</w:t>
      </w:r>
    </w:p>
    <w:p w:rsidR="45062D43" w:rsidP="6407B060" w:rsidRDefault="45062D43" w14:paraId="16AA5264" w14:textId="03522213">
      <w:pPr>
        <w:pStyle w:val="Heading3"/>
        <w:keepNext w:val="0"/>
        <w:keepLines w:val="0"/>
        <w:spacing w:line="360" w:lineRule="auto"/>
        <w:rPr>
          <w:rFonts w:ascii="Arial" w:hAnsi="Arial" w:eastAsia="Arial" w:cs="Arial"/>
          <w:sz w:val="24"/>
          <w:szCs w:val="24"/>
        </w:rPr>
      </w:pPr>
      <w:bookmarkStart w:name="_Toc1590075477" w:id="1628502649"/>
      <w:r w:rsidRPr="6407B060" w:rsidR="45062D43">
        <w:rPr>
          <w:rFonts w:ascii="Arial" w:hAnsi="Arial" w:eastAsia="Arial" w:cs="Arial"/>
          <w:sz w:val="24"/>
          <w:szCs w:val="24"/>
        </w:rPr>
        <w:t>4.8.2 Market Demand and Customer Loyalty</w:t>
      </w:r>
      <w:bookmarkEnd w:id="1628502649"/>
    </w:p>
    <w:p w:rsidR="62D717EA" w:rsidP="6407B060" w:rsidRDefault="62D717EA" w14:paraId="4B5BA37A" w14:textId="6D3FF3DD">
      <w:pPr>
        <w:pStyle w:val="Normal"/>
        <w:keepNext w:val="0"/>
        <w:keepLines w:val="0"/>
        <w:spacing w:line="360" w:lineRule="auto"/>
        <w:jc w:val="both"/>
        <w:rPr>
          <w:rFonts w:ascii="Arial" w:hAnsi="Arial" w:eastAsia="Arial" w:cs="Arial"/>
          <w:sz w:val="24"/>
          <w:szCs w:val="24"/>
        </w:rPr>
      </w:pPr>
      <w:r w:rsidRPr="6407B060" w:rsidR="62D717EA">
        <w:rPr>
          <w:rFonts w:ascii="Arial" w:hAnsi="Arial" w:eastAsia="Arial" w:cs="Arial"/>
          <w:sz w:val="24"/>
          <w:szCs w:val="24"/>
        </w:rPr>
        <w:t xml:space="preserve">Consumer preferences in the automotive industry are increasingly oriented toward electric vehicles (EVs) and sustainable mobility, driven by environmental concerns such as reducing greenhouse gas emissions, oil dependency, and pollution. Despite this shift, the adoption rate of EVs </w:t>
      </w:r>
      <w:r w:rsidRPr="6407B060" w:rsidR="62D717EA">
        <w:rPr>
          <w:rFonts w:ascii="Arial" w:hAnsi="Arial" w:eastAsia="Arial" w:cs="Arial"/>
          <w:sz w:val="24"/>
          <w:szCs w:val="24"/>
        </w:rPr>
        <w:t>remains</w:t>
      </w:r>
      <w:r w:rsidRPr="6407B060" w:rsidR="62D717EA">
        <w:rPr>
          <w:rFonts w:ascii="Arial" w:hAnsi="Arial" w:eastAsia="Arial" w:cs="Arial"/>
          <w:sz w:val="24"/>
          <w:szCs w:val="24"/>
        </w:rPr>
        <w:t xml:space="preserve"> moderate due to several factors influencing consumer behaviour. Financial considerations, including the high purchase price of EVs, continue to be a significant barrier, alongside concerns about vehicle performance, safety standards, and driving range per charge.</w:t>
      </w:r>
      <w:r w:rsidRPr="6407B060" w:rsidR="45062D43">
        <w:rPr>
          <w:rFonts w:ascii="Arial" w:hAnsi="Arial" w:eastAsia="Arial" w:cs="Arial"/>
          <w:sz w:val="24"/>
          <w:szCs w:val="24"/>
        </w:rPr>
        <w:t xml:space="preserve"> Projects capable of delivering innovation and technological advancement may strengthen brand positioning and customer loyalty</w:t>
      </w:r>
      <w:r w:rsidRPr="6407B060" w:rsidR="3C47D34F">
        <w:rPr>
          <w:rFonts w:ascii="Arial" w:hAnsi="Arial" w:eastAsia="Arial" w:cs="Arial"/>
          <w:sz w:val="24"/>
          <w:szCs w:val="24"/>
        </w:rPr>
        <w:t xml:space="preserve"> (</w:t>
      </w:r>
      <w:r w:rsidRPr="6407B060" w:rsidR="3C47D34F">
        <w:rPr>
          <w:rFonts w:ascii="Arial" w:hAnsi="Arial" w:eastAsia="Arial" w:cs="Arial"/>
          <w:sz w:val="24"/>
          <w:szCs w:val="24"/>
        </w:rPr>
        <w:t>Bryła</w:t>
      </w:r>
      <w:r w:rsidRPr="6407B060" w:rsidR="3C47D34F">
        <w:rPr>
          <w:rFonts w:ascii="Arial" w:hAnsi="Arial" w:eastAsia="Arial" w:cs="Arial"/>
          <w:sz w:val="24"/>
          <w:szCs w:val="24"/>
        </w:rPr>
        <w:t xml:space="preserve"> </w:t>
      </w:r>
      <w:r w:rsidRPr="6407B060" w:rsidR="352EAE71">
        <w:rPr>
          <w:rFonts w:ascii="Arial" w:hAnsi="Arial" w:eastAsia="Arial" w:cs="Arial"/>
          <w:sz w:val="24"/>
          <w:szCs w:val="24"/>
        </w:rPr>
        <w:t>et al., 2023)</w:t>
      </w:r>
      <w:r w:rsidRPr="6407B060" w:rsidR="45062D43">
        <w:rPr>
          <w:rFonts w:ascii="Arial" w:hAnsi="Arial" w:eastAsia="Arial" w:cs="Arial"/>
          <w:sz w:val="24"/>
          <w:szCs w:val="24"/>
        </w:rPr>
        <w:t>.</w:t>
      </w:r>
    </w:p>
    <w:p w:rsidR="45062D43" w:rsidP="6407B060" w:rsidRDefault="45062D43" w14:paraId="00523195" w14:textId="0D98B9B9">
      <w:pPr>
        <w:pStyle w:val="Heading3"/>
        <w:keepNext w:val="0"/>
        <w:keepLines w:val="0"/>
        <w:spacing w:line="360" w:lineRule="auto"/>
        <w:rPr>
          <w:rFonts w:ascii="Arial" w:hAnsi="Arial" w:eastAsia="Arial" w:cs="Arial"/>
          <w:sz w:val="24"/>
          <w:szCs w:val="24"/>
        </w:rPr>
      </w:pPr>
      <w:bookmarkStart w:name="_Toc1074393469" w:id="1192800816"/>
      <w:r w:rsidRPr="6407B060" w:rsidR="45062D43">
        <w:rPr>
          <w:rFonts w:ascii="Arial" w:hAnsi="Arial" w:eastAsia="Arial" w:cs="Arial"/>
          <w:sz w:val="24"/>
          <w:szCs w:val="24"/>
        </w:rPr>
        <w:t>4.8.3 Technological Risk</w:t>
      </w:r>
      <w:bookmarkEnd w:id="1192800816"/>
    </w:p>
    <w:p w:rsidR="45062D43" w:rsidP="6407B060" w:rsidRDefault="45062D43" w14:paraId="745A3C35" w14:textId="6F61EFB9">
      <w:pPr>
        <w:pStyle w:val="Normal"/>
        <w:keepNext w:val="0"/>
        <w:keepLines w:val="0"/>
        <w:spacing w:line="360" w:lineRule="auto"/>
        <w:jc w:val="both"/>
        <w:rPr>
          <w:rFonts w:ascii="Arial" w:hAnsi="Arial" w:eastAsia="Arial" w:cs="Arial"/>
          <w:sz w:val="24"/>
          <w:szCs w:val="24"/>
        </w:rPr>
      </w:pPr>
      <w:r w:rsidRPr="6407B060" w:rsidR="45062D43">
        <w:rPr>
          <w:rFonts w:ascii="Arial" w:hAnsi="Arial" w:eastAsia="Arial" w:cs="Arial"/>
          <w:sz w:val="24"/>
          <w:szCs w:val="24"/>
        </w:rPr>
        <w:t xml:space="preserve">Large technology investments carry uncertainty </w:t>
      </w:r>
      <w:r w:rsidRPr="6407B060" w:rsidR="45062D43">
        <w:rPr>
          <w:rFonts w:ascii="Arial" w:hAnsi="Arial" w:eastAsia="Arial" w:cs="Arial"/>
          <w:sz w:val="24"/>
          <w:szCs w:val="24"/>
        </w:rPr>
        <w:t>regarding</w:t>
      </w:r>
      <w:r w:rsidRPr="6407B060" w:rsidR="45062D43">
        <w:rPr>
          <w:rFonts w:ascii="Arial" w:hAnsi="Arial" w:eastAsia="Arial" w:cs="Arial"/>
          <w:sz w:val="24"/>
          <w:szCs w:val="24"/>
        </w:rPr>
        <w:t xml:space="preserve"> technological obsolescence or adoption rates. Projects that generate returns earlier provide a buffer against rapid technological change.</w:t>
      </w:r>
      <w:r w:rsidRPr="6407B060" w:rsidR="6B2CC1DF">
        <w:rPr>
          <w:rFonts w:ascii="Arial" w:hAnsi="Arial" w:eastAsia="Arial" w:cs="Arial"/>
          <w:sz w:val="24"/>
          <w:szCs w:val="24"/>
        </w:rPr>
        <w:t xml:space="preserve"> </w:t>
      </w:r>
      <w:r w:rsidRPr="6407B060" w:rsidR="45062D43">
        <w:rPr>
          <w:rFonts w:ascii="Arial" w:hAnsi="Arial" w:eastAsia="Arial" w:cs="Arial"/>
          <w:sz w:val="24"/>
          <w:szCs w:val="24"/>
        </w:rPr>
        <w:t>Considering these factors, Project C again appears favourable due to its faster cash generation and stronger profitability potential.</w:t>
      </w:r>
    </w:p>
    <w:p w:rsidR="459D0F25" w:rsidP="6407B060" w:rsidRDefault="459D0F25" w14:paraId="2117F38B" w14:textId="4757190C">
      <w:pPr>
        <w:pStyle w:val="Heading2"/>
        <w:keepNext w:val="0"/>
        <w:keepLines w:val="0"/>
        <w:spacing w:line="360" w:lineRule="auto"/>
        <w:rPr>
          <w:rFonts w:ascii="Arial" w:hAnsi="Arial" w:eastAsia="Arial" w:cs="Arial"/>
          <w:sz w:val="28"/>
          <w:szCs w:val="28"/>
        </w:rPr>
      </w:pPr>
      <w:bookmarkStart w:name="_Toc308440534" w:id="401814566"/>
      <w:r w:rsidRPr="6407B060" w:rsidR="459D0F25">
        <w:rPr>
          <w:rFonts w:ascii="Arial" w:hAnsi="Arial" w:eastAsia="Arial" w:cs="Arial"/>
          <w:sz w:val="28"/>
          <w:szCs w:val="28"/>
        </w:rPr>
        <w:t>4.9 Capital Rationing Decision</w:t>
      </w:r>
      <w:bookmarkEnd w:id="401814566"/>
    </w:p>
    <w:p w:rsidR="459D0F25" w:rsidP="6407B060" w:rsidRDefault="459D0F25" w14:paraId="2E28B052" w14:textId="3BEA11B2">
      <w:pPr>
        <w:pStyle w:val="Normal"/>
        <w:keepNext w:val="0"/>
        <w:keepLines w:val="0"/>
        <w:spacing w:line="360" w:lineRule="auto"/>
        <w:jc w:val="both"/>
        <w:rPr>
          <w:rFonts w:ascii="Arial" w:hAnsi="Arial" w:eastAsia="Arial" w:cs="Arial"/>
          <w:sz w:val="24"/>
          <w:szCs w:val="24"/>
        </w:rPr>
      </w:pPr>
      <w:r w:rsidRPr="6407B060" w:rsidR="459D0F25">
        <w:rPr>
          <w:rFonts w:ascii="Arial" w:hAnsi="Arial" w:eastAsia="Arial" w:cs="Arial"/>
          <w:sz w:val="24"/>
          <w:szCs w:val="24"/>
        </w:rPr>
        <w:t xml:space="preserve">The organisation faces a capital constraint of £100 million, meaning only two projects can be selected. </w:t>
      </w:r>
    </w:p>
    <w:p w:rsidR="459D0F25" w:rsidP="6407B060" w:rsidRDefault="459D0F25" w14:paraId="164FF320" w14:textId="61359814">
      <w:pPr>
        <w:pStyle w:val="Normal"/>
        <w:keepNext w:val="0"/>
        <w:keepLines w:val="0"/>
        <w:spacing w:line="360" w:lineRule="auto"/>
        <w:jc w:val="both"/>
        <w:rPr>
          <w:rFonts w:ascii="Arial" w:hAnsi="Arial" w:eastAsia="Arial" w:cs="Arial"/>
          <w:sz w:val="24"/>
          <w:szCs w:val="24"/>
        </w:rPr>
      </w:pPr>
      <w:r w:rsidRPr="6407B060" w:rsidR="459D0F25">
        <w:rPr>
          <w:rFonts w:ascii="Arial" w:hAnsi="Arial" w:eastAsia="Arial" w:cs="Arial"/>
          <w:sz w:val="24"/>
          <w:szCs w:val="24"/>
        </w:rPr>
        <w:t xml:space="preserve">Potential Pairing: </w:t>
      </w:r>
    </w:p>
    <w:p w:rsidR="3677CC81" w:rsidP="6407B060" w:rsidRDefault="3677CC81" w14:paraId="141A3C5B" w14:textId="003E7DA7">
      <w:pPr>
        <w:pStyle w:val="Normal"/>
        <w:keepNext w:val="0"/>
        <w:keepLines w:val="0"/>
        <w:spacing w:line="360" w:lineRule="auto"/>
      </w:pPr>
      <w:r w:rsidR="3677CC81">
        <w:drawing>
          <wp:inline wp14:editId="0C454EA2" wp14:anchorId="5CC14CE5">
            <wp:extent cx="3067477" cy="1552418"/>
            <wp:effectExtent l="0" t="0" r="0" b="0"/>
            <wp:docPr id="10766458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6645818" name="Picture 1076645818"/>
                    <pic:cNvPicPr/>
                  </pic:nvPicPr>
                  <pic:blipFill>
                    <a:blip xmlns:r="http://schemas.openxmlformats.org/officeDocument/2006/relationships" r:embed="rId799358305">
                      <a:extLst>
                        <a:ext uri="{28A0092B-C50C-407E-A947-70E740481C1C}">
                          <a14:useLocalDpi xmlns:a14="http://schemas.microsoft.com/office/drawing/2010/main"/>
                        </a:ext>
                      </a:extLst>
                    </a:blip>
                    <a:stretch>
                      <a:fillRect/>
                    </a:stretch>
                  </pic:blipFill>
                  <pic:spPr>
                    <a:xfrm rot="0">
                      <a:off x="0" y="0"/>
                      <a:ext cx="3067477" cy="1552418"/>
                    </a:xfrm>
                    <a:prstGeom prst="rect">
                      <a:avLst/>
                    </a:prstGeom>
                  </pic:spPr>
                </pic:pic>
              </a:graphicData>
            </a:graphic>
          </wp:inline>
        </w:drawing>
      </w:r>
    </w:p>
    <w:p w:rsidR="3B44BE47" w:rsidP="6407B060" w:rsidRDefault="3B44BE47" w14:paraId="67CC6137" w14:textId="41619449">
      <w:pPr>
        <w:pStyle w:val="Normal"/>
        <w:keepNext w:val="0"/>
        <w:keepLines w:val="0"/>
        <w:spacing w:line="360" w:lineRule="auto"/>
        <w:rPr>
          <w:rFonts w:ascii="Arial" w:hAnsi="Arial" w:eastAsia="Arial" w:cs="Arial"/>
          <w:sz w:val="24"/>
          <w:szCs w:val="24"/>
        </w:rPr>
      </w:pPr>
      <w:r w:rsidRPr="6407B060" w:rsidR="3B44BE47">
        <w:rPr>
          <w:rFonts w:ascii="Arial" w:hAnsi="Arial" w:eastAsia="Arial" w:cs="Arial"/>
          <w:sz w:val="24"/>
          <w:szCs w:val="24"/>
        </w:rPr>
        <w:t>Figure 26: Potential Pairing</w:t>
      </w:r>
    </w:p>
    <w:p w:rsidR="3677CC81" w:rsidP="6407B060" w:rsidRDefault="3677CC81" w14:paraId="7F6212D8" w14:textId="1CB2915D">
      <w:pPr>
        <w:pStyle w:val="Normal"/>
        <w:keepNext w:val="0"/>
        <w:keepLines w:val="0"/>
        <w:spacing w:line="360" w:lineRule="auto"/>
        <w:jc w:val="both"/>
        <w:rPr>
          <w:rFonts w:ascii="Arial" w:hAnsi="Arial" w:eastAsia="Arial" w:cs="Arial"/>
          <w:sz w:val="24"/>
          <w:szCs w:val="24"/>
        </w:rPr>
      </w:pPr>
      <w:r w:rsidRPr="6407B060" w:rsidR="3677CC81">
        <w:rPr>
          <w:rFonts w:ascii="Arial" w:hAnsi="Arial" w:eastAsia="Arial" w:cs="Arial"/>
          <w:sz w:val="24"/>
          <w:szCs w:val="24"/>
        </w:rPr>
        <w:t>Optimal Choice</w:t>
      </w:r>
    </w:p>
    <w:p w:rsidR="3677CC81" w:rsidP="6407B060" w:rsidRDefault="3677CC81" w14:paraId="62F3B037" w14:textId="18B2E48E">
      <w:pPr>
        <w:pStyle w:val="Normal"/>
        <w:keepNext w:val="0"/>
        <w:keepLines w:val="0"/>
        <w:spacing w:line="360" w:lineRule="auto"/>
        <w:jc w:val="both"/>
        <w:rPr>
          <w:rFonts w:ascii="Arial" w:hAnsi="Arial" w:eastAsia="Arial" w:cs="Arial"/>
          <w:sz w:val="24"/>
          <w:szCs w:val="24"/>
        </w:rPr>
      </w:pPr>
      <w:r w:rsidRPr="6407B060" w:rsidR="3677CC81">
        <w:rPr>
          <w:rFonts w:ascii="Arial" w:hAnsi="Arial" w:eastAsia="Arial" w:cs="Arial"/>
          <w:sz w:val="24"/>
          <w:szCs w:val="24"/>
        </w:rPr>
        <w:t xml:space="preserve">The combination Project B + Project C generates the highest combined NPV (least negative) and therefore </w:t>
      </w:r>
      <w:r w:rsidRPr="6407B060" w:rsidR="3677CC81">
        <w:rPr>
          <w:rFonts w:ascii="Arial" w:hAnsi="Arial" w:eastAsia="Arial" w:cs="Arial"/>
          <w:sz w:val="24"/>
          <w:szCs w:val="24"/>
        </w:rPr>
        <w:t>represents</w:t>
      </w:r>
      <w:r w:rsidRPr="6407B060" w:rsidR="3677CC81">
        <w:rPr>
          <w:rFonts w:ascii="Arial" w:hAnsi="Arial" w:eastAsia="Arial" w:cs="Arial"/>
          <w:sz w:val="24"/>
          <w:szCs w:val="24"/>
        </w:rPr>
        <w:t xml:space="preserve"> the best option under capital rationing.</w:t>
      </w:r>
    </w:p>
    <w:p w:rsidR="3677CC81" w:rsidP="6407B060" w:rsidRDefault="3677CC81" w14:paraId="6C2C75BB" w14:textId="655CB2F3">
      <w:pPr>
        <w:pStyle w:val="Normal"/>
        <w:keepNext w:val="0"/>
        <w:keepLines w:val="0"/>
        <w:spacing w:line="360" w:lineRule="auto"/>
        <w:jc w:val="both"/>
        <w:rPr>
          <w:rFonts w:ascii="Arial" w:hAnsi="Arial" w:eastAsia="Arial" w:cs="Arial"/>
          <w:sz w:val="24"/>
          <w:szCs w:val="24"/>
        </w:rPr>
      </w:pPr>
      <w:r w:rsidRPr="6407B060" w:rsidR="3677CC81">
        <w:rPr>
          <w:rFonts w:ascii="Arial" w:hAnsi="Arial" w:eastAsia="Arial" w:cs="Arial"/>
          <w:sz w:val="24"/>
          <w:szCs w:val="24"/>
        </w:rPr>
        <w:t>Profitability index ranking also supports this decision:</w:t>
      </w:r>
    </w:p>
    <w:p w:rsidR="3677CC81" w:rsidP="6407B060" w:rsidRDefault="3677CC81" w14:paraId="66C585CE" w14:textId="1C4C1150">
      <w:pPr>
        <w:pStyle w:val="ListParagraph"/>
        <w:keepNext w:val="0"/>
        <w:keepLines w:val="0"/>
        <w:numPr>
          <w:ilvl w:val="0"/>
          <w:numId w:val="4"/>
        </w:numPr>
        <w:spacing w:line="360" w:lineRule="auto"/>
        <w:contextualSpacing w:val="0"/>
        <w:jc w:val="both"/>
        <w:rPr>
          <w:rFonts w:ascii="Arial" w:hAnsi="Arial" w:eastAsia="Arial" w:cs="Arial"/>
          <w:sz w:val="24"/>
          <w:szCs w:val="24"/>
        </w:rPr>
      </w:pPr>
      <w:r w:rsidRPr="6407B060" w:rsidR="3677CC81">
        <w:rPr>
          <w:rFonts w:ascii="Arial" w:hAnsi="Arial" w:eastAsia="Arial" w:cs="Arial"/>
          <w:sz w:val="24"/>
          <w:szCs w:val="24"/>
        </w:rPr>
        <w:t>Project C (0.96)</w:t>
      </w:r>
    </w:p>
    <w:p w:rsidR="3677CC81" w:rsidP="6407B060" w:rsidRDefault="3677CC81" w14:paraId="7102FD98" w14:textId="6CB213D0">
      <w:pPr>
        <w:pStyle w:val="ListParagraph"/>
        <w:keepNext w:val="0"/>
        <w:keepLines w:val="0"/>
        <w:numPr>
          <w:ilvl w:val="0"/>
          <w:numId w:val="4"/>
        </w:numPr>
        <w:spacing w:line="360" w:lineRule="auto"/>
        <w:contextualSpacing w:val="0"/>
        <w:jc w:val="both"/>
        <w:rPr>
          <w:rFonts w:ascii="Arial" w:hAnsi="Arial" w:eastAsia="Arial" w:cs="Arial"/>
          <w:sz w:val="24"/>
          <w:szCs w:val="24"/>
        </w:rPr>
      </w:pPr>
      <w:r w:rsidRPr="6407B060" w:rsidR="3677CC81">
        <w:rPr>
          <w:rFonts w:ascii="Arial" w:hAnsi="Arial" w:eastAsia="Arial" w:cs="Arial"/>
          <w:sz w:val="24"/>
          <w:szCs w:val="24"/>
        </w:rPr>
        <w:t>Project B (0.83)</w:t>
      </w:r>
    </w:p>
    <w:p w:rsidR="3677CC81" w:rsidP="6407B060" w:rsidRDefault="3677CC81" w14:paraId="0561B9C6" w14:textId="300F454A">
      <w:pPr>
        <w:pStyle w:val="ListParagraph"/>
        <w:keepNext w:val="0"/>
        <w:keepLines w:val="0"/>
        <w:numPr>
          <w:ilvl w:val="0"/>
          <w:numId w:val="4"/>
        </w:numPr>
        <w:spacing w:line="360" w:lineRule="auto"/>
        <w:contextualSpacing w:val="0"/>
        <w:jc w:val="both"/>
        <w:rPr>
          <w:rFonts w:ascii="Arial" w:hAnsi="Arial" w:eastAsia="Arial" w:cs="Arial"/>
          <w:sz w:val="24"/>
          <w:szCs w:val="24"/>
        </w:rPr>
      </w:pPr>
      <w:r w:rsidRPr="6407B060" w:rsidR="3677CC81">
        <w:rPr>
          <w:rFonts w:ascii="Arial" w:hAnsi="Arial" w:eastAsia="Arial" w:cs="Arial"/>
          <w:sz w:val="24"/>
          <w:szCs w:val="24"/>
        </w:rPr>
        <w:t>Project A (0.83)</w:t>
      </w:r>
    </w:p>
    <w:p w:rsidR="3677CC81" w:rsidP="6407B060" w:rsidRDefault="3677CC81" w14:paraId="2475F43F" w14:textId="437C7F56">
      <w:pPr>
        <w:pStyle w:val="Normal"/>
        <w:keepNext w:val="0"/>
        <w:keepLines w:val="0"/>
        <w:spacing w:line="360" w:lineRule="auto"/>
        <w:jc w:val="both"/>
        <w:rPr>
          <w:rFonts w:ascii="Arial" w:hAnsi="Arial" w:eastAsia="Arial" w:cs="Arial"/>
          <w:sz w:val="24"/>
          <w:szCs w:val="24"/>
        </w:rPr>
      </w:pPr>
      <w:r w:rsidRPr="6407B060" w:rsidR="3677CC81">
        <w:rPr>
          <w:rFonts w:ascii="Arial" w:hAnsi="Arial" w:eastAsia="Arial" w:cs="Arial"/>
          <w:sz w:val="24"/>
          <w:szCs w:val="24"/>
        </w:rPr>
        <w:t>Hence, Projects C and B should be prioritised when capital is limited.</w:t>
      </w:r>
    </w:p>
    <w:p w:rsidR="3677CC81" w:rsidP="6407B060" w:rsidRDefault="3677CC81" w14:paraId="771379C5" w14:textId="65AB30A4">
      <w:pPr>
        <w:pStyle w:val="Heading2"/>
        <w:keepNext w:val="0"/>
        <w:keepLines w:val="0"/>
        <w:spacing w:line="360" w:lineRule="auto"/>
        <w:rPr>
          <w:rFonts w:ascii="Arial" w:hAnsi="Arial" w:eastAsia="Arial" w:cs="Arial"/>
          <w:sz w:val="28"/>
          <w:szCs w:val="28"/>
        </w:rPr>
      </w:pPr>
      <w:bookmarkStart w:name="_Toc886993185" w:id="640094153"/>
      <w:r w:rsidRPr="6407B060" w:rsidR="3677CC81">
        <w:rPr>
          <w:rFonts w:ascii="Arial" w:hAnsi="Arial" w:eastAsia="Arial" w:cs="Arial"/>
          <w:sz w:val="28"/>
          <w:szCs w:val="28"/>
        </w:rPr>
        <w:t>4.10</w:t>
      </w:r>
      <w:r w:rsidRPr="6407B060" w:rsidR="57D01DBA">
        <w:rPr>
          <w:rFonts w:ascii="Arial" w:hAnsi="Arial" w:eastAsia="Arial" w:cs="Arial"/>
          <w:sz w:val="28"/>
          <w:szCs w:val="28"/>
        </w:rPr>
        <w:t xml:space="preserve"> Summary </w:t>
      </w:r>
      <w:bookmarkEnd w:id="640094153"/>
    </w:p>
    <w:p w:rsidR="3677CC81" w:rsidP="6407B060" w:rsidRDefault="3677CC81" w14:paraId="6EFEA252" w14:textId="2C925DA1">
      <w:pPr>
        <w:pStyle w:val="Normal"/>
        <w:keepNext w:val="0"/>
        <w:keepLines w:val="0"/>
        <w:spacing w:line="360" w:lineRule="auto"/>
        <w:jc w:val="both"/>
        <w:rPr>
          <w:rFonts w:ascii="Arial" w:hAnsi="Arial" w:eastAsia="Arial" w:cs="Arial"/>
          <w:sz w:val="24"/>
          <w:szCs w:val="24"/>
        </w:rPr>
      </w:pPr>
      <w:r w:rsidRPr="6407B060" w:rsidR="3677CC81">
        <w:rPr>
          <w:rFonts w:ascii="Arial" w:hAnsi="Arial" w:eastAsia="Arial" w:cs="Arial"/>
          <w:sz w:val="24"/>
          <w:szCs w:val="24"/>
        </w:rPr>
        <w:t xml:space="preserve">Investment appraisal techniques provide a structured framework for evaluating competing capital projects and ensuring </w:t>
      </w:r>
      <w:r w:rsidRPr="6407B060" w:rsidR="3677CC81">
        <w:rPr>
          <w:rFonts w:ascii="Arial" w:hAnsi="Arial" w:eastAsia="Arial" w:cs="Arial"/>
          <w:sz w:val="24"/>
          <w:szCs w:val="24"/>
        </w:rPr>
        <w:t>optimal</w:t>
      </w:r>
      <w:r w:rsidRPr="6407B060" w:rsidR="3677CC81">
        <w:rPr>
          <w:rFonts w:ascii="Arial" w:hAnsi="Arial" w:eastAsia="Arial" w:cs="Arial"/>
          <w:sz w:val="24"/>
          <w:szCs w:val="24"/>
        </w:rPr>
        <w:t xml:space="preserve"> allocation of limited financial resources. The analysis </w:t>
      </w:r>
      <w:r w:rsidRPr="6407B060" w:rsidR="3677CC81">
        <w:rPr>
          <w:rFonts w:ascii="Arial" w:hAnsi="Arial" w:eastAsia="Arial" w:cs="Arial"/>
          <w:sz w:val="24"/>
          <w:szCs w:val="24"/>
        </w:rPr>
        <w:t>demonstrates</w:t>
      </w:r>
      <w:r w:rsidRPr="6407B060" w:rsidR="3677CC81">
        <w:rPr>
          <w:rFonts w:ascii="Arial" w:hAnsi="Arial" w:eastAsia="Arial" w:cs="Arial"/>
          <w:sz w:val="24"/>
          <w:szCs w:val="24"/>
        </w:rPr>
        <w:t xml:space="preserve"> that Project C consistently outperforms Projects A and B across all evaluation methods, offering the highest profitability, shortest payback period, and strongest potential returns. When capital rationing is applied with a maximum investment of £100 million, the </w:t>
      </w:r>
      <w:r w:rsidRPr="6407B060" w:rsidR="3677CC81">
        <w:rPr>
          <w:rFonts w:ascii="Arial" w:hAnsi="Arial" w:eastAsia="Arial" w:cs="Arial"/>
          <w:sz w:val="24"/>
          <w:szCs w:val="24"/>
        </w:rPr>
        <w:t>optimal</w:t>
      </w:r>
      <w:r w:rsidRPr="6407B060" w:rsidR="3677CC81">
        <w:rPr>
          <w:rFonts w:ascii="Arial" w:hAnsi="Arial" w:eastAsia="Arial" w:cs="Arial"/>
          <w:sz w:val="24"/>
          <w:szCs w:val="24"/>
        </w:rPr>
        <w:t xml:space="preserve"> combination is Projects B and C, as this portfolio generates the greatest overall value </w:t>
      </w:r>
      <w:r w:rsidRPr="6407B060" w:rsidR="3677CC81">
        <w:rPr>
          <w:rFonts w:ascii="Arial" w:hAnsi="Arial" w:eastAsia="Arial" w:cs="Arial"/>
          <w:sz w:val="24"/>
          <w:szCs w:val="24"/>
        </w:rPr>
        <w:t>relative</w:t>
      </w:r>
      <w:r w:rsidRPr="6407B060" w:rsidR="3677CC81">
        <w:rPr>
          <w:rFonts w:ascii="Arial" w:hAnsi="Arial" w:eastAsia="Arial" w:cs="Arial"/>
          <w:sz w:val="24"/>
          <w:szCs w:val="24"/>
        </w:rPr>
        <w:t xml:space="preserve"> to available resources. This approach enables the company to balance profitability, liquidity recovery, and strategic flexibility during a period of significant industry transformation.</w:t>
      </w:r>
    </w:p>
    <w:p w:rsidR="6407B060" w:rsidP="6407B060" w:rsidRDefault="6407B060" w14:paraId="3E5A5980" w14:textId="283D627C">
      <w:pPr>
        <w:pStyle w:val="Heading1"/>
        <w:keepNext w:val="0"/>
        <w:keepLines w:val="0"/>
        <w:spacing w:line="360" w:lineRule="auto"/>
        <w:rPr>
          <w:rFonts w:ascii="Arial" w:hAnsi="Arial" w:eastAsia="Arial" w:cs="Arial"/>
          <w:sz w:val="32"/>
          <w:szCs w:val="32"/>
        </w:rPr>
      </w:pPr>
    </w:p>
    <w:p w:rsidR="76EE0C46" w:rsidP="6407B060" w:rsidRDefault="76EE0C46" w14:paraId="50092FC9" w14:textId="2A870DFB">
      <w:pPr>
        <w:pStyle w:val="Heading1"/>
        <w:keepNext w:val="0"/>
        <w:keepLines w:val="0"/>
        <w:spacing w:line="360" w:lineRule="auto"/>
        <w:rPr>
          <w:rFonts w:ascii="Arial" w:hAnsi="Arial" w:eastAsia="Arial" w:cs="Arial"/>
          <w:sz w:val="32"/>
          <w:szCs w:val="32"/>
        </w:rPr>
      </w:pPr>
      <w:bookmarkStart w:name="_Toc1310890422" w:id="2049019556"/>
      <w:r w:rsidRPr="6407B060" w:rsidR="76EE0C46">
        <w:rPr>
          <w:rFonts w:ascii="Arial" w:hAnsi="Arial" w:eastAsia="Arial" w:cs="Arial"/>
          <w:sz w:val="32"/>
          <w:szCs w:val="32"/>
        </w:rPr>
        <w:t>Conclusion</w:t>
      </w:r>
      <w:bookmarkEnd w:id="2049019556"/>
    </w:p>
    <w:p w:rsidR="76EE0C46" w:rsidP="6407B060" w:rsidRDefault="76EE0C46" w14:paraId="23246747" w14:textId="5DF3CABD">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sz w:val="24"/>
          <w:szCs w:val="24"/>
        </w:rPr>
      </w:pPr>
      <w:r w:rsidRPr="6407B060" w:rsidR="76EE0C46">
        <w:rPr>
          <w:rFonts w:ascii="Arial" w:hAnsi="Arial" w:eastAsia="Arial" w:cs="Arial"/>
          <w:sz w:val="24"/>
          <w:szCs w:val="24"/>
        </w:rPr>
        <w:t xml:space="preserve">This report analysed the financial performance of Volkswagen Group between 2020 and 2024 to assess the company’s financial health and support strategic investment decision-making within the context of the transition towards electric mobility. The ratio analysis </w:t>
      </w:r>
      <w:r w:rsidRPr="6407B060" w:rsidR="76EE0C46">
        <w:rPr>
          <w:rFonts w:ascii="Arial" w:hAnsi="Arial" w:eastAsia="Arial" w:cs="Arial"/>
          <w:sz w:val="24"/>
          <w:szCs w:val="24"/>
        </w:rPr>
        <w:t>indicated</w:t>
      </w:r>
      <w:r w:rsidRPr="6407B060" w:rsidR="76EE0C46">
        <w:rPr>
          <w:rFonts w:ascii="Arial" w:hAnsi="Arial" w:eastAsia="Arial" w:cs="Arial"/>
          <w:sz w:val="24"/>
          <w:szCs w:val="24"/>
        </w:rPr>
        <w:t xml:space="preserve"> moderate but fluctuating profitability, with declining ROCE and ROE in the most recent year suggesting pressure on returns as the company increases investment in technological transformation. Efficiency indicators showed </w:t>
      </w:r>
      <w:r w:rsidRPr="6407B060" w:rsidR="76EE0C46">
        <w:rPr>
          <w:rFonts w:ascii="Arial" w:hAnsi="Arial" w:eastAsia="Arial" w:cs="Arial"/>
          <w:sz w:val="24"/>
          <w:szCs w:val="24"/>
        </w:rPr>
        <w:t>relatively stable</w:t>
      </w:r>
      <w:r w:rsidRPr="6407B060" w:rsidR="76EE0C46">
        <w:rPr>
          <w:rFonts w:ascii="Arial" w:hAnsi="Arial" w:eastAsia="Arial" w:cs="Arial"/>
          <w:sz w:val="24"/>
          <w:szCs w:val="24"/>
        </w:rPr>
        <w:t xml:space="preserve"> operational management, while liquidity ratios revealed a gradual tightening of short-term financial flexibility, highlighting the importance of improved working capital management. The investment appraisal analysis applied several capital budgeting techniques to evaluate three proposed projects. The results </w:t>
      </w:r>
      <w:r w:rsidRPr="6407B060" w:rsidR="76EE0C46">
        <w:rPr>
          <w:rFonts w:ascii="Arial" w:hAnsi="Arial" w:eastAsia="Arial" w:cs="Arial"/>
          <w:sz w:val="24"/>
          <w:szCs w:val="24"/>
        </w:rPr>
        <w:t>demonstrated</w:t>
      </w:r>
      <w:r w:rsidRPr="6407B060" w:rsidR="76EE0C46">
        <w:rPr>
          <w:rFonts w:ascii="Arial" w:hAnsi="Arial" w:eastAsia="Arial" w:cs="Arial"/>
          <w:sz w:val="24"/>
          <w:szCs w:val="24"/>
        </w:rPr>
        <w:t xml:space="preserve"> that Project C performs most favourably across </w:t>
      </w:r>
      <w:r w:rsidRPr="6407B060" w:rsidR="76EE0C46">
        <w:rPr>
          <w:rFonts w:ascii="Arial" w:hAnsi="Arial" w:eastAsia="Arial" w:cs="Arial"/>
          <w:sz w:val="24"/>
          <w:szCs w:val="24"/>
        </w:rPr>
        <w:t>the majority of</w:t>
      </w:r>
      <w:r w:rsidRPr="6407B060" w:rsidR="76EE0C46">
        <w:rPr>
          <w:rFonts w:ascii="Arial" w:hAnsi="Arial" w:eastAsia="Arial" w:cs="Arial"/>
          <w:sz w:val="24"/>
          <w:szCs w:val="24"/>
        </w:rPr>
        <w:t xml:space="preserve"> financial metrics, including payback period, ARR, and IRR, while also generating the highest present value of future cash flows. When capital rationing is considered, the </w:t>
      </w:r>
      <w:r w:rsidRPr="6407B060" w:rsidR="76EE0C46">
        <w:rPr>
          <w:rFonts w:ascii="Arial" w:hAnsi="Arial" w:eastAsia="Arial" w:cs="Arial"/>
          <w:sz w:val="24"/>
          <w:szCs w:val="24"/>
        </w:rPr>
        <w:t>optimal</w:t>
      </w:r>
      <w:r w:rsidRPr="6407B060" w:rsidR="76EE0C46">
        <w:rPr>
          <w:rFonts w:ascii="Arial" w:hAnsi="Arial" w:eastAsia="Arial" w:cs="Arial"/>
          <w:sz w:val="24"/>
          <w:szCs w:val="24"/>
        </w:rPr>
        <w:t xml:space="preserve"> investment combination is Projects B and C, as this portfolio provides the highest overall value within the available £100 million investment limit. Overall, the findings suggest that careful capital allocation, improved liquidity management, and rigorous financial evaluation will remain essential for Volkswagen Group to sustain financial stability and support its long-term strategic transition in the rapidly evolving electric vehicle market.</w:t>
      </w:r>
    </w:p>
    <w:p w:rsidR="6407B060" w:rsidP="6407B060" w:rsidRDefault="6407B060" w14:paraId="2F2C4C00" w14:textId="4980283F">
      <w:pPr>
        <w:pStyle w:val="Normal"/>
        <w:jc w:val="both"/>
        <w:rPr>
          <w:rFonts w:ascii="Arial" w:hAnsi="Arial" w:eastAsia="Arial" w:cs="Arial"/>
          <w:sz w:val="24"/>
          <w:szCs w:val="24"/>
        </w:rPr>
      </w:pPr>
    </w:p>
    <w:p w:rsidR="6407B060" w:rsidP="6407B060" w:rsidRDefault="6407B060" w14:paraId="6D6F8600" w14:textId="1EA2934D">
      <w:pPr>
        <w:pStyle w:val="Normal"/>
      </w:pPr>
    </w:p>
    <w:p w:rsidR="6407B060" w:rsidP="6407B060" w:rsidRDefault="6407B060" w14:paraId="62C81F75" w14:textId="51D49DEC">
      <w:pPr>
        <w:pStyle w:val="Normal"/>
        <w:jc w:val="both"/>
        <w:rPr>
          <w:rFonts w:ascii="Arial" w:hAnsi="Arial" w:eastAsia="Arial" w:cs="Arial"/>
          <w:sz w:val="24"/>
          <w:szCs w:val="24"/>
        </w:rPr>
      </w:pPr>
    </w:p>
    <w:p w:rsidR="6407B060" w:rsidP="6407B060" w:rsidRDefault="6407B060" w14:paraId="219B7D96" w14:textId="5C4314FE">
      <w:pPr>
        <w:pStyle w:val="Normal"/>
        <w:jc w:val="both"/>
        <w:rPr>
          <w:rFonts w:ascii="Arial" w:hAnsi="Arial" w:eastAsia="Arial" w:cs="Arial"/>
          <w:sz w:val="24"/>
          <w:szCs w:val="24"/>
        </w:rPr>
      </w:pPr>
    </w:p>
    <w:p w:rsidR="6407B060" w:rsidP="6407B060" w:rsidRDefault="6407B060" w14:paraId="2B986B3A" w14:textId="053F90EB">
      <w:pPr>
        <w:pStyle w:val="Normal"/>
      </w:pPr>
    </w:p>
    <w:p w:rsidR="6407B060" w:rsidP="6407B060" w:rsidRDefault="6407B060" w14:paraId="46329017" w14:textId="0252F95B">
      <w:pPr>
        <w:pStyle w:val="Normal"/>
      </w:pPr>
    </w:p>
    <w:p w:rsidR="6407B060" w:rsidP="6407B060" w:rsidRDefault="6407B060" w14:paraId="13269C62" w14:textId="6AB004BB">
      <w:pPr>
        <w:pStyle w:val="Normal"/>
      </w:pPr>
    </w:p>
    <w:p w:rsidR="6407B060" w:rsidP="6407B060" w:rsidRDefault="6407B060" w14:paraId="3899FEC0" w14:textId="25C48452">
      <w:pPr>
        <w:pStyle w:val="Normal"/>
      </w:pPr>
    </w:p>
    <w:p w:rsidR="6407B060" w:rsidP="6407B060" w:rsidRDefault="6407B060" w14:paraId="319E5323" w14:textId="63C3190A">
      <w:pPr>
        <w:pStyle w:val="Normal"/>
      </w:pPr>
    </w:p>
    <w:p w:rsidR="6407B060" w:rsidP="6407B060" w:rsidRDefault="6407B060" w14:paraId="46BD7AA9" w14:textId="1A9E20B6">
      <w:pPr>
        <w:pStyle w:val="Normal"/>
        <w:jc w:val="both"/>
        <w:rPr>
          <w:rFonts w:ascii="Arial" w:hAnsi="Arial" w:eastAsia="Arial" w:cs="Arial"/>
          <w:sz w:val="24"/>
          <w:szCs w:val="24"/>
        </w:rPr>
      </w:pPr>
    </w:p>
    <w:p w:rsidR="0F6C0CAA" w:rsidP="6407B060" w:rsidRDefault="0F6C0CAA" w14:paraId="5500A9DC" w14:textId="7C615BB0">
      <w:pPr>
        <w:pStyle w:val="Heading1"/>
        <w:jc w:val="both"/>
        <w:rPr>
          <w:rFonts w:ascii="Arial" w:hAnsi="Arial" w:eastAsia="Arial" w:cs="Arial"/>
          <w:sz w:val="32"/>
          <w:szCs w:val="32"/>
        </w:rPr>
      </w:pPr>
      <w:bookmarkStart w:name="_Toc703694604" w:id="1800256817"/>
      <w:r w:rsidRPr="6407B060" w:rsidR="0F6C0CAA">
        <w:rPr>
          <w:rFonts w:ascii="Arial" w:hAnsi="Arial" w:eastAsia="Arial" w:cs="Arial"/>
          <w:sz w:val="32"/>
          <w:szCs w:val="32"/>
        </w:rPr>
        <w:t>References</w:t>
      </w:r>
      <w:bookmarkEnd w:id="1800256817"/>
    </w:p>
    <w:p w:rsidR="28E86A27" w:rsidP="6407B060" w:rsidRDefault="28E86A27" w14:paraId="72E05A05" w14:textId="2A372A8E">
      <w:pPr>
        <w:spacing w:before="0" w:beforeAutospacing="off" w:after="0" w:afterAutospacing="off" w:line="360" w:lineRule="auto"/>
        <w:jc w:val="both"/>
        <w:rPr>
          <w:rFonts w:ascii="Arial" w:hAnsi="Arial" w:eastAsia="Arial" w:cs="Arial"/>
          <w:noProof w:val="0"/>
          <w:color w:val="auto"/>
          <w:sz w:val="24"/>
          <w:szCs w:val="24"/>
          <w:lang w:val="en-GB"/>
        </w:rPr>
      </w:pPr>
      <w:r w:rsidRPr="6407B060" w:rsidR="28E86A27">
        <w:rPr>
          <w:rFonts w:ascii="Arial" w:hAnsi="Arial" w:eastAsia="Arial" w:cs="Arial"/>
          <w:noProof w:val="0"/>
          <w:color w:val="auto"/>
          <w:sz w:val="24"/>
          <w:szCs w:val="24"/>
          <w:lang w:val="en-GB"/>
        </w:rPr>
        <w:t>Adiguzel</w:t>
      </w:r>
      <w:r w:rsidRPr="6407B060" w:rsidR="28E86A27">
        <w:rPr>
          <w:rFonts w:ascii="Arial" w:hAnsi="Arial" w:eastAsia="Arial" w:cs="Arial"/>
          <w:noProof w:val="0"/>
          <w:color w:val="auto"/>
          <w:sz w:val="24"/>
          <w:szCs w:val="24"/>
          <w:lang w:val="en-GB"/>
        </w:rPr>
        <w:t xml:space="preserve">, G. (2021). Credit quality of trade receivables and its impact on cash holdings and firm value. </w:t>
      </w:r>
      <w:r w:rsidRPr="6407B060" w:rsidR="28E86A27">
        <w:rPr>
          <w:rFonts w:ascii="Arial" w:hAnsi="Arial" w:eastAsia="Arial" w:cs="Arial"/>
          <w:i w:val="1"/>
          <w:iCs w:val="1"/>
          <w:noProof w:val="0"/>
          <w:color w:val="auto"/>
          <w:sz w:val="24"/>
          <w:szCs w:val="24"/>
          <w:lang w:val="en-GB"/>
        </w:rPr>
        <w:t>International Journal of Business Administration</w:t>
      </w:r>
      <w:r w:rsidRPr="6407B060" w:rsidR="28E86A27">
        <w:rPr>
          <w:rFonts w:ascii="Arial" w:hAnsi="Arial" w:eastAsia="Arial" w:cs="Arial"/>
          <w:noProof w:val="0"/>
          <w:color w:val="auto"/>
          <w:sz w:val="24"/>
          <w:szCs w:val="24"/>
          <w:lang w:val="en-GB"/>
        </w:rPr>
        <w:t xml:space="preserve">, 12(2), pp.89-101. </w:t>
      </w:r>
      <w:hyperlink r:id="R9ecfccaf16744fa2">
        <w:r w:rsidRPr="6407B060" w:rsidR="28E86A27">
          <w:rPr>
            <w:rStyle w:val="Hyperlink"/>
            <w:rFonts w:ascii="Arial" w:hAnsi="Arial" w:eastAsia="Arial" w:cs="Arial"/>
            <w:noProof w:val="0"/>
            <w:color w:val="auto"/>
            <w:sz w:val="24"/>
            <w:szCs w:val="24"/>
            <w:lang w:val="en-GB"/>
          </w:rPr>
          <w:t>https://doi.org/10.5430/ijba.v12n2p88</w:t>
        </w:r>
      </w:hyperlink>
      <w:r w:rsidRPr="6407B060" w:rsidR="28E86A27">
        <w:rPr>
          <w:rFonts w:ascii="Arial" w:hAnsi="Arial" w:eastAsia="Arial" w:cs="Arial"/>
          <w:noProof w:val="0"/>
          <w:color w:val="auto"/>
          <w:sz w:val="24"/>
          <w:szCs w:val="24"/>
          <w:lang w:val="en-GB"/>
        </w:rPr>
        <w:t xml:space="preserve"> </w:t>
      </w:r>
      <w:r w:rsidRPr="6407B060" w:rsidR="28E86A27">
        <w:rPr>
          <w:rFonts w:ascii="Arial" w:hAnsi="Arial" w:eastAsia="Arial" w:cs="Arial"/>
          <w:noProof w:val="0"/>
          <w:color w:val="auto"/>
          <w:sz w:val="24"/>
          <w:szCs w:val="24"/>
          <w:lang w:val="en-GB"/>
        </w:rPr>
        <w:t>(Accessed 14 March 2026).</w:t>
      </w:r>
    </w:p>
    <w:p w:rsidR="28E86A27" w:rsidP="6407B060" w:rsidRDefault="28E86A27" w14:paraId="199B5851" w14:textId="6FDB4E6B">
      <w:pPr>
        <w:spacing w:before="0" w:beforeAutospacing="off" w:after="0" w:afterAutospacing="off" w:line="360" w:lineRule="auto"/>
        <w:jc w:val="both"/>
        <w:rPr>
          <w:rFonts w:ascii="Arial" w:hAnsi="Arial" w:eastAsia="Arial" w:cs="Arial"/>
          <w:noProof w:val="0"/>
          <w:color w:val="auto"/>
          <w:sz w:val="24"/>
          <w:szCs w:val="24"/>
          <w:lang w:val="en-GB"/>
        </w:rPr>
      </w:pPr>
      <w:r w:rsidRPr="6407B060" w:rsidR="28E86A27">
        <w:rPr>
          <w:rFonts w:ascii="Arial" w:hAnsi="Arial" w:eastAsia="Arial" w:cs="Arial"/>
          <w:noProof w:val="0"/>
          <w:color w:val="auto"/>
          <w:sz w:val="24"/>
          <w:szCs w:val="24"/>
          <w:lang w:val="en-GB"/>
        </w:rPr>
        <w:t xml:space="preserve">Ahmed Mehmood Qureshi and Muhammad Kamran Khan (2025) “The Price of Misconduct: Volkswagen’s Financial Health </w:t>
      </w:r>
      <w:r w:rsidRPr="6407B060" w:rsidR="28E86A27">
        <w:rPr>
          <w:rFonts w:ascii="Arial" w:hAnsi="Arial" w:eastAsia="Arial" w:cs="Arial"/>
          <w:noProof w:val="0"/>
          <w:color w:val="auto"/>
          <w:sz w:val="24"/>
          <w:szCs w:val="24"/>
          <w:lang w:val="en-GB"/>
        </w:rPr>
        <w:t>and  Responsible</w:t>
      </w:r>
      <w:r w:rsidRPr="6407B060" w:rsidR="28E86A27">
        <w:rPr>
          <w:rFonts w:ascii="Arial" w:hAnsi="Arial" w:eastAsia="Arial" w:cs="Arial"/>
          <w:noProof w:val="0"/>
          <w:color w:val="auto"/>
          <w:sz w:val="24"/>
          <w:szCs w:val="24"/>
          <w:lang w:val="en-GB"/>
        </w:rPr>
        <w:t xml:space="preserve"> Business Practices,” </w:t>
      </w:r>
      <w:r w:rsidRPr="6407B060" w:rsidR="28E86A27">
        <w:rPr>
          <w:rFonts w:ascii="Arial" w:hAnsi="Arial" w:eastAsia="Arial" w:cs="Arial"/>
          <w:i w:val="1"/>
          <w:iCs w:val="1"/>
          <w:noProof w:val="0"/>
          <w:color w:val="auto"/>
          <w:sz w:val="24"/>
          <w:szCs w:val="24"/>
          <w:lang w:val="en-GB"/>
        </w:rPr>
        <w:t>International journal of experiential learning &amp; case studies Online</w:t>
      </w:r>
      <w:r w:rsidRPr="6407B060" w:rsidR="28E86A27">
        <w:rPr>
          <w:rFonts w:ascii="Arial" w:hAnsi="Arial" w:eastAsia="Arial" w:cs="Arial"/>
          <w:noProof w:val="0"/>
          <w:color w:val="auto"/>
          <w:sz w:val="24"/>
          <w:szCs w:val="24"/>
          <w:lang w:val="en-GB"/>
        </w:rPr>
        <w:t xml:space="preserve">, 10(2). Available at: </w:t>
      </w:r>
      <w:hyperlink r:id="R86c43f23482d42cb">
        <w:r w:rsidRPr="6407B060" w:rsidR="28E86A27">
          <w:rPr>
            <w:rStyle w:val="Hyperlink"/>
            <w:rFonts w:ascii="Arial" w:hAnsi="Arial" w:eastAsia="Arial" w:cs="Arial"/>
            <w:noProof w:val="0"/>
            <w:color w:val="auto"/>
            <w:sz w:val="24"/>
            <w:szCs w:val="24"/>
            <w:lang w:val="en-GB"/>
          </w:rPr>
          <w:t>https://doi.org/10.22555/ijelcs.v10i2.1432</w:t>
        </w:r>
      </w:hyperlink>
      <w:r w:rsidRPr="6407B060" w:rsidR="28E86A27">
        <w:rPr>
          <w:rFonts w:ascii="Arial" w:hAnsi="Arial" w:eastAsia="Arial" w:cs="Arial"/>
          <w:noProof w:val="0"/>
          <w:color w:val="auto"/>
          <w:sz w:val="24"/>
          <w:szCs w:val="24"/>
          <w:lang w:val="en-GB"/>
        </w:rPr>
        <w:t xml:space="preserve"> </w:t>
      </w:r>
      <w:r w:rsidRPr="6407B060" w:rsidR="28E86A27">
        <w:rPr>
          <w:rFonts w:ascii="Arial" w:hAnsi="Arial" w:eastAsia="Arial" w:cs="Arial"/>
          <w:noProof w:val="0"/>
          <w:color w:val="auto"/>
          <w:sz w:val="24"/>
          <w:szCs w:val="24"/>
          <w:lang w:val="en-GB"/>
        </w:rPr>
        <w:t>(Accessed 11 March 2026).</w:t>
      </w:r>
    </w:p>
    <w:p w:rsidR="28E86A27" w:rsidP="6407B060" w:rsidRDefault="28E86A27" w14:paraId="0A26719F" w14:textId="2019BB3A">
      <w:pPr>
        <w:spacing w:before="0" w:beforeAutospacing="off" w:after="0" w:afterAutospacing="off" w:line="360" w:lineRule="auto"/>
        <w:jc w:val="both"/>
      </w:pPr>
      <w:r w:rsidRPr="6407B060" w:rsidR="28E86A27">
        <w:rPr>
          <w:rFonts w:ascii="Arial" w:hAnsi="Arial" w:eastAsia="Arial" w:cs="Arial"/>
          <w:noProof w:val="0"/>
          <w:color w:val="auto"/>
          <w:sz w:val="24"/>
          <w:szCs w:val="24"/>
          <w:lang w:val="en-GB"/>
        </w:rPr>
        <w:t xml:space="preserve">Akbar, M. </w:t>
      </w:r>
      <w:r w:rsidRPr="6407B060" w:rsidR="28E86A27">
        <w:rPr>
          <w:rFonts w:ascii="Arial" w:hAnsi="Arial" w:eastAsia="Arial" w:cs="Arial"/>
          <w:i w:val="1"/>
          <w:iCs w:val="1"/>
          <w:noProof w:val="0"/>
          <w:color w:val="auto"/>
          <w:sz w:val="24"/>
          <w:szCs w:val="24"/>
          <w:lang w:val="en-GB"/>
        </w:rPr>
        <w:t>et al.</w:t>
      </w:r>
      <w:r w:rsidRPr="6407B060" w:rsidR="28E86A27">
        <w:rPr>
          <w:rFonts w:ascii="Arial" w:hAnsi="Arial" w:eastAsia="Arial" w:cs="Arial"/>
          <w:noProof w:val="0"/>
          <w:color w:val="auto"/>
          <w:sz w:val="24"/>
          <w:szCs w:val="24"/>
          <w:lang w:val="en-GB"/>
        </w:rPr>
        <w:t xml:space="preserve"> (2022) “Financial distress, firm life cycle, and corporate restructuring decisions: Evidence from Pakistan’s economy,” </w:t>
      </w:r>
      <w:r w:rsidRPr="6407B060" w:rsidR="28E86A27">
        <w:rPr>
          <w:rFonts w:ascii="Arial" w:hAnsi="Arial" w:eastAsia="Arial" w:cs="Arial"/>
          <w:i w:val="1"/>
          <w:iCs w:val="1"/>
          <w:noProof w:val="0"/>
          <w:color w:val="auto"/>
          <w:sz w:val="24"/>
          <w:szCs w:val="24"/>
          <w:lang w:val="en-GB"/>
        </w:rPr>
        <w:t>Economies</w:t>
      </w:r>
      <w:r w:rsidRPr="6407B060" w:rsidR="28E86A27">
        <w:rPr>
          <w:rFonts w:ascii="Arial" w:hAnsi="Arial" w:eastAsia="Arial" w:cs="Arial"/>
          <w:noProof w:val="0"/>
          <w:color w:val="auto"/>
          <w:sz w:val="24"/>
          <w:szCs w:val="24"/>
          <w:lang w:val="en-GB"/>
        </w:rPr>
        <w:t xml:space="preserve">, 10(7), pp. 1–12. Available at: </w:t>
      </w:r>
      <w:hyperlink r:id="R3f43a68786374c8e">
        <w:r w:rsidRPr="6407B060" w:rsidR="28E86A27">
          <w:rPr>
            <w:rStyle w:val="Hyperlink"/>
            <w:rFonts w:ascii="Arial" w:hAnsi="Arial" w:eastAsia="Arial" w:cs="Arial"/>
            <w:noProof w:val="0"/>
            <w:color w:val="auto"/>
            <w:sz w:val="24"/>
            <w:szCs w:val="24"/>
            <w:lang w:val="en-GB"/>
          </w:rPr>
          <w:t>https://doi.org/10.3390/economies10070175</w:t>
        </w:r>
      </w:hyperlink>
      <w:r w:rsidRPr="6407B060" w:rsidR="28E86A27">
        <w:rPr>
          <w:rFonts w:ascii="Arial" w:hAnsi="Arial" w:eastAsia="Arial" w:cs="Arial"/>
          <w:noProof w:val="0"/>
          <w:color w:val="auto"/>
          <w:sz w:val="24"/>
          <w:szCs w:val="24"/>
          <w:lang w:val="en-GB"/>
        </w:rPr>
        <w:t xml:space="preserve"> </w:t>
      </w:r>
      <w:r w:rsidRPr="6407B060" w:rsidR="28E86A27">
        <w:rPr>
          <w:rFonts w:ascii="Arial" w:hAnsi="Arial" w:eastAsia="Arial" w:cs="Arial"/>
          <w:noProof w:val="0"/>
          <w:color w:val="auto"/>
          <w:sz w:val="24"/>
          <w:szCs w:val="24"/>
          <w:lang w:val="en-GB"/>
        </w:rPr>
        <w:t>(Accessed 08 March 2026)</w:t>
      </w:r>
      <w:r w:rsidRPr="6407B060" w:rsidR="28E86A27">
        <w:rPr>
          <w:rFonts w:ascii="Arial" w:hAnsi="Arial" w:eastAsia="Arial" w:cs="Arial"/>
          <w:noProof w:val="0"/>
          <w:sz w:val="24"/>
          <w:szCs w:val="24"/>
          <w:lang w:val="en-GB"/>
        </w:rPr>
        <w:t>.</w:t>
      </w:r>
    </w:p>
    <w:p w:rsidR="28E86A27" w:rsidP="6407B060" w:rsidRDefault="28E86A27" w14:paraId="3E4331CC" w14:textId="41DCC5A4">
      <w:pPr>
        <w:spacing w:before="0" w:beforeAutospacing="off" w:after="0" w:afterAutospacing="off" w:line="360" w:lineRule="auto"/>
        <w:jc w:val="both"/>
        <w:rPr>
          <w:rFonts w:ascii="Arial" w:hAnsi="Arial" w:eastAsia="Arial" w:cs="Arial"/>
          <w:noProof w:val="0"/>
          <w:color w:val="auto"/>
          <w:sz w:val="24"/>
          <w:szCs w:val="24"/>
          <w:lang w:val="en-GB"/>
        </w:rPr>
      </w:pPr>
      <w:r w:rsidRPr="6407B060" w:rsidR="28E86A27">
        <w:rPr>
          <w:rFonts w:ascii="Arial" w:hAnsi="Arial" w:eastAsia="Arial" w:cs="Arial"/>
          <w:noProof w:val="0"/>
          <w:color w:val="auto"/>
          <w:sz w:val="24"/>
          <w:szCs w:val="24"/>
          <w:lang w:val="en-GB"/>
        </w:rPr>
        <w:t xml:space="preserve">Ali </w:t>
      </w:r>
      <w:r w:rsidRPr="6407B060" w:rsidR="28E86A27">
        <w:rPr>
          <w:rFonts w:ascii="Arial" w:hAnsi="Arial" w:eastAsia="Arial" w:cs="Arial"/>
          <w:noProof w:val="0"/>
          <w:color w:val="auto"/>
          <w:sz w:val="24"/>
          <w:szCs w:val="24"/>
          <w:lang w:val="en-GB"/>
        </w:rPr>
        <w:t>Ebrahimnejad</w:t>
      </w:r>
      <w:r w:rsidRPr="6407B060" w:rsidR="28E86A27">
        <w:rPr>
          <w:rFonts w:ascii="Arial" w:hAnsi="Arial" w:eastAsia="Arial" w:cs="Arial"/>
          <w:noProof w:val="0"/>
          <w:color w:val="auto"/>
          <w:sz w:val="24"/>
          <w:szCs w:val="24"/>
          <w:lang w:val="en-GB"/>
        </w:rPr>
        <w:t xml:space="preserve">, Ali </w:t>
      </w:r>
      <w:r w:rsidRPr="6407B060" w:rsidR="28E86A27">
        <w:rPr>
          <w:rFonts w:ascii="Arial" w:hAnsi="Arial" w:eastAsia="Arial" w:cs="Arial"/>
          <w:noProof w:val="0"/>
          <w:color w:val="auto"/>
          <w:sz w:val="24"/>
          <w:szCs w:val="24"/>
          <w:lang w:val="en-GB"/>
        </w:rPr>
        <w:t>Zakizade</w:t>
      </w:r>
      <w:r w:rsidRPr="6407B060" w:rsidR="28E86A27">
        <w:rPr>
          <w:rFonts w:ascii="Arial" w:hAnsi="Arial" w:eastAsia="Arial" w:cs="Arial"/>
          <w:noProof w:val="0"/>
          <w:color w:val="auto"/>
          <w:sz w:val="24"/>
          <w:szCs w:val="24"/>
          <w:lang w:val="en-GB"/>
        </w:rPr>
        <w:t xml:space="preserve"> and Fardin </w:t>
      </w:r>
      <w:r w:rsidRPr="6407B060" w:rsidR="28E86A27">
        <w:rPr>
          <w:rFonts w:ascii="Arial" w:hAnsi="Arial" w:eastAsia="Arial" w:cs="Arial"/>
          <w:noProof w:val="0"/>
          <w:color w:val="auto"/>
          <w:sz w:val="24"/>
          <w:szCs w:val="24"/>
          <w:lang w:val="en-GB"/>
        </w:rPr>
        <w:t>Razmjooei</w:t>
      </w:r>
      <w:r w:rsidRPr="6407B060" w:rsidR="28E86A27">
        <w:rPr>
          <w:rFonts w:ascii="Arial" w:hAnsi="Arial" w:eastAsia="Arial" w:cs="Arial"/>
          <w:noProof w:val="0"/>
          <w:color w:val="auto"/>
          <w:sz w:val="24"/>
          <w:szCs w:val="24"/>
          <w:lang w:val="en-GB"/>
        </w:rPr>
        <w:t xml:space="preserve"> (2025) “The Effect of Working Capital on Investment: Evidence from the Tehran Stock Exchange,” </w:t>
      </w:r>
      <w:r w:rsidRPr="6407B060" w:rsidR="28E86A27">
        <w:rPr>
          <w:rFonts w:ascii="Arial" w:hAnsi="Arial" w:eastAsia="Arial" w:cs="Arial"/>
          <w:i w:val="1"/>
          <w:iCs w:val="1"/>
          <w:noProof w:val="0"/>
          <w:color w:val="auto"/>
          <w:sz w:val="24"/>
          <w:szCs w:val="24"/>
          <w:lang w:val="en-GB"/>
        </w:rPr>
        <w:t>Mudīrriyat-i</w:t>
      </w:r>
      <w:r w:rsidRPr="6407B060" w:rsidR="28E86A27">
        <w:rPr>
          <w:rFonts w:ascii="Arial" w:hAnsi="Arial" w:eastAsia="Arial" w:cs="Arial"/>
          <w:i w:val="1"/>
          <w:iCs w:val="1"/>
          <w:noProof w:val="0"/>
          <w:color w:val="auto"/>
          <w:sz w:val="24"/>
          <w:szCs w:val="24"/>
          <w:lang w:val="en-GB"/>
        </w:rPr>
        <w:t xml:space="preserve"> </w:t>
      </w:r>
      <w:r w:rsidRPr="6407B060" w:rsidR="28E86A27">
        <w:rPr>
          <w:rFonts w:ascii="Arial" w:hAnsi="Arial" w:eastAsia="Arial" w:cs="Arial"/>
          <w:i w:val="1"/>
          <w:iCs w:val="1"/>
          <w:noProof w:val="0"/>
          <w:color w:val="auto"/>
          <w:sz w:val="24"/>
          <w:szCs w:val="24"/>
          <w:lang w:val="en-GB"/>
        </w:rPr>
        <w:t>dārāyī</w:t>
      </w:r>
      <w:r w:rsidRPr="6407B060" w:rsidR="28E86A27">
        <w:rPr>
          <w:rFonts w:ascii="Arial" w:hAnsi="Arial" w:eastAsia="Arial" w:cs="Arial"/>
          <w:i w:val="1"/>
          <w:iCs w:val="1"/>
          <w:noProof w:val="0"/>
          <w:color w:val="auto"/>
          <w:sz w:val="24"/>
          <w:szCs w:val="24"/>
          <w:lang w:val="en-GB"/>
        </w:rPr>
        <w:t xml:space="preserve"> </w:t>
      </w:r>
      <w:r w:rsidRPr="6407B060" w:rsidR="28E86A27">
        <w:rPr>
          <w:rFonts w:ascii="Arial" w:hAnsi="Arial" w:eastAsia="Arial" w:cs="Arial"/>
          <w:i w:val="1"/>
          <w:iCs w:val="1"/>
          <w:noProof w:val="0"/>
          <w:color w:val="auto"/>
          <w:sz w:val="24"/>
          <w:szCs w:val="24"/>
          <w:lang w:val="en-GB"/>
        </w:rPr>
        <w:t>va</w:t>
      </w:r>
      <w:r w:rsidRPr="6407B060" w:rsidR="28E86A27">
        <w:rPr>
          <w:rFonts w:ascii="Arial" w:hAnsi="Arial" w:eastAsia="Arial" w:cs="Arial"/>
          <w:i w:val="1"/>
          <w:iCs w:val="1"/>
          <w:noProof w:val="0"/>
          <w:color w:val="auto"/>
          <w:sz w:val="24"/>
          <w:szCs w:val="24"/>
          <w:lang w:val="en-GB"/>
        </w:rPr>
        <w:t xml:space="preserve"> </w:t>
      </w:r>
      <w:r w:rsidRPr="6407B060" w:rsidR="28E86A27">
        <w:rPr>
          <w:rFonts w:ascii="Arial" w:hAnsi="Arial" w:eastAsia="Arial" w:cs="Arial"/>
          <w:i w:val="1"/>
          <w:iCs w:val="1"/>
          <w:noProof w:val="0"/>
          <w:color w:val="auto"/>
          <w:sz w:val="24"/>
          <w:szCs w:val="24"/>
          <w:lang w:val="en-GB"/>
        </w:rPr>
        <w:t>ta̓mīn-i</w:t>
      </w:r>
      <w:r w:rsidRPr="6407B060" w:rsidR="28E86A27">
        <w:rPr>
          <w:rFonts w:ascii="Arial" w:hAnsi="Arial" w:eastAsia="Arial" w:cs="Arial"/>
          <w:i w:val="1"/>
          <w:iCs w:val="1"/>
          <w:noProof w:val="0"/>
          <w:color w:val="auto"/>
          <w:sz w:val="24"/>
          <w:szCs w:val="24"/>
          <w:lang w:val="en-GB"/>
        </w:rPr>
        <w:t xml:space="preserve"> </w:t>
      </w:r>
      <w:r w:rsidRPr="6407B060" w:rsidR="28E86A27">
        <w:rPr>
          <w:rFonts w:ascii="Arial" w:hAnsi="Arial" w:eastAsia="Arial" w:cs="Arial"/>
          <w:i w:val="1"/>
          <w:iCs w:val="1"/>
          <w:noProof w:val="0"/>
          <w:color w:val="auto"/>
          <w:sz w:val="24"/>
          <w:szCs w:val="24"/>
          <w:lang w:val="en-GB"/>
        </w:rPr>
        <w:t>mālī</w:t>
      </w:r>
      <w:r w:rsidRPr="6407B060" w:rsidR="28E86A27">
        <w:rPr>
          <w:rFonts w:ascii="Arial" w:hAnsi="Arial" w:eastAsia="Arial" w:cs="Arial"/>
          <w:noProof w:val="0"/>
          <w:color w:val="auto"/>
          <w:sz w:val="24"/>
          <w:szCs w:val="24"/>
          <w:lang w:val="en-GB"/>
        </w:rPr>
        <w:t xml:space="preserve">, 13(3), pp. 117–138. Available at: </w:t>
      </w:r>
      <w:hyperlink r:id="R9f90544c208d4479">
        <w:r w:rsidRPr="6407B060" w:rsidR="28E86A27">
          <w:rPr>
            <w:rStyle w:val="Hyperlink"/>
            <w:rFonts w:ascii="Arial" w:hAnsi="Arial" w:eastAsia="Arial" w:cs="Arial"/>
            <w:noProof w:val="0"/>
            <w:color w:val="auto"/>
            <w:sz w:val="24"/>
            <w:szCs w:val="24"/>
            <w:lang w:val="en-GB"/>
          </w:rPr>
          <w:t>https://doi.org/10.22108/amf.2025.141549.1886</w:t>
        </w:r>
      </w:hyperlink>
      <w:r w:rsidRPr="6407B060" w:rsidR="28E86A27">
        <w:rPr>
          <w:rFonts w:ascii="Arial" w:hAnsi="Arial" w:eastAsia="Arial" w:cs="Arial"/>
          <w:noProof w:val="0"/>
          <w:color w:val="auto"/>
          <w:sz w:val="24"/>
          <w:szCs w:val="24"/>
          <w:lang w:val="en-GB"/>
        </w:rPr>
        <w:t xml:space="preserve"> </w:t>
      </w:r>
      <w:r w:rsidRPr="6407B060" w:rsidR="28E86A27">
        <w:rPr>
          <w:rFonts w:ascii="Arial" w:hAnsi="Arial" w:eastAsia="Arial" w:cs="Arial"/>
          <w:noProof w:val="0"/>
          <w:color w:val="auto"/>
          <w:sz w:val="24"/>
          <w:szCs w:val="24"/>
          <w:lang w:val="en-GB"/>
        </w:rPr>
        <w:t>(Accessed 15 March 2026).</w:t>
      </w:r>
    </w:p>
    <w:p w:rsidR="261FABBF" w:rsidP="6407B060" w:rsidRDefault="261FABBF" w14:paraId="4C663B5D" w14:textId="3DFD8430">
      <w:pPr>
        <w:spacing w:before="0" w:beforeAutospacing="off" w:after="0" w:afterAutospacing="off" w:line="360" w:lineRule="auto"/>
        <w:jc w:val="both"/>
        <w:rPr>
          <w:rFonts w:ascii="Arial" w:hAnsi="Arial" w:eastAsia="Arial" w:cs="Arial"/>
          <w:noProof w:val="0"/>
          <w:color w:val="auto"/>
          <w:sz w:val="24"/>
          <w:szCs w:val="24"/>
          <w:lang w:val="en-GB"/>
        </w:rPr>
      </w:pPr>
      <w:r w:rsidRPr="6407B060" w:rsidR="261FABBF">
        <w:rPr>
          <w:rFonts w:ascii="Arial" w:hAnsi="Arial" w:eastAsia="Arial" w:cs="Arial"/>
          <w:noProof w:val="0"/>
          <w:color w:val="auto"/>
          <w:sz w:val="24"/>
          <w:szCs w:val="24"/>
          <w:lang w:val="en-GB"/>
        </w:rPr>
        <w:t xml:space="preserve">Bogdan Cosmin GOMOI (2024) “The Analysis of the Financial Indicators at the Level of an Entity in the Automotive Products Sector,” </w:t>
      </w:r>
      <w:r w:rsidRPr="6407B060" w:rsidR="261FABBF">
        <w:rPr>
          <w:rFonts w:ascii="Arial" w:hAnsi="Arial" w:eastAsia="Arial" w:cs="Arial"/>
          <w:i w:val="1"/>
          <w:iCs w:val="1"/>
          <w:noProof w:val="0"/>
          <w:color w:val="auto"/>
          <w:sz w:val="24"/>
          <w:szCs w:val="24"/>
          <w:lang w:val="en-GB"/>
        </w:rPr>
        <w:t>CECCAR Business Review</w:t>
      </w:r>
      <w:r w:rsidRPr="6407B060" w:rsidR="261FABBF">
        <w:rPr>
          <w:rFonts w:ascii="Arial" w:hAnsi="Arial" w:eastAsia="Arial" w:cs="Arial"/>
          <w:noProof w:val="0"/>
          <w:color w:val="auto"/>
          <w:sz w:val="24"/>
          <w:szCs w:val="24"/>
          <w:lang w:val="en-GB"/>
        </w:rPr>
        <w:t xml:space="preserve">, 5(4), pp. 27–35. Available at: </w:t>
      </w:r>
      <w:hyperlink r:id="R4170b1409e7b4227">
        <w:r w:rsidRPr="6407B060" w:rsidR="261FABBF">
          <w:rPr>
            <w:rStyle w:val="Hyperlink"/>
            <w:rFonts w:ascii="Arial" w:hAnsi="Arial" w:eastAsia="Arial" w:cs="Arial"/>
            <w:noProof w:val="0"/>
            <w:color w:val="auto"/>
            <w:sz w:val="24"/>
            <w:szCs w:val="24"/>
            <w:lang w:val="en-GB"/>
          </w:rPr>
          <w:t>https://doi.org/10.37945/cbr.2024.04.03</w:t>
        </w:r>
      </w:hyperlink>
      <w:r w:rsidRPr="6407B060" w:rsidR="261FABBF">
        <w:rPr>
          <w:rFonts w:ascii="Arial" w:hAnsi="Arial" w:eastAsia="Arial" w:cs="Arial"/>
          <w:noProof w:val="0"/>
          <w:color w:val="auto"/>
          <w:sz w:val="24"/>
          <w:szCs w:val="24"/>
          <w:lang w:val="en-GB"/>
        </w:rPr>
        <w:t xml:space="preserve"> </w:t>
      </w:r>
      <w:r w:rsidRPr="6407B060" w:rsidR="261FABBF">
        <w:rPr>
          <w:rFonts w:ascii="Arial" w:hAnsi="Arial" w:eastAsia="Arial" w:cs="Arial"/>
          <w:noProof w:val="0"/>
          <w:color w:val="auto"/>
          <w:sz w:val="24"/>
          <w:szCs w:val="24"/>
          <w:lang w:val="en-GB"/>
        </w:rPr>
        <w:t>(Accessed 07 March 2026).</w:t>
      </w:r>
    </w:p>
    <w:p w:rsidR="261FABBF" w:rsidP="6407B060" w:rsidRDefault="261FABBF" w14:paraId="12ACAE40" w14:textId="4FFFCC17">
      <w:pPr>
        <w:spacing w:before="0" w:beforeAutospacing="off" w:after="0" w:afterAutospacing="off" w:line="360" w:lineRule="auto"/>
        <w:jc w:val="both"/>
      </w:pPr>
      <w:r w:rsidRPr="6407B060" w:rsidR="261FABBF">
        <w:rPr>
          <w:rFonts w:ascii="Arial" w:hAnsi="Arial" w:eastAsia="Arial" w:cs="Arial"/>
          <w:noProof w:val="0"/>
          <w:color w:val="111111"/>
          <w:sz w:val="24"/>
          <w:szCs w:val="24"/>
          <w:lang w:val="en-GB"/>
        </w:rPr>
        <w:t xml:space="preserve">Boisjoly, R.P., Conine Jr. T.E., &amp; McDonald IV, M.B. (2020). Working capital management: Financial and valuation impacts. Journal of Business Research, 108, 1-8. </w:t>
      </w:r>
      <w:hyperlink r:id="Re56709ba9d35473a">
        <w:r w:rsidRPr="6407B060" w:rsidR="261FABBF">
          <w:rPr>
            <w:rStyle w:val="Hyperlink"/>
            <w:rFonts w:ascii="Arial" w:hAnsi="Arial" w:eastAsia="Arial" w:cs="Arial"/>
            <w:noProof w:val="0"/>
            <w:color w:val="111111"/>
            <w:sz w:val="24"/>
            <w:szCs w:val="24"/>
            <w:lang w:val="en-GB"/>
          </w:rPr>
          <w:t>https://doi.org/10.1016/j.jbusres.2019.09.025</w:t>
        </w:r>
      </w:hyperlink>
      <w:r w:rsidRPr="6407B060" w:rsidR="261FABBF">
        <w:rPr>
          <w:rFonts w:ascii="Arial" w:hAnsi="Arial" w:eastAsia="Arial" w:cs="Arial"/>
          <w:noProof w:val="0"/>
          <w:color w:val="111111"/>
          <w:sz w:val="24"/>
          <w:szCs w:val="24"/>
          <w:lang w:val="en-GB"/>
        </w:rPr>
        <w:t xml:space="preserve"> </w:t>
      </w:r>
      <w:r w:rsidRPr="6407B060" w:rsidR="261FABBF">
        <w:rPr>
          <w:rFonts w:ascii="Arial" w:hAnsi="Arial" w:eastAsia="Arial" w:cs="Arial"/>
          <w:noProof w:val="0"/>
          <w:sz w:val="24"/>
          <w:szCs w:val="24"/>
          <w:lang w:val="en-GB"/>
        </w:rPr>
        <w:t>(Accessed 9 March 2026).</w:t>
      </w:r>
    </w:p>
    <w:p w:rsidR="1683B17E" w:rsidP="6407B060" w:rsidRDefault="1683B17E" w14:paraId="0CFBA1B5" w14:textId="7499DAE6">
      <w:pPr>
        <w:spacing w:before="0" w:beforeAutospacing="off" w:after="0" w:afterAutospacing="off" w:line="360" w:lineRule="auto"/>
        <w:jc w:val="both"/>
        <w:rPr>
          <w:rFonts w:ascii="Arial" w:hAnsi="Arial" w:eastAsia="Arial" w:cs="Arial"/>
          <w:noProof w:val="0"/>
          <w:color w:val="auto"/>
          <w:sz w:val="24"/>
          <w:szCs w:val="24"/>
          <w:lang w:val="en-GB"/>
        </w:rPr>
      </w:pPr>
      <w:r w:rsidRPr="6407B060" w:rsidR="1683B17E">
        <w:rPr>
          <w:rFonts w:ascii="Arial" w:hAnsi="Arial" w:eastAsia="Arial" w:cs="Arial"/>
          <w:noProof w:val="0"/>
          <w:color w:val="auto"/>
          <w:sz w:val="24"/>
          <w:szCs w:val="24"/>
          <w:lang w:val="en-GB"/>
        </w:rPr>
        <w:t>Bryła</w:t>
      </w:r>
      <w:r w:rsidRPr="6407B060" w:rsidR="1683B17E">
        <w:rPr>
          <w:rFonts w:ascii="Arial" w:hAnsi="Arial" w:eastAsia="Arial" w:cs="Arial"/>
          <w:noProof w:val="0"/>
          <w:color w:val="auto"/>
          <w:sz w:val="24"/>
          <w:szCs w:val="24"/>
          <w:lang w:val="en-GB"/>
        </w:rPr>
        <w:t xml:space="preserve">, P., Chatterjee, S. and </w:t>
      </w:r>
      <w:r w:rsidRPr="6407B060" w:rsidR="1683B17E">
        <w:rPr>
          <w:rFonts w:ascii="Arial" w:hAnsi="Arial" w:eastAsia="Arial" w:cs="Arial"/>
          <w:noProof w:val="0"/>
          <w:color w:val="auto"/>
          <w:sz w:val="24"/>
          <w:szCs w:val="24"/>
          <w:lang w:val="en-GB"/>
        </w:rPr>
        <w:t>Ciabiada-Bryła</w:t>
      </w:r>
      <w:r w:rsidRPr="6407B060" w:rsidR="1683B17E">
        <w:rPr>
          <w:rFonts w:ascii="Arial" w:hAnsi="Arial" w:eastAsia="Arial" w:cs="Arial"/>
          <w:noProof w:val="0"/>
          <w:color w:val="auto"/>
          <w:sz w:val="24"/>
          <w:szCs w:val="24"/>
          <w:lang w:val="en-GB"/>
        </w:rPr>
        <w:t xml:space="preserve">, B. (2023) “Consumer Adoption of Electric Vehicles: A Systematic Literature Review,” </w:t>
      </w:r>
      <w:r w:rsidRPr="6407B060" w:rsidR="1683B17E">
        <w:rPr>
          <w:rFonts w:ascii="Arial" w:hAnsi="Arial" w:eastAsia="Arial" w:cs="Arial"/>
          <w:i w:val="1"/>
          <w:iCs w:val="1"/>
          <w:noProof w:val="0"/>
          <w:color w:val="auto"/>
          <w:sz w:val="24"/>
          <w:szCs w:val="24"/>
          <w:lang w:val="en-GB"/>
        </w:rPr>
        <w:t>Energies (Basel)</w:t>
      </w:r>
      <w:r w:rsidRPr="6407B060" w:rsidR="1683B17E">
        <w:rPr>
          <w:rFonts w:ascii="Arial" w:hAnsi="Arial" w:eastAsia="Arial" w:cs="Arial"/>
          <w:noProof w:val="0"/>
          <w:color w:val="auto"/>
          <w:sz w:val="24"/>
          <w:szCs w:val="24"/>
          <w:lang w:val="en-GB"/>
        </w:rPr>
        <w:t xml:space="preserve">, 16(1), p. 205. Available at: </w:t>
      </w:r>
      <w:hyperlink r:id="Re923b9768d684e42">
        <w:r w:rsidRPr="6407B060" w:rsidR="1683B17E">
          <w:rPr>
            <w:rStyle w:val="Hyperlink"/>
            <w:rFonts w:ascii="Arial" w:hAnsi="Arial" w:eastAsia="Arial" w:cs="Arial"/>
            <w:noProof w:val="0"/>
            <w:color w:val="auto"/>
            <w:sz w:val="24"/>
            <w:szCs w:val="24"/>
            <w:lang w:val="en-GB"/>
          </w:rPr>
          <w:t>https://doi.org/10.3390/en16010205</w:t>
        </w:r>
      </w:hyperlink>
      <w:r w:rsidRPr="6407B060" w:rsidR="1683B17E">
        <w:rPr>
          <w:rFonts w:ascii="Arial" w:hAnsi="Arial" w:eastAsia="Arial" w:cs="Arial"/>
          <w:noProof w:val="0"/>
          <w:color w:val="auto"/>
          <w:sz w:val="24"/>
          <w:szCs w:val="24"/>
          <w:lang w:val="en-GB"/>
        </w:rPr>
        <w:t xml:space="preserve"> </w:t>
      </w:r>
      <w:r w:rsidRPr="6407B060" w:rsidR="1683B17E">
        <w:rPr>
          <w:rFonts w:ascii="Arial" w:hAnsi="Arial" w:eastAsia="Arial" w:cs="Arial"/>
          <w:noProof w:val="0"/>
          <w:color w:val="auto"/>
          <w:sz w:val="24"/>
          <w:szCs w:val="24"/>
          <w:lang w:val="en-GB"/>
        </w:rPr>
        <w:t>(Accessed 14 March 2026).</w:t>
      </w:r>
    </w:p>
    <w:p w:rsidR="38DBE151" w:rsidP="6407B060" w:rsidRDefault="38DBE151" w14:paraId="2D3A50D2" w14:textId="1A28BD1F">
      <w:pPr>
        <w:spacing w:before="0" w:beforeAutospacing="off" w:after="0" w:afterAutospacing="off" w:line="360" w:lineRule="auto"/>
        <w:jc w:val="both"/>
        <w:rPr>
          <w:rFonts w:ascii="Arial" w:hAnsi="Arial" w:eastAsia="Arial" w:cs="Arial"/>
          <w:noProof w:val="0"/>
          <w:color w:val="auto"/>
          <w:sz w:val="24"/>
          <w:szCs w:val="24"/>
          <w:lang w:val="en-GB"/>
        </w:rPr>
      </w:pPr>
      <w:r w:rsidRPr="6407B060" w:rsidR="38DBE151">
        <w:rPr>
          <w:rFonts w:ascii="Arial" w:hAnsi="Arial" w:eastAsia="Arial" w:cs="Arial"/>
          <w:noProof w:val="0"/>
          <w:color w:val="auto"/>
          <w:sz w:val="24"/>
          <w:szCs w:val="24"/>
          <w:lang w:val="en-GB"/>
        </w:rPr>
        <w:t xml:space="preserve">Ciller, P. </w:t>
      </w:r>
      <w:r w:rsidRPr="6407B060" w:rsidR="38DBE151">
        <w:rPr>
          <w:rFonts w:ascii="Arial" w:hAnsi="Arial" w:eastAsia="Arial" w:cs="Arial"/>
          <w:i w:val="1"/>
          <w:iCs w:val="1"/>
          <w:noProof w:val="0"/>
          <w:color w:val="auto"/>
          <w:sz w:val="24"/>
          <w:szCs w:val="24"/>
          <w:lang w:val="en-GB"/>
        </w:rPr>
        <w:t>et al.</w:t>
      </w:r>
      <w:r w:rsidRPr="6407B060" w:rsidR="38DBE151">
        <w:rPr>
          <w:rFonts w:ascii="Arial" w:hAnsi="Arial" w:eastAsia="Arial" w:cs="Arial"/>
          <w:noProof w:val="0"/>
          <w:color w:val="auto"/>
          <w:sz w:val="24"/>
          <w:szCs w:val="24"/>
          <w:lang w:val="en-GB"/>
        </w:rPr>
        <w:t xml:space="preserve"> (2019) “Optimal Electrification Planning Incorporating On- and Off-Grid Technologies: The Reference Electrification Model (REM),” </w:t>
      </w:r>
      <w:r w:rsidRPr="6407B060" w:rsidR="38DBE151">
        <w:rPr>
          <w:rFonts w:ascii="Arial" w:hAnsi="Arial" w:eastAsia="Arial" w:cs="Arial"/>
          <w:i w:val="1"/>
          <w:iCs w:val="1"/>
          <w:noProof w:val="0"/>
          <w:color w:val="auto"/>
          <w:sz w:val="24"/>
          <w:szCs w:val="24"/>
          <w:lang w:val="en-GB"/>
        </w:rPr>
        <w:t>Proceedings of the IEEE</w:t>
      </w:r>
      <w:r w:rsidRPr="6407B060" w:rsidR="38DBE151">
        <w:rPr>
          <w:rFonts w:ascii="Arial" w:hAnsi="Arial" w:eastAsia="Arial" w:cs="Arial"/>
          <w:noProof w:val="0"/>
          <w:color w:val="auto"/>
          <w:sz w:val="24"/>
          <w:szCs w:val="24"/>
          <w:lang w:val="en-GB"/>
        </w:rPr>
        <w:t xml:space="preserve">, 107(9), pp. 1872–1905. Available at: </w:t>
      </w:r>
      <w:hyperlink r:id="R5e4208ff09c641eb">
        <w:r w:rsidRPr="6407B060" w:rsidR="38DBE151">
          <w:rPr>
            <w:rStyle w:val="Hyperlink"/>
            <w:rFonts w:ascii="Arial" w:hAnsi="Arial" w:eastAsia="Arial" w:cs="Arial"/>
            <w:noProof w:val="0"/>
            <w:color w:val="auto"/>
            <w:sz w:val="24"/>
            <w:szCs w:val="24"/>
            <w:lang w:val="en-GB"/>
          </w:rPr>
          <w:t>https://doi.org/10.1109/JPROC.2019.2922543</w:t>
        </w:r>
      </w:hyperlink>
      <w:r w:rsidRPr="6407B060" w:rsidR="38DBE151">
        <w:rPr>
          <w:rFonts w:ascii="Arial" w:hAnsi="Arial" w:eastAsia="Arial" w:cs="Arial"/>
          <w:noProof w:val="0"/>
          <w:color w:val="auto"/>
          <w:sz w:val="24"/>
          <w:szCs w:val="24"/>
          <w:lang w:val="en-GB"/>
        </w:rPr>
        <w:t xml:space="preserve"> </w:t>
      </w:r>
      <w:r w:rsidRPr="6407B060" w:rsidR="38DBE151">
        <w:rPr>
          <w:rFonts w:ascii="Arial" w:hAnsi="Arial" w:eastAsia="Arial" w:cs="Arial"/>
          <w:noProof w:val="0"/>
          <w:color w:val="auto"/>
          <w:sz w:val="24"/>
          <w:szCs w:val="24"/>
          <w:lang w:val="en-GB"/>
        </w:rPr>
        <w:t>(Accessed 14 March 2026).</w:t>
      </w:r>
    </w:p>
    <w:p w:rsidR="6407B060" w:rsidP="6407B060" w:rsidRDefault="6407B060" w14:paraId="47619414" w14:textId="5605C444">
      <w:pPr>
        <w:spacing w:before="0" w:beforeAutospacing="off" w:after="0" w:afterAutospacing="off" w:line="360" w:lineRule="auto"/>
        <w:jc w:val="both"/>
        <w:rPr>
          <w:rFonts w:ascii="Arial" w:hAnsi="Arial" w:eastAsia="Arial" w:cs="Arial"/>
          <w:noProof w:val="0"/>
          <w:color w:val="auto"/>
          <w:sz w:val="24"/>
          <w:szCs w:val="24"/>
          <w:lang w:val="en-GB"/>
        </w:rPr>
      </w:pPr>
    </w:p>
    <w:p w:rsidR="38DBE151" w:rsidP="6407B060" w:rsidRDefault="38DBE151" w14:paraId="7C4BE7F8" w14:textId="134CCB5B">
      <w:pPr>
        <w:spacing w:before="0" w:beforeAutospacing="off" w:after="0" w:afterAutospacing="off" w:line="360" w:lineRule="auto"/>
        <w:jc w:val="both"/>
        <w:rPr>
          <w:rFonts w:ascii="Arial" w:hAnsi="Arial" w:eastAsia="Arial" w:cs="Arial"/>
          <w:noProof w:val="0"/>
          <w:color w:val="auto"/>
          <w:sz w:val="24"/>
          <w:szCs w:val="24"/>
          <w:lang w:val="en-GB"/>
        </w:rPr>
      </w:pPr>
      <w:r w:rsidRPr="6407B060" w:rsidR="38DBE151">
        <w:rPr>
          <w:rFonts w:ascii="Arial" w:hAnsi="Arial" w:eastAsia="Arial" w:cs="Arial"/>
          <w:noProof w:val="0"/>
          <w:color w:val="auto"/>
          <w:sz w:val="24"/>
          <w:szCs w:val="24"/>
          <w:lang w:val="en-GB"/>
        </w:rPr>
        <w:t xml:space="preserve">Cârstea, V. (2017) “ENVIRONMENTAL REGULATIONS AND THE AUTOMOTIVE INDUSTRY,” </w:t>
      </w:r>
      <w:r w:rsidRPr="6407B060" w:rsidR="38DBE151">
        <w:rPr>
          <w:rFonts w:ascii="Arial" w:hAnsi="Arial" w:eastAsia="Arial" w:cs="Arial"/>
          <w:i w:val="1"/>
          <w:iCs w:val="1"/>
          <w:noProof w:val="0"/>
          <w:color w:val="auto"/>
          <w:sz w:val="24"/>
          <w:szCs w:val="24"/>
          <w:lang w:val="en-GB"/>
        </w:rPr>
        <w:t>Romanian economic and business review</w:t>
      </w:r>
      <w:r w:rsidRPr="6407B060" w:rsidR="38DBE151">
        <w:rPr>
          <w:rFonts w:ascii="Arial" w:hAnsi="Arial" w:eastAsia="Arial" w:cs="Arial"/>
          <w:noProof w:val="0"/>
          <w:color w:val="auto"/>
          <w:sz w:val="24"/>
          <w:szCs w:val="24"/>
          <w:lang w:val="en-GB"/>
        </w:rPr>
        <w:t>, 12(2), pp. 72–79.</w:t>
      </w:r>
    </w:p>
    <w:p w:rsidR="38DBE151" w:rsidP="6407B060" w:rsidRDefault="38DBE151" w14:paraId="57C3257C" w14:textId="41A44AF2">
      <w:pPr>
        <w:spacing w:before="0" w:beforeAutospacing="off" w:after="0" w:afterAutospacing="off" w:line="360" w:lineRule="auto"/>
        <w:jc w:val="both"/>
        <w:rPr>
          <w:rFonts w:ascii="Arial" w:hAnsi="Arial" w:eastAsia="Arial" w:cs="Arial"/>
          <w:noProof w:val="0"/>
          <w:color w:val="auto"/>
          <w:sz w:val="24"/>
          <w:szCs w:val="24"/>
          <w:lang w:val="en-GB"/>
        </w:rPr>
      </w:pPr>
      <w:r w:rsidRPr="6407B060" w:rsidR="38DBE151">
        <w:rPr>
          <w:rFonts w:ascii="Arial" w:hAnsi="Arial" w:eastAsia="Arial" w:cs="Arial"/>
          <w:noProof w:val="0"/>
          <w:sz w:val="24"/>
          <w:szCs w:val="24"/>
          <w:lang w:val="en-GB"/>
        </w:rPr>
        <w:t xml:space="preserve">Dai, H., Li, N., Wang, Y. and Zhao, X., (2022). The analysis of three main investment criteria: NPV IRR and payback period. In </w:t>
      </w:r>
      <w:r w:rsidRPr="6407B060" w:rsidR="38DBE151">
        <w:rPr>
          <w:rFonts w:ascii="Arial" w:hAnsi="Arial" w:eastAsia="Arial" w:cs="Arial"/>
          <w:i w:val="1"/>
          <w:iCs w:val="1"/>
          <w:noProof w:val="0"/>
          <w:color w:val="222222"/>
          <w:sz w:val="24"/>
          <w:szCs w:val="24"/>
          <w:lang w:val="en-GB"/>
        </w:rPr>
        <w:t xml:space="preserve">2022 7th International Conference on </w:t>
      </w:r>
      <w:r w:rsidRPr="6407B060" w:rsidR="38DBE151">
        <w:rPr>
          <w:rFonts w:ascii="Arial" w:hAnsi="Arial" w:eastAsia="Arial" w:cs="Arial"/>
          <w:i w:val="1"/>
          <w:iCs w:val="1"/>
          <w:noProof w:val="0"/>
          <w:color w:val="auto"/>
          <w:sz w:val="24"/>
          <w:szCs w:val="24"/>
          <w:lang w:val="en-GB"/>
        </w:rPr>
        <w:t>Financial Innovation and Economic Development (ICFIED 2022)</w:t>
      </w:r>
      <w:r w:rsidRPr="6407B060" w:rsidR="38DBE151">
        <w:rPr>
          <w:rFonts w:ascii="Arial" w:hAnsi="Arial" w:eastAsia="Arial" w:cs="Arial"/>
          <w:noProof w:val="0"/>
          <w:color w:val="auto"/>
          <w:sz w:val="24"/>
          <w:szCs w:val="24"/>
          <w:lang w:val="en-GB"/>
        </w:rPr>
        <w:t xml:space="preserve"> (pp. 185-189). Atlantis Press.</w:t>
      </w:r>
    </w:p>
    <w:p w:rsidR="38DBE151" w:rsidP="6407B060" w:rsidRDefault="38DBE151" w14:paraId="4E8E1996" w14:textId="303FB987">
      <w:pPr>
        <w:spacing w:before="0" w:beforeAutospacing="off" w:after="0" w:afterAutospacing="off" w:line="360" w:lineRule="auto"/>
        <w:jc w:val="both"/>
        <w:rPr>
          <w:rFonts w:ascii="Arial" w:hAnsi="Arial" w:eastAsia="Arial" w:cs="Arial"/>
          <w:noProof w:val="0"/>
          <w:color w:val="auto"/>
          <w:sz w:val="24"/>
          <w:szCs w:val="24"/>
          <w:lang w:val="en-GB"/>
        </w:rPr>
      </w:pPr>
      <w:r w:rsidRPr="6407B060" w:rsidR="38DBE151">
        <w:rPr>
          <w:rFonts w:ascii="Arial" w:hAnsi="Arial" w:eastAsia="Arial" w:cs="Arial"/>
          <w:noProof w:val="0"/>
          <w:color w:val="auto"/>
          <w:sz w:val="24"/>
          <w:szCs w:val="24"/>
          <w:lang w:val="en-GB"/>
        </w:rPr>
        <w:t>Douglas A. McIntyre, (2026</w:t>
      </w:r>
      <w:r w:rsidRPr="6407B060" w:rsidR="38DBE151">
        <w:rPr>
          <w:rFonts w:ascii="Arial" w:hAnsi="Arial" w:eastAsia="Arial" w:cs="Arial"/>
          <w:noProof w:val="0"/>
          <w:color w:val="auto"/>
          <w:sz w:val="24"/>
          <w:szCs w:val="24"/>
          <w:lang w:val="en-GB"/>
        </w:rPr>
        <w:t>),BYD</w:t>
      </w:r>
      <w:r w:rsidRPr="6407B060" w:rsidR="38DBE151">
        <w:rPr>
          <w:rFonts w:ascii="Arial" w:hAnsi="Arial" w:eastAsia="Arial" w:cs="Arial"/>
          <w:noProof w:val="0"/>
          <w:color w:val="auto"/>
          <w:sz w:val="24"/>
          <w:szCs w:val="24"/>
          <w:lang w:val="en-GB"/>
        </w:rPr>
        <w:t xml:space="preserve"> Shows It Is King </w:t>
      </w:r>
      <w:r w:rsidRPr="6407B060" w:rsidR="38DBE151">
        <w:rPr>
          <w:rFonts w:ascii="Arial" w:hAnsi="Arial" w:eastAsia="Arial" w:cs="Arial"/>
          <w:noProof w:val="0"/>
          <w:color w:val="auto"/>
          <w:sz w:val="24"/>
          <w:szCs w:val="24"/>
          <w:lang w:val="en-GB"/>
        </w:rPr>
        <w:t>Of</w:t>
      </w:r>
      <w:r w:rsidRPr="6407B060" w:rsidR="38DBE151">
        <w:rPr>
          <w:rFonts w:ascii="Arial" w:hAnsi="Arial" w:eastAsia="Arial" w:cs="Arial"/>
          <w:noProof w:val="0"/>
          <w:color w:val="auto"/>
          <w:sz w:val="24"/>
          <w:szCs w:val="24"/>
          <w:lang w:val="en-GB"/>
        </w:rPr>
        <w:t xml:space="preserve"> </w:t>
      </w:r>
      <w:r w:rsidRPr="6407B060" w:rsidR="38DBE151">
        <w:rPr>
          <w:rFonts w:ascii="Arial" w:hAnsi="Arial" w:eastAsia="Arial" w:cs="Arial"/>
          <w:noProof w:val="0"/>
          <w:color w:val="auto"/>
          <w:sz w:val="24"/>
          <w:szCs w:val="24"/>
          <w:lang w:val="en-GB"/>
        </w:rPr>
        <w:t>The</w:t>
      </w:r>
      <w:r w:rsidRPr="6407B060" w:rsidR="38DBE151">
        <w:rPr>
          <w:rFonts w:ascii="Arial" w:hAnsi="Arial" w:eastAsia="Arial" w:cs="Arial"/>
          <w:noProof w:val="0"/>
          <w:color w:val="auto"/>
          <w:sz w:val="24"/>
          <w:szCs w:val="24"/>
          <w:lang w:val="en-GB"/>
        </w:rPr>
        <w:t xml:space="preserve"> EV Market, available at </w:t>
      </w:r>
      <w:hyperlink r:id="R5924f1218f664bf2">
        <w:r w:rsidRPr="6407B060" w:rsidR="38DBE151">
          <w:rPr>
            <w:rStyle w:val="Hyperlink"/>
            <w:rFonts w:ascii="Arial" w:hAnsi="Arial" w:eastAsia="Arial" w:cs="Arial"/>
            <w:noProof w:val="0"/>
            <w:color w:val="auto"/>
            <w:sz w:val="24"/>
            <w:szCs w:val="24"/>
            <w:lang w:val="en-GB"/>
          </w:rPr>
          <w:t>https://finance.yahoo.com/news/byd-shows-king-ev-market-135133743.html</w:t>
        </w:r>
      </w:hyperlink>
      <w:r w:rsidRPr="6407B060" w:rsidR="38DBE151">
        <w:rPr>
          <w:rFonts w:ascii="Arial" w:hAnsi="Arial" w:eastAsia="Arial" w:cs="Arial"/>
          <w:noProof w:val="0"/>
          <w:color w:val="auto"/>
          <w:sz w:val="24"/>
          <w:szCs w:val="24"/>
          <w:lang w:val="en-GB"/>
        </w:rPr>
        <w:t xml:space="preserve"> (Accessed 03 March 2026)</w:t>
      </w:r>
    </w:p>
    <w:p w:rsidR="38DBE151" w:rsidP="6407B060" w:rsidRDefault="38DBE151" w14:paraId="3023365C" w14:textId="5F909659">
      <w:pPr>
        <w:spacing w:before="0" w:beforeAutospacing="off" w:after="0" w:afterAutospacing="off" w:line="360" w:lineRule="auto"/>
        <w:jc w:val="both"/>
      </w:pPr>
      <w:r w:rsidRPr="6407B060" w:rsidR="38DBE151">
        <w:rPr>
          <w:rFonts w:ascii="Arial" w:hAnsi="Arial" w:eastAsia="Arial" w:cs="Arial"/>
          <w:noProof w:val="0"/>
          <w:sz w:val="24"/>
          <w:szCs w:val="24"/>
          <w:lang w:val="en-GB"/>
        </w:rPr>
        <w:t xml:space="preserve">Hasyim, M.A.N. and </w:t>
      </w:r>
      <w:r w:rsidRPr="6407B060" w:rsidR="38DBE151">
        <w:rPr>
          <w:rFonts w:ascii="Arial" w:hAnsi="Arial" w:eastAsia="Arial" w:cs="Arial"/>
          <w:noProof w:val="0"/>
          <w:sz w:val="24"/>
          <w:szCs w:val="24"/>
          <w:lang w:val="en-GB"/>
        </w:rPr>
        <w:t>Nuraeni</w:t>
      </w:r>
      <w:r w:rsidRPr="6407B060" w:rsidR="38DBE151">
        <w:rPr>
          <w:rFonts w:ascii="Arial" w:hAnsi="Arial" w:eastAsia="Arial" w:cs="Arial"/>
          <w:noProof w:val="0"/>
          <w:sz w:val="24"/>
          <w:szCs w:val="24"/>
          <w:lang w:val="en-GB"/>
        </w:rPr>
        <w:t xml:space="preserve">, Y.A., 2022. Analysis Of </w:t>
      </w:r>
      <w:r w:rsidRPr="6407B060" w:rsidR="38DBE151">
        <w:rPr>
          <w:rFonts w:ascii="Arial" w:hAnsi="Arial" w:eastAsia="Arial" w:cs="Arial"/>
          <w:noProof w:val="0"/>
          <w:sz w:val="24"/>
          <w:szCs w:val="24"/>
          <w:lang w:val="en-GB"/>
        </w:rPr>
        <w:t>The</w:t>
      </w:r>
      <w:r w:rsidRPr="6407B060" w:rsidR="38DBE151">
        <w:rPr>
          <w:rFonts w:ascii="Arial" w:hAnsi="Arial" w:eastAsia="Arial" w:cs="Arial"/>
          <w:noProof w:val="0"/>
          <w:sz w:val="24"/>
          <w:szCs w:val="24"/>
          <w:lang w:val="en-GB"/>
        </w:rPr>
        <w:t xml:space="preserve"> Effect </w:t>
      </w:r>
      <w:r w:rsidRPr="6407B060" w:rsidR="38DBE151">
        <w:rPr>
          <w:rFonts w:ascii="Arial" w:hAnsi="Arial" w:eastAsia="Arial" w:cs="Arial"/>
          <w:noProof w:val="0"/>
          <w:sz w:val="24"/>
          <w:szCs w:val="24"/>
          <w:lang w:val="en-GB"/>
        </w:rPr>
        <w:t>Of</w:t>
      </w:r>
      <w:r w:rsidRPr="6407B060" w:rsidR="38DBE151">
        <w:rPr>
          <w:rFonts w:ascii="Arial" w:hAnsi="Arial" w:eastAsia="Arial" w:cs="Arial"/>
          <w:noProof w:val="0"/>
          <w:sz w:val="24"/>
          <w:szCs w:val="24"/>
          <w:lang w:val="en-GB"/>
        </w:rPr>
        <w:t xml:space="preserve"> Current Ratio, Total Asset Turnover, Debt </w:t>
      </w:r>
      <w:r w:rsidRPr="6407B060" w:rsidR="38DBE151">
        <w:rPr>
          <w:rFonts w:ascii="Arial" w:hAnsi="Arial" w:eastAsia="Arial" w:cs="Arial"/>
          <w:noProof w:val="0"/>
          <w:sz w:val="24"/>
          <w:szCs w:val="24"/>
          <w:lang w:val="en-GB"/>
        </w:rPr>
        <w:t>To</w:t>
      </w:r>
      <w:r w:rsidRPr="6407B060" w:rsidR="38DBE151">
        <w:rPr>
          <w:rFonts w:ascii="Arial" w:hAnsi="Arial" w:eastAsia="Arial" w:cs="Arial"/>
          <w:noProof w:val="0"/>
          <w:sz w:val="24"/>
          <w:szCs w:val="24"/>
          <w:lang w:val="en-GB"/>
        </w:rPr>
        <w:t xml:space="preserve"> Equity Ratio, Net Profit Margin Toward </w:t>
      </w:r>
      <w:r w:rsidRPr="6407B060" w:rsidR="38DBE151">
        <w:rPr>
          <w:rFonts w:ascii="Arial" w:hAnsi="Arial" w:eastAsia="Arial" w:cs="Arial"/>
          <w:noProof w:val="0"/>
          <w:sz w:val="24"/>
          <w:szCs w:val="24"/>
          <w:lang w:val="en-GB"/>
        </w:rPr>
        <w:t>Retrun</w:t>
      </w:r>
      <w:r w:rsidRPr="6407B060" w:rsidR="38DBE151">
        <w:rPr>
          <w:rFonts w:ascii="Arial" w:hAnsi="Arial" w:eastAsia="Arial" w:cs="Arial"/>
          <w:noProof w:val="0"/>
          <w:sz w:val="24"/>
          <w:szCs w:val="24"/>
          <w:lang w:val="en-GB"/>
        </w:rPr>
        <w:t xml:space="preserve"> on Equity. </w:t>
      </w:r>
      <w:r w:rsidRPr="6407B060" w:rsidR="38DBE151">
        <w:rPr>
          <w:rFonts w:ascii="Arial" w:hAnsi="Arial" w:eastAsia="Arial" w:cs="Arial"/>
          <w:i w:val="1"/>
          <w:iCs w:val="1"/>
          <w:noProof w:val="0"/>
          <w:color w:val="222222"/>
          <w:sz w:val="24"/>
          <w:szCs w:val="24"/>
          <w:lang w:val="en-GB"/>
        </w:rPr>
        <w:t xml:space="preserve">International Journal </w:t>
      </w:r>
      <w:r w:rsidRPr="6407B060" w:rsidR="38DBE151">
        <w:rPr>
          <w:rFonts w:ascii="Arial" w:hAnsi="Arial" w:eastAsia="Arial" w:cs="Arial"/>
          <w:i w:val="1"/>
          <w:iCs w:val="1"/>
          <w:noProof w:val="0"/>
          <w:color w:val="222222"/>
          <w:sz w:val="24"/>
          <w:szCs w:val="24"/>
          <w:lang w:val="en-GB"/>
        </w:rPr>
        <w:t>Of</w:t>
      </w:r>
      <w:r w:rsidRPr="6407B060" w:rsidR="38DBE151">
        <w:rPr>
          <w:rFonts w:ascii="Arial" w:hAnsi="Arial" w:eastAsia="Arial" w:cs="Arial"/>
          <w:i w:val="1"/>
          <w:iCs w:val="1"/>
          <w:noProof w:val="0"/>
          <w:color w:val="222222"/>
          <w:sz w:val="24"/>
          <w:szCs w:val="24"/>
          <w:lang w:val="en-GB"/>
        </w:rPr>
        <w:t xml:space="preserve"> Science Education and Technology Management (IJSETM)</w:t>
      </w:r>
      <w:r w:rsidRPr="6407B060" w:rsidR="38DBE151">
        <w:rPr>
          <w:rFonts w:ascii="Arial" w:hAnsi="Arial" w:eastAsia="Arial" w:cs="Arial"/>
          <w:noProof w:val="0"/>
          <w:sz w:val="24"/>
          <w:szCs w:val="24"/>
          <w:lang w:val="en-GB"/>
        </w:rPr>
        <w:t xml:space="preserve">, </w:t>
      </w:r>
      <w:r w:rsidRPr="6407B060" w:rsidR="38DBE151">
        <w:rPr>
          <w:rFonts w:ascii="Arial" w:hAnsi="Arial" w:eastAsia="Arial" w:cs="Arial"/>
          <w:i w:val="1"/>
          <w:iCs w:val="1"/>
          <w:noProof w:val="0"/>
          <w:color w:val="222222"/>
          <w:sz w:val="24"/>
          <w:szCs w:val="24"/>
          <w:lang w:val="en-GB"/>
        </w:rPr>
        <w:t>1</w:t>
      </w:r>
      <w:r w:rsidRPr="6407B060" w:rsidR="38DBE151">
        <w:rPr>
          <w:rFonts w:ascii="Arial" w:hAnsi="Arial" w:eastAsia="Arial" w:cs="Arial"/>
          <w:noProof w:val="0"/>
          <w:sz w:val="24"/>
          <w:szCs w:val="24"/>
          <w:lang w:val="en-GB"/>
        </w:rPr>
        <w:t>(1), pp.1-15.</w:t>
      </w:r>
    </w:p>
    <w:p w:rsidR="38DBE151" w:rsidP="6407B060" w:rsidRDefault="38DBE151" w14:paraId="371360AD" w14:textId="575FFF1A">
      <w:pPr>
        <w:spacing w:before="0" w:beforeAutospacing="off" w:after="0" w:afterAutospacing="off" w:line="360" w:lineRule="auto"/>
        <w:jc w:val="both"/>
        <w:rPr>
          <w:rFonts w:ascii="Arial" w:hAnsi="Arial" w:eastAsia="Arial" w:cs="Arial"/>
          <w:noProof w:val="0"/>
          <w:color w:val="auto"/>
          <w:sz w:val="24"/>
          <w:szCs w:val="24"/>
          <w:lang w:val="en-GB"/>
        </w:rPr>
      </w:pPr>
      <w:r w:rsidRPr="6407B060" w:rsidR="38DBE151">
        <w:rPr>
          <w:rFonts w:ascii="Arial" w:hAnsi="Arial" w:eastAsia="Arial" w:cs="Arial"/>
          <w:noProof w:val="0"/>
          <w:color w:val="auto"/>
          <w:sz w:val="24"/>
          <w:szCs w:val="24"/>
          <w:lang w:val="en-GB"/>
        </w:rPr>
        <w:t xml:space="preserve">Jena, L.P. and </w:t>
      </w:r>
      <w:r w:rsidRPr="6407B060" w:rsidR="38DBE151">
        <w:rPr>
          <w:rFonts w:ascii="Arial" w:hAnsi="Arial" w:eastAsia="Arial" w:cs="Arial"/>
          <w:noProof w:val="0"/>
          <w:color w:val="auto"/>
          <w:sz w:val="24"/>
          <w:szCs w:val="24"/>
          <w:lang w:val="en-GB"/>
        </w:rPr>
        <w:t>Bibhudutta</w:t>
      </w:r>
      <w:r w:rsidRPr="6407B060" w:rsidR="38DBE151">
        <w:rPr>
          <w:rFonts w:ascii="Arial" w:hAnsi="Arial" w:eastAsia="Arial" w:cs="Arial"/>
          <w:noProof w:val="0"/>
          <w:color w:val="auto"/>
          <w:sz w:val="24"/>
          <w:szCs w:val="24"/>
          <w:lang w:val="en-GB"/>
        </w:rPr>
        <w:t xml:space="preserve">, A. (2023) “Blended financing application in Indian cities’ clean transportation financing,” </w:t>
      </w:r>
      <w:r w:rsidRPr="6407B060" w:rsidR="38DBE151">
        <w:rPr>
          <w:rFonts w:ascii="Arial" w:hAnsi="Arial" w:eastAsia="Arial" w:cs="Arial"/>
          <w:i w:val="1"/>
          <w:iCs w:val="1"/>
          <w:noProof w:val="0"/>
          <w:color w:val="auto"/>
          <w:sz w:val="24"/>
          <w:szCs w:val="24"/>
          <w:lang w:val="en-GB"/>
        </w:rPr>
        <w:t>Journal of social and economic development</w:t>
      </w:r>
      <w:r w:rsidRPr="6407B060" w:rsidR="38DBE151">
        <w:rPr>
          <w:rFonts w:ascii="Arial" w:hAnsi="Arial" w:eastAsia="Arial" w:cs="Arial"/>
          <w:noProof w:val="0"/>
          <w:color w:val="auto"/>
          <w:sz w:val="24"/>
          <w:szCs w:val="24"/>
          <w:lang w:val="en-GB"/>
        </w:rPr>
        <w:t>, 25(</w:t>
      </w:r>
      <w:r w:rsidRPr="6407B060" w:rsidR="38DBE151">
        <w:rPr>
          <w:rFonts w:ascii="Arial" w:hAnsi="Arial" w:eastAsia="Arial" w:cs="Arial"/>
          <w:noProof w:val="0"/>
          <w:color w:val="auto"/>
          <w:sz w:val="24"/>
          <w:szCs w:val="24"/>
          <w:lang w:val="en-GB"/>
        </w:rPr>
        <w:t>Suppl</w:t>
      </w:r>
      <w:r w:rsidRPr="6407B060" w:rsidR="38DBE151">
        <w:rPr>
          <w:rFonts w:ascii="Arial" w:hAnsi="Arial" w:eastAsia="Arial" w:cs="Arial"/>
          <w:noProof w:val="0"/>
          <w:color w:val="auto"/>
          <w:sz w:val="24"/>
          <w:szCs w:val="24"/>
          <w:lang w:val="en-GB"/>
        </w:rPr>
        <w:t xml:space="preserve"> 1), pp. 146–161. Available at: </w:t>
      </w:r>
      <w:hyperlink r:id="R5d91feb234c244c9">
        <w:r w:rsidRPr="6407B060" w:rsidR="38DBE151">
          <w:rPr>
            <w:rStyle w:val="Hyperlink"/>
            <w:rFonts w:ascii="Arial" w:hAnsi="Arial" w:eastAsia="Arial" w:cs="Arial"/>
            <w:noProof w:val="0"/>
            <w:color w:val="auto"/>
            <w:sz w:val="24"/>
            <w:szCs w:val="24"/>
            <w:lang w:val="en-GB"/>
          </w:rPr>
          <w:t>https://doi.org/10.1007/s40847-023-00281-w</w:t>
        </w:r>
      </w:hyperlink>
      <w:r w:rsidRPr="6407B060" w:rsidR="38DBE151">
        <w:rPr>
          <w:rFonts w:ascii="Arial" w:hAnsi="Arial" w:eastAsia="Arial" w:cs="Arial"/>
          <w:noProof w:val="0"/>
          <w:color w:val="auto"/>
          <w:sz w:val="24"/>
          <w:szCs w:val="24"/>
          <w:lang w:val="en-GB"/>
        </w:rPr>
        <w:t xml:space="preserve"> </w:t>
      </w:r>
      <w:r w:rsidRPr="6407B060" w:rsidR="38DBE151">
        <w:rPr>
          <w:rFonts w:ascii="Arial" w:hAnsi="Arial" w:eastAsia="Arial" w:cs="Arial"/>
          <w:noProof w:val="0"/>
          <w:color w:val="auto"/>
          <w:sz w:val="24"/>
          <w:szCs w:val="24"/>
          <w:lang w:val="en-GB"/>
        </w:rPr>
        <w:t>(Accessed 16 March 2026).</w:t>
      </w:r>
    </w:p>
    <w:p w:rsidR="38DBE151" w:rsidP="6407B060" w:rsidRDefault="38DBE151" w14:paraId="27AF227F" w14:textId="16CBC3B2">
      <w:pPr>
        <w:spacing w:before="0" w:beforeAutospacing="off" w:after="0" w:afterAutospacing="off" w:line="360" w:lineRule="auto"/>
        <w:jc w:val="both"/>
        <w:rPr>
          <w:rFonts w:ascii="Arial" w:hAnsi="Arial" w:eastAsia="Arial" w:cs="Arial"/>
          <w:noProof w:val="0"/>
          <w:color w:val="auto"/>
          <w:sz w:val="24"/>
          <w:szCs w:val="24"/>
          <w:lang w:val="en-GB"/>
        </w:rPr>
      </w:pPr>
      <w:r w:rsidRPr="6407B060" w:rsidR="38DBE151">
        <w:rPr>
          <w:rFonts w:ascii="Arial" w:hAnsi="Arial" w:eastAsia="Arial" w:cs="Arial"/>
          <w:noProof w:val="0"/>
          <w:color w:val="auto"/>
          <w:sz w:val="24"/>
          <w:szCs w:val="24"/>
          <w:lang w:val="en-GB"/>
        </w:rPr>
        <w:t xml:space="preserve">Jonathan, L., (2016) “payback period method,” </w:t>
      </w:r>
      <w:r w:rsidRPr="6407B060" w:rsidR="38DBE151">
        <w:rPr>
          <w:rFonts w:ascii="Arial" w:hAnsi="Arial" w:eastAsia="Arial" w:cs="Arial"/>
          <w:i w:val="1"/>
          <w:iCs w:val="1"/>
          <w:noProof w:val="0"/>
          <w:color w:val="auto"/>
          <w:sz w:val="24"/>
          <w:szCs w:val="24"/>
          <w:lang w:val="en-GB"/>
        </w:rPr>
        <w:t>A Dictionary of Accounting</w:t>
      </w:r>
      <w:r w:rsidRPr="6407B060" w:rsidR="38DBE151">
        <w:rPr>
          <w:rFonts w:ascii="Arial" w:hAnsi="Arial" w:eastAsia="Arial" w:cs="Arial"/>
          <w:noProof w:val="0"/>
          <w:color w:val="auto"/>
          <w:sz w:val="24"/>
          <w:szCs w:val="24"/>
          <w:lang w:val="en-GB"/>
        </w:rPr>
        <w:t>. 5th ed. Oxford University Press.</w:t>
      </w:r>
    </w:p>
    <w:p w:rsidR="173ECC95" w:rsidP="6407B060" w:rsidRDefault="173ECC95" w14:paraId="360A8F87" w14:textId="57807343">
      <w:pPr>
        <w:spacing w:before="0" w:beforeAutospacing="off" w:after="0" w:afterAutospacing="off" w:line="360" w:lineRule="auto"/>
        <w:jc w:val="both"/>
      </w:pPr>
      <w:r w:rsidRPr="6407B060" w:rsidR="173ECC95">
        <w:rPr>
          <w:rFonts w:ascii="Arial" w:hAnsi="Arial" w:eastAsia="Arial" w:cs="Arial"/>
          <w:noProof w:val="0"/>
          <w:sz w:val="24"/>
          <w:szCs w:val="24"/>
          <w:lang w:val="en-GB"/>
        </w:rPr>
        <w:t xml:space="preserve">Khan, </w:t>
      </w:r>
      <w:r w:rsidRPr="6407B060" w:rsidR="173ECC95">
        <w:rPr>
          <w:rFonts w:ascii="Arial" w:hAnsi="Arial" w:eastAsia="Arial" w:cs="Arial"/>
          <w:noProof w:val="0"/>
          <w:sz w:val="24"/>
          <w:szCs w:val="24"/>
          <w:lang w:val="en-GB"/>
        </w:rPr>
        <w:t>A.,(</w:t>
      </w:r>
      <w:r w:rsidRPr="6407B060" w:rsidR="173ECC95">
        <w:rPr>
          <w:rFonts w:ascii="Arial" w:hAnsi="Arial" w:eastAsia="Arial" w:cs="Arial"/>
          <w:noProof w:val="0"/>
          <w:sz w:val="24"/>
          <w:szCs w:val="24"/>
          <w:lang w:val="en-GB"/>
        </w:rPr>
        <w:t xml:space="preserve"> 2024). Capital Rationing and Budget Allocation. In </w:t>
      </w:r>
      <w:r w:rsidRPr="6407B060" w:rsidR="173ECC95">
        <w:rPr>
          <w:rFonts w:ascii="Arial" w:hAnsi="Arial" w:eastAsia="Arial" w:cs="Arial"/>
          <w:i w:val="1"/>
          <w:iCs w:val="1"/>
          <w:noProof w:val="0"/>
          <w:color w:val="222222"/>
          <w:sz w:val="24"/>
          <w:szCs w:val="24"/>
          <w:lang w:val="en-GB"/>
        </w:rPr>
        <w:t>Fundamentals of Public Budgeting and Finance</w:t>
      </w:r>
      <w:r w:rsidRPr="6407B060" w:rsidR="173ECC95">
        <w:rPr>
          <w:rFonts w:ascii="Arial" w:hAnsi="Arial" w:eastAsia="Arial" w:cs="Arial"/>
          <w:noProof w:val="0"/>
          <w:sz w:val="24"/>
          <w:szCs w:val="24"/>
          <w:lang w:val="en-GB"/>
        </w:rPr>
        <w:t xml:space="preserve"> (pp. 329-367). Cham: Springer International Publishing.</w:t>
      </w:r>
    </w:p>
    <w:p w:rsidR="173ECC95" w:rsidP="6407B060" w:rsidRDefault="173ECC95" w14:paraId="3498CB99" w14:textId="60E40C8D">
      <w:pPr>
        <w:spacing w:before="0" w:beforeAutospacing="off" w:after="0" w:afterAutospacing="off" w:line="360" w:lineRule="auto"/>
        <w:jc w:val="both"/>
      </w:pPr>
      <w:r w:rsidRPr="6407B060" w:rsidR="173ECC95">
        <w:rPr>
          <w:rFonts w:ascii="Arial" w:hAnsi="Arial" w:eastAsia="Arial" w:cs="Arial"/>
          <w:noProof w:val="0"/>
          <w:sz w:val="24"/>
          <w:szCs w:val="24"/>
          <w:lang w:val="en-GB"/>
        </w:rPr>
        <w:t>Kiymaz</w:t>
      </w:r>
      <w:r w:rsidRPr="6407B060" w:rsidR="173ECC95">
        <w:rPr>
          <w:rFonts w:ascii="Arial" w:hAnsi="Arial" w:eastAsia="Arial" w:cs="Arial"/>
          <w:noProof w:val="0"/>
          <w:sz w:val="24"/>
          <w:szCs w:val="24"/>
          <w:lang w:val="en-GB"/>
        </w:rPr>
        <w:t xml:space="preserve">, H., Haque, S. and Choudhury, A.A., 2024. Working capital management and firm performance: A comparative analysis of developed and emerging economies. </w:t>
      </w:r>
      <w:r w:rsidRPr="6407B060" w:rsidR="173ECC95">
        <w:rPr>
          <w:rFonts w:ascii="Arial" w:hAnsi="Arial" w:eastAsia="Arial" w:cs="Arial"/>
          <w:i w:val="1"/>
          <w:iCs w:val="1"/>
          <w:noProof w:val="0"/>
          <w:color w:val="222222"/>
          <w:sz w:val="24"/>
          <w:szCs w:val="24"/>
          <w:lang w:val="en-GB"/>
        </w:rPr>
        <w:t>Borsa Istanbul Review</w:t>
      </w:r>
      <w:r w:rsidRPr="6407B060" w:rsidR="173ECC95">
        <w:rPr>
          <w:rFonts w:ascii="Arial" w:hAnsi="Arial" w:eastAsia="Arial" w:cs="Arial"/>
          <w:noProof w:val="0"/>
          <w:sz w:val="24"/>
          <w:szCs w:val="24"/>
          <w:lang w:val="en-GB"/>
        </w:rPr>
        <w:t xml:space="preserve">, </w:t>
      </w:r>
      <w:r w:rsidRPr="6407B060" w:rsidR="173ECC95">
        <w:rPr>
          <w:rFonts w:ascii="Arial" w:hAnsi="Arial" w:eastAsia="Arial" w:cs="Arial"/>
          <w:i w:val="1"/>
          <w:iCs w:val="1"/>
          <w:noProof w:val="0"/>
          <w:color w:val="222222"/>
          <w:sz w:val="24"/>
          <w:szCs w:val="24"/>
          <w:lang w:val="en-GB"/>
        </w:rPr>
        <w:t>24</w:t>
      </w:r>
      <w:r w:rsidRPr="6407B060" w:rsidR="173ECC95">
        <w:rPr>
          <w:rFonts w:ascii="Arial" w:hAnsi="Arial" w:eastAsia="Arial" w:cs="Arial"/>
          <w:noProof w:val="0"/>
          <w:sz w:val="24"/>
          <w:szCs w:val="24"/>
          <w:lang w:val="en-GB"/>
        </w:rPr>
        <w:t>(3), pp.634-642.</w:t>
      </w:r>
    </w:p>
    <w:p w:rsidR="173ECC95" w:rsidP="6407B060" w:rsidRDefault="173ECC95" w14:paraId="20FC03CB" w14:textId="1125CBD1">
      <w:pPr>
        <w:spacing w:before="0" w:beforeAutospacing="off" w:after="0" w:afterAutospacing="off" w:line="360" w:lineRule="auto"/>
        <w:jc w:val="both"/>
      </w:pPr>
      <w:r w:rsidRPr="6407B060" w:rsidR="173ECC95">
        <w:rPr>
          <w:rFonts w:ascii="Arial" w:hAnsi="Arial" w:eastAsia="Arial" w:cs="Arial"/>
          <w:noProof w:val="0"/>
          <w:sz w:val="24"/>
          <w:szCs w:val="24"/>
          <w:lang w:val="en-GB"/>
        </w:rPr>
        <w:t xml:space="preserve">Lefebvre, V., (2022). Performance, working capital management, and the liability of smallness: a question of opportunity </w:t>
      </w:r>
      <w:r w:rsidRPr="6407B060" w:rsidR="173ECC95">
        <w:rPr>
          <w:rFonts w:ascii="Arial" w:hAnsi="Arial" w:eastAsia="Arial" w:cs="Arial"/>
          <w:noProof w:val="0"/>
          <w:sz w:val="24"/>
          <w:szCs w:val="24"/>
          <w:lang w:val="en-GB"/>
        </w:rPr>
        <w:t>costs?.</w:t>
      </w:r>
      <w:r w:rsidRPr="6407B060" w:rsidR="173ECC95">
        <w:rPr>
          <w:rFonts w:ascii="Arial" w:hAnsi="Arial" w:eastAsia="Arial" w:cs="Arial"/>
          <w:noProof w:val="0"/>
          <w:sz w:val="24"/>
          <w:szCs w:val="24"/>
          <w:lang w:val="en-GB"/>
        </w:rPr>
        <w:t xml:space="preserve"> </w:t>
      </w:r>
      <w:r w:rsidRPr="6407B060" w:rsidR="173ECC95">
        <w:rPr>
          <w:rFonts w:ascii="Arial" w:hAnsi="Arial" w:eastAsia="Arial" w:cs="Arial"/>
          <w:i w:val="1"/>
          <w:iCs w:val="1"/>
          <w:noProof w:val="0"/>
          <w:color w:val="222222"/>
          <w:sz w:val="24"/>
          <w:szCs w:val="24"/>
          <w:lang w:val="en-GB"/>
        </w:rPr>
        <w:t>Journal of Small Business Management</w:t>
      </w:r>
      <w:r w:rsidRPr="6407B060" w:rsidR="173ECC95">
        <w:rPr>
          <w:rFonts w:ascii="Arial" w:hAnsi="Arial" w:eastAsia="Arial" w:cs="Arial"/>
          <w:noProof w:val="0"/>
          <w:sz w:val="24"/>
          <w:szCs w:val="24"/>
          <w:lang w:val="en-GB"/>
        </w:rPr>
        <w:t xml:space="preserve">, </w:t>
      </w:r>
      <w:r w:rsidRPr="6407B060" w:rsidR="173ECC95">
        <w:rPr>
          <w:rFonts w:ascii="Arial" w:hAnsi="Arial" w:eastAsia="Arial" w:cs="Arial"/>
          <w:i w:val="1"/>
          <w:iCs w:val="1"/>
          <w:noProof w:val="0"/>
          <w:color w:val="222222"/>
          <w:sz w:val="24"/>
          <w:szCs w:val="24"/>
          <w:lang w:val="en-GB"/>
        </w:rPr>
        <w:t>60</w:t>
      </w:r>
      <w:r w:rsidRPr="6407B060" w:rsidR="173ECC95">
        <w:rPr>
          <w:rFonts w:ascii="Arial" w:hAnsi="Arial" w:eastAsia="Arial" w:cs="Arial"/>
          <w:noProof w:val="0"/>
          <w:sz w:val="24"/>
          <w:szCs w:val="24"/>
          <w:lang w:val="en-GB"/>
        </w:rPr>
        <w:t>(3), pp.704-733.</w:t>
      </w:r>
    </w:p>
    <w:p w:rsidR="173ECC95" w:rsidP="6407B060" w:rsidRDefault="173ECC95" w14:paraId="109E67A6" w14:textId="145EC60F">
      <w:pPr>
        <w:spacing w:before="0" w:beforeAutospacing="off" w:after="0" w:afterAutospacing="off" w:line="360" w:lineRule="auto"/>
        <w:jc w:val="both"/>
      </w:pPr>
      <w:r w:rsidRPr="6407B060" w:rsidR="173ECC95">
        <w:rPr>
          <w:rFonts w:ascii="Arial" w:hAnsi="Arial" w:eastAsia="Arial" w:cs="Arial"/>
          <w:noProof w:val="0"/>
          <w:sz w:val="24"/>
          <w:szCs w:val="24"/>
          <w:lang w:val="en-GB"/>
        </w:rPr>
        <w:t xml:space="preserve">Macrotrends (2026) </w:t>
      </w:r>
      <w:r w:rsidRPr="6407B060" w:rsidR="173ECC95">
        <w:rPr>
          <w:rFonts w:ascii="Arial" w:hAnsi="Arial" w:eastAsia="Arial" w:cs="Arial"/>
          <w:i w:val="1"/>
          <w:iCs w:val="1"/>
          <w:noProof w:val="0"/>
          <w:sz w:val="24"/>
          <w:szCs w:val="24"/>
          <w:lang w:val="en-GB"/>
        </w:rPr>
        <w:t>Volkswagen AG EPS – Earnings per share 2012–2025 (VWAGY)</w:t>
      </w:r>
      <w:r w:rsidRPr="6407B060" w:rsidR="173ECC95">
        <w:rPr>
          <w:rFonts w:ascii="Arial" w:hAnsi="Arial" w:eastAsia="Arial" w:cs="Arial"/>
          <w:noProof w:val="0"/>
          <w:sz w:val="24"/>
          <w:szCs w:val="24"/>
          <w:lang w:val="en-GB"/>
        </w:rPr>
        <w:t xml:space="preserve">. Available at: </w:t>
      </w:r>
      <w:hyperlink r:id="R69af23c386d947c4">
        <w:r w:rsidRPr="6407B060" w:rsidR="173ECC95">
          <w:rPr>
            <w:rStyle w:val="Hyperlink"/>
            <w:rFonts w:ascii="Arial" w:hAnsi="Arial" w:eastAsia="Arial" w:cs="Arial"/>
            <w:noProof w:val="0"/>
            <w:sz w:val="24"/>
            <w:szCs w:val="24"/>
            <w:lang w:val="en-GB"/>
          </w:rPr>
          <w:t>https://www.macrotrends.net/stocks/charts/VWAGY/volkswagen-ag/eps-earnings-per-share-diluted</w:t>
        </w:r>
      </w:hyperlink>
      <w:r w:rsidRPr="6407B060" w:rsidR="173ECC95">
        <w:rPr>
          <w:rFonts w:ascii="Arial" w:hAnsi="Arial" w:eastAsia="Arial" w:cs="Arial"/>
          <w:noProof w:val="0"/>
          <w:sz w:val="24"/>
          <w:szCs w:val="24"/>
          <w:lang w:val="en-GB"/>
        </w:rPr>
        <w:t xml:space="preserve"> (Accessed 09 March 2026).</w:t>
      </w:r>
    </w:p>
    <w:p w:rsidR="173ECC95" w:rsidP="6407B060" w:rsidRDefault="173ECC95" w14:paraId="3921F3FA" w14:textId="585BA17E">
      <w:pPr>
        <w:spacing w:before="0" w:beforeAutospacing="off" w:after="0" w:afterAutospacing="off" w:line="360" w:lineRule="auto"/>
        <w:jc w:val="both"/>
      </w:pPr>
      <w:r w:rsidRPr="6407B060" w:rsidR="173ECC95">
        <w:rPr>
          <w:rFonts w:ascii="Arial" w:hAnsi="Arial" w:eastAsia="Arial" w:cs="Arial"/>
          <w:noProof w:val="0"/>
          <w:sz w:val="24"/>
          <w:szCs w:val="24"/>
          <w:lang w:val="en-GB"/>
        </w:rPr>
        <w:t>Mitropetros</w:t>
      </w:r>
      <w:r w:rsidRPr="6407B060" w:rsidR="173ECC95">
        <w:rPr>
          <w:rFonts w:ascii="Arial" w:hAnsi="Arial" w:eastAsia="Arial" w:cs="Arial"/>
          <w:noProof w:val="0"/>
          <w:sz w:val="24"/>
          <w:szCs w:val="24"/>
          <w:lang w:val="en-GB"/>
        </w:rPr>
        <w:t xml:space="preserve">, A., (2025). </w:t>
      </w:r>
      <w:r w:rsidRPr="6407B060" w:rsidR="173ECC95">
        <w:rPr>
          <w:rFonts w:ascii="Arial" w:hAnsi="Arial" w:eastAsia="Arial" w:cs="Arial"/>
          <w:i w:val="1"/>
          <w:iCs w:val="1"/>
          <w:noProof w:val="0"/>
          <w:color w:val="222222"/>
          <w:sz w:val="24"/>
          <w:szCs w:val="24"/>
          <w:lang w:val="en-GB"/>
        </w:rPr>
        <w:t>The role of electric vehicles in the geopolitics of energy</w:t>
      </w:r>
      <w:r w:rsidRPr="6407B060" w:rsidR="173ECC95">
        <w:rPr>
          <w:rFonts w:ascii="Arial" w:hAnsi="Arial" w:eastAsia="Arial" w:cs="Arial"/>
          <w:noProof w:val="0"/>
          <w:sz w:val="24"/>
          <w:szCs w:val="24"/>
          <w:lang w:val="en-GB"/>
        </w:rPr>
        <w:t xml:space="preserve"> (</w:t>
      </w:r>
      <w:r w:rsidRPr="6407B060" w:rsidR="173ECC95">
        <w:rPr>
          <w:rFonts w:ascii="Arial" w:hAnsi="Arial" w:eastAsia="Arial" w:cs="Arial"/>
          <w:noProof w:val="0"/>
          <w:sz w:val="24"/>
          <w:szCs w:val="24"/>
          <w:lang w:val="en-GB"/>
        </w:rPr>
        <w:t>Master's</w:t>
      </w:r>
      <w:r w:rsidRPr="6407B060" w:rsidR="173ECC95">
        <w:rPr>
          <w:rFonts w:ascii="Arial" w:hAnsi="Arial" w:eastAsia="Arial" w:cs="Arial"/>
          <w:noProof w:val="0"/>
          <w:sz w:val="24"/>
          <w:szCs w:val="24"/>
          <w:lang w:val="en-GB"/>
        </w:rPr>
        <w:t xml:space="preserve"> thesis, Πα</w:t>
      </w:r>
      <w:r w:rsidRPr="6407B060" w:rsidR="173ECC95">
        <w:rPr>
          <w:rFonts w:ascii="Arial" w:hAnsi="Arial" w:eastAsia="Arial" w:cs="Arial"/>
          <w:noProof w:val="0"/>
          <w:sz w:val="24"/>
          <w:szCs w:val="24"/>
          <w:lang w:val="en-GB"/>
        </w:rPr>
        <w:t>νε</w:t>
      </w:r>
      <w:r w:rsidRPr="6407B060" w:rsidR="173ECC95">
        <w:rPr>
          <w:rFonts w:ascii="Arial" w:hAnsi="Arial" w:eastAsia="Arial" w:cs="Arial"/>
          <w:noProof w:val="0"/>
          <w:sz w:val="24"/>
          <w:szCs w:val="24"/>
          <w:lang w:val="en-GB"/>
        </w:rPr>
        <w:t>π</w:t>
      </w:r>
      <w:r w:rsidRPr="6407B060" w:rsidR="173ECC95">
        <w:rPr>
          <w:rFonts w:ascii="Arial" w:hAnsi="Arial" w:eastAsia="Arial" w:cs="Arial"/>
          <w:noProof w:val="0"/>
          <w:sz w:val="24"/>
          <w:szCs w:val="24"/>
          <w:lang w:val="en-GB"/>
        </w:rPr>
        <w:t>ιστήμιο</w:t>
      </w:r>
      <w:r w:rsidRPr="6407B060" w:rsidR="173ECC95">
        <w:rPr>
          <w:rFonts w:ascii="Arial" w:hAnsi="Arial" w:eastAsia="Arial" w:cs="Arial"/>
          <w:noProof w:val="0"/>
          <w:sz w:val="24"/>
          <w:szCs w:val="24"/>
          <w:lang w:val="en-GB"/>
        </w:rPr>
        <w:t xml:space="preserve"> </w:t>
      </w:r>
      <w:r w:rsidRPr="6407B060" w:rsidR="173ECC95">
        <w:rPr>
          <w:rFonts w:ascii="Arial" w:hAnsi="Arial" w:eastAsia="Arial" w:cs="Arial"/>
          <w:noProof w:val="0"/>
          <w:sz w:val="24"/>
          <w:szCs w:val="24"/>
          <w:lang w:val="en-GB"/>
        </w:rPr>
        <w:t>Πειρ</w:t>
      </w:r>
      <w:r w:rsidRPr="6407B060" w:rsidR="173ECC95">
        <w:rPr>
          <w:rFonts w:ascii="Arial" w:hAnsi="Arial" w:eastAsia="Arial" w:cs="Arial"/>
          <w:noProof w:val="0"/>
          <w:sz w:val="24"/>
          <w:szCs w:val="24"/>
          <w:lang w:val="en-GB"/>
        </w:rPr>
        <w:t>α</w:t>
      </w:r>
      <w:r w:rsidRPr="6407B060" w:rsidR="173ECC95">
        <w:rPr>
          <w:rFonts w:ascii="Arial" w:hAnsi="Arial" w:eastAsia="Arial" w:cs="Arial"/>
          <w:noProof w:val="0"/>
          <w:sz w:val="24"/>
          <w:szCs w:val="24"/>
          <w:lang w:val="en-GB"/>
        </w:rPr>
        <w:t>ιώς</w:t>
      </w:r>
      <w:r w:rsidRPr="6407B060" w:rsidR="173ECC95">
        <w:rPr>
          <w:rFonts w:ascii="Arial" w:hAnsi="Arial" w:eastAsia="Arial" w:cs="Arial"/>
          <w:noProof w:val="0"/>
          <w:sz w:val="24"/>
          <w:szCs w:val="24"/>
          <w:lang w:val="en-GB"/>
        </w:rPr>
        <w:t>).</w:t>
      </w:r>
    </w:p>
    <w:p w:rsidR="173ECC95" w:rsidP="6407B060" w:rsidRDefault="173ECC95" w14:paraId="56730A29" w14:textId="2714C5B6">
      <w:pPr>
        <w:spacing w:before="0" w:beforeAutospacing="off" w:after="0" w:afterAutospacing="off" w:line="360" w:lineRule="auto"/>
        <w:jc w:val="both"/>
        <w:rPr>
          <w:rFonts w:ascii="Arial" w:hAnsi="Arial" w:eastAsia="Arial" w:cs="Arial"/>
          <w:noProof w:val="0"/>
          <w:color w:val="auto"/>
          <w:sz w:val="24"/>
          <w:szCs w:val="24"/>
          <w:lang w:val="en-GB"/>
        </w:rPr>
      </w:pPr>
      <w:r w:rsidRPr="6407B060" w:rsidR="173ECC95">
        <w:rPr>
          <w:rFonts w:ascii="Arial" w:hAnsi="Arial" w:eastAsia="Arial" w:cs="Arial"/>
          <w:noProof w:val="0"/>
          <w:color w:val="auto"/>
          <w:sz w:val="24"/>
          <w:szCs w:val="24"/>
          <w:lang w:val="en-GB"/>
        </w:rPr>
        <w:t xml:space="preserve">Moors, </w:t>
      </w:r>
      <w:r w:rsidRPr="6407B060" w:rsidR="173ECC95">
        <w:rPr>
          <w:rFonts w:ascii="Arial" w:hAnsi="Arial" w:eastAsia="Arial" w:cs="Arial"/>
          <w:noProof w:val="0"/>
          <w:color w:val="auto"/>
          <w:sz w:val="24"/>
          <w:szCs w:val="24"/>
          <w:lang w:val="en-GB"/>
        </w:rPr>
        <w:t>C.</w:t>
      </w:r>
      <w:r w:rsidRPr="6407B060" w:rsidR="173ECC95">
        <w:rPr>
          <w:rFonts w:ascii="Arial" w:hAnsi="Arial" w:eastAsia="Arial" w:cs="Arial"/>
          <w:noProof w:val="0"/>
          <w:color w:val="auto"/>
          <w:sz w:val="24"/>
          <w:szCs w:val="24"/>
          <w:lang w:val="en-GB"/>
        </w:rPr>
        <w:t xml:space="preserve"> and Kuykendall, T. (2022) “EV announcements snowballing post Inflation Reduction Act,” </w:t>
      </w:r>
      <w:r w:rsidRPr="6407B060" w:rsidR="173ECC95">
        <w:rPr>
          <w:rFonts w:ascii="Arial" w:hAnsi="Arial" w:eastAsia="Arial" w:cs="Arial"/>
          <w:i w:val="1"/>
          <w:iCs w:val="1"/>
          <w:noProof w:val="0"/>
          <w:color w:val="auto"/>
          <w:sz w:val="24"/>
          <w:szCs w:val="24"/>
          <w:lang w:val="en-GB"/>
        </w:rPr>
        <w:t>SNL Energy Power Daily</w:t>
      </w:r>
      <w:r w:rsidRPr="6407B060" w:rsidR="173ECC95">
        <w:rPr>
          <w:rFonts w:ascii="Arial" w:hAnsi="Arial" w:eastAsia="Arial" w:cs="Arial"/>
          <w:noProof w:val="0"/>
          <w:color w:val="auto"/>
          <w:sz w:val="24"/>
          <w:szCs w:val="24"/>
          <w:lang w:val="en-GB"/>
        </w:rPr>
        <w:t xml:space="preserve"> [Preprint].</w:t>
      </w:r>
    </w:p>
    <w:p w:rsidR="173ECC95" w:rsidP="6407B060" w:rsidRDefault="173ECC95" w14:paraId="1D9AF81C" w14:textId="5E0BCB61">
      <w:pPr>
        <w:spacing w:before="0" w:beforeAutospacing="off" w:after="0" w:afterAutospacing="off" w:line="360" w:lineRule="auto"/>
        <w:jc w:val="both"/>
      </w:pPr>
      <w:r w:rsidRPr="6407B060" w:rsidR="173ECC95">
        <w:rPr>
          <w:rFonts w:ascii="Arial" w:hAnsi="Arial" w:eastAsia="Arial" w:cs="Arial"/>
          <w:noProof w:val="0"/>
          <w:sz w:val="24"/>
          <w:szCs w:val="24"/>
          <w:lang w:val="en-GB"/>
        </w:rPr>
        <w:t xml:space="preserve">Nejad, N.M., (2025). </w:t>
      </w:r>
      <w:r w:rsidRPr="6407B060" w:rsidR="173ECC95">
        <w:rPr>
          <w:rFonts w:ascii="Arial" w:hAnsi="Arial" w:eastAsia="Arial" w:cs="Arial"/>
          <w:i w:val="1"/>
          <w:iCs w:val="1"/>
          <w:noProof w:val="0"/>
          <w:color w:val="222222"/>
          <w:sz w:val="24"/>
          <w:szCs w:val="24"/>
          <w:lang w:val="en-GB"/>
        </w:rPr>
        <w:t>Building Resilient, Adaptive, and Integrated Electric Vehicle (EV) Supply Chains for Sustainable Performance: Geopolitical Disruption, Digital Transformation, and Circular Supply Chain Practices</w:t>
      </w:r>
      <w:r w:rsidRPr="6407B060" w:rsidR="173ECC95">
        <w:rPr>
          <w:rFonts w:ascii="Arial" w:hAnsi="Arial" w:eastAsia="Arial" w:cs="Arial"/>
          <w:noProof w:val="0"/>
          <w:sz w:val="24"/>
          <w:szCs w:val="24"/>
          <w:lang w:val="en-GB"/>
        </w:rPr>
        <w:t xml:space="preserve"> (Doctoral dissertation, The University of Toledo).</w:t>
      </w:r>
    </w:p>
    <w:p w:rsidR="173ECC95" w:rsidP="6407B060" w:rsidRDefault="173ECC95" w14:paraId="60AD9D94" w14:textId="387F9D13">
      <w:pPr>
        <w:spacing w:before="0" w:beforeAutospacing="off" w:after="0" w:afterAutospacing="off" w:line="360" w:lineRule="auto"/>
        <w:jc w:val="both"/>
      </w:pPr>
      <w:r w:rsidRPr="6407B060" w:rsidR="173ECC95">
        <w:rPr>
          <w:rFonts w:ascii="Arial" w:hAnsi="Arial" w:eastAsia="Arial" w:cs="Arial"/>
          <w:noProof w:val="0"/>
          <w:sz w:val="24"/>
          <w:szCs w:val="24"/>
          <w:lang w:val="en-GB"/>
        </w:rPr>
        <w:t>Phalippou</w:t>
      </w:r>
      <w:r w:rsidRPr="6407B060" w:rsidR="173ECC95">
        <w:rPr>
          <w:rFonts w:ascii="Arial" w:hAnsi="Arial" w:eastAsia="Arial" w:cs="Arial"/>
          <w:noProof w:val="0"/>
          <w:sz w:val="24"/>
          <w:szCs w:val="24"/>
          <w:lang w:val="en-GB"/>
        </w:rPr>
        <w:t>, L., (2024). The Tyranny of IRR.</w:t>
      </w:r>
    </w:p>
    <w:p w:rsidR="173ECC95" w:rsidP="6407B060" w:rsidRDefault="173ECC95" w14:paraId="4840E980" w14:textId="1A5A6653">
      <w:pPr>
        <w:spacing w:before="0" w:beforeAutospacing="off" w:after="0" w:afterAutospacing="off" w:line="360" w:lineRule="auto"/>
        <w:jc w:val="both"/>
        <w:rPr>
          <w:rFonts w:ascii="Arial" w:hAnsi="Arial" w:eastAsia="Arial" w:cs="Arial"/>
          <w:noProof w:val="0"/>
          <w:color w:val="auto"/>
          <w:sz w:val="24"/>
          <w:szCs w:val="24"/>
          <w:lang w:val="en-GB"/>
        </w:rPr>
      </w:pPr>
      <w:r w:rsidRPr="6407B060" w:rsidR="173ECC95">
        <w:rPr>
          <w:rFonts w:ascii="Arial" w:hAnsi="Arial" w:eastAsia="Arial" w:cs="Arial"/>
          <w:noProof w:val="0"/>
          <w:color w:val="auto"/>
          <w:sz w:val="24"/>
          <w:szCs w:val="24"/>
          <w:lang w:val="en-GB"/>
        </w:rPr>
        <w:t xml:space="preserve">Putri, </w:t>
      </w:r>
      <w:r w:rsidRPr="6407B060" w:rsidR="173ECC95">
        <w:rPr>
          <w:rFonts w:ascii="Arial" w:hAnsi="Arial" w:eastAsia="Arial" w:cs="Arial"/>
          <w:noProof w:val="0"/>
          <w:color w:val="auto"/>
          <w:sz w:val="24"/>
          <w:szCs w:val="24"/>
          <w:lang w:val="en-GB"/>
        </w:rPr>
        <w:t>A.</w:t>
      </w:r>
      <w:r w:rsidRPr="6407B060" w:rsidR="173ECC95">
        <w:rPr>
          <w:rFonts w:ascii="Arial" w:hAnsi="Arial" w:eastAsia="Arial" w:cs="Arial"/>
          <w:noProof w:val="0"/>
          <w:color w:val="auto"/>
          <w:sz w:val="24"/>
          <w:szCs w:val="24"/>
          <w:lang w:val="en-GB"/>
        </w:rPr>
        <w:t xml:space="preserve"> and Purwanto, E. (2024) “The Influence of Current Ratio and Net Profit Margin on Profit Growth in the Automotive Industry: An Empirical Study from 2018 to 2022,” </w:t>
      </w:r>
      <w:r w:rsidRPr="6407B060" w:rsidR="173ECC95">
        <w:rPr>
          <w:rFonts w:ascii="Arial" w:hAnsi="Arial" w:eastAsia="Arial" w:cs="Arial"/>
          <w:i w:val="1"/>
          <w:iCs w:val="1"/>
          <w:noProof w:val="0"/>
          <w:color w:val="auto"/>
          <w:sz w:val="24"/>
          <w:szCs w:val="24"/>
          <w:lang w:val="en-GB"/>
        </w:rPr>
        <w:t xml:space="preserve">Journal of accounting, </w:t>
      </w:r>
      <w:r w:rsidRPr="6407B060" w:rsidR="173ECC95">
        <w:rPr>
          <w:rFonts w:ascii="Arial" w:hAnsi="Arial" w:eastAsia="Arial" w:cs="Arial"/>
          <w:i w:val="1"/>
          <w:iCs w:val="1"/>
          <w:noProof w:val="0"/>
          <w:color w:val="auto"/>
          <w:sz w:val="24"/>
          <w:szCs w:val="24"/>
          <w:lang w:val="en-GB"/>
        </w:rPr>
        <w:t>finance</w:t>
      </w:r>
      <w:r w:rsidRPr="6407B060" w:rsidR="173ECC95">
        <w:rPr>
          <w:rFonts w:ascii="Arial" w:hAnsi="Arial" w:eastAsia="Arial" w:cs="Arial"/>
          <w:i w:val="1"/>
          <w:iCs w:val="1"/>
          <w:noProof w:val="0"/>
          <w:color w:val="auto"/>
          <w:sz w:val="24"/>
          <w:szCs w:val="24"/>
          <w:lang w:val="en-GB"/>
        </w:rPr>
        <w:t xml:space="preserve"> and auditing studies</w:t>
      </w:r>
      <w:r w:rsidRPr="6407B060" w:rsidR="173ECC95">
        <w:rPr>
          <w:rFonts w:ascii="Arial" w:hAnsi="Arial" w:eastAsia="Arial" w:cs="Arial"/>
          <w:noProof w:val="0"/>
          <w:color w:val="auto"/>
          <w:sz w:val="24"/>
          <w:szCs w:val="24"/>
          <w:lang w:val="en-GB"/>
        </w:rPr>
        <w:t xml:space="preserve">, 10(2), pp. 88–104. Available at: </w:t>
      </w:r>
      <w:hyperlink r:id="Rf4bb87a608914a2f">
        <w:r w:rsidRPr="6407B060" w:rsidR="173ECC95">
          <w:rPr>
            <w:rStyle w:val="Hyperlink"/>
            <w:rFonts w:ascii="Arial" w:hAnsi="Arial" w:eastAsia="Arial" w:cs="Arial"/>
            <w:noProof w:val="0"/>
            <w:color w:val="auto"/>
            <w:sz w:val="24"/>
            <w:szCs w:val="24"/>
            <w:lang w:val="en-GB"/>
          </w:rPr>
          <w:t>https://doi.org/10.56578/jafas100204</w:t>
        </w:r>
      </w:hyperlink>
      <w:r w:rsidRPr="6407B060" w:rsidR="173ECC95">
        <w:rPr>
          <w:rFonts w:ascii="Arial" w:hAnsi="Arial" w:eastAsia="Arial" w:cs="Arial"/>
          <w:noProof w:val="0"/>
          <w:color w:val="auto"/>
          <w:sz w:val="24"/>
          <w:szCs w:val="24"/>
          <w:lang w:val="en-GB"/>
        </w:rPr>
        <w:t xml:space="preserve"> </w:t>
      </w:r>
      <w:r w:rsidRPr="6407B060" w:rsidR="173ECC95">
        <w:rPr>
          <w:rFonts w:ascii="Arial" w:hAnsi="Arial" w:eastAsia="Arial" w:cs="Arial"/>
          <w:noProof w:val="0"/>
          <w:color w:val="auto"/>
          <w:sz w:val="24"/>
          <w:szCs w:val="24"/>
          <w:lang w:val="en-GB"/>
        </w:rPr>
        <w:t>(Accessed 08 March 2026).</w:t>
      </w:r>
    </w:p>
    <w:p w:rsidR="173ECC95" w:rsidP="6407B060" w:rsidRDefault="173ECC95" w14:paraId="1146256A" w14:textId="705D48F1">
      <w:pPr>
        <w:spacing w:before="0" w:beforeAutospacing="off" w:after="0" w:afterAutospacing="off" w:line="360" w:lineRule="auto"/>
        <w:jc w:val="both"/>
      </w:pPr>
      <w:r w:rsidRPr="6407B060" w:rsidR="173ECC95">
        <w:rPr>
          <w:rFonts w:ascii="Arial" w:hAnsi="Arial" w:eastAsia="Arial" w:cs="Arial"/>
          <w:noProof w:val="0"/>
          <w:sz w:val="24"/>
          <w:szCs w:val="24"/>
          <w:lang w:val="en-GB"/>
        </w:rPr>
        <w:t xml:space="preserve">Rahman, A., 2022. Relationship between working capital management and profitability of Indian automobile manufacturers. </w:t>
      </w:r>
      <w:r w:rsidRPr="6407B060" w:rsidR="173ECC95">
        <w:rPr>
          <w:rFonts w:ascii="Arial" w:hAnsi="Arial" w:eastAsia="Arial" w:cs="Arial"/>
          <w:i w:val="1"/>
          <w:iCs w:val="1"/>
          <w:noProof w:val="0"/>
          <w:color w:val="222222"/>
          <w:sz w:val="24"/>
          <w:szCs w:val="24"/>
          <w:lang w:val="en-GB"/>
        </w:rPr>
        <w:t>Available at SSRN 4173907</w:t>
      </w:r>
      <w:r w:rsidRPr="6407B060" w:rsidR="173ECC95">
        <w:rPr>
          <w:rFonts w:ascii="Arial" w:hAnsi="Arial" w:eastAsia="Arial" w:cs="Arial"/>
          <w:noProof w:val="0"/>
          <w:sz w:val="24"/>
          <w:szCs w:val="24"/>
          <w:lang w:val="en-GB"/>
        </w:rPr>
        <w:t>.</w:t>
      </w:r>
    </w:p>
    <w:p w:rsidR="173ECC95" w:rsidP="6407B060" w:rsidRDefault="173ECC95" w14:paraId="1ED544FC" w14:textId="0A6C8449">
      <w:pPr>
        <w:spacing w:before="0" w:beforeAutospacing="off" w:after="0" w:afterAutospacing="off" w:line="360" w:lineRule="auto"/>
        <w:jc w:val="both"/>
        <w:rPr>
          <w:rFonts w:ascii="Arial" w:hAnsi="Arial" w:eastAsia="Arial" w:cs="Arial"/>
          <w:noProof w:val="0"/>
          <w:color w:val="auto"/>
          <w:sz w:val="24"/>
          <w:szCs w:val="24"/>
          <w:lang w:val="en-GB"/>
        </w:rPr>
      </w:pPr>
      <w:r w:rsidRPr="6407B060" w:rsidR="173ECC95">
        <w:rPr>
          <w:rFonts w:ascii="Arial" w:hAnsi="Arial" w:eastAsia="Arial" w:cs="Arial"/>
          <w:noProof w:val="0"/>
          <w:color w:val="auto"/>
          <w:sz w:val="24"/>
          <w:szCs w:val="24"/>
          <w:lang w:val="en-GB"/>
        </w:rPr>
        <w:t xml:space="preserve">Raza, </w:t>
      </w:r>
      <w:r w:rsidRPr="6407B060" w:rsidR="173ECC95">
        <w:rPr>
          <w:rFonts w:ascii="Arial" w:hAnsi="Arial" w:eastAsia="Arial" w:cs="Arial"/>
          <w:noProof w:val="0"/>
          <w:color w:val="auto"/>
          <w:sz w:val="24"/>
          <w:szCs w:val="24"/>
          <w:lang w:val="en-GB"/>
        </w:rPr>
        <w:t>M.A.</w:t>
      </w:r>
      <w:r w:rsidRPr="6407B060" w:rsidR="173ECC95">
        <w:rPr>
          <w:rFonts w:ascii="Arial" w:hAnsi="Arial" w:eastAsia="Arial" w:cs="Arial"/>
          <w:noProof w:val="0"/>
          <w:color w:val="auto"/>
          <w:sz w:val="24"/>
          <w:szCs w:val="24"/>
          <w:lang w:val="en-GB"/>
        </w:rPr>
        <w:t xml:space="preserve"> and Ali, T. (2023) “Impact of Promotional Expenses on the Profitability of the Automotive Industry: A Study of the Automobile Manufactures of Pakistan,” </w:t>
      </w:r>
      <w:r w:rsidRPr="6407B060" w:rsidR="173ECC95">
        <w:rPr>
          <w:rFonts w:ascii="Arial" w:hAnsi="Arial" w:eastAsia="Arial" w:cs="Arial"/>
          <w:i w:val="1"/>
          <w:iCs w:val="1"/>
          <w:noProof w:val="0"/>
          <w:color w:val="auto"/>
          <w:sz w:val="24"/>
          <w:szCs w:val="24"/>
          <w:lang w:val="en-GB"/>
        </w:rPr>
        <w:t>Journal of information technology and economic development</w:t>
      </w:r>
      <w:r w:rsidRPr="6407B060" w:rsidR="173ECC95">
        <w:rPr>
          <w:rFonts w:ascii="Arial" w:hAnsi="Arial" w:eastAsia="Arial" w:cs="Arial"/>
          <w:noProof w:val="0"/>
          <w:color w:val="auto"/>
          <w:sz w:val="24"/>
          <w:szCs w:val="24"/>
          <w:lang w:val="en-GB"/>
        </w:rPr>
        <w:t>, 13(2), pp. 77–91.</w:t>
      </w:r>
    </w:p>
    <w:p w:rsidR="173ECC95" w:rsidP="6407B060" w:rsidRDefault="173ECC95" w14:paraId="2B19FAF5" w14:textId="2D8AF516">
      <w:pPr>
        <w:spacing w:before="0" w:beforeAutospacing="off" w:after="0" w:afterAutospacing="off" w:line="360" w:lineRule="auto"/>
        <w:jc w:val="both"/>
      </w:pPr>
      <w:r w:rsidRPr="6407B060" w:rsidR="173ECC95">
        <w:rPr>
          <w:rFonts w:ascii="Arial" w:hAnsi="Arial" w:eastAsia="Arial" w:cs="Arial"/>
          <w:noProof w:val="0"/>
          <w:sz w:val="24"/>
          <w:szCs w:val="24"/>
          <w:lang w:val="en-GB"/>
        </w:rPr>
        <w:t xml:space="preserve">Rorlen, R., Siswanto, H.P., </w:t>
      </w:r>
      <w:r w:rsidRPr="6407B060" w:rsidR="173ECC95">
        <w:rPr>
          <w:rFonts w:ascii="Arial" w:hAnsi="Arial" w:eastAsia="Arial" w:cs="Arial"/>
          <w:noProof w:val="0"/>
          <w:sz w:val="24"/>
          <w:szCs w:val="24"/>
          <w:lang w:val="en-GB"/>
        </w:rPr>
        <w:t>Ekadjaja</w:t>
      </w:r>
      <w:r w:rsidRPr="6407B060" w:rsidR="173ECC95">
        <w:rPr>
          <w:rFonts w:ascii="Arial" w:hAnsi="Arial" w:eastAsia="Arial" w:cs="Arial"/>
          <w:noProof w:val="0"/>
          <w:sz w:val="24"/>
          <w:szCs w:val="24"/>
          <w:lang w:val="en-GB"/>
        </w:rPr>
        <w:t xml:space="preserve">, M. and </w:t>
      </w:r>
      <w:r w:rsidRPr="6407B060" w:rsidR="173ECC95">
        <w:rPr>
          <w:rFonts w:ascii="Arial" w:hAnsi="Arial" w:eastAsia="Arial" w:cs="Arial"/>
          <w:noProof w:val="0"/>
          <w:sz w:val="24"/>
          <w:szCs w:val="24"/>
          <w:lang w:val="en-GB"/>
        </w:rPr>
        <w:t>Krisnaputra</w:t>
      </w:r>
      <w:r w:rsidRPr="6407B060" w:rsidR="173ECC95">
        <w:rPr>
          <w:rFonts w:ascii="Arial" w:hAnsi="Arial" w:eastAsia="Arial" w:cs="Arial"/>
          <w:noProof w:val="0"/>
          <w:sz w:val="24"/>
          <w:szCs w:val="24"/>
          <w:lang w:val="en-GB"/>
        </w:rPr>
        <w:t xml:space="preserve">, A., (2023). The effect of working capital management on company financial performance. </w:t>
      </w:r>
      <w:r w:rsidRPr="6407B060" w:rsidR="173ECC95">
        <w:rPr>
          <w:rFonts w:ascii="Arial" w:hAnsi="Arial" w:eastAsia="Arial" w:cs="Arial"/>
          <w:i w:val="1"/>
          <w:iCs w:val="1"/>
          <w:noProof w:val="0"/>
          <w:color w:val="222222"/>
          <w:sz w:val="24"/>
          <w:szCs w:val="24"/>
          <w:lang w:val="en-GB"/>
        </w:rPr>
        <w:t>International Journal of Application on Economics and Business</w:t>
      </w:r>
      <w:r w:rsidRPr="6407B060" w:rsidR="173ECC95">
        <w:rPr>
          <w:rFonts w:ascii="Arial" w:hAnsi="Arial" w:eastAsia="Arial" w:cs="Arial"/>
          <w:noProof w:val="0"/>
          <w:sz w:val="24"/>
          <w:szCs w:val="24"/>
          <w:lang w:val="en-GB"/>
        </w:rPr>
        <w:t xml:space="preserve">, </w:t>
      </w:r>
      <w:r w:rsidRPr="6407B060" w:rsidR="173ECC95">
        <w:rPr>
          <w:rFonts w:ascii="Arial" w:hAnsi="Arial" w:eastAsia="Arial" w:cs="Arial"/>
          <w:i w:val="1"/>
          <w:iCs w:val="1"/>
          <w:noProof w:val="0"/>
          <w:color w:val="222222"/>
          <w:sz w:val="24"/>
          <w:szCs w:val="24"/>
          <w:lang w:val="en-GB"/>
        </w:rPr>
        <w:t>1</w:t>
      </w:r>
      <w:r w:rsidRPr="6407B060" w:rsidR="173ECC95">
        <w:rPr>
          <w:rFonts w:ascii="Arial" w:hAnsi="Arial" w:eastAsia="Arial" w:cs="Arial"/>
          <w:noProof w:val="0"/>
          <w:sz w:val="24"/>
          <w:szCs w:val="24"/>
          <w:lang w:val="en-GB"/>
        </w:rPr>
        <w:t>(2), pp.557-565.</w:t>
      </w:r>
    </w:p>
    <w:p w:rsidR="173ECC95" w:rsidP="6407B060" w:rsidRDefault="173ECC95" w14:paraId="30FB672B" w14:textId="18E90877">
      <w:pPr>
        <w:spacing w:before="0" w:beforeAutospacing="off" w:after="0" w:afterAutospacing="off" w:line="360" w:lineRule="auto"/>
        <w:jc w:val="both"/>
      </w:pPr>
      <w:r w:rsidRPr="6407B060" w:rsidR="173ECC95">
        <w:rPr>
          <w:rFonts w:ascii="Arial" w:hAnsi="Arial" w:eastAsia="Arial" w:cs="Arial"/>
          <w:noProof w:val="0"/>
          <w:sz w:val="24"/>
          <w:szCs w:val="24"/>
          <w:lang w:val="en-GB"/>
        </w:rPr>
        <w:t xml:space="preserve">Schoenberger, R. (2025) “IW U.S. 50 Best Manufacturers: Allison Transmission Tops List,” </w:t>
      </w:r>
      <w:r w:rsidRPr="6407B060" w:rsidR="173ECC95">
        <w:rPr>
          <w:rFonts w:ascii="Arial" w:hAnsi="Arial" w:eastAsia="Arial" w:cs="Arial"/>
          <w:i w:val="1"/>
          <w:iCs w:val="1"/>
          <w:noProof w:val="0"/>
          <w:color w:val="3A3A3A" w:themeColor="background2" w:themeTint="FF" w:themeShade="40"/>
          <w:sz w:val="24"/>
          <w:szCs w:val="24"/>
          <w:lang w:val="en-GB"/>
        </w:rPr>
        <w:t>Industry Week</w:t>
      </w:r>
      <w:r w:rsidRPr="6407B060" w:rsidR="173ECC95">
        <w:rPr>
          <w:rFonts w:ascii="Arial" w:hAnsi="Arial" w:eastAsia="Arial" w:cs="Arial"/>
          <w:noProof w:val="0"/>
          <w:sz w:val="24"/>
          <w:szCs w:val="24"/>
          <w:lang w:val="en-GB"/>
        </w:rPr>
        <w:t xml:space="preserve"> [Preprint].</w:t>
      </w:r>
    </w:p>
    <w:p w:rsidR="173ECC95" w:rsidP="6407B060" w:rsidRDefault="173ECC95" w14:paraId="5CE75A03" w14:textId="2EEDDA0B">
      <w:pPr>
        <w:spacing w:before="0" w:beforeAutospacing="off" w:after="0" w:afterAutospacing="off" w:line="360" w:lineRule="auto"/>
        <w:jc w:val="both"/>
      </w:pPr>
      <w:r w:rsidRPr="6407B060" w:rsidR="173ECC95">
        <w:rPr>
          <w:rFonts w:ascii="Arial" w:hAnsi="Arial" w:eastAsia="Arial" w:cs="Arial"/>
          <w:noProof w:val="0"/>
          <w:sz w:val="24"/>
          <w:szCs w:val="24"/>
          <w:lang w:val="en-GB"/>
        </w:rPr>
        <w:t xml:space="preserve">Simply Wall St. (2026) </w:t>
      </w:r>
      <w:r w:rsidRPr="6407B060" w:rsidR="173ECC95">
        <w:rPr>
          <w:rFonts w:ascii="Arial" w:hAnsi="Arial" w:eastAsia="Arial" w:cs="Arial"/>
          <w:i w:val="1"/>
          <w:iCs w:val="1"/>
          <w:noProof w:val="0"/>
          <w:sz w:val="24"/>
          <w:szCs w:val="24"/>
          <w:lang w:val="en-GB"/>
        </w:rPr>
        <w:t>Volkswagen AG XTRA: VOW3 Stock Report</w:t>
      </w:r>
      <w:r w:rsidRPr="6407B060" w:rsidR="173ECC95">
        <w:rPr>
          <w:rFonts w:ascii="Arial" w:hAnsi="Arial" w:eastAsia="Arial" w:cs="Arial"/>
          <w:noProof w:val="0"/>
          <w:sz w:val="24"/>
          <w:szCs w:val="24"/>
          <w:lang w:val="en-GB"/>
        </w:rPr>
        <w:t xml:space="preserve">. Available at: </w:t>
      </w:r>
      <w:hyperlink r:id="R021e801f42fa4334">
        <w:r w:rsidRPr="6407B060" w:rsidR="173ECC95">
          <w:rPr>
            <w:rStyle w:val="Hyperlink"/>
            <w:rFonts w:ascii="Arial" w:hAnsi="Arial" w:eastAsia="Arial" w:cs="Arial"/>
            <w:noProof w:val="0"/>
            <w:sz w:val="24"/>
            <w:szCs w:val="24"/>
            <w:lang w:val="en-GB"/>
          </w:rPr>
          <w:t>https://simplywall.st/stocks/de/automobiles/etr-vow3/volkswagen-shares/past</w:t>
        </w:r>
      </w:hyperlink>
      <w:r w:rsidRPr="6407B060" w:rsidR="173ECC95">
        <w:rPr>
          <w:rFonts w:ascii="Arial" w:hAnsi="Arial" w:eastAsia="Arial" w:cs="Arial"/>
          <w:noProof w:val="0"/>
          <w:sz w:val="24"/>
          <w:szCs w:val="24"/>
          <w:lang w:val="en-GB"/>
        </w:rPr>
        <w:t xml:space="preserve"> (Accessed: 09 March 2026).</w:t>
      </w:r>
    </w:p>
    <w:p w:rsidR="173ECC95" w:rsidP="6407B060" w:rsidRDefault="173ECC95" w14:paraId="682349A3" w14:textId="213E2301">
      <w:pPr>
        <w:spacing w:before="0" w:beforeAutospacing="off" w:after="0" w:afterAutospacing="off" w:line="360" w:lineRule="auto"/>
        <w:jc w:val="both"/>
      </w:pPr>
      <w:r w:rsidRPr="6407B060" w:rsidR="173ECC95">
        <w:rPr>
          <w:rFonts w:ascii="Arial" w:hAnsi="Arial" w:eastAsia="Arial" w:cs="Arial"/>
          <w:noProof w:val="0"/>
          <w:sz w:val="24"/>
          <w:szCs w:val="24"/>
          <w:lang w:val="en-GB"/>
        </w:rPr>
        <w:t xml:space="preserve">Singh, S., Srivastava, S. and Kumar, A., (2025). LIQUIDITY PRESSURES AND PROFITABILITY OUTCOMES: A FRAMEWORK FOR THE AUTOMOTIVE INDUSTRY. </w:t>
      </w:r>
      <w:r w:rsidRPr="6407B060" w:rsidR="173ECC95">
        <w:rPr>
          <w:rFonts w:ascii="Arial" w:hAnsi="Arial" w:eastAsia="Arial" w:cs="Arial"/>
          <w:i w:val="1"/>
          <w:iCs w:val="1"/>
          <w:noProof w:val="0"/>
          <w:color w:val="222222"/>
          <w:sz w:val="24"/>
          <w:szCs w:val="24"/>
          <w:lang w:val="en-GB"/>
        </w:rPr>
        <w:t xml:space="preserve">Lex </w:t>
      </w:r>
      <w:r w:rsidRPr="6407B060" w:rsidR="173ECC95">
        <w:rPr>
          <w:rFonts w:ascii="Arial" w:hAnsi="Arial" w:eastAsia="Arial" w:cs="Arial"/>
          <w:i w:val="1"/>
          <w:iCs w:val="1"/>
          <w:noProof w:val="0"/>
          <w:color w:val="222222"/>
          <w:sz w:val="24"/>
          <w:szCs w:val="24"/>
          <w:lang w:val="en-GB"/>
        </w:rPr>
        <w:t>Localis</w:t>
      </w:r>
      <w:r w:rsidRPr="6407B060" w:rsidR="173ECC95">
        <w:rPr>
          <w:rFonts w:ascii="Arial" w:hAnsi="Arial" w:eastAsia="Arial" w:cs="Arial"/>
          <w:i w:val="1"/>
          <w:iCs w:val="1"/>
          <w:noProof w:val="0"/>
          <w:color w:val="222222"/>
          <w:sz w:val="24"/>
          <w:szCs w:val="24"/>
          <w:lang w:val="en-GB"/>
        </w:rPr>
        <w:t>: Journal of Local Self-Government</w:t>
      </w:r>
      <w:r w:rsidRPr="6407B060" w:rsidR="173ECC95">
        <w:rPr>
          <w:rFonts w:ascii="Arial" w:hAnsi="Arial" w:eastAsia="Arial" w:cs="Arial"/>
          <w:noProof w:val="0"/>
          <w:sz w:val="24"/>
          <w:szCs w:val="24"/>
          <w:lang w:val="en-GB"/>
        </w:rPr>
        <w:t xml:space="preserve">, </w:t>
      </w:r>
      <w:r w:rsidRPr="6407B060" w:rsidR="173ECC95">
        <w:rPr>
          <w:rFonts w:ascii="Arial" w:hAnsi="Arial" w:eastAsia="Arial" w:cs="Arial"/>
          <w:i w:val="1"/>
          <w:iCs w:val="1"/>
          <w:noProof w:val="0"/>
          <w:color w:val="222222"/>
          <w:sz w:val="24"/>
          <w:szCs w:val="24"/>
          <w:lang w:val="en-GB"/>
        </w:rPr>
        <w:t>23</w:t>
      </w:r>
      <w:r w:rsidRPr="6407B060" w:rsidR="173ECC95">
        <w:rPr>
          <w:rFonts w:ascii="Arial" w:hAnsi="Arial" w:eastAsia="Arial" w:cs="Arial"/>
          <w:noProof w:val="0"/>
          <w:sz w:val="24"/>
          <w:szCs w:val="24"/>
          <w:lang w:val="en-GB"/>
        </w:rPr>
        <w:t>.</w:t>
      </w:r>
    </w:p>
    <w:p w:rsidR="173ECC95" w:rsidP="6407B060" w:rsidRDefault="173ECC95" w14:paraId="2FB3E893" w14:textId="7832EF3A">
      <w:pPr>
        <w:spacing w:before="0" w:beforeAutospacing="off" w:after="0" w:afterAutospacing="off" w:line="360" w:lineRule="auto"/>
        <w:jc w:val="both"/>
      </w:pPr>
      <w:r w:rsidRPr="6407B060" w:rsidR="173ECC95">
        <w:rPr>
          <w:rFonts w:ascii="Arial" w:hAnsi="Arial" w:eastAsia="Arial" w:cs="Arial"/>
          <w:noProof w:val="0"/>
          <w:color w:val="auto"/>
          <w:sz w:val="24"/>
          <w:szCs w:val="24"/>
          <w:lang w:val="en-GB"/>
        </w:rPr>
        <w:t xml:space="preserve">Sławomir Lisek, Lidia </w:t>
      </w:r>
      <w:r w:rsidRPr="6407B060" w:rsidR="173ECC95">
        <w:rPr>
          <w:rFonts w:ascii="Arial" w:hAnsi="Arial" w:eastAsia="Arial" w:cs="Arial"/>
          <w:noProof w:val="0"/>
          <w:color w:val="auto"/>
          <w:sz w:val="24"/>
          <w:szCs w:val="24"/>
          <w:lang w:val="en-GB"/>
        </w:rPr>
        <w:t>Luty</w:t>
      </w:r>
      <w:r w:rsidRPr="6407B060" w:rsidR="173ECC95">
        <w:rPr>
          <w:rFonts w:ascii="Arial" w:hAnsi="Arial" w:eastAsia="Arial" w:cs="Arial"/>
          <w:noProof w:val="0"/>
          <w:color w:val="auto"/>
          <w:sz w:val="24"/>
          <w:szCs w:val="24"/>
          <w:lang w:val="en-GB"/>
        </w:rPr>
        <w:t xml:space="preserve"> and Monika </w:t>
      </w:r>
      <w:r w:rsidRPr="6407B060" w:rsidR="173ECC95">
        <w:rPr>
          <w:rFonts w:ascii="Arial" w:hAnsi="Arial" w:eastAsia="Arial" w:cs="Arial"/>
          <w:noProof w:val="0"/>
          <w:color w:val="auto"/>
          <w:sz w:val="24"/>
          <w:szCs w:val="24"/>
          <w:lang w:val="en-GB"/>
        </w:rPr>
        <w:t>Zioło</w:t>
      </w:r>
      <w:r w:rsidRPr="6407B060" w:rsidR="173ECC95">
        <w:rPr>
          <w:rFonts w:ascii="Arial" w:hAnsi="Arial" w:eastAsia="Arial" w:cs="Arial"/>
          <w:noProof w:val="0"/>
          <w:color w:val="auto"/>
          <w:sz w:val="24"/>
          <w:szCs w:val="24"/>
          <w:lang w:val="en-GB"/>
        </w:rPr>
        <w:t xml:space="preserve"> (2020) “The measurement of return on capital employed in assessment of company’s condition,” </w:t>
      </w:r>
      <w:r w:rsidRPr="6407B060" w:rsidR="173ECC95">
        <w:rPr>
          <w:rFonts w:ascii="Arial" w:hAnsi="Arial" w:eastAsia="Arial" w:cs="Arial"/>
          <w:i w:val="1"/>
          <w:iCs w:val="1"/>
          <w:noProof w:val="0"/>
          <w:color w:val="auto"/>
          <w:sz w:val="24"/>
          <w:szCs w:val="24"/>
          <w:lang w:val="en-GB"/>
        </w:rPr>
        <w:t>Zeszyty</w:t>
      </w:r>
      <w:r w:rsidRPr="6407B060" w:rsidR="173ECC95">
        <w:rPr>
          <w:rFonts w:ascii="Arial" w:hAnsi="Arial" w:eastAsia="Arial" w:cs="Arial"/>
          <w:i w:val="1"/>
          <w:iCs w:val="1"/>
          <w:noProof w:val="0"/>
          <w:color w:val="auto"/>
          <w:sz w:val="24"/>
          <w:szCs w:val="24"/>
          <w:lang w:val="en-GB"/>
        </w:rPr>
        <w:t xml:space="preserve"> </w:t>
      </w:r>
      <w:r w:rsidRPr="6407B060" w:rsidR="173ECC95">
        <w:rPr>
          <w:rFonts w:ascii="Arial" w:hAnsi="Arial" w:eastAsia="Arial" w:cs="Arial"/>
          <w:i w:val="1"/>
          <w:iCs w:val="1"/>
          <w:noProof w:val="0"/>
          <w:color w:val="auto"/>
          <w:sz w:val="24"/>
          <w:szCs w:val="24"/>
          <w:lang w:val="en-GB"/>
        </w:rPr>
        <w:t>Naukowe</w:t>
      </w:r>
      <w:r w:rsidRPr="6407B060" w:rsidR="173ECC95">
        <w:rPr>
          <w:rFonts w:ascii="Arial" w:hAnsi="Arial" w:eastAsia="Arial" w:cs="Arial"/>
          <w:i w:val="1"/>
          <w:iCs w:val="1"/>
          <w:noProof w:val="0"/>
          <w:color w:val="auto"/>
          <w:sz w:val="24"/>
          <w:szCs w:val="24"/>
          <w:lang w:val="en-GB"/>
        </w:rPr>
        <w:t xml:space="preserve"> </w:t>
      </w:r>
      <w:r w:rsidRPr="6407B060" w:rsidR="173ECC95">
        <w:rPr>
          <w:rFonts w:ascii="Arial" w:hAnsi="Arial" w:eastAsia="Arial" w:cs="Arial"/>
          <w:i w:val="1"/>
          <w:iCs w:val="1"/>
          <w:noProof w:val="0"/>
          <w:color w:val="auto"/>
          <w:sz w:val="24"/>
          <w:szCs w:val="24"/>
          <w:lang w:val="en-GB"/>
        </w:rPr>
        <w:t>Małopolskiej</w:t>
      </w:r>
      <w:r w:rsidRPr="6407B060" w:rsidR="173ECC95">
        <w:rPr>
          <w:rFonts w:ascii="Arial" w:hAnsi="Arial" w:eastAsia="Arial" w:cs="Arial"/>
          <w:i w:val="1"/>
          <w:iCs w:val="1"/>
          <w:noProof w:val="0"/>
          <w:color w:val="auto"/>
          <w:sz w:val="24"/>
          <w:szCs w:val="24"/>
          <w:lang w:val="en-GB"/>
        </w:rPr>
        <w:t xml:space="preserve"> </w:t>
      </w:r>
      <w:r w:rsidRPr="6407B060" w:rsidR="173ECC95">
        <w:rPr>
          <w:rFonts w:ascii="Arial" w:hAnsi="Arial" w:eastAsia="Arial" w:cs="Arial"/>
          <w:i w:val="1"/>
          <w:iCs w:val="1"/>
          <w:noProof w:val="0"/>
          <w:color w:val="auto"/>
          <w:sz w:val="24"/>
          <w:szCs w:val="24"/>
          <w:lang w:val="en-GB"/>
        </w:rPr>
        <w:t>Wyższej</w:t>
      </w:r>
      <w:r w:rsidRPr="6407B060" w:rsidR="173ECC95">
        <w:rPr>
          <w:rFonts w:ascii="Arial" w:hAnsi="Arial" w:eastAsia="Arial" w:cs="Arial"/>
          <w:i w:val="1"/>
          <w:iCs w:val="1"/>
          <w:noProof w:val="0"/>
          <w:color w:val="auto"/>
          <w:sz w:val="24"/>
          <w:szCs w:val="24"/>
          <w:lang w:val="en-GB"/>
        </w:rPr>
        <w:t xml:space="preserve"> </w:t>
      </w:r>
      <w:r w:rsidRPr="6407B060" w:rsidR="173ECC95">
        <w:rPr>
          <w:rFonts w:ascii="Arial" w:hAnsi="Arial" w:eastAsia="Arial" w:cs="Arial"/>
          <w:i w:val="1"/>
          <w:iCs w:val="1"/>
          <w:noProof w:val="0"/>
          <w:color w:val="auto"/>
          <w:sz w:val="24"/>
          <w:szCs w:val="24"/>
          <w:lang w:val="en-GB"/>
        </w:rPr>
        <w:t>Szkoły</w:t>
      </w:r>
      <w:r w:rsidRPr="6407B060" w:rsidR="173ECC95">
        <w:rPr>
          <w:rFonts w:ascii="Arial" w:hAnsi="Arial" w:eastAsia="Arial" w:cs="Arial"/>
          <w:i w:val="1"/>
          <w:iCs w:val="1"/>
          <w:noProof w:val="0"/>
          <w:color w:val="auto"/>
          <w:sz w:val="24"/>
          <w:szCs w:val="24"/>
          <w:lang w:val="en-GB"/>
        </w:rPr>
        <w:t xml:space="preserve"> </w:t>
      </w:r>
      <w:r w:rsidRPr="6407B060" w:rsidR="173ECC95">
        <w:rPr>
          <w:rFonts w:ascii="Arial" w:hAnsi="Arial" w:eastAsia="Arial" w:cs="Arial"/>
          <w:i w:val="1"/>
          <w:iCs w:val="1"/>
          <w:noProof w:val="0"/>
          <w:color w:val="auto"/>
          <w:sz w:val="24"/>
          <w:szCs w:val="24"/>
          <w:lang w:val="en-GB"/>
        </w:rPr>
        <w:t>Ekonomicznej</w:t>
      </w:r>
      <w:r w:rsidRPr="6407B060" w:rsidR="173ECC95">
        <w:rPr>
          <w:rFonts w:ascii="Arial" w:hAnsi="Arial" w:eastAsia="Arial" w:cs="Arial"/>
          <w:i w:val="1"/>
          <w:iCs w:val="1"/>
          <w:noProof w:val="0"/>
          <w:color w:val="auto"/>
          <w:sz w:val="24"/>
          <w:szCs w:val="24"/>
          <w:lang w:val="en-GB"/>
        </w:rPr>
        <w:t xml:space="preserve"> w </w:t>
      </w:r>
      <w:r w:rsidRPr="6407B060" w:rsidR="173ECC95">
        <w:rPr>
          <w:rFonts w:ascii="Arial" w:hAnsi="Arial" w:eastAsia="Arial" w:cs="Arial"/>
          <w:i w:val="1"/>
          <w:iCs w:val="1"/>
          <w:noProof w:val="0"/>
          <w:color w:val="auto"/>
          <w:sz w:val="24"/>
          <w:szCs w:val="24"/>
          <w:lang w:val="en-GB"/>
        </w:rPr>
        <w:t>Tarnowie</w:t>
      </w:r>
      <w:r w:rsidRPr="6407B060" w:rsidR="173ECC95">
        <w:rPr>
          <w:rFonts w:ascii="Arial" w:hAnsi="Arial" w:eastAsia="Arial" w:cs="Arial"/>
          <w:noProof w:val="0"/>
          <w:color w:val="auto"/>
          <w:sz w:val="24"/>
          <w:szCs w:val="24"/>
          <w:lang w:val="en-GB"/>
        </w:rPr>
        <w:t xml:space="preserve">, 46(2), pp. 55–67. Available at: </w:t>
      </w:r>
      <w:hyperlink r:id="R5d4756494e0943a1">
        <w:r w:rsidRPr="6407B060" w:rsidR="173ECC95">
          <w:rPr>
            <w:rStyle w:val="Hyperlink"/>
            <w:rFonts w:ascii="Arial" w:hAnsi="Arial" w:eastAsia="Arial" w:cs="Arial"/>
            <w:noProof w:val="0"/>
            <w:color w:val="auto"/>
            <w:sz w:val="24"/>
            <w:szCs w:val="24"/>
            <w:lang w:val="en-GB"/>
          </w:rPr>
          <w:t>https://doi.org/10.25944/znmwse.2020.02.5567</w:t>
        </w:r>
      </w:hyperlink>
      <w:r w:rsidRPr="6407B060" w:rsidR="173ECC95">
        <w:rPr>
          <w:rFonts w:ascii="Arial" w:hAnsi="Arial" w:eastAsia="Arial" w:cs="Arial"/>
          <w:noProof w:val="0"/>
          <w:color w:val="auto"/>
          <w:sz w:val="24"/>
          <w:szCs w:val="24"/>
          <w:lang w:val="en-GB"/>
        </w:rPr>
        <w:t xml:space="preserve"> </w:t>
      </w:r>
      <w:r w:rsidRPr="6407B060" w:rsidR="173ECC95">
        <w:rPr>
          <w:rFonts w:ascii="Arial" w:hAnsi="Arial" w:eastAsia="Arial" w:cs="Arial"/>
          <w:noProof w:val="0"/>
          <w:sz w:val="24"/>
          <w:szCs w:val="24"/>
          <w:lang w:val="en-GB"/>
        </w:rPr>
        <w:t>(Accessed 03 March 2026).</w:t>
      </w:r>
    </w:p>
    <w:p w:rsidR="173ECC95" w:rsidP="6407B060" w:rsidRDefault="173ECC95" w14:paraId="0D3EE348" w14:textId="4CF73586">
      <w:pPr>
        <w:spacing w:before="0" w:beforeAutospacing="off" w:after="0" w:afterAutospacing="off" w:line="360" w:lineRule="auto"/>
        <w:jc w:val="both"/>
      </w:pPr>
      <w:r w:rsidRPr="6407B060" w:rsidR="173ECC95">
        <w:rPr>
          <w:rFonts w:ascii="Arial" w:hAnsi="Arial" w:eastAsia="Arial" w:cs="Arial"/>
          <w:noProof w:val="0"/>
          <w:sz w:val="24"/>
          <w:szCs w:val="24"/>
          <w:lang w:val="en-GB"/>
        </w:rPr>
        <w:t>Toušek</w:t>
      </w:r>
      <w:r w:rsidRPr="6407B060" w:rsidR="173ECC95">
        <w:rPr>
          <w:rFonts w:ascii="Arial" w:hAnsi="Arial" w:eastAsia="Arial" w:cs="Arial"/>
          <w:noProof w:val="0"/>
          <w:sz w:val="24"/>
          <w:szCs w:val="24"/>
          <w:lang w:val="en-GB"/>
        </w:rPr>
        <w:t xml:space="preserve">, Z. </w:t>
      </w:r>
      <w:r w:rsidRPr="6407B060" w:rsidR="173ECC95">
        <w:rPr>
          <w:rFonts w:ascii="Arial" w:hAnsi="Arial" w:eastAsia="Arial" w:cs="Arial"/>
          <w:i w:val="1"/>
          <w:iCs w:val="1"/>
          <w:noProof w:val="0"/>
          <w:color w:val="3A3A3A" w:themeColor="background2" w:themeTint="FF" w:themeShade="40"/>
          <w:sz w:val="24"/>
          <w:szCs w:val="24"/>
          <w:lang w:val="en-GB"/>
        </w:rPr>
        <w:t>et al.</w:t>
      </w:r>
      <w:r w:rsidRPr="6407B060" w:rsidR="173ECC95">
        <w:rPr>
          <w:rFonts w:ascii="Arial" w:hAnsi="Arial" w:eastAsia="Arial" w:cs="Arial"/>
          <w:noProof w:val="0"/>
          <w:sz w:val="24"/>
          <w:szCs w:val="24"/>
          <w:lang w:val="en-GB"/>
        </w:rPr>
        <w:t xml:space="preserve"> (2023) “How does the effect of external financing on profitability differ across tiers? Evidence from the automotive supply chain,” </w:t>
      </w:r>
      <w:r w:rsidRPr="6407B060" w:rsidR="173ECC95">
        <w:rPr>
          <w:rFonts w:ascii="Arial" w:hAnsi="Arial" w:eastAsia="Arial" w:cs="Arial"/>
          <w:i w:val="1"/>
          <w:iCs w:val="1"/>
          <w:noProof w:val="0"/>
          <w:color w:val="3A3A3A" w:themeColor="background2" w:themeTint="FF" w:themeShade="40"/>
          <w:sz w:val="24"/>
          <w:szCs w:val="24"/>
          <w:lang w:val="en-GB"/>
        </w:rPr>
        <w:t xml:space="preserve">E+M </w:t>
      </w:r>
      <w:r w:rsidRPr="6407B060" w:rsidR="173ECC95">
        <w:rPr>
          <w:rFonts w:ascii="Arial" w:hAnsi="Arial" w:eastAsia="Arial" w:cs="Arial"/>
          <w:i w:val="1"/>
          <w:iCs w:val="1"/>
          <w:noProof w:val="0"/>
          <w:color w:val="3A3A3A" w:themeColor="background2" w:themeTint="FF" w:themeShade="40"/>
          <w:sz w:val="24"/>
          <w:szCs w:val="24"/>
          <w:lang w:val="en-GB"/>
        </w:rPr>
        <w:t>ekonomie</w:t>
      </w:r>
      <w:r w:rsidRPr="6407B060" w:rsidR="173ECC95">
        <w:rPr>
          <w:rFonts w:ascii="Arial" w:hAnsi="Arial" w:eastAsia="Arial" w:cs="Arial"/>
          <w:i w:val="1"/>
          <w:iCs w:val="1"/>
          <w:noProof w:val="0"/>
          <w:color w:val="3A3A3A" w:themeColor="background2" w:themeTint="FF" w:themeShade="40"/>
          <w:sz w:val="24"/>
          <w:szCs w:val="24"/>
          <w:lang w:val="en-GB"/>
        </w:rPr>
        <w:t xml:space="preserve"> a management</w:t>
      </w:r>
      <w:r w:rsidRPr="6407B060" w:rsidR="173ECC95">
        <w:rPr>
          <w:rFonts w:ascii="Arial" w:hAnsi="Arial" w:eastAsia="Arial" w:cs="Arial"/>
          <w:noProof w:val="0"/>
          <w:sz w:val="24"/>
          <w:szCs w:val="24"/>
          <w:lang w:val="en-GB"/>
        </w:rPr>
        <w:t xml:space="preserve">, 26(2), pp. 105–121. Available at: </w:t>
      </w:r>
      <w:hyperlink r:id="R1db68b6a211e4b6d">
        <w:r w:rsidRPr="6407B060" w:rsidR="173ECC95">
          <w:rPr>
            <w:rStyle w:val="Hyperlink"/>
            <w:rFonts w:ascii="Arial" w:hAnsi="Arial" w:eastAsia="Arial" w:cs="Arial"/>
            <w:noProof w:val="0"/>
            <w:sz w:val="24"/>
            <w:szCs w:val="24"/>
            <w:lang w:val="en-GB"/>
          </w:rPr>
          <w:t>https://doi.org/10.15240/tul/001/2023-2-007</w:t>
        </w:r>
      </w:hyperlink>
      <w:r w:rsidRPr="6407B060" w:rsidR="173ECC95">
        <w:rPr>
          <w:rFonts w:ascii="Arial" w:hAnsi="Arial" w:eastAsia="Arial" w:cs="Arial"/>
          <w:noProof w:val="0"/>
          <w:sz w:val="24"/>
          <w:szCs w:val="24"/>
          <w:lang w:val="en-GB"/>
        </w:rPr>
        <w:t xml:space="preserve"> (Accessed 14 March 2026).</w:t>
      </w:r>
    </w:p>
    <w:p w:rsidR="173ECC95" w:rsidP="6407B060" w:rsidRDefault="173ECC95" w14:paraId="5182307E" w14:textId="7E61C5B8">
      <w:pPr>
        <w:spacing w:before="0" w:beforeAutospacing="off" w:after="0" w:afterAutospacing="off" w:line="360" w:lineRule="auto"/>
        <w:jc w:val="both"/>
      </w:pPr>
      <w:r w:rsidRPr="6407B060" w:rsidR="173ECC95">
        <w:rPr>
          <w:rFonts w:ascii="Arial" w:hAnsi="Arial" w:eastAsia="Arial" w:cs="Arial"/>
          <w:noProof w:val="0"/>
          <w:sz w:val="24"/>
          <w:szCs w:val="24"/>
          <w:lang w:val="en-GB"/>
        </w:rPr>
        <w:t>Turunen, Å., (2024). Accounting ratios usage in investment decisions.</w:t>
      </w:r>
    </w:p>
    <w:p w:rsidR="10EB0F93" w:rsidP="6407B060" w:rsidRDefault="10EB0F93" w14:paraId="616B67C7" w14:textId="29F24C62">
      <w:pPr>
        <w:spacing w:before="0" w:beforeAutospacing="off" w:after="0" w:afterAutospacing="off" w:line="360" w:lineRule="auto"/>
        <w:jc w:val="both"/>
        <w:rPr>
          <w:rFonts w:ascii="Arial" w:hAnsi="Arial" w:eastAsia="Arial" w:cs="Arial"/>
          <w:noProof w:val="0"/>
          <w:color w:val="auto"/>
          <w:sz w:val="24"/>
          <w:szCs w:val="24"/>
          <w:lang w:val="en-GB"/>
        </w:rPr>
      </w:pPr>
      <w:r w:rsidRPr="6407B060" w:rsidR="10EB0F93">
        <w:rPr>
          <w:rFonts w:ascii="Arial" w:hAnsi="Arial" w:eastAsia="Arial" w:cs="Arial"/>
          <w:noProof w:val="0"/>
          <w:color w:val="auto"/>
          <w:sz w:val="24"/>
          <w:szCs w:val="24"/>
          <w:lang w:val="en-GB"/>
        </w:rPr>
        <w:t>Vellequette</w:t>
      </w:r>
      <w:r w:rsidRPr="6407B060" w:rsidR="10EB0F93">
        <w:rPr>
          <w:rFonts w:ascii="Arial" w:hAnsi="Arial" w:eastAsia="Arial" w:cs="Arial"/>
          <w:noProof w:val="0"/>
          <w:color w:val="auto"/>
          <w:sz w:val="24"/>
          <w:szCs w:val="24"/>
          <w:lang w:val="en-GB"/>
        </w:rPr>
        <w:t xml:space="preserve">, L.P. (2023) “Scout plan puts down roots with S.C. plant; Battery investment expected in Canada,” </w:t>
      </w:r>
      <w:r w:rsidRPr="6407B060" w:rsidR="10EB0F93">
        <w:rPr>
          <w:rFonts w:ascii="Arial" w:hAnsi="Arial" w:eastAsia="Arial" w:cs="Arial"/>
          <w:i w:val="1"/>
          <w:iCs w:val="1"/>
          <w:noProof w:val="0"/>
          <w:color w:val="auto"/>
          <w:sz w:val="24"/>
          <w:szCs w:val="24"/>
          <w:lang w:val="en-GB"/>
        </w:rPr>
        <w:t>Automotive News</w:t>
      </w:r>
      <w:r w:rsidRPr="6407B060" w:rsidR="10EB0F93">
        <w:rPr>
          <w:rFonts w:ascii="Arial" w:hAnsi="Arial" w:eastAsia="Arial" w:cs="Arial"/>
          <w:noProof w:val="0"/>
          <w:color w:val="auto"/>
          <w:sz w:val="24"/>
          <w:szCs w:val="24"/>
          <w:lang w:val="en-GB"/>
        </w:rPr>
        <w:t>, 97(7080), p. 3.</w:t>
      </w:r>
    </w:p>
    <w:p w:rsidR="10EB0F93" w:rsidP="6407B060" w:rsidRDefault="10EB0F93" w14:paraId="043ED58D" w14:textId="727E49B6">
      <w:pPr>
        <w:spacing w:before="0" w:beforeAutospacing="off" w:after="0" w:afterAutospacing="off" w:line="360" w:lineRule="auto"/>
        <w:jc w:val="both"/>
      </w:pPr>
      <w:r w:rsidRPr="6407B060" w:rsidR="10EB0F93">
        <w:rPr>
          <w:rFonts w:ascii="Arial" w:hAnsi="Arial" w:eastAsia="Arial" w:cs="Arial"/>
          <w:noProof w:val="0"/>
          <w:sz w:val="24"/>
          <w:szCs w:val="24"/>
          <w:lang w:val="en-GB"/>
        </w:rPr>
        <w:t xml:space="preserve">Volkswagen Group (2026) </w:t>
      </w:r>
      <w:r w:rsidRPr="6407B060" w:rsidR="10EB0F93">
        <w:rPr>
          <w:rFonts w:ascii="Arial" w:hAnsi="Arial" w:eastAsia="Arial" w:cs="Arial"/>
          <w:i w:val="1"/>
          <w:iCs w:val="1"/>
          <w:noProof w:val="0"/>
          <w:sz w:val="24"/>
          <w:szCs w:val="24"/>
          <w:lang w:val="en-GB"/>
        </w:rPr>
        <w:t>Financial reports</w:t>
      </w:r>
      <w:r w:rsidRPr="6407B060" w:rsidR="10EB0F93">
        <w:rPr>
          <w:rFonts w:ascii="Arial" w:hAnsi="Arial" w:eastAsia="Arial" w:cs="Arial"/>
          <w:noProof w:val="0"/>
          <w:sz w:val="24"/>
          <w:szCs w:val="24"/>
          <w:lang w:val="en-GB"/>
        </w:rPr>
        <w:t xml:space="preserve">. Available at: </w:t>
      </w:r>
      <w:hyperlink r:id="R652e360fc9ec4662">
        <w:r w:rsidRPr="6407B060" w:rsidR="10EB0F93">
          <w:rPr>
            <w:rStyle w:val="Hyperlink"/>
            <w:rFonts w:ascii="Arial" w:hAnsi="Arial" w:eastAsia="Arial" w:cs="Arial"/>
            <w:noProof w:val="0"/>
            <w:sz w:val="24"/>
            <w:szCs w:val="24"/>
            <w:lang w:val="en-GB"/>
          </w:rPr>
          <w:t>https://www.volkswagen-group.com/en/financial-reports-18134</w:t>
        </w:r>
      </w:hyperlink>
      <w:r w:rsidRPr="6407B060" w:rsidR="10EB0F93">
        <w:rPr>
          <w:rFonts w:ascii="Arial" w:hAnsi="Arial" w:eastAsia="Arial" w:cs="Arial"/>
          <w:noProof w:val="0"/>
          <w:sz w:val="24"/>
          <w:szCs w:val="24"/>
          <w:lang w:val="en-GB"/>
        </w:rPr>
        <w:t xml:space="preserve"> (Accessed 10 March 2026).</w:t>
      </w:r>
    </w:p>
    <w:p w:rsidR="6407B060" w:rsidP="6407B060" w:rsidRDefault="6407B060" w14:paraId="1EDE0E0A" w14:textId="50C38D60">
      <w:pPr>
        <w:spacing w:before="0" w:beforeAutospacing="off" w:after="0" w:afterAutospacing="off" w:line="360" w:lineRule="auto"/>
        <w:jc w:val="both"/>
        <w:rPr>
          <w:rFonts w:ascii="Arial" w:hAnsi="Arial" w:eastAsia="Arial" w:cs="Arial"/>
          <w:noProof w:val="0"/>
          <w:sz w:val="24"/>
          <w:szCs w:val="24"/>
          <w:lang w:val="en-GB"/>
        </w:rPr>
      </w:pPr>
    </w:p>
    <w:p w:rsidR="10EB0F93" w:rsidP="6407B060" w:rsidRDefault="10EB0F93" w14:paraId="122DE895" w14:textId="5778289A">
      <w:pPr>
        <w:spacing w:before="0" w:beforeAutospacing="off" w:after="0" w:afterAutospacing="off" w:line="360" w:lineRule="auto"/>
        <w:jc w:val="both"/>
      </w:pPr>
      <w:r w:rsidRPr="6407B060" w:rsidR="10EB0F93">
        <w:rPr>
          <w:rFonts w:ascii="Arial" w:hAnsi="Arial" w:eastAsia="Arial" w:cs="Arial"/>
          <w:noProof w:val="0"/>
          <w:sz w:val="24"/>
          <w:szCs w:val="24"/>
          <w:lang w:val="en-GB"/>
        </w:rPr>
        <w:t xml:space="preserve">Yahoo Finance (2026) </w:t>
      </w:r>
      <w:r w:rsidRPr="6407B060" w:rsidR="10EB0F93">
        <w:rPr>
          <w:rFonts w:ascii="Arial" w:hAnsi="Arial" w:eastAsia="Arial" w:cs="Arial"/>
          <w:i w:val="1"/>
          <w:iCs w:val="1"/>
          <w:noProof w:val="0"/>
          <w:sz w:val="24"/>
          <w:szCs w:val="24"/>
          <w:lang w:val="en-GB"/>
        </w:rPr>
        <w:t>Volkswagen targets €60b cost cuts as investors weigh margin upside</w:t>
      </w:r>
      <w:r w:rsidRPr="6407B060" w:rsidR="10EB0F93">
        <w:rPr>
          <w:rFonts w:ascii="Arial" w:hAnsi="Arial" w:eastAsia="Arial" w:cs="Arial"/>
          <w:noProof w:val="0"/>
          <w:sz w:val="24"/>
          <w:szCs w:val="24"/>
          <w:lang w:val="en-GB"/>
        </w:rPr>
        <w:t xml:space="preserve">. Available at: </w:t>
      </w:r>
      <w:hyperlink r:id="Ra153f8707f7a4e85">
        <w:r w:rsidRPr="6407B060" w:rsidR="10EB0F93">
          <w:rPr>
            <w:rStyle w:val="Hyperlink"/>
            <w:rFonts w:ascii="Arial" w:hAnsi="Arial" w:eastAsia="Arial" w:cs="Arial"/>
            <w:noProof w:val="0"/>
            <w:sz w:val="24"/>
            <w:szCs w:val="24"/>
            <w:lang w:val="en-GB"/>
          </w:rPr>
          <w:t>https://finance.yahoo.com/news/volkswagen-targets-60b-cost-cuts-121028862.html</w:t>
        </w:r>
      </w:hyperlink>
      <w:r w:rsidRPr="6407B060" w:rsidR="10EB0F93">
        <w:rPr>
          <w:rFonts w:ascii="Arial" w:hAnsi="Arial" w:eastAsia="Arial" w:cs="Arial"/>
          <w:noProof w:val="0"/>
          <w:sz w:val="24"/>
          <w:szCs w:val="24"/>
          <w:lang w:val="en-GB"/>
        </w:rPr>
        <w:t xml:space="preserve"> (Accessed: 11 February 2026).</w:t>
      </w:r>
    </w:p>
    <w:p w:rsidR="10EB0F93" w:rsidP="6407B060" w:rsidRDefault="10EB0F93" w14:paraId="3BA547EA" w14:textId="6FDFA60C">
      <w:pPr>
        <w:spacing w:before="0" w:beforeAutospacing="off" w:after="0" w:afterAutospacing="off" w:line="360" w:lineRule="auto"/>
        <w:jc w:val="both"/>
      </w:pPr>
      <w:r w:rsidRPr="6407B060" w:rsidR="10EB0F93">
        <w:rPr>
          <w:rFonts w:ascii="Arial" w:hAnsi="Arial" w:eastAsia="Arial" w:cs="Arial"/>
          <w:noProof w:val="0"/>
          <w:sz w:val="24"/>
          <w:szCs w:val="24"/>
          <w:lang w:val="en-GB"/>
        </w:rPr>
        <w:t xml:space="preserve">Zhou, C., (2025), May. Investment suggestion of Volkswagen AG. In </w:t>
      </w:r>
      <w:r w:rsidRPr="6407B060" w:rsidR="10EB0F93">
        <w:rPr>
          <w:rFonts w:ascii="Arial" w:hAnsi="Arial" w:eastAsia="Arial" w:cs="Arial"/>
          <w:i w:val="1"/>
          <w:iCs w:val="1"/>
          <w:noProof w:val="0"/>
          <w:color w:val="222222"/>
          <w:sz w:val="24"/>
          <w:szCs w:val="24"/>
          <w:lang w:val="en-GB"/>
        </w:rPr>
        <w:t>Proceedings of the 2025 10th International Conference on Financial Innovation and Economic Development (ICFIED 2025)</w:t>
      </w:r>
      <w:r w:rsidRPr="6407B060" w:rsidR="10EB0F93">
        <w:rPr>
          <w:rFonts w:ascii="Arial" w:hAnsi="Arial" w:eastAsia="Arial" w:cs="Arial"/>
          <w:noProof w:val="0"/>
          <w:sz w:val="24"/>
          <w:szCs w:val="24"/>
          <w:lang w:val="en-GB"/>
        </w:rPr>
        <w:t xml:space="preserve"> (p. 445). Springer Nature.</w:t>
      </w:r>
    </w:p>
    <w:p w:rsidR="6407B060" w:rsidP="6407B060" w:rsidRDefault="6407B060" w14:paraId="2D01DF06" w14:textId="435724A2">
      <w:pPr>
        <w:spacing w:before="0" w:beforeAutospacing="off" w:after="0" w:afterAutospacing="off" w:line="360" w:lineRule="auto"/>
        <w:jc w:val="both"/>
        <w:rPr>
          <w:rFonts w:ascii="Arial" w:hAnsi="Arial" w:eastAsia="Arial" w:cs="Arial"/>
          <w:noProof w:val="0"/>
          <w:sz w:val="24"/>
          <w:szCs w:val="24"/>
          <w:lang w:val="en-GB"/>
        </w:rPr>
      </w:pPr>
    </w:p>
    <w:p w:rsidR="10EB0F93" w:rsidP="6407B060" w:rsidRDefault="10EB0F93" w14:paraId="0EE6AA00" w14:textId="3E3E180A">
      <w:pPr>
        <w:spacing w:before="0" w:beforeAutospacing="off" w:after="0" w:afterAutospacing="off" w:line="360" w:lineRule="auto"/>
        <w:jc w:val="both"/>
        <w:rPr>
          <w:rFonts w:ascii="Arial" w:hAnsi="Arial" w:eastAsia="Arial" w:cs="Arial"/>
          <w:noProof w:val="0"/>
          <w:color w:val="auto"/>
          <w:sz w:val="24"/>
          <w:szCs w:val="24"/>
          <w:lang w:val="en-GB"/>
        </w:rPr>
      </w:pPr>
      <w:r w:rsidRPr="6407B060" w:rsidR="10EB0F93">
        <w:rPr>
          <w:rFonts w:ascii="Arial" w:hAnsi="Arial" w:eastAsia="Arial" w:cs="Arial"/>
          <w:noProof w:val="0"/>
          <w:color w:val="auto"/>
          <w:sz w:val="24"/>
          <w:szCs w:val="24"/>
          <w:lang w:val="en-GB"/>
        </w:rPr>
        <w:t xml:space="preserve">Zhou, Y., Shen, </w:t>
      </w:r>
      <w:r w:rsidRPr="6407B060" w:rsidR="10EB0F93">
        <w:rPr>
          <w:rFonts w:ascii="Arial" w:hAnsi="Arial" w:eastAsia="Arial" w:cs="Arial"/>
          <w:noProof w:val="0"/>
          <w:color w:val="auto"/>
          <w:sz w:val="24"/>
          <w:szCs w:val="24"/>
          <w:lang w:val="en-GB"/>
        </w:rPr>
        <w:t>X.</w:t>
      </w:r>
      <w:r w:rsidRPr="6407B060" w:rsidR="10EB0F93">
        <w:rPr>
          <w:rFonts w:ascii="Arial" w:hAnsi="Arial" w:eastAsia="Arial" w:cs="Arial"/>
          <w:noProof w:val="0"/>
          <w:color w:val="auto"/>
          <w:sz w:val="24"/>
          <w:szCs w:val="24"/>
          <w:lang w:val="en-GB"/>
        </w:rPr>
        <w:t xml:space="preserve"> and Yu, Y. (2023) “Inventory control strategy: Based on demand forecast error,” </w:t>
      </w:r>
      <w:r w:rsidRPr="6407B060" w:rsidR="10EB0F93">
        <w:rPr>
          <w:rFonts w:ascii="Arial" w:hAnsi="Arial" w:eastAsia="Arial" w:cs="Arial"/>
          <w:i w:val="1"/>
          <w:iCs w:val="1"/>
          <w:noProof w:val="0"/>
          <w:color w:val="auto"/>
          <w:sz w:val="24"/>
          <w:szCs w:val="24"/>
          <w:lang w:val="en-GB"/>
        </w:rPr>
        <w:t>Modern supply chain research and applications</w:t>
      </w:r>
      <w:r w:rsidRPr="6407B060" w:rsidR="10EB0F93">
        <w:rPr>
          <w:rFonts w:ascii="Arial" w:hAnsi="Arial" w:eastAsia="Arial" w:cs="Arial"/>
          <w:noProof w:val="0"/>
          <w:color w:val="auto"/>
          <w:sz w:val="24"/>
          <w:szCs w:val="24"/>
          <w:lang w:val="en-GB"/>
        </w:rPr>
        <w:t xml:space="preserve">, 5(2), pp. 74–101. Available at: </w:t>
      </w:r>
      <w:hyperlink r:id="R5a773ba2e0bc4c23">
        <w:r w:rsidRPr="6407B060" w:rsidR="10EB0F93">
          <w:rPr>
            <w:rStyle w:val="Hyperlink"/>
            <w:rFonts w:ascii="Arial" w:hAnsi="Arial" w:eastAsia="Arial" w:cs="Arial"/>
            <w:noProof w:val="0"/>
            <w:color w:val="auto"/>
            <w:sz w:val="24"/>
            <w:szCs w:val="24"/>
            <w:lang w:val="en-GB"/>
          </w:rPr>
          <w:t>https://doi.org/10.1108/MSCRA-02-2023-0009</w:t>
        </w:r>
      </w:hyperlink>
      <w:r w:rsidRPr="6407B060" w:rsidR="10EB0F93">
        <w:rPr>
          <w:rFonts w:ascii="Arial" w:hAnsi="Arial" w:eastAsia="Arial" w:cs="Arial"/>
          <w:noProof w:val="0"/>
          <w:color w:val="auto"/>
          <w:sz w:val="24"/>
          <w:szCs w:val="24"/>
          <w:lang w:val="en-GB"/>
        </w:rPr>
        <w:t xml:space="preserve"> </w:t>
      </w:r>
      <w:r w:rsidRPr="6407B060" w:rsidR="10EB0F93">
        <w:rPr>
          <w:rFonts w:ascii="Arial" w:hAnsi="Arial" w:eastAsia="Arial" w:cs="Arial"/>
          <w:noProof w:val="0"/>
          <w:color w:val="auto"/>
          <w:sz w:val="24"/>
          <w:szCs w:val="24"/>
          <w:lang w:val="en-GB"/>
        </w:rPr>
        <w:t>(Accessed 15 March 2026).</w:t>
      </w:r>
    </w:p>
    <w:p w:rsidR="6407B060" w:rsidP="6407B060" w:rsidRDefault="6407B060" w14:paraId="5DCF5EE1" w14:textId="48DAC36A">
      <w:pPr>
        <w:spacing w:before="0" w:beforeAutospacing="off" w:after="0" w:afterAutospacing="off" w:line="360" w:lineRule="auto"/>
        <w:jc w:val="both"/>
        <w:rPr>
          <w:rFonts w:ascii="Arial" w:hAnsi="Arial" w:eastAsia="Arial" w:cs="Arial"/>
          <w:noProof w:val="0"/>
          <w:sz w:val="24"/>
          <w:szCs w:val="24"/>
          <w:lang w:val="en-GB"/>
        </w:rPr>
      </w:pPr>
    </w:p>
    <w:p w:rsidR="6407B060" w:rsidP="6407B060" w:rsidRDefault="6407B060" w14:paraId="58EEC67B" w14:textId="6CDA833B">
      <w:pPr>
        <w:spacing w:before="0" w:beforeAutospacing="off" w:after="0" w:afterAutospacing="off" w:line="360" w:lineRule="auto"/>
        <w:jc w:val="both"/>
        <w:rPr>
          <w:rFonts w:ascii="Arial" w:hAnsi="Arial" w:eastAsia="Arial" w:cs="Arial"/>
          <w:noProof w:val="0"/>
          <w:color w:val="auto"/>
          <w:sz w:val="24"/>
          <w:szCs w:val="24"/>
          <w:lang w:val="en-GB"/>
        </w:rPr>
      </w:pPr>
    </w:p>
    <w:p w:rsidR="6407B060" w:rsidP="6407B060" w:rsidRDefault="6407B060" w14:paraId="1929778B" w14:textId="36D5FF29">
      <w:pPr>
        <w:spacing w:before="0" w:beforeAutospacing="off" w:after="0" w:afterAutospacing="off" w:line="360" w:lineRule="auto"/>
        <w:jc w:val="both"/>
        <w:rPr>
          <w:rFonts w:ascii="Arial" w:hAnsi="Arial" w:eastAsia="Arial" w:cs="Arial"/>
          <w:noProof w:val="0"/>
          <w:color w:val="auto"/>
          <w:sz w:val="24"/>
          <w:szCs w:val="24"/>
          <w:lang w:val="en-GB"/>
        </w:rPr>
      </w:pPr>
    </w:p>
    <w:p w:rsidR="6407B060" w:rsidP="6407B060" w:rsidRDefault="6407B060" w14:paraId="0271A4F5" w14:textId="7881E286">
      <w:pPr>
        <w:spacing w:before="0" w:beforeAutospacing="off" w:after="0" w:afterAutospacing="off" w:line="360" w:lineRule="auto"/>
        <w:jc w:val="both"/>
        <w:rPr>
          <w:rFonts w:ascii="Arial" w:hAnsi="Arial" w:eastAsia="Arial" w:cs="Arial"/>
          <w:noProof w:val="0"/>
          <w:color w:val="auto"/>
          <w:sz w:val="24"/>
          <w:szCs w:val="24"/>
          <w:lang w:val="en-GB"/>
        </w:rPr>
      </w:pPr>
    </w:p>
    <w:p w:rsidR="6407B060" w:rsidP="6407B060" w:rsidRDefault="6407B060" w14:paraId="5A82AD3C" w14:textId="269DC0CA">
      <w:pPr>
        <w:spacing w:before="0" w:beforeAutospacing="off" w:after="0" w:afterAutospacing="off"/>
        <w:jc w:val="both"/>
        <w:rPr>
          <w:rFonts w:ascii="Arial" w:hAnsi="Arial" w:eastAsia="Arial" w:cs="Arial"/>
          <w:noProof w:val="0"/>
          <w:color w:val="auto"/>
          <w:sz w:val="24"/>
          <w:szCs w:val="24"/>
          <w:lang w:val="en-GB"/>
        </w:rPr>
      </w:pPr>
    </w:p>
    <w:p w:rsidR="6407B060" w:rsidP="6407B060" w:rsidRDefault="6407B060" w14:paraId="02B10186" w14:textId="18297BD2">
      <w:pPr>
        <w:spacing w:before="0" w:beforeAutospacing="off" w:after="0" w:afterAutospacing="off"/>
        <w:jc w:val="both"/>
        <w:rPr>
          <w:rFonts w:ascii="Arial" w:hAnsi="Arial" w:eastAsia="Arial" w:cs="Arial"/>
          <w:noProof w:val="0"/>
          <w:color w:val="auto"/>
          <w:sz w:val="24"/>
          <w:szCs w:val="24"/>
          <w:lang w:val="en-GB"/>
        </w:rPr>
      </w:pPr>
    </w:p>
    <w:p w:rsidR="6407B060" w:rsidP="6407B060" w:rsidRDefault="6407B060" w14:paraId="735EBA19" w14:textId="0F27C338">
      <w:pPr>
        <w:spacing w:before="0" w:beforeAutospacing="off" w:after="0" w:afterAutospacing="off"/>
        <w:jc w:val="both"/>
        <w:rPr>
          <w:rFonts w:ascii="Arial" w:hAnsi="Arial" w:eastAsia="Arial" w:cs="Arial"/>
          <w:noProof w:val="0"/>
          <w:sz w:val="24"/>
          <w:szCs w:val="24"/>
          <w:lang w:val="en-GB"/>
        </w:rPr>
      </w:pPr>
    </w:p>
    <w:p w:rsidR="6407B060" w:rsidP="6407B060" w:rsidRDefault="6407B060" w14:paraId="301B4258" w14:textId="23F35C14">
      <w:pPr>
        <w:spacing w:before="0" w:beforeAutospacing="off" w:after="0" w:afterAutospacing="off"/>
        <w:jc w:val="both"/>
        <w:rPr>
          <w:rFonts w:ascii="Arial" w:hAnsi="Arial" w:eastAsia="Arial" w:cs="Arial"/>
          <w:noProof w:val="0"/>
          <w:color w:val="auto"/>
          <w:sz w:val="24"/>
          <w:szCs w:val="24"/>
          <w:lang w:val="en-GB"/>
        </w:rPr>
      </w:pPr>
    </w:p>
    <w:p w:rsidR="6407B060" w:rsidP="6407B060" w:rsidRDefault="6407B060" w14:paraId="288CEB1C" w14:textId="15556146">
      <w:pPr>
        <w:spacing w:before="0" w:beforeAutospacing="off" w:after="0" w:afterAutospacing="off"/>
        <w:jc w:val="both"/>
        <w:rPr>
          <w:rFonts w:ascii="Arial" w:hAnsi="Arial" w:eastAsia="Arial" w:cs="Arial"/>
          <w:noProof w:val="0"/>
          <w:sz w:val="24"/>
          <w:szCs w:val="24"/>
          <w:lang w:val="en-GB"/>
        </w:rPr>
      </w:pPr>
    </w:p>
    <w:p w:rsidR="6407B060" w:rsidP="6407B060" w:rsidRDefault="6407B060" w14:paraId="5596ADFE" w14:textId="35DF81A3">
      <w:pPr>
        <w:pStyle w:val="Normal"/>
      </w:pPr>
    </w:p>
    <w:p w:rsidR="6407B060" w:rsidP="6407B060" w:rsidRDefault="6407B060" w14:paraId="49A632D6" w14:textId="541866B8">
      <w:pPr>
        <w:pStyle w:val="Normal"/>
        <w:bidi w:val="0"/>
      </w:pPr>
    </w:p>
    <w:p w:rsidR="6407B060" w:rsidRDefault="6407B060" w14:paraId="49D32560" w14:textId="6981E855">
      <w:r>
        <w:br w:type="page"/>
      </w:r>
    </w:p>
    <w:p w:rsidR="6407B060" w:rsidP="6407B060" w:rsidRDefault="6407B060" w14:paraId="76F432F5" w14:textId="1104C970">
      <w:pPr>
        <w:pStyle w:val="Normal"/>
        <w:bidi w:val="0"/>
      </w:pPr>
    </w:p>
    <w:p w:rsidR="6407B060" w:rsidP="6407B060" w:rsidRDefault="6407B060" w14:paraId="3CB1215B" w14:textId="705C40C7">
      <w:pPr>
        <w:pStyle w:val="Normal"/>
        <w:bidi w:val="0"/>
        <w:jc w:val="both"/>
        <w:rPr>
          <w:rFonts w:ascii="Arial" w:hAnsi="Arial" w:eastAsia="Arial" w:cs="Arial"/>
          <w:sz w:val="24"/>
          <w:szCs w:val="24"/>
        </w:rPr>
      </w:pPr>
    </w:p>
    <w:p w:rsidR="0F6C0CAA" w:rsidP="6407B060" w:rsidRDefault="0F6C0CAA" w14:paraId="778EF1E5" w14:textId="17039512">
      <w:pPr>
        <w:pStyle w:val="Heading1"/>
        <w:rPr>
          <w:rFonts w:ascii="Arial" w:hAnsi="Arial" w:eastAsia="Arial" w:cs="Arial"/>
          <w:sz w:val="32"/>
          <w:szCs w:val="32"/>
        </w:rPr>
      </w:pPr>
      <w:bookmarkStart w:name="_Toc924516252" w:id="442861983"/>
      <w:r w:rsidRPr="6407B060" w:rsidR="0F6C0CAA">
        <w:rPr>
          <w:rFonts w:ascii="Arial" w:hAnsi="Arial" w:eastAsia="Arial" w:cs="Arial"/>
          <w:sz w:val="32"/>
          <w:szCs w:val="32"/>
        </w:rPr>
        <w:t>Appendix</w:t>
      </w:r>
      <w:bookmarkEnd w:id="442861983"/>
    </w:p>
    <w:p w:rsidR="0B70F118" w:rsidP="6407B060" w:rsidRDefault="0B70F118" w14:paraId="2982695E" w14:textId="66ED9B7E">
      <w:pPr>
        <w:pStyle w:val="Normal"/>
      </w:pPr>
      <w:r w:rsidR="0B70F118">
        <w:drawing>
          <wp:inline wp14:editId="2AD069AC" wp14:anchorId="1A912098">
            <wp:extent cx="5724525" cy="4981575"/>
            <wp:effectExtent l="0" t="0" r="0" b="0"/>
            <wp:docPr id="1268826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8826777" name="Picture 1268826777"/>
                    <pic:cNvPicPr/>
                  </pic:nvPicPr>
                  <pic:blipFill>
                    <a:blip xmlns:r="http://schemas.openxmlformats.org/officeDocument/2006/relationships" r:embed="rId1844272403">
                      <a:extLst>
                        <a:ext uri="{28A0092B-C50C-407E-A947-70E740481C1C}">
                          <a14:useLocalDpi xmlns:a14="http://schemas.microsoft.com/office/drawing/2010/main"/>
                        </a:ext>
                      </a:extLst>
                    </a:blip>
                    <a:stretch>
                      <a:fillRect/>
                    </a:stretch>
                  </pic:blipFill>
                  <pic:spPr>
                    <a:xfrm>
                      <a:off x="0" y="0"/>
                      <a:ext cx="5724525" cy="4981575"/>
                    </a:xfrm>
                    <a:prstGeom prst="rect">
                      <a:avLst/>
                    </a:prstGeom>
                  </pic:spPr>
                </pic:pic>
              </a:graphicData>
            </a:graphic>
          </wp:inline>
        </w:drawing>
      </w:r>
      <w:r w:rsidRPr="6407B060" w:rsidR="0B70F118">
        <w:rPr>
          <w:rFonts w:ascii="Arial" w:hAnsi="Arial" w:eastAsia="Arial" w:cs="Arial"/>
          <w:sz w:val="24"/>
          <w:szCs w:val="24"/>
        </w:rPr>
        <w:t>Figure: Income Statement 2020</w:t>
      </w:r>
    </w:p>
    <w:p w:rsidR="3BD536DC" w:rsidP="6407B060" w:rsidRDefault="3BD536DC" w14:paraId="30EC6116" w14:textId="3FFDDC41">
      <w:pPr>
        <w:pStyle w:val="Normal"/>
      </w:pPr>
      <w:r w:rsidR="3BD536DC">
        <w:drawing>
          <wp:inline wp14:editId="42496BCA" wp14:anchorId="64465097">
            <wp:extent cx="5724525" cy="4895850"/>
            <wp:effectExtent l="0" t="0" r="0" b="0"/>
            <wp:docPr id="9046199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4619967" name="Picture 904619967"/>
                    <pic:cNvPicPr/>
                  </pic:nvPicPr>
                  <pic:blipFill>
                    <a:blip xmlns:r="http://schemas.openxmlformats.org/officeDocument/2006/relationships" r:embed="rId224493209">
                      <a:extLst>
                        <a:ext uri="{28A0092B-C50C-407E-A947-70E740481C1C}">
                          <a14:useLocalDpi xmlns:a14="http://schemas.microsoft.com/office/drawing/2010/main"/>
                        </a:ext>
                      </a:extLst>
                    </a:blip>
                    <a:stretch>
                      <a:fillRect/>
                    </a:stretch>
                  </pic:blipFill>
                  <pic:spPr>
                    <a:xfrm>
                      <a:off x="0" y="0"/>
                      <a:ext cx="5724525" cy="4895850"/>
                    </a:xfrm>
                    <a:prstGeom prst="rect">
                      <a:avLst/>
                    </a:prstGeom>
                  </pic:spPr>
                </pic:pic>
              </a:graphicData>
            </a:graphic>
          </wp:inline>
        </w:drawing>
      </w:r>
      <w:r w:rsidRPr="6407B060" w:rsidR="3BD536DC">
        <w:rPr>
          <w:rFonts w:ascii="Arial" w:hAnsi="Arial" w:eastAsia="Arial" w:cs="Arial"/>
          <w:sz w:val="24"/>
          <w:szCs w:val="24"/>
        </w:rPr>
        <w:t>Figure: Income Statement 2021</w:t>
      </w:r>
    </w:p>
    <w:p w:rsidR="3BD536DC" w:rsidP="6407B060" w:rsidRDefault="3BD536DC" w14:paraId="238047FD" w14:textId="09EF78F3">
      <w:pPr>
        <w:pStyle w:val="Normal"/>
      </w:pPr>
      <w:r w:rsidR="3BD536DC">
        <w:drawing>
          <wp:inline wp14:editId="2926D765" wp14:anchorId="14678F43">
            <wp:extent cx="5724525" cy="5076825"/>
            <wp:effectExtent l="0" t="0" r="0" b="0"/>
            <wp:docPr id="5156199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5619938" name="Picture 515619938"/>
                    <pic:cNvPicPr/>
                  </pic:nvPicPr>
                  <pic:blipFill>
                    <a:blip xmlns:r="http://schemas.openxmlformats.org/officeDocument/2006/relationships" r:embed="rId112335665">
                      <a:extLst>
                        <a:ext uri="{28A0092B-C50C-407E-A947-70E740481C1C}">
                          <a14:useLocalDpi xmlns:a14="http://schemas.microsoft.com/office/drawing/2010/main"/>
                        </a:ext>
                      </a:extLst>
                    </a:blip>
                    <a:stretch>
                      <a:fillRect/>
                    </a:stretch>
                  </pic:blipFill>
                  <pic:spPr>
                    <a:xfrm>
                      <a:off x="0" y="0"/>
                      <a:ext cx="5724525" cy="5076825"/>
                    </a:xfrm>
                    <a:prstGeom prst="rect">
                      <a:avLst/>
                    </a:prstGeom>
                  </pic:spPr>
                </pic:pic>
              </a:graphicData>
            </a:graphic>
          </wp:inline>
        </w:drawing>
      </w:r>
      <w:r w:rsidRPr="6407B060" w:rsidR="3BD536DC">
        <w:rPr>
          <w:rFonts w:ascii="Arial" w:hAnsi="Arial" w:eastAsia="Arial" w:cs="Arial"/>
          <w:sz w:val="24"/>
          <w:szCs w:val="24"/>
        </w:rPr>
        <w:t>Figure: Income Statement 2022</w:t>
      </w:r>
    </w:p>
    <w:p w:rsidR="3BD536DC" w:rsidP="6407B060" w:rsidRDefault="3BD536DC" w14:paraId="6390D161" w14:textId="567CD3B1">
      <w:pPr>
        <w:pStyle w:val="Normal"/>
      </w:pPr>
      <w:r w:rsidR="3BD536DC">
        <w:drawing>
          <wp:inline wp14:editId="7E8EF458" wp14:anchorId="49498B7E">
            <wp:extent cx="5724525" cy="4895850"/>
            <wp:effectExtent l="0" t="0" r="0" b="0"/>
            <wp:docPr id="13746257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4625767" name="Picture 1374625767"/>
                    <pic:cNvPicPr/>
                  </pic:nvPicPr>
                  <pic:blipFill>
                    <a:blip xmlns:r="http://schemas.openxmlformats.org/officeDocument/2006/relationships" r:embed="rId787108113">
                      <a:extLst>
                        <a:ext uri="{28A0092B-C50C-407E-A947-70E740481C1C}">
                          <a14:useLocalDpi xmlns:a14="http://schemas.microsoft.com/office/drawing/2010/main"/>
                        </a:ext>
                      </a:extLst>
                    </a:blip>
                    <a:stretch>
                      <a:fillRect/>
                    </a:stretch>
                  </pic:blipFill>
                  <pic:spPr>
                    <a:xfrm>
                      <a:off x="0" y="0"/>
                      <a:ext cx="5724525" cy="4895850"/>
                    </a:xfrm>
                    <a:prstGeom prst="rect">
                      <a:avLst/>
                    </a:prstGeom>
                  </pic:spPr>
                </pic:pic>
              </a:graphicData>
            </a:graphic>
          </wp:inline>
        </w:drawing>
      </w:r>
      <w:r w:rsidRPr="6407B060" w:rsidR="3BD536DC">
        <w:rPr>
          <w:rFonts w:ascii="Arial" w:hAnsi="Arial" w:eastAsia="Arial" w:cs="Arial"/>
          <w:sz w:val="24"/>
          <w:szCs w:val="24"/>
        </w:rPr>
        <w:t>Figure: Income Statement 2023</w:t>
      </w:r>
    </w:p>
    <w:p w:rsidR="3BD536DC" w:rsidP="6407B060" w:rsidRDefault="3BD536DC" w14:paraId="053A6713" w14:textId="19131DC9">
      <w:pPr>
        <w:pStyle w:val="Normal"/>
      </w:pPr>
      <w:r w:rsidR="3BD536DC">
        <w:drawing>
          <wp:inline wp14:editId="54DD7239" wp14:anchorId="68B3BB1F">
            <wp:extent cx="5724525" cy="4695825"/>
            <wp:effectExtent l="0" t="0" r="0" b="0"/>
            <wp:docPr id="17557474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5747473" name="Picture 1755747473"/>
                    <pic:cNvPicPr/>
                  </pic:nvPicPr>
                  <pic:blipFill>
                    <a:blip xmlns:r="http://schemas.openxmlformats.org/officeDocument/2006/relationships" r:embed="rId50694205">
                      <a:extLst>
                        <a:ext uri="{28A0092B-C50C-407E-A947-70E740481C1C}">
                          <a14:useLocalDpi xmlns:a14="http://schemas.microsoft.com/office/drawing/2010/main"/>
                        </a:ext>
                      </a:extLst>
                    </a:blip>
                    <a:stretch>
                      <a:fillRect/>
                    </a:stretch>
                  </pic:blipFill>
                  <pic:spPr>
                    <a:xfrm>
                      <a:off x="0" y="0"/>
                      <a:ext cx="5724525" cy="4695825"/>
                    </a:xfrm>
                    <a:prstGeom prst="rect">
                      <a:avLst/>
                    </a:prstGeom>
                  </pic:spPr>
                </pic:pic>
              </a:graphicData>
            </a:graphic>
          </wp:inline>
        </w:drawing>
      </w:r>
      <w:r w:rsidRPr="6407B060" w:rsidR="3BD536DC">
        <w:rPr>
          <w:rFonts w:ascii="Arial" w:hAnsi="Arial" w:eastAsia="Arial" w:cs="Arial"/>
          <w:sz w:val="24"/>
          <w:szCs w:val="24"/>
        </w:rPr>
        <w:t>Figure: Income Statement 2024</w:t>
      </w:r>
    </w:p>
    <w:p w:rsidR="3BD536DC" w:rsidP="6407B060" w:rsidRDefault="3BD536DC" w14:paraId="46274E72" w14:textId="1FF44422">
      <w:pPr>
        <w:pStyle w:val="Normal"/>
      </w:pPr>
      <w:r w:rsidR="3BD536DC">
        <w:drawing>
          <wp:inline wp14:editId="21ECE765" wp14:anchorId="22B45783">
            <wp:extent cx="5724525" cy="4914900"/>
            <wp:effectExtent l="0" t="0" r="0" b="0"/>
            <wp:docPr id="15847968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4796846" name="Picture 1584796846"/>
                    <pic:cNvPicPr/>
                  </pic:nvPicPr>
                  <pic:blipFill>
                    <a:blip xmlns:r="http://schemas.openxmlformats.org/officeDocument/2006/relationships" r:embed="rId1848592277">
                      <a:extLst>
                        <a:ext uri="{28A0092B-C50C-407E-A947-70E740481C1C}">
                          <a14:useLocalDpi xmlns:a14="http://schemas.microsoft.com/office/drawing/2010/main"/>
                        </a:ext>
                      </a:extLst>
                    </a:blip>
                    <a:stretch>
                      <a:fillRect/>
                    </a:stretch>
                  </pic:blipFill>
                  <pic:spPr>
                    <a:xfrm>
                      <a:off x="0" y="0"/>
                      <a:ext cx="5724525" cy="4914900"/>
                    </a:xfrm>
                    <a:prstGeom prst="rect">
                      <a:avLst/>
                    </a:prstGeom>
                  </pic:spPr>
                </pic:pic>
              </a:graphicData>
            </a:graphic>
          </wp:inline>
        </w:drawing>
      </w:r>
      <w:r w:rsidR="3BD536DC">
        <w:drawing>
          <wp:inline wp14:editId="79413819" wp14:anchorId="53663AFC">
            <wp:extent cx="5724525" cy="4743450"/>
            <wp:effectExtent l="0" t="0" r="0" b="0"/>
            <wp:docPr id="5358302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5830243" name="Picture 535830243"/>
                    <pic:cNvPicPr/>
                  </pic:nvPicPr>
                  <pic:blipFill>
                    <a:blip xmlns:r="http://schemas.openxmlformats.org/officeDocument/2006/relationships" r:embed="rId1523465692">
                      <a:extLst>
                        <a:ext uri="{28A0092B-C50C-407E-A947-70E740481C1C}">
                          <a14:useLocalDpi xmlns:a14="http://schemas.microsoft.com/office/drawing/2010/main"/>
                        </a:ext>
                      </a:extLst>
                    </a:blip>
                    <a:stretch>
                      <a:fillRect/>
                    </a:stretch>
                  </pic:blipFill>
                  <pic:spPr>
                    <a:xfrm>
                      <a:off x="0" y="0"/>
                      <a:ext cx="5724525" cy="4743450"/>
                    </a:xfrm>
                    <a:prstGeom prst="rect">
                      <a:avLst/>
                    </a:prstGeom>
                  </pic:spPr>
                </pic:pic>
              </a:graphicData>
            </a:graphic>
          </wp:inline>
        </w:drawing>
      </w:r>
      <w:r w:rsidRPr="6407B060" w:rsidR="3BD536DC">
        <w:rPr>
          <w:rFonts w:ascii="Arial" w:hAnsi="Arial" w:eastAsia="Arial" w:cs="Arial"/>
          <w:sz w:val="24"/>
          <w:szCs w:val="24"/>
        </w:rPr>
        <w:t>Figure: Balance Sheet 2020</w:t>
      </w:r>
    </w:p>
    <w:p w:rsidR="3BD536DC" w:rsidP="6407B060" w:rsidRDefault="3BD536DC" w14:paraId="21D0543B" w14:textId="7F41425D">
      <w:pPr>
        <w:pStyle w:val="Normal"/>
      </w:pPr>
      <w:r w:rsidR="3BD536DC">
        <w:drawing>
          <wp:inline wp14:editId="65FE783F" wp14:anchorId="6D06B9BA">
            <wp:extent cx="5724525" cy="4895850"/>
            <wp:effectExtent l="0" t="0" r="0" b="0"/>
            <wp:docPr id="1769390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9390607" name="Picture 1769390607"/>
                    <pic:cNvPicPr/>
                  </pic:nvPicPr>
                  <pic:blipFill>
                    <a:blip xmlns:r="http://schemas.openxmlformats.org/officeDocument/2006/relationships" r:embed="rId310023641">
                      <a:extLst>
                        <a:ext uri="{28A0092B-C50C-407E-A947-70E740481C1C}">
                          <a14:useLocalDpi xmlns:a14="http://schemas.microsoft.com/office/drawing/2010/main"/>
                        </a:ext>
                      </a:extLst>
                    </a:blip>
                    <a:stretch>
                      <a:fillRect/>
                    </a:stretch>
                  </pic:blipFill>
                  <pic:spPr>
                    <a:xfrm>
                      <a:off x="0" y="0"/>
                      <a:ext cx="5724525" cy="4895850"/>
                    </a:xfrm>
                    <a:prstGeom prst="rect">
                      <a:avLst/>
                    </a:prstGeom>
                  </pic:spPr>
                </pic:pic>
              </a:graphicData>
            </a:graphic>
          </wp:inline>
        </w:drawing>
      </w:r>
      <w:r w:rsidR="3BD536DC">
        <w:drawing>
          <wp:inline wp14:editId="7860EEA1" wp14:anchorId="55FC0BA2">
            <wp:extent cx="5724525" cy="4352925"/>
            <wp:effectExtent l="0" t="0" r="0" b="0"/>
            <wp:docPr id="10647483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4748325" name="Picture 1064748325"/>
                    <pic:cNvPicPr/>
                  </pic:nvPicPr>
                  <pic:blipFill>
                    <a:blip xmlns:r="http://schemas.openxmlformats.org/officeDocument/2006/relationships" r:embed="rId491872761">
                      <a:extLst>
                        <a:ext uri="{28A0092B-C50C-407E-A947-70E740481C1C}">
                          <a14:useLocalDpi xmlns:a14="http://schemas.microsoft.com/office/drawing/2010/main"/>
                        </a:ext>
                      </a:extLst>
                    </a:blip>
                    <a:stretch>
                      <a:fillRect/>
                    </a:stretch>
                  </pic:blipFill>
                  <pic:spPr>
                    <a:xfrm>
                      <a:off x="0" y="0"/>
                      <a:ext cx="5724525" cy="4352925"/>
                    </a:xfrm>
                    <a:prstGeom prst="rect">
                      <a:avLst/>
                    </a:prstGeom>
                  </pic:spPr>
                </pic:pic>
              </a:graphicData>
            </a:graphic>
          </wp:inline>
        </w:drawing>
      </w:r>
      <w:r w:rsidR="3BD536DC">
        <w:rPr/>
        <w:t>Figure: Balance Sheet 2021</w:t>
      </w:r>
    </w:p>
    <w:p w:rsidR="3BD536DC" w:rsidP="6407B060" w:rsidRDefault="3BD536DC" w14:paraId="36B3EC73" w14:textId="785D24E9">
      <w:pPr>
        <w:pStyle w:val="Normal"/>
      </w:pPr>
      <w:r w:rsidR="3BD536DC">
        <w:drawing>
          <wp:inline wp14:editId="5257F237" wp14:anchorId="30977A3E">
            <wp:extent cx="5724525" cy="5657850"/>
            <wp:effectExtent l="0" t="0" r="0" b="0"/>
            <wp:docPr id="10916606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1660651" name="Picture 1091660651"/>
                    <pic:cNvPicPr/>
                  </pic:nvPicPr>
                  <pic:blipFill>
                    <a:blip xmlns:r="http://schemas.openxmlformats.org/officeDocument/2006/relationships" r:embed="rId228748202">
                      <a:extLst>
                        <a:ext uri="{28A0092B-C50C-407E-A947-70E740481C1C}">
                          <a14:useLocalDpi xmlns:a14="http://schemas.microsoft.com/office/drawing/2010/main"/>
                        </a:ext>
                      </a:extLst>
                    </a:blip>
                    <a:stretch>
                      <a:fillRect/>
                    </a:stretch>
                  </pic:blipFill>
                  <pic:spPr>
                    <a:xfrm>
                      <a:off x="0" y="0"/>
                      <a:ext cx="5724525" cy="5657850"/>
                    </a:xfrm>
                    <a:prstGeom prst="rect">
                      <a:avLst/>
                    </a:prstGeom>
                  </pic:spPr>
                </pic:pic>
              </a:graphicData>
            </a:graphic>
          </wp:inline>
        </w:drawing>
      </w:r>
      <w:r w:rsidR="3BD536DC">
        <w:drawing>
          <wp:inline wp14:editId="5BA2DDB6" wp14:anchorId="24169537">
            <wp:extent cx="5724525" cy="4410075"/>
            <wp:effectExtent l="0" t="0" r="0" b="0"/>
            <wp:docPr id="7410090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1009049" name="Picture 741009049"/>
                    <pic:cNvPicPr/>
                  </pic:nvPicPr>
                  <pic:blipFill>
                    <a:blip xmlns:r="http://schemas.openxmlformats.org/officeDocument/2006/relationships" r:embed="rId940913651">
                      <a:extLst>
                        <a:ext uri="{28A0092B-C50C-407E-A947-70E740481C1C}">
                          <a14:useLocalDpi xmlns:a14="http://schemas.microsoft.com/office/drawing/2010/main"/>
                        </a:ext>
                      </a:extLst>
                    </a:blip>
                    <a:stretch>
                      <a:fillRect/>
                    </a:stretch>
                  </pic:blipFill>
                  <pic:spPr>
                    <a:xfrm>
                      <a:off x="0" y="0"/>
                      <a:ext cx="5724525" cy="4410075"/>
                    </a:xfrm>
                    <a:prstGeom prst="rect">
                      <a:avLst/>
                    </a:prstGeom>
                  </pic:spPr>
                </pic:pic>
              </a:graphicData>
            </a:graphic>
          </wp:inline>
        </w:drawing>
      </w:r>
      <w:r w:rsidR="3BD536DC">
        <w:rPr/>
        <w:t>Figure: Balance Sheet 2022</w:t>
      </w:r>
    </w:p>
    <w:p w:rsidR="3BD536DC" w:rsidP="6407B060" w:rsidRDefault="3BD536DC" w14:paraId="517A093D" w14:textId="373C6F29">
      <w:pPr>
        <w:pStyle w:val="Normal"/>
      </w:pPr>
      <w:r w:rsidR="3BD536DC">
        <w:drawing>
          <wp:inline wp14:editId="1A9D3FC9" wp14:anchorId="6EFE1EC9">
            <wp:extent cx="5724525" cy="4829175"/>
            <wp:effectExtent l="0" t="0" r="0" b="0"/>
            <wp:docPr id="9324580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2458083" name="Picture 932458083"/>
                    <pic:cNvPicPr/>
                  </pic:nvPicPr>
                  <pic:blipFill>
                    <a:blip xmlns:r="http://schemas.openxmlformats.org/officeDocument/2006/relationships" r:embed="rId557412498">
                      <a:extLst>
                        <a:ext uri="{28A0092B-C50C-407E-A947-70E740481C1C}">
                          <a14:useLocalDpi xmlns:a14="http://schemas.microsoft.com/office/drawing/2010/main"/>
                        </a:ext>
                      </a:extLst>
                    </a:blip>
                    <a:stretch>
                      <a:fillRect/>
                    </a:stretch>
                  </pic:blipFill>
                  <pic:spPr>
                    <a:xfrm>
                      <a:off x="0" y="0"/>
                      <a:ext cx="5724525" cy="4829175"/>
                    </a:xfrm>
                    <a:prstGeom prst="rect">
                      <a:avLst/>
                    </a:prstGeom>
                  </pic:spPr>
                </pic:pic>
              </a:graphicData>
            </a:graphic>
          </wp:inline>
        </w:drawing>
      </w:r>
      <w:r w:rsidR="3BD536DC">
        <w:drawing>
          <wp:inline wp14:editId="4B1FFE01" wp14:anchorId="06F50A7D">
            <wp:extent cx="5724525" cy="4533900"/>
            <wp:effectExtent l="0" t="0" r="0" b="0"/>
            <wp:docPr id="10443232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4323246" name="Picture 1044323246"/>
                    <pic:cNvPicPr/>
                  </pic:nvPicPr>
                  <pic:blipFill>
                    <a:blip xmlns:r="http://schemas.openxmlformats.org/officeDocument/2006/relationships" r:embed="rId1726125638">
                      <a:extLst>
                        <a:ext uri="{28A0092B-C50C-407E-A947-70E740481C1C}">
                          <a14:useLocalDpi xmlns:a14="http://schemas.microsoft.com/office/drawing/2010/main"/>
                        </a:ext>
                      </a:extLst>
                    </a:blip>
                    <a:stretch>
                      <a:fillRect/>
                    </a:stretch>
                  </pic:blipFill>
                  <pic:spPr>
                    <a:xfrm>
                      <a:off x="0" y="0"/>
                      <a:ext cx="5724525" cy="4533900"/>
                    </a:xfrm>
                    <a:prstGeom prst="rect">
                      <a:avLst/>
                    </a:prstGeom>
                  </pic:spPr>
                </pic:pic>
              </a:graphicData>
            </a:graphic>
          </wp:inline>
        </w:drawing>
      </w:r>
      <w:r w:rsidR="3BD536DC">
        <w:rPr/>
        <w:t>Figure: Balance Sheet 2023</w:t>
      </w:r>
    </w:p>
    <w:p w:rsidR="3BD536DC" w:rsidP="6407B060" w:rsidRDefault="3BD536DC" w14:paraId="1FF7B9C3" w14:textId="7ACB256D">
      <w:pPr>
        <w:pStyle w:val="Normal"/>
      </w:pPr>
      <w:r w:rsidR="3BD536DC">
        <w:drawing>
          <wp:inline wp14:editId="5C6B558F" wp14:anchorId="55ED7943">
            <wp:extent cx="5724525" cy="4886325"/>
            <wp:effectExtent l="0" t="0" r="0" b="0"/>
            <wp:docPr id="621185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1185042" name="Picture 621185042"/>
                    <pic:cNvPicPr/>
                  </pic:nvPicPr>
                  <pic:blipFill>
                    <a:blip xmlns:r="http://schemas.openxmlformats.org/officeDocument/2006/relationships" r:embed="rId361883053">
                      <a:extLst>
                        <a:ext uri="{28A0092B-C50C-407E-A947-70E740481C1C}">
                          <a14:useLocalDpi xmlns:a14="http://schemas.microsoft.com/office/drawing/2010/main"/>
                        </a:ext>
                      </a:extLst>
                    </a:blip>
                    <a:stretch>
                      <a:fillRect/>
                    </a:stretch>
                  </pic:blipFill>
                  <pic:spPr>
                    <a:xfrm>
                      <a:off x="0" y="0"/>
                      <a:ext cx="5724525" cy="4886325"/>
                    </a:xfrm>
                    <a:prstGeom prst="rect">
                      <a:avLst/>
                    </a:prstGeom>
                  </pic:spPr>
                </pic:pic>
              </a:graphicData>
            </a:graphic>
          </wp:inline>
        </w:drawing>
      </w:r>
      <w:r w:rsidR="3BD536DC">
        <w:drawing>
          <wp:inline wp14:editId="0F61CBA9" wp14:anchorId="7F4886B1">
            <wp:extent cx="5724525" cy="4486275"/>
            <wp:effectExtent l="0" t="0" r="0" b="0"/>
            <wp:docPr id="2457465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5746513" name="Picture 245746513"/>
                    <pic:cNvPicPr/>
                  </pic:nvPicPr>
                  <pic:blipFill>
                    <a:blip xmlns:r="http://schemas.openxmlformats.org/officeDocument/2006/relationships" r:embed="rId2058905125">
                      <a:extLst>
                        <a:ext uri="{28A0092B-C50C-407E-A947-70E740481C1C}">
                          <a14:useLocalDpi xmlns:a14="http://schemas.microsoft.com/office/drawing/2010/main"/>
                        </a:ext>
                      </a:extLst>
                    </a:blip>
                    <a:stretch>
                      <a:fillRect/>
                    </a:stretch>
                  </pic:blipFill>
                  <pic:spPr>
                    <a:xfrm>
                      <a:off x="0" y="0"/>
                      <a:ext cx="5724525" cy="4486275"/>
                    </a:xfrm>
                    <a:prstGeom prst="rect">
                      <a:avLst/>
                    </a:prstGeom>
                  </pic:spPr>
                </pic:pic>
              </a:graphicData>
            </a:graphic>
          </wp:inline>
        </w:drawing>
      </w:r>
      <w:r w:rsidRPr="6407B060" w:rsidR="3BD536DC">
        <w:rPr>
          <w:rFonts w:ascii="Arial" w:hAnsi="Arial" w:eastAsia="Arial" w:cs="Arial"/>
          <w:sz w:val="24"/>
          <w:szCs w:val="24"/>
        </w:rPr>
        <w:t>Figure: Balance Sheet 2024</w:t>
      </w:r>
    </w:p>
    <w:p w:rsidR="02E5F729" w:rsidP="6407B060" w:rsidRDefault="02E5F729" w14:paraId="0842F3BA" w14:textId="090C8833">
      <w:pPr>
        <w:pStyle w:val="Normal"/>
      </w:pPr>
      <w:r w:rsidR="02E5F729">
        <w:drawing>
          <wp:inline wp14:editId="109FFD2D" wp14:anchorId="637E7FFD">
            <wp:extent cx="5276850" cy="5724525"/>
            <wp:effectExtent l="0" t="0" r="0" b="0"/>
            <wp:docPr id="16063470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6347002" name="Picture 1606347002"/>
                    <pic:cNvPicPr/>
                  </pic:nvPicPr>
                  <pic:blipFill>
                    <a:blip xmlns:r="http://schemas.openxmlformats.org/officeDocument/2006/relationships" r:embed="rId473696777">
                      <a:extLst>
                        <a:ext uri="{28A0092B-C50C-407E-A947-70E740481C1C}">
                          <a14:useLocalDpi xmlns:a14="http://schemas.microsoft.com/office/drawing/2010/main"/>
                        </a:ext>
                      </a:extLst>
                    </a:blip>
                    <a:stretch>
                      <a:fillRect/>
                    </a:stretch>
                  </pic:blipFill>
                  <pic:spPr>
                    <a:xfrm>
                      <a:off x="0" y="0"/>
                      <a:ext cx="5276850" cy="5724525"/>
                    </a:xfrm>
                    <a:prstGeom prst="rect">
                      <a:avLst/>
                    </a:prstGeom>
                  </pic:spPr>
                </pic:pic>
              </a:graphicData>
            </a:graphic>
          </wp:inline>
        </w:drawing>
      </w:r>
    </w:p>
    <w:p w:rsidR="02E5F729" w:rsidP="6407B060" w:rsidRDefault="02E5F729" w14:paraId="49ED4890" w14:textId="28997A0D">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r w:rsidRPr="6407B060" w:rsidR="02E5F729">
        <w:rPr>
          <w:rFonts w:ascii="Arial" w:hAnsi="Arial" w:eastAsia="Arial" w:cs="Arial"/>
          <w:sz w:val="24"/>
          <w:szCs w:val="24"/>
        </w:rPr>
        <w:t>Figure: Cash Flow Statement 2020</w:t>
      </w:r>
    </w:p>
    <w:p w:rsidR="69CDD1B3" w:rsidP="6407B060" w:rsidRDefault="69CDD1B3" w14:paraId="6E62084D" w14:textId="5824244D">
      <w:pPr>
        <w:pStyle w:val="Normal"/>
        <w:bidi w:val="0"/>
        <w:spacing w:before="0" w:beforeAutospacing="off" w:after="160" w:afterAutospacing="off" w:line="259" w:lineRule="auto"/>
        <w:ind w:left="0" w:right="0"/>
        <w:jc w:val="left"/>
      </w:pPr>
      <w:r w:rsidR="69CDD1B3">
        <w:drawing>
          <wp:inline wp14:editId="052058C1" wp14:anchorId="4FFAF84E">
            <wp:extent cx="5238750" cy="5724525"/>
            <wp:effectExtent l="0" t="0" r="0" b="0"/>
            <wp:docPr id="236456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6456762" name="Picture 236456762"/>
                    <pic:cNvPicPr/>
                  </pic:nvPicPr>
                  <pic:blipFill>
                    <a:blip xmlns:r="http://schemas.openxmlformats.org/officeDocument/2006/relationships" r:embed="rId2105034955">
                      <a:extLst>
                        <a:ext uri="{28A0092B-C50C-407E-A947-70E740481C1C}">
                          <a14:useLocalDpi xmlns:a14="http://schemas.microsoft.com/office/drawing/2010/main"/>
                        </a:ext>
                      </a:extLst>
                    </a:blip>
                    <a:stretch>
                      <a:fillRect/>
                    </a:stretch>
                  </pic:blipFill>
                  <pic:spPr>
                    <a:xfrm>
                      <a:off x="0" y="0"/>
                      <a:ext cx="5238750" cy="5724525"/>
                    </a:xfrm>
                    <a:prstGeom prst="rect">
                      <a:avLst/>
                    </a:prstGeom>
                  </pic:spPr>
                </pic:pic>
              </a:graphicData>
            </a:graphic>
          </wp:inline>
        </w:drawing>
      </w:r>
    </w:p>
    <w:p w:rsidR="69CDD1B3" w:rsidP="6407B060" w:rsidRDefault="69CDD1B3" w14:paraId="58F033CF" w14:textId="651ED97E">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r w:rsidRPr="6407B060" w:rsidR="69CDD1B3">
        <w:rPr>
          <w:rFonts w:ascii="Arial" w:hAnsi="Arial" w:eastAsia="Arial" w:cs="Arial"/>
          <w:sz w:val="24"/>
          <w:szCs w:val="24"/>
        </w:rPr>
        <w:t>Figure: Cash Flow Statement 2021</w:t>
      </w:r>
    </w:p>
    <w:p w:rsidR="44DE3481" w:rsidP="6407B060" w:rsidRDefault="44DE3481" w14:paraId="21ECD928" w14:textId="4B293BC9">
      <w:pPr>
        <w:pStyle w:val="Normal"/>
        <w:bidi w:val="0"/>
        <w:spacing w:before="0" w:beforeAutospacing="off" w:after="160" w:afterAutospacing="off" w:line="259" w:lineRule="auto"/>
        <w:ind w:left="0" w:right="0"/>
        <w:jc w:val="left"/>
      </w:pPr>
      <w:r w:rsidR="44DE3481">
        <w:drawing>
          <wp:inline wp14:editId="07A662D1" wp14:anchorId="3CA39841">
            <wp:extent cx="4619625" cy="5724525"/>
            <wp:effectExtent l="0" t="0" r="0" b="0"/>
            <wp:docPr id="122719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719445" name="Picture 122719445"/>
                    <pic:cNvPicPr/>
                  </pic:nvPicPr>
                  <pic:blipFill>
                    <a:blip xmlns:r="http://schemas.openxmlformats.org/officeDocument/2006/relationships" r:embed="rId291834492">
                      <a:extLst>
                        <a:ext uri="{28A0092B-C50C-407E-A947-70E740481C1C}">
                          <a14:useLocalDpi xmlns:a14="http://schemas.microsoft.com/office/drawing/2010/main"/>
                        </a:ext>
                      </a:extLst>
                    </a:blip>
                    <a:stretch>
                      <a:fillRect/>
                    </a:stretch>
                  </pic:blipFill>
                  <pic:spPr>
                    <a:xfrm>
                      <a:off x="0" y="0"/>
                      <a:ext cx="4619625" cy="5724525"/>
                    </a:xfrm>
                    <a:prstGeom prst="rect">
                      <a:avLst/>
                    </a:prstGeom>
                  </pic:spPr>
                </pic:pic>
              </a:graphicData>
            </a:graphic>
          </wp:inline>
        </w:drawing>
      </w:r>
    </w:p>
    <w:p w:rsidR="44DE3481" w:rsidP="6407B060" w:rsidRDefault="44DE3481" w14:paraId="4D7AC714" w14:textId="09EF3C27">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r w:rsidRPr="6407B060" w:rsidR="44DE3481">
        <w:rPr>
          <w:rFonts w:ascii="Arial" w:hAnsi="Arial" w:eastAsia="Arial" w:cs="Arial"/>
          <w:sz w:val="24"/>
          <w:szCs w:val="24"/>
        </w:rPr>
        <w:t>Figure: Cash Flow Statement 2022</w:t>
      </w:r>
    </w:p>
    <w:p w:rsidR="2D6BC18B" w:rsidP="6407B060" w:rsidRDefault="2D6BC18B" w14:paraId="1CC8E886" w14:textId="7A4023D6">
      <w:pPr>
        <w:pStyle w:val="Normal"/>
        <w:bidi w:val="0"/>
        <w:spacing w:before="0" w:beforeAutospacing="off" w:after="160" w:afterAutospacing="off" w:line="259" w:lineRule="auto"/>
        <w:ind w:left="0" w:right="0"/>
        <w:jc w:val="left"/>
      </w:pPr>
      <w:r w:rsidR="2D6BC18B">
        <w:drawing>
          <wp:inline wp14:editId="5D421D00" wp14:anchorId="796E8C3C">
            <wp:extent cx="4467225" cy="5724525"/>
            <wp:effectExtent l="0" t="0" r="0" b="0"/>
            <wp:docPr id="6800557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0055747" name="Picture 680055747"/>
                    <pic:cNvPicPr/>
                  </pic:nvPicPr>
                  <pic:blipFill>
                    <a:blip xmlns:r="http://schemas.openxmlformats.org/officeDocument/2006/relationships" r:embed="rId1838145845">
                      <a:extLst>
                        <a:ext uri="{28A0092B-C50C-407E-A947-70E740481C1C}">
                          <a14:useLocalDpi xmlns:a14="http://schemas.microsoft.com/office/drawing/2010/main"/>
                        </a:ext>
                      </a:extLst>
                    </a:blip>
                    <a:stretch>
                      <a:fillRect/>
                    </a:stretch>
                  </pic:blipFill>
                  <pic:spPr>
                    <a:xfrm>
                      <a:off x="0" y="0"/>
                      <a:ext cx="4467225" cy="5724525"/>
                    </a:xfrm>
                    <a:prstGeom prst="rect">
                      <a:avLst/>
                    </a:prstGeom>
                  </pic:spPr>
                </pic:pic>
              </a:graphicData>
            </a:graphic>
          </wp:inline>
        </w:drawing>
      </w:r>
    </w:p>
    <w:p w:rsidR="2D6BC18B" w:rsidP="6407B060" w:rsidRDefault="2D6BC18B" w14:paraId="477C1675" w14:textId="52EB3C75">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r w:rsidRPr="6407B060" w:rsidR="2D6BC18B">
        <w:rPr>
          <w:rFonts w:ascii="Arial" w:hAnsi="Arial" w:eastAsia="Arial" w:cs="Arial"/>
          <w:sz w:val="24"/>
          <w:szCs w:val="24"/>
        </w:rPr>
        <w:t>Figure: Cash Flow Statement 2023</w:t>
      </w:r>
    </w:p>
    <w:p w:rsidR="6A2242DE" w:rsidP="6407B060" w:rsidRDefault="6A2242DE" w14:paraId="711620BC" w14:textId="2BA55022">
      <w:pPr>
        <w:pStyle w:val="Normal"/>
        <w:bidi w:val="0"/>
        <w:spacing w:before="0" w:beforeAutospacing="off" w:after="160" w:afterAutospacing="off" w:line="259" w:lineRule="auto"/>
        <w:ind w:left="0" w:right="0"/>
        <w:jc w:val="left"/>
      </w:pPr>
      <w:r w:rsidR="6A2242DE">
        <w:drawing>
          <wp:inline wp14:editId="4294C4B0" wp14:anchorId="525C8FA0">
            <wp:extent cx="4905375" cy="5724525"/>
            <wp:effectExtent l="0" t="0" r="0" b="0"/>
            <wp:docPr id="7360977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6097703" name="Picture 736097703"/>
                    <pic:cNvPicPr/>
                  </pic:nvPicPr>
                  <pic:blipFill>
                    <a:blip xmlns:r="http://schemas.openxmlformats.org/officeDocument/2006/relationships" r:embed="rId1890194762">
                      <a:extLst>
                        <a:ext uri="{28A0092B-C50C-407E-A947-70E740481C1C}">
                          <a14:useLocalDpi xmlns:a14="http://schemas.microsoft.com/office/drawing/2010/main"/>
                        </a:ext>
                      </a:extLst>
                    </a:blip>
                    <a:stretch>
                      <a:fillRect/>
                    </a:stretch>
                  </pic:blipFill>
                  <pic:spPr>
                    <a:xfrm>
                      <a:off x="0" y="0"/>
                      <a:ext cx="4905375" cy="5724525"/>
                    </a:xfrm>
                    <a:prstGeom prst="rect">
                      <a:avLst/>
                    </a:prstGeom>
                  </pic:spPr>
                </pic:pic>
              </a:graphicData>
            </a:graphic>
          </wp:inline>
        </w:drawing>
      </w:r>
    </w:p>
    <w:p w:rsidR="6A2242DE" w:rsidP="6407B060" w:rsidRDefault="6A2242DE" w14:paraId="059F45B0" w14:textId="22205876">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r w:rsidRPr="6407B060" w:rsidR="6A2242DE">
        <w:rPr>
          <w:rFonts w:ascii="Arial" w:hAnsi="Arial" w:eastAsia="Arial" w:cs="Arial"/>
          <w:sz w:val="24"/>
          <w:szCs w:val="24"/>
        </w:rPr>
        <w:t>Figure: Cash Flow Statement 2024</w:t>
      </w:r>
    </w:p>
    <w:p w:rsidR="0B55D263" w:rsidP="6407B060" w:rsidRDefault="0B55D263" w14:paraId="164D98B1" w14:textId="7017030D">
      <w:pPr>
        <w:pStyle w:val="Normal"/>
        <w:bidi w:val="0"/>
        <w:spacing w:before="0" w:beforeAutospacing="off" w:after="160" w:afterAutospacing="off" w:line="259" w:lineRule="auto"/>
        <w:ind w:left="0" w:right="0"/>
        <w:jc w:val="left"/>
        <w:rPr>
          <w:rFonts w:ascii="Arial" w:hAnsi="Arial" w:eastAsia="Arial" w:cs="Arial"/>
          <w:sz w:val="24"/>
          <w:szCs w:val="24"/>
        </w:rPr>
      </w:pPr>
      <w:r w:rsidRPr="6407B060" w:rsidR="0B55D263">
        <w:rPr>
          <w:rFonts w:ascii="Arial" w:hAnsi="Arial" w:eastAsia="Arial" w:cs="Arial"/>
          <w:b w:val="1"/>
          <w:bCs w:val="1"/>
          <w:sz w:val="24"/>
          <w:szCs w:val="24"/>
        </w:rPr>
        <w:t>1.1.1</w:t>
      </w:r>
      <w:r w:rsidRPr="6407B060" w:rsidR="0732F9B6">
        <w:rPr>
          <w:rFonts w:ascii="Arial" w:hAnsi="Arial" w:eastAsia="Arial" w:cs="Arial"/>
          <w:b w:val="1"/>
          <w:bCs w:val="1"/>
          <w:sz w:val="24"/>
          <w:szCs w:val="24"/>
        </w:rPr>
        <w:t xml:space="preserve"> Volkswagen Group`s Return on Capital Employed</w:t>
      </w:r>
      <w:r w:rsidRPr="6407B060" w:rsidR="0732F9B6">
        <w:rPr>
          <w:rFonts w:ascii="Arial" w:hAnsi="Arial" w:eastAsia="Arial" w:cs="Arial"/>
          <w:sz w:val="24"/>
          <w:szCs w:val="24"/>
        </w:rPr>
        <w:t xml:space="preserve"> </w:t>
      </w:r>
      <w:r w:rsidRPr="6407B060" w:rsidR="0732F9B6">
        <w:rPr>
          <w:rFonts w:ascii="Arial" w:hAnsi="Arial" w:eastAsia="Arial" w:cs="Arial"/>
          <w:b w:val="1"/>
          <w:bCs w:val="1"/>
          <w:sz w:val="24"/>
          <w:szCs w:val="24"/>
        </w:rPr>
        <w:t>(ROCE)</w:t>
      </w:r>
      <w:r w:rsidRPr="6407B060" w:rsidR="0AB07FFB">
        <w:rPr>
          <w:rFonts w:ascii="Arial" w:hAnsi="Arial" w:eastAsia="Arial" w:cs="Arial"/>
          <w:b w:val="1"/>
          <w:bCs w:val="1"/>
          <w:sz w:val="24"/>
          <w:szCs w:val="24"/>
        </w:rPr>
        <w:t xml:space="preserve"> </w:t>
      </w:r>
      <w:r w:rsidRPr="6407B060" w:rsidR="0AB07FFB">
        <w:rPr>
          <w:rFonts w:ascii="Arial" w:hAnsi="Arial" w:eastAsia="Arial" w:cs="Arial"/>
          <w:sz w:val="24"/>
          <w:szCs w:val="24"/>
        </w:rPr>
        <w:t>Calculation (2020 – 2024):</w:t>
      </w:r>
    </w:p>
    <w:p w:rsidR="0BDD41DF" w:rsidP="6407B060" w:rsidRDefault="0BDD41DF" w14:paraId="3790906C" w14:textId="76762209">
      <w:pPr>
        <w:pStyle w:val="Normal"/>
        <w:rPr>
          <w:rFonts w:ascii="Arial" w:hAnsi="Arial" w:eastAsia="Arial" w:cs="Arial"/>
          <w:sz w:val="24"/>
          <w:szCs w:val="24"/>
        </w:rPr>
      </w:pPr>
      <w:r w:rsidRPr="6407B060" w:rsidR="0BDD41DF">
        <w:rPr>
          <w:rFonts w:ascii="Arial" w:hAnsi="Arial" w:eastAsia="Arial" w:cs="Arial"/>
          <w:sz w:val="24"/>
          <w:szCs w:val="24"/>
        </w:rPr>
        <w:t xml:space="preserve">Note: All figures in € millions unless otherwise stated  </w:t>
      </w:r>
    </w:p>
    <w:p w:rsidR="0732F9B6" w:rsidP="6407B060" w:rsidRDefault="0732F9B6" w14:paraId="515BE028" w14:textId="0A07CE15">
      <w:pPr>
        <w:pStyle w:val="Normal"/>
        <w:bidi w:val="0"/>
        <w:jc w:val="both"/>
        <w:rPr>
          <w:rFonts w:ascii="Arial" w:hAnsi="Arial" w:eastAsia="Arial" w:cs="Arial"/>
          <w:sz w:val="24"/>
          <w:szCs w:val="24"/>
        </w:rPr>
      </w:pPr>
      <w:r w:rsidRPr="6407B060" w:rsidR="0732F9B6">
        <w:rPr>
          <w:rFonts w:ascii="Arial" w:hAnsi="Arial" w:eastAsia="Arial" w:cs="Arial"/>
          <w:sz w:val="24"/>
          <w:szCs w:val="24"/>
        </w:rPr>
        <w:t>2020: 11667 ÷ (497114 – 165410) ×100%= 11667÷ 331704 × 100%= 3.5%</w:t>
      </w:r>
    </w:p>
    <w:p w:rsidR="0732F9B6" w:rsidP="6407B060" w:rsidRDefault="0732F9B6" w14:paraId="1F879AB3" w14:textId="1093E32A">
      <w:pPr>
        <w:pStyle w:val="Normal"/>
        <w:bidi w:val="0"/>
        <w:jc w:val="both"/>
        <w:rPr>
          <w:rFonts w:ascii="Arial" w:hAnsi="Arial" w:eastAsia="Arial" w:cs="Arial"/>
          <w:sz w:val="24"/>
          <w:szCs w:val="24"/>
        </w:rPr>
      </w:pPr>
      <w:r w:rsidRPr="6407B060" w:rsidR="0732F9B6">
        <w:rPr>
          <w:rFonts w:ascii="Arial" w:hAnsi="Arial" w:eastAsia="Arial" w:cs="Arial"/>
          <w:sz w:val="24"/>
          <w:szCs w:val="24"/>
        </w:rPr>
        <w:t>2021: 20126 ÷ (528609 – 164393) ×100%= 20126 ÷ 364216 ×100%= 5.5%</w:t>
      </w:r>
    </w:p>
    <w:p w:rsidR="0732F9B6" w:rsidP="6407B060" w:rsidRDefault="0732F9B6" w14:paraId="6823BBE1" w14:textId="4BABB904">
      <w:pPr>
        <w:pStyle w:val="Normal"/>
        <w:bidi w:val="0"/>
        <w:jc w:val="both"/>
        <w:rPr>
          <w:rFonts w:ascii="Arial" w:hAnsi="Arial" w:eastAsia="Arial" w:cs="Arial"/>
          <w:sz w:val="24"/>
          <w:szCs w:val="24"/>
        </w:rPr>
      </w:pPr>
      <w:r w:rsidRPr="6407B060" w:rsidR="0732F9B6">
        <w:rPr>
          <w:rFonts w:ascii="Arial" w:hAnsi="Arial" w:eastAsia="Arial" w:cs="Arial"/>
          <w:sz w:val="24"/>
          <w:szCs w:val="24"/>
        </w:rPr>
        <w:t>2022: 15836 ÷ (564772 – 182992) ×100%= 15836 ÷381780 ×100%= 4.1%</w:t>
      </w:r>
    </w:p>
    <w:p w:rsidR="0732F9B6" w:rsidP="6407B060" w:rsidRDefault="0732F9B6" w14:paraId="7D274E12" w14:textId="453239DD">
      <w:pPr>
        <w:pStyle w:val="Normal"/>
        <w:bidi w:val="0"/>
        <w:jc w:val="both"/>
        <w:rPr>
          <w:rFonts w:ascii="Arial" w:hAnsi="Arial" w:eastAsia="Arial" w:cs="Arial"/>
          <w:sz w:val="24"/>
          <w:szCs w:val="24"/>
        </w:rPr>
      </w:pPr>
      <w:r w:rsidRPr="6407B060" w:rsidR="0732F9B6">
        <w:rPr>
          <w:rFonts w:ascii="Arial" w:hAnsi="Arial" w:eastAsia="Arial" w:cs="Arial"/>
          <w:sz w:val="24"/>
          <w:szCs w:val="24"/>
        </w:rPr>
        <w:t>2023: 17928 ÷ (600338 – 205874) ×100%= 17928 ÷ 394464 ×100%= 4.5%</w:t>
      </w:r>
    </w:p>
    <w:p w:rsidR="0732F9B6" w:rsidP="6407B060" w:rsidRDefault="0732F9B6" w14:paraId="4B864447" w14:textId="309FDAFE">
      <w:pPr>
        <w:pStyle w:val="Normal"/>
        <w:bidi w:val="0"/>
        <w:jc w:val="both"/>
        <w:rPr>
          <w:rFonts w:ascii="Arial" w:hAnsi="Arial" w:eastAsia="Arial" w:cs="Arial"/>
          <w:sz w:val="24"/>
          <w:szCs w:val="24"/>
        </w:rPr>
      </w:pPr>
      <w:r w:rsidRPr="6407B060" w:rsidR="0732F9B6">
        <w:rPr>
          <w:rFonts w:ascii="Arial" w:hAnsi="Arial" w:eastAsia="Arial" w:cs="Arial"/>
          <w:sz w:val="24"/>
          <w:szCs w:val="24"/>
        </w:rPr>
        <w:t>2024: 168806 ÷ (632905 – 217039) ×100%= 16806 ÷ 415866 × 100%= 4%</w:t>
      </w:r>
    </w:p>
    <w:p w:rsidR="0F6C0CAA" w:rsidP="6407B060" w:rsidRDefault="0F6C0CAA" w14:paraId="433F120E" w14:textId="388F0FE9">
      <w:pPr>
        <w:pStyle w:val="Normal"/>
        <w:rPr>
          <w:rFonts w:ascii="Arial" w:hAnsi="Arial" w:eastAsia="Arial" w:cs="Arial"/>
          <w:sz w:val="24"/>
          <w:szCs w:val="24"/>
        </w:rPr>
      </w:pPr>
      <w:r w:rsidRPr="6407B060" w:rsidR="0F6C0CAA">
        <w:rPr>
          <w:rFonts w:ascii="Arial" w:hAnsi="Arial" w:eastAsia="Arial" w:cs="Arial"/>
          <w:b w:val="1"/>
          <w:bCs w:val="1"/>
          <w:sz w:val="24"/>
          <w:szCs w:val="24"/>
        </w:rPr>
        <w:t>1.1.</w:t>
      </w:r>
      <w:r w:rsidRPr="6407B060" w:rsidR="2B41CD94">
        <w:rPr>
          <w:rFonts w:ascii="Arial" w:hAnsi="Arial" w:eastAsia="Arial" w:cs="Arial"/>
          <w:b w:val="1"/>
          <w:bCs w:val="1"/>
          <w:sz w:val="24"/>
          <w:szCs w:val="24"/>
        </w:rPr>
        <w:t xml:space="preserve">2 </w:t>
      </w:r>
      <w:r w:rsidRPr="6407B060" w:rsidR="0F6C0CAA">
        <w:rPr>
          <w:rFonts w:ascii="Arial" w:hAnsi="Arial" w:eastAsia="Arial" w:cs="Arial"/>
          <w:b w:val="1"/>
          <w:bCs w:val="1"/>
          <w:sz w:val="24"/>
          <w:szCs w:val="24"/>
        </w:rPr>
        <w:t xml:space="preserve">Return on </w:t>
      </w:r>
      <w:r w:rsidRPr="6407B060" w:rsidR="6E3FB158">
        <w:rPr>
          <w:rFonts w:ascii="Arial" w:hAnsi="Arial" w:eastAsia="Arial" w:cs="Arial"/>
          <w:b w:val="1"/>
          <w:bCs w:val="1"/>
          <w:sz w:val="24"/>
          <w:szCs w:val="24"/>
        </w:rPr>
        <w:t>Equity</w:t>
      </w:r>
      <w:r w:rsidRPr="6407B060" w:rsidR="0F6C0CAA">
        <w:rPr>
          <w:rFonts w:ascii="Arial" w:hAnsi="Arial" w:eastAsia="Arial" w:cs="Arial"/>
          <w:b w:val="1"/>
          <w:bCs w:val="1"/>
          <w:sz w:val="24"/>
          <w:szCs w:val="24"/>
        </w:rPr>
        <w:t xml:space="preserve"> (ROE)</w:t>
      </w:r>
      <w:r w:rsidRPr="6407B060" w:rsidR="4CC7095E">
        <w:rPr>
          <w:rFonts w:ascii="Arial" w:hAnsi="Arial" w:eastAsia="Arial" w:cs="Arial"/>
          <w:b w:val="1"/>
          <w:bCs w:val="1"/>
          <w:sz w:val="24"/>
          <w:szCs w:val="24"/>
        </w:rPr>
        <w:t xml:space="preserve"> </w:t>
      </w:r>
      <w:r w:rsidRPr="6407B060" w:rsidR="4CC7095E">
        <w:rPr>
          <w:rFonts w:ascii="Arial" w:hAnsi="Arial" w:eastAsia="Arial" w:cs="Arial"/>
          <w:sz w:val="24"/>
          <w:szCs w:val="24"/>
        </w:rPr>
        <w:t>Calculation:</w:t>
      </w:r>
    </w:p>
    <w:p w:rsidR="522ED1BC" w:rsidP="6407B060" w:rsidRDefault="522ED1BC" w14:paraId="7A539CEE" w14:textId="1D24442D">
      <w:pPr>
        <w:pStyle w:val="Normal"/>
        <w:bidi w:val="0"/>
        <w:jc w:val="both"/>
        <w:rPr>
          <w:rFonts w:ascii="Arial" w:hAnsi="Arial" w:eastAsia="Arial" w:cs="Arial"/>
          <w:sz w:val="24"/>
          <w:szCs w:val="24"/>
        </w:rPr>
      </w:pPr>
      <w:r w:rsidRPr="6407B060" w:rsidR="522ED1BC">
        <w:rPr>
          <w:rFonts w:ascii="Arial" w:hAnsi="Arial" w:eastAsia="Arial" w:cs="Arial"/>
          <w:sz w:val="24"/>
          <w:szCs w:val="24"/>
        </w:rPr>
        <w:t>Volkswagen Group`s</w:t>
      </w:r>
      <w:r w:rsidRPr="6407B060" w:rsidR="0F6C0CAA">
        <w:rPr>
          <w:rFonts w:ascii="Arial" w:hAnsi="Arial" w:eastAsia="Arial" w:cs="Arial"/>
          <w:sz w:val="24"/>
          <w:szCs w:val="24"/>
        </w:rPr>
        <w:t xml:space="preserve"> ROE </w:t>
      </w:r>
      <w:r w:rsidRPr="6407B060" w:rsidR="375561B6">
        <w:rPr>
          <w:rFonts w:ascii="Arial" w:hAnsi="Arial" w:eastAsia="Arial" w:cs="Arial"/>
          <w:sz w:val="24"/>
          <w:szCs w:val="24"/>
        </w:rPr>
        <w:t>between</w:t>
      </w:r>
      <w:r w:rsidRPr="6407B060" w:rsidR="0F6C0CAA">
        <w:rPr>
          <w:rFonts w:ascii="Arial" w:hAnsi="Arial" w:eastAsia="Arial" w:cs="Arial"/>
          <w:sz w:val="24"/>
          <w:szCs w:val="24"/>
        </w:rPr>
        <w:t xml:space="preserve"> 2020</w:t>
      </w:r>
      <w:r w:rsidRPr="6407B060" w:rsidR="099EB537">
        <w:rPr>
          <w:rFonts w:ascii="Arial" w:hAnsi="Arial" w:eastAsia="Arial" w:cs="Arial"/>
          <w:sz w:val="24"/>
          <w:szCs w:val="24"/>
        </w:rPr>
        <w:t xml:space="preserve"> </w:t>
      </w:r>
      <w:r w:rsidRPr="6407B060" w:rsidR="4D0EF9CC">
        <w:rPr>
          <w:rFonts w:ascii="Arial" w:hAnsi="Arial" w:eastAsia="Arial" w:cs="Arial"/>
          <w:sz w:val="24"/>
          <w:szCs w:val="24"/>
        </w:rPr>
        <w:t>and</w:t>
      </w:r>
      <w:r w:rsidRPr="6407B060" w:rsidR="0F6C0CAA">
        <w:rPr>
          <w:rFonts w:ascii="Arial" w:hAnsi="Arial" w:eastAsia="Arial" w:cs="Arial"/>
          <w:sz w:val="24"/>
          <w:szCs w:val="24"/>
        </w:rPr>
        <w:t xml:space="preserve"> 2024:</w:t>
      </w:r>
    </w:p>
    <w:p w:rsidR="0F6C0CAA" w:rsidP="6407B060" w:rsidRDefault="0F6C0CAA" w14:paraId="0B8696BD" w14:textId="6257B8BE">
      <w:pPr>
        <w:pStyle w:val="Normal"/>
        <w:bidi w:val="0"/>
        <w:jc w:val="both"/>
        <w:rPr>
          <w:rFonts w:ascii="Arial" w:hAnsi="Arial" w:eastAsia="Arial" w:cs="Arial"/>
          <w:sz w:val="24"/>
          <w:szCs w:val="24"/>
        </w:rPr>
      </w:pPr>
      <w:r w:rsidRPr="6407B060" w:rsidR="0F6C0CAA">
        <w:rPr>
          <w:rFonts w:ascii="Arial" w:hAnsi="Arial" w:eastAsia="Arial" w:cs="Arial"/>
          <w:sz w:val="24"/>
          <w:szCs w:val="24"/>
        </w:rPr>
        <w:t>2020: 8824÷128783 ×100%= 6.8%</w:t>
      </w:r>
    </w:p>
    <w:p w:rsidR="0F6C0CAA" w:rsidP="6407B060" w:rsidRDefault="0F6C0CAA" w14:paraId="2B248B5D" w14:textId="1DE9359F">
      <w:pPr>
        <w:pStyle w:val="Normal"/>
        <w:bidi w:val="0"/>
        <w:jc w:val="both"/>
        <w:rPr>
          <w:rFonts w:ascii="Arial" w:hAnsi="Arial" w:eastAsia="Arial" w:cs="Arial"/>
          <w:sz w:val="24"/>
          <w:szCs w:val="24"/>
        </w:rPr>
      </w:pPr>
      <w:r w:rsidRPr="6407B060" w:rsidR="0F6C0CAA">
        <w:rPr>
          <w:rFonts w:ascii="Arial" w:hAnsi="Arial" w:eastAsia="Arial" w:cs="Arial"/>
          <w:sz w:val="24"/>
          <w:szCs w:val="24"/>
        </w:rPr>
        <w:t>2021: 15428÷146154×100%= 10.5%</w:t>
      </w:r>
    </w:p>
    <w:p w:rsidR="0F6C0CAA" w:rsidP="6407B060" w:rsidRDefault="0F6C0CAA" w14:paraId="3FA7729C" w14:textId="5AC2D26F">
      <w:pPr>
        <w:pStyle w:val="Normal"/>
        <w:bidi w:val="0"/>
        <w:jc w:val="both"/>
        <w:rPr>
          <w:rFonts w:ascii="Arial" w:hAnsi="Arial" w:eastAsia="Arial" w:cs="Arial"/>
          <w:sz w:val="24"/>
          <w:szCs w:val="24"/>
        </w:rPr>
      </w:pPr>
      <w:r w:rsidRPr="6407B060" w:rsidR="0F6C0CAA">
        <w:rPr>
          <w:rFonts w:ascii="Arial" w:hAnsi="Arial" w:eastAsia="Arial" w:cs="Arial"/>
          <w:sz w:val="24"/>
          <w:szCs w:val="24"/>
        </w:rPr>
        <w:t>2022: 15836÷178327×100%= 8.9%</w:t>
      </w:r>
    </w:p>
    <w:p w:rsidR="0F6C0CAA" w:rsidP="6407B060" w:rsidRDefault="0F6C0CAA" w14:paraId="45C5E6E4" w14:textId="5416439C">
      <w:pPr>
        <w:pStyle w:val="Normal"/>
        <w:bidi w:val="0"/>
        <w:jc w:val="both"/>
        <w:rPr>
          <w:rFonts w:ascii="Arial" w:hAnsi="Arial" w:eastAsia="Arial" w:cs="Arial"/>
          <w:sz w:val="24"/>
          <w:szCs w:val="24"/>
        </w:rPr>
      </w:pPr>
      <w:r w:rsidRPr="6407B060" w:rsidR="0F6C0CAA">
        <w:rPr>
          <w:rFonts w:ascii="Arial" w:hAnsi="Arial" w:eastAsia="Arial" w:cs="Arial"/>
          <w:sz w:val="24"/>
          <w:szCs w:val="24"/>
        </w:rPr>
        <w:t>2023: 17928÷189912 ×100%= 9.4%</w:t>
      </w:r>
    </w:p>
    <w:p w:rsidR="0F6C0CAA" w:rsidP="6407B060" w:rsidRDefault="0F6C0CAA" w14:paraId="6CF8A68A" w14:textId="47BE6651">
      <w:pPr>
        <w:pStyle w:val="Normal"/>
        <w:bidi w:val="0"/>
        <w:rPr>
          <w:rFonts w:ascii="Arial" w:hAnsi="Arial" w:eastAsia="Arial" w:cs="Arial"/>
          <w:sz w:val="24"/>
          <w:szCs w:val="24"/>
        </w:rPr>
      </w:pPr>
      <w:r w:rsidRPr="6407B060" w:rsidR="0F6C0CAA">
        <w:rPr>
          <w:rFonts w:ascii="Arial" w:hAnsi="Arial" w:eastAsia="Arial" w:cs="Arial"/>
          <w:sz w:val="24"/>
          <w:szCs w:val="24"/>
        </w:rPr>
        <w:t>2024: 12399÷196731 ×100%= 6.3%</w:t>
      </w:r>
    </w:p>
    <w:p w:rsidR="3B7B61F9" w:rsidP="6407B060" w:rsidRDefault="3B7B61F9" w14:paraId="1613DA5C" w14:textId="36F713A3">
      <w:pPr>
        <w:pStyle w:val="Normal"/>
        <w:bidi w:val="0"/>
        <w:rPr>
          <w:rFonts w:ascii="Arial" w:hAnsi="Arial" w:eastAsia="Arial" w:cs="Arial"/>
          <w:sz w:val="24"/>
          <w:szCs w:val="24"/>
        </w:rPr>
      </w:pPr>
      <w:r w:rsidRPr="6407B060" w:rsidR="3B7B61F9">
        <w:rPr>
          <w:rFonts w:ascii="Arial" w:hAnsi="Arial" w:eastAsia="Arial" w:cs="Arial"/>
          <w:b w:val="1"/>
          <w:bCs w:val="1"/>
          <w:sz w:val="24"/>
          <w:szCs w:val="24"/>
        </w:rPr>
        <w:t xml:space="preserve">1.1.3 Gross Profit Margin </w:t>
      </w:r>
      <w:r w:rsidRPr="6407B060" w:rsidR="3B7B61F9">
        <w:rPr>
          <w:rFonts w:ascii="Arial" w:hAnsi="Arial" w:eastAsia="Arial" w:cs="Arial"/>
          <w:sz w:val="24"/>
          <w:szCs w:val="24"/>
        </w:rPr>
        <w:t>Calculations:</w:t>
      </w:r>
    </w:p>
    <w:p w:rsidR="3B7B61F9" w:rsidP="6407B060" w:rsidRDefault="3B7B61F9" w14:paraId="7CA11B1E" w14:textId="6C6928F3">
      <w:pPr>
        <w:pStyle w:val="Normal"/>
        <w:bidi w:val="0"/>
        <w:jc w:val="both"/>
        <w:rPr>
          <w:rFonts w:ascii="Arial" w:hAnsi="Arial" w:eastAsia="Arial" w:cs="Arial"/>
          <w:sz w:val="24"/>
          <w:szCs w:val="24"/>
        </w:rPr>
      </w:pPr>
      <w:r w:rsidRPr="6407B060" w:rsidR="3B7B61F9">
        <w:rPr>
          <w:rFonts w:ascii="Arial" w:hAnsi="Arial" w:eastAsia="Arial" w:cs="Arial"/>
          <w:sz w:val="24"/>
          <w:szCs w:val="24"/>
        </w:rPr>
        <w:t>2020: 38947 ÷ 222884 ×100%= 17</w:t>
      </w:r>
      <w:r w:rsidRPr="6407B060" w:rsidR="19001286">
        <w:rPr>
          <w:rFonts w:ascii="Arial" w:hAnsi="Arial" w:eastAsia="Arial" w:cs="Arial"/>
          <w:sz w:val="24"/>
          <w:szCs w:val="24"/>
        </w:rPr>
        <w:t>.47%</w:t>
      </w:r>
    </w:p>
    <w:p w:rsidR="3B7B61F9" w:rsidP="6407B060" w:rsidRDefault="3B7B61F9" w14:paraId="36D33EEC" w14:textId="53149634">
      <w:pPr>
        <w:pStyle w:val="Normal"/>
        <w:bidi w:val="0"/>
        <w:jc w:val="both"/>
        <w:rPr>
          <w:rFonts w:ascii="Arial" w:hAnsi="Arial" w:eastAsia="Arial" w:cs="Arial"/>
          <w:sz w:val="24"/>
          <w:szCs w:val="24"/>
        </w:rPr>
      </w:pPr>
      <w:r w:rsidRPr="6407B060" w:rsidR="3B7B61F9">
        <w:rPr>
          <w:rFonts w:ascii="Arial" w:hAnsi="Arial" w:eastAsia="Arial" w:cs="Arial"/>
          <w:sz w:val="24"/>
          <w:szCs w:val="24"/>
        </w:rPr>
        <w:t xml:space="preserve">2021: </w:t>
      </w:r>
      <w:r w:rsidRPr="6407B060" w:rsidR="3D2C2784">
        <w:rPr>
          <w:rFonts w:ascii="Arial" w:hAnsi="Arial" w:eastAsia="Arial" w:cs="Arial"/>
          <w:sz w:val="24"/>
          <w:szCs w:val="24"/>
        </w:rPr>
        <w:t>47241 ÷</w:t>
      </w:r>
      <w:r w:rsidRPr="6407B060" w:rsidR="0A59E1C0">
        <w:rPr>
          <w:rFonts w:ascii="Arial" w:hAnsi="Arial" w:eastAsia="Arial" w:cs="Arial"/>
          <w:sz w:val="24"/>
          <w:szCs w:val="24"/>
        </w:rPr>
        <w:t xml:space="preserve"> </w:t>
      </w:r>
      <w:r w:rsidRPr="6407B060" w:rsidR="3D2C2784">
        <w:rPr>
          <w:rFonts w:ascii="Arial" w:hAnsi="Arial" w:eastAsia="Arial" w:cs="Arial"/>
          <w:sz w:val="24"/>
          <w:szCs w:val="24"/>
        </w:rPr>
        <w:t>250200 ×100%= 18.88%</w:t>
      </w:r>
    </w:p>
    <w:p w:rsidR="3B7B61F9" w:rsidP="6407B060" w:rsidRDefault="3B7B61F9" w14:paraId="0E8B0CAD" w14:textId="34A535CA">
      <w:pPr>
        <w:pStyle w:val="Normal"/>
        <w:bidi w:val="0"/>
        <w:jc w:val="both"/>
        <w:rPr>
          <w:rFonts w:ascii="Arial" w:hAnsi="Arial" w:eastAsia="Arial" w:cs="Arial"/>
          <w:sz w:val="24"/>
          <w:szCs w:val="24"/>
        </w:rPr>
      </w:pPr>
      <w:r w:rsidRPr="6407B060" w:rsidR="3B7B61F9">
        <w:rPr>
          <w:rFonts w:ascii="Arial" w:hAnsi="Arial" w:eastAsia="Arial" w:cs="Arial"/>
          <w:sz w:val="24"/>
          <w:szCs w:val="24"/>
        </w:rPr>
        <w:t xml:space="preserve">2022: </w:t>
      </w:r>
      <w:r w:rsidRPr="6407B060" w:rsidR="5D566317">
        <w:rPr>
          <w:rFonts w:ascii="Arial" w:hAnsi="Arial" w:eastAsia="Arial" w:cs="Arial"/>
          <w:sz w:val="24"/>
          <w:szCs w:val="24"/>
        </w:rPr>
        <w:t xml:space="preserve">52228 ÷ </w:t>
      </w:r>
      <w:r w:rsidRPr="6407B060" w:rsidR="50C5F6A3">
        <w:rPr>
          <w:rFonts w:ascii="Arial" w:hAnsi="Arial" w:eastAsia="Arial" w:cs="Arial"/>
          <w:sz w:val="24"/>
          <w:szCs w:val="24"/>
        </w:rPr>
        <w:t>279232 ×100%= 18.70%</w:t>
      </w:r>
    </w:p>
    <w:p w:rsidR="3B7B61F9" w:rsidP="6407B060" w:rsidRDefault="3B7B61F9" w14:paraId="260D3E2A" w14:textId="2FA5B2F4">
      <w:pPr>
        <w:pStyle w:val="Normal"/>
        <w:bidi w:val="0"/>
        <w:jc w:val="both"/>
        <w:rPr>
          <w:rFonts w:ascii="Arial" w:hAnsi="Arial" w:eastAsia="Arial" w:cs="Arial"/>
          <w:sz w:val="24"/>
          <w:szCs w:val="24"/>
        </w:rPr>
      </w:pPr>
      <w:r w:rsidRPr="6407B060" w:rsidR="3B7B61F9">
        <w:rPr>
          <w:rFonts w:ascii="Arial" w:hAnsi="Arial" w:eastAsia="Arial" w:cs="Arial"/>
          <w:sz w:val="24"/>
          <w:szCs w:val="24"/>
        </w:rPr>
        <w:t xml:space="preserve">2023: </w:t>
      </w:r>
      <w:r w:rsidRPr="6407B060" w:rsidR="4F921D96">
        <w:rPr>
          <w:rFonts w:ascii="Arial" w:hAnsi="Arial" w:eastAsia="Arial" w:cs="Arial"/>
          <w:sz w:val="24"/>
          <w:szCs w:val="24"/>
        </w:rPr>
        <w:t>61022 ÷ 322284 ×100%= 18.93%</w:t>
      </w:r>
    </w:p>
    <w:p w:rsidR="3B7B61F9" w:rsidP="6407B060" w:rsidRDefault="3B7B61F9" w14:paraId="129B3CE6" w14:textId="0A65BD5A">
      <w:pPr>
        <w:pStyle w:val="Normal"/>
        <w:bidi w:val="0"/>
        <w:rPr>
          <w:rFonts w:ascii="Arial" w:hAnsi="Arial" w:eastAsia="Arial" w:cs="Arial"/>
          <w:sz w:val="24"/>
          <w:szCs w:val="24"/>
        </w:rPr>
      </w:pPr>
      <w:r w:rsidRPr="6407B060" w:rsidR="3B7B61F9">
        <w:rPr>
          <w:rFonts w:ascii="Arial" w:hAnsi="Arial" w:eastAsia="Arial" w:cs="Arial"/>
          <w:sz w:val="24"/>
          <w:szCs w:val="24"/>
        </w:rPr>
        <w:t xml:space="preserve">2024: </w:t>
      </w:r>
      <w:r w:rsidRPr="6407B060" w:rsidR="4A04FE07">
        <w:rPr>
          <w:rFonts w:ascii="Arial" w:hAnsi="Arial" w:eastAsia="Arial" w:cs="Arial"/>
          <w:sz w:val="24"/>
          <w:szCs w:val="24"/>
        </w:rPr>
        <w:t>59472 ÷ 324656 ×100%= 18.31%</w:t>
      </w:r>
    </w:p>
    <w:p w:rsidR="2C123E57" w:rsidP="6407B060" w:rsidRDefault="2C123E57" w14:paraId="31DB3838" w14:textId="7E10C2D3">
      <w:pPr>
        <w:pStyle w:val="Normal"/>
        <w:bidi w:val="0"/>
        <w:rPr>
          <w:rFonts w:ascii="Arial" w:hAnsi="Arial" w:eastAsia="Arial" w:cs="Arial"/>
          <w:sz w:val="24"/>
          <w:szCs w:val="24"/>
        </w:rPr>
      </w:pPr>
      <w:r w:rsidRPr="6407B060" w:rsidR="2C123E57">
        <w:rPr>
          <w:rFonts w:ascii="Arial" w:hAnsi="Arial" w:eastAsia="Arial" w:cs="Arial"/>
          <w:b w:val="1"/>
          <w:bCs w:val="1"/>
          <w:sz w:val="24"/>
          <w:szCs w:val="24"/>
        </w:rPr>
        <w:t>1.1.4 Net Profit Margin</w:t>
      </w:r>
      <w:r w:rsidRPr="6407B060" w:rsidR="2C123E57">
        <w:rPr>
          <w:rFonts w:ascii="Arial" w:hAnsi="Arial" w:eastAsia="Arial" w:cs="Arial"/>
          <w:sz w:val="24"/>
          <w:szCs w:val="24"/>
        </w:rPr>
        <w:t xml:space="preserve"> Calculations:</w:t>
      </w:r>
    </w:p>
    <w:p w:rsidR="1E470314" w:rsidP="6407B060" w:rsidRDefault="1E470314" w14:paraId="1F8C1AD5" w14:textId="211B9F18">
      <w:pPr>
        <w:pStyle w:val="Normal"/>
        <w:bidi w:val="0"/>
        <w:jc w:val="both"/>
        <w:rPr>
          <w:rFonts w:ascii="Arial" w:hAnsi="Arial" w:eastAsia="Arial" w:cs="Arial"/>
          <w:sz w:val="24"/>
          <w:szCs w:val="24"/>
        </w:rPr>
      </w:pPr>
      <w:r w:rsidRPr="6407B060" w:rsidR="1E470314">
        <w:rPr>
          <w:rFonts w:ascii="Arial" w:hAnsi="Arial" w:eastAsia="Arial" w:cs="Arial"/>
          <w:sz w:val="24"/>
          <w:szCs w:val="24"/>
        </w:rPr>
        <w:t>2020: 9675 ÷ 222884 ×100%= 4.34%</w:t>
      </w:r>
    </w:p>
    <w:p w:rsidR="1E470314" w:rsidP="6407B060" w:rsidRDefault="1E470314" w14:paraId="7EB9F325" w14:textId="649DAF07">
      <w:pPr>
        <w:pStyle w:val="Normal"/>
        <w:bidi w:val="0"/>
        <w:jc w:val="both"/>
        <w:rPr>
          <w:rFonts w:ascii="Arial" w:hAnsi="Arial" w:eastAsia="Arial" w:cs="Arial"/>
          <w:sz w:val="24"/>
          <w:szCs w:val="24"/>
        </w:rPr>
      </w:pPr>
      <w:r w:rsidRPr="6407B060" w:rsidR="1E470314">
        <w:rPr>
          <w:rFonts w:ascii="Arial" w:hAnsi="Arial" w:eastAsia="Arial" w:cs="Arial"/>
          <w:sz w:val="24"/>
          <w:szCs w:val="24"/>
        </w:rPr>
        <w:t>2021: 19275 ÷ 250200 ×100%= 7.70%</w:t>
      </w:r>
    </w:p>
    <w:p w:rsidR="1E470314" w:rsidP="6407B060" w:rsidRDefault="1E470314" w14:paraId="63C343BF" w14:textId="6E3F80C5">
      <w:pPr>
        <w:pStyle w:val="Normal"/>
        <w:bidi w:val="0"/>
        <w:jc w:val="both"/>
        <w:rPr>
          <w:rFonts w:ascii="Arial" w:hAnsi="Arial" w:eastAsia="Arial" w:cs="Arial"/>
          <w:sz w:val="24"/>
          <w:szCs w:val="24"/>
        </w:rPr>
      </w:pPr>
      <w:r w:rsidRPr="6407B060" w:rsidR="1E470314">
        <w:rPr>
          <w:rFonts w:ascii="Arial" w:hAnsi="Arial" w:eastAsia="Arial" w:cs="Arial"/>
          <w:sz w:val="24"/>
          <w:szCs w:val="24"/>
        </w:rPr>
        <w:t>2022: 221</w:t>
      </w:r>
      <w:r w:rsidRPr="6407B060" w:rsidR="330C87F1">
        <w:rPr>
          <w:rFonts w:ascii="Arial" w:hAnsi="Arial" w:eastAsia="Arial" w:cs="Arial"/>
          <w:sz w:val="24"/>
          <w:szCs w:val="24"/>
        </w:rPr>
        <w:t>24</w:t>
      </w:r>
      <w:r w:rsidRPr="6407B060" w:rsidR="1E470314">
        <w:rPr>
          <w:rFonts w:ascii="Arial" w:hAnsi="Arial" w:eastAsia="Arial" w:cs="Arial"/>
          <w:sz w:val="24"/>
          <w:szCs w:val="24"/>
        </w:rPr>
        <w:t xml:space="preserve"> ÷ 279232 ×100%= </w:t>
      </w:r>
      <w:r w:rsidRPr="6407B060" w:rsidR="726FF562">
        <w:rPr>
          <w:rFonts w:ascii="Arial" w:hAnsi="Arial" w:eastAsia="Arial" w:cs="Arial"/>
          <w:sz w:val="24"/>
          <w:szCs w:val="24"/>
        </w:rPr>
        <w:t>7.92</w:t>
      </w:r>
      <w:r w:rsidRPr="6407B060" w:rsidR="1E470314">
        <w:rPr>
          <w:rFonts w:ascii="Arial" w:hAnsi="Arial" w:eastAsia="Arial" w:cs="Arial"/>
          <w:sz w:val="24"/>
          <w:szCs w:val="24"/>
        </w:rPr>
        <w:t>%</w:t>
      </w:r>
    </w:p>
    <w:p w:rsidR="1E470314" w:rsidP="6407B060" w:rsidRDefault="1E470314" w14:paraId="5DACA110" w14:textId="134FA39E">
      <w:pPr>
        <w:pStyle w:val="Normal"/>
        <w:bidi w:val="0"/>
        <w:jc w:val="both"/>
        <w:rPr>
          <w:rFonts w:ascii="Arial" w:hAnsi="Arial" w:eastAsia="Arial" w:cs="Arial"/>
          <w:sz w:val="24"/>
          <w:szCs w:val="24"/>
        </w:rPr>
      </w:pPr>
      <w:r w:rsidRPr="6407B060" w:rsidR="1E470314">
        <w:rPr>
          <w:rFonts w:ascii="Arial" w:hAnsi="Arial" w:eastAsia="Arial" w:cs="Arial"/>
          <w:sz w:val="24"/>
          <w:szCs w:val="24"/>
        </w:rPr>
        <w:t xml:space="preserve">2023: </w:t>
      </w:r>
      <w:r w:rsidRPr="6407B060" w:rsidR="6B7DC17D">
        <w:rPr>
          <w:rFonts w:ascii="Arial" w:hAnsi="Arial" w:eastAsia="Arial" w:cs="Arial"/>
          <w:sz w:val="24"/>
          <w:szCs w:val="24"/>
        </w:rPr>
        <w:t>22576</w:t>
      </w:r>
      <w:r w:rsidRPr="6407B060" w:rsidR="1E470314">
        <w:rPr>
          <w:rFonts w:ascii="Arial" w:hAnsi="Arial" w:eastAsia="Arial" w:cs="Arial"/>
          <w:sz w:val="24"/>
          <w:szCs w:val="24"/>
        </w:rPr>
        <w:t xml:space="preserve"> ÷ 322284 ×100%= </w:t>
      </w:r>
      <w:r w:rsidRPr="6407B060" w:rsidR="06693959">
        <w:rPr>
          <w:rFonts w:ascii="Arial" w:hAnsi="Arial" w:eastAsia="Arial" w:cs="Arial"/>
          <w:sz w:val="24"/>
          <w:szCs w:val="24"/>
        </w:rPr>
        <w:t>7</w:t>
      </w:r>
      <w:r w:rsidRPr="6407B060" w:rsidR="1E470314">
        <w:rPr>
          <w:rFonts w:ascii="Arial" w:hAnsi="Arial" w:eastAsia="Arial" w:cs="Arial"/>
          <w:sz w:val="24"/>
          <w:szCs w:val="24"/>
        </w:rPr>
        <w:t>%</w:t>
      </w:r>
    </w:p>
    <w:p w:rsidR="1E470314" w:rsidP="6407B060" w:rsidRDefault="1E470314" w14:paraId="7ADC70C4" w14:textId="51AB7D46">
      <w:pPr>
        <w:pStyle w:val="Normal"/>
        <w:bidi w:val="0"/>
        <w:rPr>
          <w:rFonts w:ascii="Arial" w:hAnsi="Arial" w:eastAsia="Arial" w:cs="Arial"/>
          <w:sz w:val="24"/>
          <w:szCs w:val="24"/>
        </w:rPr>
      </w:pPr>
      <w:r w:rsidRPr="6407B060" w:rsidR="1E470314">
        <w:rPr>
          <w:rFonts w:ascii="Arial" w:hAnsi="Arial" w:eastAsia="Arial" w:cs="Arial"/>
          <w:sz w:val="24"/>
          <w:szCs w:val="24"/>
        </w:rPr>
        <w:t xml:space="preserve">2024: </w:t>
      </w:r>
      <w:r w:rsidRPr="6407B060" w:rsidR="46DCF31F">
        <w:rPr>
          <w:rFonts w:ascii="Arial" w:hAnsi="Arial" w:eastAsia="Arial" w:cs="Arial"/>
          <w:sz w:val="24"/>
          <w:szCs w:val="24"/>
        </w:rPr>
        <w:t>19060</w:t>
      </w:r>
      <w:r w:rsidRPr="6407B060" w:rsidR="1E470314">
        <w:rPr>
          <w:rFonts w:ascii="Arial" w:hAnsi="Arial" w:eastAsia="Arial" w:cs="Arial"/>
          <w:sz w:val="24"/>
          <w:szCs w:val="24"/>
        </w:rPr>
        <w:t xml:space="preserve"> ÷ 324656 ×100%= </w:t>
      </w:r>
      <w:r w:rsidRPr="6407B060" w:rsidR="721B0F07">
        <w:rPr>
          <w:rFonts w:ascii="Arial" w:hAnsi="Arial" w:eastAsia="Arial" w:cs="Arial"/>
          <w:sz w:val="24"/>
          <w:szCs w:val="24"/>
        </w:rPr>
        <w:t>5.87</w:t>
      </w:r>
      <w:r w:rsidRPr="6407B060" w:rsidR="1E470314">
        <w:rPr>
          <w:rFonts w:ascii="Arial" w:hAnsi="Arial" w:eastAsia="Arial" w:cs="Arial"/>
          <w:sz w:val="24"/>
          <w:szCs w:val="24"/>
        </w:rPr>
        <w:t>%</w:t>
      </w:r>
    </w:p>
    <w:p w:rsidR="6407B060" w:rsidP="6407B060" w:rsidRDefault="6407B060" w14:paraId="6CD3356F" w14:textId="1D2C82B0">
      <w:pPr>
        <w:pStyle w:val="Normal"/>
        <w:bidi w:val="0"/>
        <w:rPr>
          <w:rFonts w:ascii="Arial" w:hAnsi="Arial" w:eastAsia="Arial" w:cs="Arial"/>
          <w:sz w:val="24"/>
          <w:szCs w:val="24"/>
        </w:rPr>
      </w:pPr>
    </w:p>
    <w:p w:rsidR="6D773C43" w:rsidP="6407B060" w:rsidRDefault="6D773C43" w14:paraId="10D8A784" w14:textId="600B7C2C">
      <w:pPr>
        <w:pStyle w:val="Normal"/>
        <w:bidi w:val="0"/>
        <w:rPr>
          <w:rFonts w:ascii="Arial" w:hAnsi="Arial" w:eastAsia="Arial" w:cs="Arial"/>
          <w:sz w:val="24"/>
          <w:szCs w:val="24"/>
        </w:rPr>
      </w:pPr>
      <w:r w:rsidRPr="6407B060" w:rsidR="6D773C43">
        <w:rPr>
          <w:rFonts w:ascii="Arial" w:hAnsi="Arial" w:eastAsia="Arial" w:cs="Arial"/>
          <w:b w:val="1"/>
          <w:bCs w:val="1"/>
          <w:sz w:val="24"/>
          <w:szCs w:val="24"/>
        </w:rPr>
        <w:t>1.3.1 Asset Turnover (Capital Turnover)</w:t>
      </w:r>
      <w:r w:rsidRPr="6407B060" w:rsidR="6D773C43">
        <w:rPr>
          <w:rFonts w:ascii="Arial" w:hAnsi="Arial" w:eastAsia="Arial" w:cs="Arial"/>
          <w:sz w:val="24"/>
          <w:szCs w:val="24"/>
        </w:rPr>
        <w:t xml:space="preserve"> Calculations:</w:t>
      </w:r>
    </w:p>
    <w:p w:rsidR="7AFA9910" w:rsidP="6407B060" w:rsidRDefault="7AFA9910" w14:paraId="653C9E33" w14:textId="0669FFDE">
      <w:pPr>
        <w:pStyle w:val="Normal"/>
        <w:rPr>
          <w:rFonts w:ascii="Arial" w:hAnsi="Arial" w:eastAsia="Arial" w:cs="Arial"/>
          <w:sz w:val="24"/>
          <w:szCs w:val="24"/>
        </w:rPr>
      </w:pPr>
      <w:r w:rsidRPr="6407B060" w:rsidR="7AFA9910">
        <w:rPr>
          <w:rFonts w:ascii="Arial" w:hAnsi="Arial" w:eastAsia="Arial" w:cs="Arial"/>
          <w:sz w:val="24"/>
          <w:szCs w:val="24"/>
        </w:rPr>
        <w:t xml:space="preserve">Note: All figures in € millions unless otherwise stated  </w:t>
      </w:r>
    </w:p>
    <w:p w:rsidR="7AFA9910" w:rsidP="6407B060" w:rsidRDefault="7AFA9910" w14:paraId="65A91D0A" w14:textId="4F6CD763">
      <w:pPr>
        <w:pStyle w:val="Normal"/>
        <w:bidi w:val="0"/>
        <w:rPr>
          <w:rFonts w:ascii="Arial" w:hAnsi="Arial" w:eastAsia="Arial" w:cs="Arial"/>
          <w:sz w:val="24"/>
          <w:szCs w:val="24"/>
        </w:rPr>
      </w:pPr>
      <w:r w:rsidRPr="6407B060" w:rsidR="7AFA9910">
        <w:rPr>
          <w:rFonts w:ascii="Arial" w:hAnsi="Arial" w:eastAsia="Arial" w:cs="Arial"/>
          <w:sz w:val="24"/>
          <w:szCs w:val="24"/>
        </w:rPr>
        <w:t>2020: 222884 ÷ (497114 – 165410)</w:t>
      </w:r>
      <w:r w:rsidRPr="6407B060" w:rsidR="7AFC7920">
        <w:rPr>
          <w:rFonts w:ascii="Arial" w:hAnsi="Arial" w:eastAsia="Arial" w:cs="Arial"/>
          <w:sz w:val="24"/>
          <w:szCs w:val="24"/>
        </w:rPr>
        <w:t xml:space="preserve"> times</w:t>
      </w:r>
      <w:r w:rsidRPr="6407B060" w:rsidR="7AFA9910">
        <w:rPr>
          <w:rFonts w:ascii="Arial" w:hAnsi="Arial" w:eastAsia="Arial" w:cs="Arial"/>
          <w:sz w:val="24"/>
          <w:szCs w:val="24"/>
        </w:rPr>
        <w:t xml:space="preserve"> =</w:t>
      </w:r>
      <w:r w:rsidRPr="6407B060" w:rsidR="4D278A7D">
        <w:rPr>
          <w:rFonts w:ascii="Arial" w:hAnsi="Arial" w:eastAsia="Arial" w:cs="Arial"/>
          <w:sz w:val="24"/>
          <w:szCs w:val="24"/>
        </w:rPr>
        <w:t xml:space="preserve"> 222884 ÷</w:t>
      </w:r>
      <w:r w:rsidRPr="6407B060" w:rsidR="20425902">
        <w:rPr>
          <w:rFonts w:ascii="Arial" w:hAnsi="Arial" w:eastAsia="Arial" w:cs="Arial"/>
          <w:sz w:val="24"/>
          <w:szCs w:val="24"/>
        </w:rPr>
        <w:t xml:space="preserve"> 331704 times = 0.67</w:t>
      </w:r>
      <w:r w:rsidRPr="6407B060" w:rsidR="6E9D7652">
        <w:rPr>
          <w:rFonts w:ascii="Arial" w:hAnsi="Arial" w:eastAsia="Arial" w:cs="Arial"/>
          <w:sz w:val="24"/>
          <w:szCs w:val="24"/>
        </w:rPr>
        <w:t xml:space="preserve"> </w:t>
      </w:r>
      <w:r w:rsidRPr="6407B060" w:rsidR="20425902">
        <w:rPr>
          <w:rFonts w:ascii="Arial" w:hAnsi="Arial" w:eastAsia="Arial" w:cs="Arial"/>
          <w:sz w:val="24"/>
          <w:szCs w:val="24"/>
        </w:rPr>
        <w:t>×</w:t>
      </w:r>
    </w:p>
    <w:p w:rsidR="4B47CC41" w:rsidP="6407B060" w:rsidRDefault="4B47CC41" w14:paraId="28A37A8D" w14:textId="346EAB90">
      <w:pPr>
        <w:pStyle w:val="Normal"/>
        <w:bidi w:val="0"/>
        <w:rPr>
          <w:rFonts w:ascii="Arial" w:hAnsi="Arial" w:eastAsia="Arial" w:cs="Arial"/>
          <w:sz w:val="24"/>
          <w:szCs w:val="24"/>
        </w:rPr>
      </w:pPr>
      <w:r w:rsidRPr="6407B060" w:rsidR="4B47CC41">
        <w:rPr>
          <w:rFonts w:ascii="Arial" w:hAnsi="Arial" w:eastAsia="Arial" w:cs="Arial"/>
          <w:sz w:val="24"/>
          <w:szCs w:val="24"/>
        </w:rPr>
        <w:t xml:space="preserve">2021: 250200 ÷ (528609 – 164393) times = 250200 </w:t>
      </w:r>
      <w:r w:rsidRPr="6407B060" w:rsidR="011C9FFB">
        <w:rPr>
          <w:rFonts w:ascii="Arial" w:hAnsi="Arial" w:eastAsia="Arial" w:cs="Arial"/>
          <w:sz w:val="24"/>
          <w:szCs w:val="24"/>
        </w:rPr>
        <w:t>÷ 364216 times = 0.68 ×</w:t>
      </w:r>
    </w:p>
    <w:p w:rsidR="751330C0" w:rsidP="6407B060" w:rsidRDefault="751330C0" w14:paraId="08048441" w14:textId="22D3D565">
      <w:pPr>
        <w:pStyle w:val="Normal"/>
        <w:bidi w:val="0"/>
        <w:rPr>
          <w:rFonts w:ascii="Arial" w:hAnsi="Arial" w:eastAsia="Arial" w:cs="Arial"/>
          <w:sz w:val="24"/>
          <w:szCs w:val="24"/>
        </w:rPr>
      </w:pPr>
      <w:r w:rsidRPr="6407B060" w:rsidR="751330C0">
        <w:rPr>
          <w:rFonts w:ascii="Arial" w:hAnsi="Arial" w:eastAsia="Arial" w:cs="Arial"/>
          <w:sz w:val="24"/>
          <w:szCs w:val="24"/>
        </w:rPr>
        <w:t xml:space="preserve">2022: 279232 ÷ (564772 – 182992) times = 279232 ÷ </w:t>
      </w:r>
      <w:r w:rsidRPr="6407B060" w:rsidR="4FE65900">
        <w:rPr>
          <w:rFonts w:ascii="Arial" w:hAnsi="Arial" w:eastAsia="Arial" w:cs="Arial"/>
          <w:sz w:val="24"/>
          <w:szCs w:val="24"/>
        </w:rPr>
        <w:t>381780</w:t>
      </w:r>
      <w:r w:rsidRPr="6407B060" w:rsidR="751330C0">
        <w:rPr>
          <w:rFonts w:ascii="Arial" w:hAnsi="Arial" w:eastAsia="Arial" w:cs="Arial"/>
          <w:sz w:val="24"/>
          <w:szCs w:val="24"/>
        </w:rPr>
        <w:t xml:space="preserve"> times = 0.</w:t>
      </w:r>
      <w:r w:rsidRPr="6407B060" w:rsidR="39550FB8">
        <w:rPr>
          <w:rFonts w:ascii="Arial" w:hAnsi="Arial" w:eastAsia="Arial" w:cs="Arial"/>
          <w:sz w:val="24"/>
          <w:szCs w:val="24"/>
        </w:rPr>
        <w:t>73</w:t>
      </w:r>
      <w:r w:rsidRPr="6407B060" w:rsidR="751330C0">
        <w:rPr>
          <w:rFonts w:ascii="Arial" w:hAnsi="Arial" w:eastAsia="Arial" w:cs="Arial"/>
          <w:sz w:val="24"/>
          <w:szCs w:val="24"/>
        </w:rPr>
        <w:t xml:space="preserve"> ×</w:t>
      </w:r>
    </w:p>
    <w:p w:rsidR="454B0184" w:rsidP="6407B060" w:rsidRDefault="454B0184" w14:paraId="24F84B79" w14:textId="22ECAA83">
      <w:pPr>
        <w:pStyle w:val="Normal"/>
        <w:bidi w:val="0"/>
        <w:rPr>
          <w:rFonts w:ascii="Arial" w:hAnsi="Arial" w:eastAsia="Arial" w:cs="Arial"/>
          <w:sz w:val="24"/>
          <w:szCs w:val="24"/>
        </w:rPr>
      </w:pPr>
      <w:r w:rsidRPr="6407B060" w:rsidR="454B0184">
        <w:rPr>
          <w:rFonts w:ascii="Arial" w:hAnsi="Arial" w:eastAsia="Arial" w:cs="Arial"/>
          <w:sz w:val="24"/>
          <w:szCs w:val="24"/>
        </w:rPr>
        <w:t>2023: 322284 ÷ (600338 – 205874) times = 322284 ÷ 3</w:t>
      </w:r>
      <w:r w:rsidRPr="6407B060" w:rsidR="27A7C1A6">
        <w:rPr>
          <w:rFonts w:ascii="Arial" w:hAnsi="Arial" w:eastAsia="Arial" w:cs="Arial"/>
          <w:sz w:val="24"/>
          <w:szCs w:val="24"/>
        </w:rPr>
        <w:t>94464</w:t>
      </w:r>
      <w:r w:rsidRPr="6407B060" w:rsidR="454B0184">
        <w:rPr>
          <w:rFonts w:ascii="Arial" w:hAnsi="Arial" w:eastAsia="Arial" w:cs="Arial"/>
          <w:sz w:val="24"/>
          <w:szCs w:val="24"/>
        </w:rPr>
        <w:t xml:space="preserve"> times = 0.</w:t>
      </w:r>
      <w:r w:rsidRPr="6407B060" w:rsidR="194AF75B">
        <w:rPr>
          <w:rFonts w:ascii="Arial" w:hAnsi="Arial" w:eastAsia="Arial" w:cs="Arial"/>
          <w:sz w:val="24"/>
          <w:szCs w:val="24"/>
        </w:rPr>
        <w:t>81</w:t>
      </w:r>
      <w:r w:rsidRPr="6407B060" w:rsidR="2B179FFB">
        <w:rPr>
          <w:rFonts w:ascii="Arial" w:hAnsi="Arial" w:eastAsia="Arial" w:cs="Arial"/>
          <w:sz w:val="24"/>
          <w:szCs w:val="24"/>
        </w:rPr>
        <w:t xml:space="preserve"> </w:t>
      </w:r>
      <w:r w:rsidRPr="6407B060" w:rsidR="454B0184">
        <w:rPr>
          <w:rFonts w:ascii="Arial" w:hAnsi="Arial" w:eastAsia="Arial" w:cs="Arial"/>
          <w:sz w:val="24"/>
          <w:szCs w:val="24"/>
        </w:rPr>
        <w:t>×</w:t>
      </w:r>
    </w:p>
    <w:p w:rsidR="31097DA9" w:rsidP="6407B060" w:rsidRDefault="31097DA9" w14:paraId="1215BD80" w14:textId="5FDD3246">
      <w:pPr>
        <w:pStyle w:val="Normal"/>
        <w:bidi w:val="0"/>
        <w:rPr>
          <w:rFonts w:ascii="Arial" w:hAnsi="Arial" w:eastAsia="Arial" w:cs="Arial"/>
          <w:sz w:val="24"/>
          <w:szCs w:val="24"/>
        </w:rPr>
      </w:pPr>
      <w:r w:rsidRPr="6407B060" w:rsidR="31097DA9">
        <w:rPr>
          <w:rFonts w:ascii="Arial" w:hAnsi="Arial" w:eastAsia="Arial" w:cs="Arial"/>
          <w:sz w:val="24"/>
          <w:szCs w:val="24"/>
        </w:rPr>
        <w:t xml:space="preserve">2024: 324656 ÷ (632905 – 217039) times = 324656 </w:t>
      </w:r>
      <w:r w:rsidRPr="6407B060" w:rsidR="45735399">
        <w:rPr>
          <w:rFonts w:ascii="Arial" w:hAnsi="Arial" w:eastAsia="Arial" w:cs="Arial"/>
          <w:sz w:val="24"/>
          <w:szCs w:val="24"/>
        </w:rPr>
        <w:t>÷ 415866 times = 0.78 ×</w:t>
      </w:r>
    </w:p>
    <w:p w:rsidR="1B0A736F" w:rsidP="6407B060" w:rsidRDefault="1B0A736F" w14:paraId="607ADF2F" w14:textId="73F2504A">
      <w:pPr>
        <w:pStyle w:val="Normal"/>
        <w:bidi w:val="0"/>
        <w:rPr>
          <w:rFonts w:ascii="Arial" w:hAnsi="Arial" w:eastAsia="Arial" w:cs="Arial"/>
          <w:sz w:val="24"/>
          <w:szCs w:val="24"/>
        </w:rPr>
      </w:pPr>
      <w:r w:rsidRPr="6407B060" w:rsidR="1B0A736F">
        <w:rPr>
          <w:rFonts w:ascii="Arial" w:hAnsi="Arial" w:eastAsia="Arial" w:cs="Arial"/>
          <w:b w:val="1"/>
          <w:bCs w:val="1"/>
          <w:sz w:val="24"/>
          <w:szCs w:val="24"/>
        </w:rPr>
        <w:t>1.3.2 Stock Holding Period</w:t>
      </w:r>
      <w:r w:rsidRPr="6407B060" w:rsidR="1B0A736F">
        <w:rPr>
          <w:rFonts w:ascii="Arial" w:hAnsi="Arial" w:eastAsia="Arial" w:cs="Arial"/>
          <w:sz w:val="24"/>
          <w:szCs w:val="24"/>
        </w:rPr>
        <w:t xml:space="preserve"> Calculation:</w:t>
      </w:r>
    </w:p>
    <w:p w:rsidR="1B0A736F" w:rsidP="6407B060" w:rsidRDefault="1B0A736F" w14:paraId="7BC5AD09" w14:textId="42964DD1">
      <w:pPr>
        <w:pStyle w:val="Normal"/>
        <w:bidi w:val="0"/>
        <w:rPr>
          <w:rFonts w:ascii="Arial" w:hAnsi="Arial" w:eastAsia="Arial" w:cs="Arial"/>
          <w:sz w:val="24"/>
          <w:szCs w:val="24"/>
        </w:rPr>
      </w:pPr>
      <w:r w:rsidRPr="6407B060" w:rsidR="1B0A736F">
        <w:rPr>
          <w:rFonts w:ascii="Arial" w:hAnsi="Arial" w:eastAsia="Arial" w:cs="Arial"/>
          <w:sz w:val="24"/>
          <w:szCs w:val="24"/>
        </w:rPr>
        <w:t>2020:</w:t>
      </w:r>
      <w:r w:rsidRPr="6407B060" w:rsidR="1B0A736F">
        <w:rPr>
          <w:rFonts w:ascii="Arial" w:hAnsi="Arial" w:eastAsia="Arial" w:cs="Arial"/>
          <w:sz w:val="24"/>
          <w:szCs w:val="24"/>
        </w:rPr>
        <w:t xml:space="preserve"> 43823 ÷ 183937 × 365 = 0.2382 × 365 = </w:t>
      </w:r>
      <w:r w:rsidRPr="6407B060" w:rsidR="2C82B2E9">
        <w:rPr>
          <w:rFonts w:ascii="Arial" w:hAnsi="Arial" w:eastAsia="Arial" w:cs="Arial"/>
          <w:sz w:val="24"/>
          <w:szCs w:val="24"/>
        </w:rPr>
        <w:t xml:space="preserve">86.9 </w:t>
      </w:r>
      <w:r w:rsidRPr="6407B060" w:rsidR="2C82B2E9">
        <w:rPr>
          <w:rFonts w:ascii="Arial" w:hAnsi="Arial" w:eastAsia="Arial" w:cs="Arial"/>
          <w:sz w:val="24"/>
          <w:szCs w:val="24"/>
        </w:rPr>
        <w:t>days</w:t>
      </w:r>
    </w:p>
    <w:p w:rsidR="2C82B2E9" w:rsidP="6407B060" w:rsidRDefault="2C82B2E9" w14:paraId="20AED74C" w14:textId="026FBB2A">
      <w:pPr>
        <w:pStyle w:val="Normal"/>
        <w:bidi w:val="0"/>
        <w:rPr>
          <w:rFonts w:ascii="Arial" w:hAnsi="Arial" w:eastAsia="Arial" w:cs="Arial"/>
          <w:sz w:val="24"/>
          <w:szCs w:val="24"/>
        </w:rPr>
      </w:pPr>
      <w:r w:rsidRPr="6407B060" w:rsidR="2C82B2E9">
        <w:rPr>
          <w:rFonts w:ascii="Arial" w:hAnsi="Arial" w:eastAsia="Arial" w:cs="Arial"/>
          <w:sz w:val="24"/>
          <w:szCs w:val="24"/>
        </w:rPr>
        <w:t>2021:</w:t>
      </w:r>
      <w:r w:rsidRPr="6407B060" w:rsidR="2C82B2E9">
        <w:rPr>
          <w:rFonts w:ascii="Arial" w:hAnsi="Arial" w:eastAsia="Arial" w:cs="Arial"/>
          <w:sz w:val="24"/>
          <w:szCs w:val="24"/>
        </w:rPr>
        <w:t xml:space="preserve"> 43725 ÷ </w:t>
      </w:r>
      <w:r w:rsidRPr="6407B060" w:rsidR="1BF50E79">
        <w:rPr>
          <w:rFonts w:ascii="Arial" w:hAnsi="Arial" w:eastAsia="Arial" w:cs="Arial"/>
          <w:sz w:val="24"/>
          <w:szCs w:val="24"/>
        </w:rPr>
        <w:t>202959</w:t>
      </w:r>
      <w:r w:rsidRPr="6407B060" w:rsidR="2C82B2E9">
        <w:rPr>
          <w:rFonts w:ascii="Arial" w:hAnsi="Arial" w:eastAsia="Arial" w:cs="Arial"/>
          <w:sz w:val="24"/>
          <w:szCs w:val="24"/>
        </w:rPr>
        <w:t xml:space="preserve"> × 365 = 0.</w:t>
      </w:r>
      <w:r w:rsidRPr="6407B060" w:rsidR="564F00BC">
        <w:rPr>
          <w:rFonts w:ascii="Arial" w:hAnsi="Arial" w:eastAsia="Arial" w:cs="Arial"/>
          <w:sz w:val="24"/>
          <w:szCs w:val="24"/>
        </w:rPr>
        <w:t>2154</w:t>
      </w:r>
      <w:r w:rsidRPr="6407B060" w:rsidR="2C82B2E9">
        <w:rPr>
          <w:rFonts w:ascii="Arial" w:hAnsi="Arial" w:eastAsia="Arial" w:cs="Arial"/>
          <w:sz w:val="24"/>
          <w:szCs w:val="24"/>
        </w:rPr>
        <w:t xml:space="preserve"> × 365 = </w:t>
      </w:r>
      <w:r w:rsidRPr="6407B060" w:rsidR="791418A7">
        <w:rPr>
          <w:rFonts w:ascii="Arial" w:hAnsi="Arial" w:eastAsia="Arial" w:cs="Arial"/>
          <w:sz w:val="24"/>
          <w:szCs w:val="24"/>
        </w:rPr>
        <w:t>78.6</w:t>
      </w:r>
      <w:r w:rsidRPr="6407B060" w:rsidR="2C82B2E9">
        <w:rPr>
          <w:rFonts w:ascii="Arial" w:hAnsi="Arial" w:eastAsia="Arial" w:cs="Arial"/>
          <w:sz w:val="24"/>
          <w:szCs w:val="24"/>
        </w:rPr>
        <w:t xml:space="preserve"> </w:t>
      </w:r>
      <w:r w:rsidRPr="6407B060" w:rsidR="2C82B2E9">
        <w:rPr>
          <w:rFonts w:ascii="Arial" w:hAnsi="Arial" w:eastAsia="Arial" w:cs="Arial"/>
          <w:sz w:val="24"/>
          <w:szCs w:val="24"/>
        </w:rPr>
        <w:t>days</w:t>
      </w:r>
    </w:p>
    <w:p w:rsidR="04212A79" w:rsidP="6407B060" w:rsidRDefault="04212A79" w14:paraId="5214A8CF" w14:textId="406C1A64">
      <w:pPr>
        <w:pStyle w:val="Normal"/>
        <w:bidi w:val="0"/>
        <w:rPr>
          <w:rFonts w:ascii="Arial" w:hAnsi="Arial" w:eastAsia="Arial" w:cs="Arial"/>
          <w:sz w:val="24"/>
          <w:szCs w:val="24"/>
        </w:rPr>
      </w:pPr>
      <w:r w:rsidRPr="6407B060" w:rsidR="04212A79">
        <w:rPr>
          <w:rFonts w:ascii="Arial" w:hAnsi="Arial" w:eastAsia="Arial" w:cs="Arial"/>
          <w:sz w:val="24"/>
          <w:szCs w:val="24"/>
        </w:rPr>
        <w:t>2022:</w:t>
      </w:r>
      <w:r w:rsidRPr="6407B060" w:rsidR="04212A79">
        <w:rPr>
          <w:rFonts w:ascii="Arial" w:hAnsi="Arial" w:eastAsia="Arial" w:cs="Arial"/>
          <w:sz w:val="24"/>
          <w:szCs w:val="24"/>
        </w:rPr>
        <w:t xml:space="preserve"> 52274 ÷ </w:t>
      </w:r>
      <w:r w:rsidRPr="6407B060" w:rsidR="5C3AEA7A">
        <w:rPr>
          <w:rFonts w:ascii="Arial" w:hAnsi="Arial" w:eastAsia="Arial" w:cs="Arial"/>
          <w:sz w:val="24"/>
          <w:szCs w:val="24"/>
        </w:rPr>
        <w:t>227005</w:t>
      </w:r>
      <w:r w:rsidRPr="6407B060" w:rsidR="04212A79">
        <w:rPr>
          <w:rFonts w:ascii="Arial" w:hAnsi="Arial" w:eastAsia="Arial" w:cs="Arial"/>
          <w:sz w:val="24"/>
          <w:szCs w:val="24"/>
        </w:rPr>
        <w:t xml:space="preserve"> × 365 = 0.2</w:t>
      </w:r>
      <w:r w:rsidRPr="6407B060" w:rsidR="23D76C63">
        <w:rPr>
          <w:rFonts w:ascii="Arial" w:hAnsi="Arial" w:eastAsia="Arial" w:cs="Arial"/>
          <w:sz w:val="24"/>
          <w:szCs w:val="24"/>
        </w:rPr>
        <w:t>30</w:t>
      </w:r>
      <w:r w:rsidRPr="6407B060" w:rsidR="04212A79">
        <w:rPr>
          <w:rFonts w:ascii="Arial" w:hAnsi="Arial" w:eastAsia="Arial" w:cs="Arial"/>
          <w:sz w:val="24"/>
          <w:szCs w:val="24"/>
        </w:rPr>
        <w:t xml:space="preserve"> × 365 = </w:t>
      </w:r>
      <w:r w:rsidRPr="6407B060" w:rsidR="3C12934C">
        <w:rPr>
          <w:rFonts w:ascii="Arial" w:hAnsi="Arial" w:eastAsia="Arial" w:cs="Arial"/>
          <w:sz w:val="24"/>
          <w:szCs w:val="24"/>
        </w:rPr>
        <w:t>84</w:t>
      </w:r>
      <w:r w:rsidRPr="6407B060" w:rsidR="04212A79">
        <w:rPr>
          <w:rFonts w:ascii="Arial" w:hAnsi="Arial" w:eastAsia="Arial" w:cs="Arial"/>
          <w:sz w:val="24"/>
          <w:szCs w:val="24"/>
        </w:rPr>
        <w:t xml:space="preserve"> </w:t>
      </w:r>
      <w:r w:rsidRPr="6407B060" w:rsidR="04212A79">
        <w:rPr>
          <w:rFonts w:ascii="Arial" w:hAnsi="Arial" w:eastAsia="Arial" w:cs="Arial"/>
          <w:sz w:val="24"/>
          <w:szCs w:val="24"/>
        </w:rPr>
        <w:t>d</w:t>
      </w:r>
      <w:r w:rsidRPr="6407B060" w:rsidR="04212A79">
        <w:rPr>
          <w:rFonts w:ascii="Arial" w:hAnsi="Arial" w:eastAsia="Arial" w:cs="Arial"/>
          <w:sz w:val="24"/>
          <w:szCs w:val="24"/>
        </w:rPr>
        <w:t>ays</w:t>
      </w:r>
    </w:p>
    <w:p w:rsidR="3C2B4B3D" w:rsidP="6407B060" w:rsidRDefault="3C2B4B3D" w14:paraId="4A1D996A" w14:textId="3B47501F">
      <w:pPr>
        <w:pStyle w:val="Normal"/>
        <w:bidi w:val="0"/>
        <w:rPr>
          <w:rFonts w:ascii="Arial" w:hAnsi="Arial" w:eastAsia="Arial" w:cs="Arial"/>
          <w:sz w:val="24"/>
          <w:szCs w:val="24"/>
        </w:rPr>
      </w:pPr>
      <w:r w:rsidRPr="6407B060" w:rsidR="3C2B4B3D">
        <w:rPr>
          <w:rFonts w:ascii="Arial" w:hAnsi="Arial" w:eastAsia="Arial" w:cs="Arial"/>
          <w:sz w:val="24"/>
          <w:szCs w:val="24"/>
        </w:rPr>
        <w:t>2023:</w:t>
      </w:r>
      <w:r w:rsidRPr="6407B060" w:rsidR="3C2B4B3D">
        <w:rPr>
          <w:rFonts w:ascii="Arial" w:hAnsi="Arial" w:eastAsia="Arial" w:cs="Arial"/>
          <w:sz w:val="24"/>
          <w:szCs w:val="24"/>
        </w:rPr>
        <w:t xml:space="preserve"> 53601 ÷ 261262 × 365 = 0.2051 × 365 = 74.8 </w:t>
      </w:r>
      <w:r w:rsidRPr="6407B060" w:rsidR="3C2B4B3D">
        <w:rPr>
          <w:rFonts w:ascii="Arial" w:hAnsi="Arial" w:eastAsia="Arial" w:cs="Arial"/>
          <w:sz w:val="24"/>
          <w:szCs w:val="24"/>
        </w:rPr>
        <w:t>days</w:t>
      </w:r>
    </w:p>
    <w:p w:rsidR="3C2B4B3D" w:rsidP="6407B060" w:rsidRDefault="3C2B4B3D" w14:paraId="7ED57656" w14:textId="43576CF4">
      <w:pPr>
        <w:pStyle w:val="Normal"/>
        <w:bidi w:val="0"/>
        <w:rPr>
          <w:rFonts w:ascii="Arial" w:hAnsi="Arial" w:eastAsia="Arial" w:cs="Arial"/>
          <w:sz w:val="24"/>
          <w:szCs w:val="24"/>
        </w:rPr>
      </w:pPr>
      <w:r w:rsidRPr="6407B060" w:rsidR="3C2B4B3D">
        <w:rPr>
          <w:rFonts w:ascii="Arial" w:hAnsi="Arial" w:eastAsia="Arial" w:cs="Arial"/>
          <w:sz w:val="24"/>
          <w:szCs w:val="24"/>
        </w:rPr>
        <w:t>2024:</w:t>
      </w:r>
      <w:r w:rsidRPr="6407B060" w:rsidR="3C2B4B3D">
        <w:rPr>
          <w:rFonts w:ascii="Arial" w:hAnsi="Arial" w:eastAsia="Arial" w:cs="Arial"/>
          <w:sz w:val="24"/>
          <w:szCs w:val="24"/>
        </w:rPr>
        <w:t xml:space="preserve"> 56720 ÷ 265184 × 365 = 0.2138 × 365 = 78 </w:t>
      </w:r>
      <w:r w:rsidRPr="6407B060" w:rsidR="3C2B4B3D">
        <w:rPr>
          <w:rFonts w:ascii="Arial" w:hAnsi="Arial" w:eastAsia="Arial" w:cs="Arial"/>
          <w:sz w:val="24"/>
          <w:szCs w:val="24"/>
        </w:rPr>
        <w:t>days</w:t>
      </w:r>
    </w:p>
    <w:p w:rsidR="4C6A69E3" w:rsidP="6407B060" w:rsidRDefault="4C6A69E3" w14:paraId="6486BA48" w14:textId="23F0F6E3">
      <w:pPr>
        <w:pStyle w:val="Normal"/>
        <w:bidi w:val="0"/>
        <w:rPr>
          <w:rFonts w:ascii="Arial" w:hAnsi="Arial" w:eastAsia="Arial" w:cs="Arial"/>
          <w:sz w:val="24"/>
          <w:szCs w:val="24"/>
        </w:rPr>
      </w:pPr>
      <w:r w:rsidRPr="6407B060" w:rsidR="4C6A69E3">
        <w:rPr>
          <w:rFonts w:ascii="Arial" w:hAnsi="Arial" w:eastAsia="Arial" w:cs="Arial"/>
          <w:b w:val="1"/>
          <w:bCs w:val="1"/>
          <w:sz w:val="24"/>
          <w:szCs w:val="24"/>
        </w:rPr>
        <w:t>1.3.3 Debtors` Collection Period</w:t>
      </w:r>
      <w:r w:rsidRPr="6407B060" w:rsidR="4C6A69E3">
        <w:rPr>
          <w:rFonts w:ascii="Arial" w:hAnsi="Arial" w:eastAsia="Arial" w:cs="Arial"/>
          <w:sz w:val="24"/>
          <w:szCs w:val="24"/>
        </w:rPr>
        <w:t xml:space="preserve">  </w:t>
      </w:r>
    </w:p>
    <w:p w:rsidR="2D12BDF1" w:rsidP="6407B060" w:rsidRDefault="2D12BDF1" w14:paraId="05EA888B" w14:textId="40B9A985">
      <w:pPr>
        <w:pStyle w:val="Normal"/>
        <w:bidi w:val="0"/>
        <w:rPr>
          <w:rFonts w:ascii="Arial" w:hAnsi="Arial" w:eastAsia="Arial" w:cs="Arial"/>
          <w:sz w:val="24"/>
          <w:szCs w:val="24"/>
        </w:rPr>
      </w:pPr>
      <w:r w:rsidRPr="6407B060" w:rsidR="2D12BDF1">
        <w:rPr>
          <w:rFonts w:ascii="Arial" w:hAnsi="Arial" w:eastAsia="Arial" w:cs="Arial"/>
          <w:sz w:val="24"/>
          <w:szCs w:val="24"/>
        </w:rPr>
        <w:t xml:space="preserve">2020: 16243 ÷ 222884 × 365 = 0.0728 × 365 = </w:t>
      </w:r>
      <w:r w:rsidRPr="6407B060" w:rsidR="004E44C7">
        <w:rPr>
          <w:rFonts w:ascii="Arial" w:hAnsi="Arial" w:eastAsia="Arial" w:cs="Arial"/>
          <w:sz w:val="24"/>
          <w:szCs w:val="24"/>
        </w:rPr>
        <w:t>26.5</w:t>
      </w:r>
      <w:r w:rsidRPr="6407B060" w:rsidR="2D12BDF1">
        <w:rPr>
          <w:rFonts w:ascii="Arial" w:hAnsi="Arial" w:eastAsia="Arial" w:cs="Arial"/>
          <w:sz w:val="24"/>
          <w:szCs w:val="24"/>
        </w:rPr>
        <w:t xml:space="preserve"> days</w:t>
      </w:r>
    </w:p>
    <w:p w:rsidR="5C5EA3DB" w:rsidP="6407B060" w:rsidRDefault="5C5EA3DB" w14:paraId="130CCF7E" w14:textId="2A158483">
      <w:pPr>
        <w:pStyle w:val="Normal"/>
        <w:bidi w:val="0"/>
        <w:rPr>
          <w:rFonts w:ascii="Arial" w:hAnsi="Arial" w:eastAsia="Arial" w:cs="Arial"/>
          <w:sz w:val="24"/>
          <w:szCs w:val="24"/>
        </w:rPr>
      </w:pPr>
      <w:r w:rsidRPr="6407B060" w:rsidR="5C5EA3DB">
        <w:rPr>
          <w:rFonts w:ascii="Arial" w:hAnsi="Arial" w:eastAsia="Arial" w:cs="Arial"/>
          <w:sz w:val="24"/>
          <w:szCs w:val="24"/>
        </w:rPr>
        <w:t>2021: 15521 ÷ 240200 × 365 = 0.0620 × 365 = 22.6 days</w:t>
      </w:r>
    </w:p>
    <w:p w:rsidR="5C5EA3DB" w:rsidP="6407B060" w:rsidRDefault="5C5EA3DB" w14:paraId="29E0CB83" w14:textId="70B7EC2C">
      <w:pPr>
        <w:pStyle w:val="Normal"/>
        <w:bidi w:val="0"/>
        <w:rPr>
          <w:rFonts w:ascii="Arial" w:hAnsi="Arial" w:eastAsia="Arial" w:cs="Arial"/>
          <w:sz w:val="24"/>
          <w:szCs w:val="24"/>
        </w:rPr>
      </w:pPr>
      <w:r w:rsidRPr="6407B060" w:rsidR="5C5EA3DB">
        <w:rPr>
          <w:rFonts w:ascii="Arial" w:hAnsi="Arial" w:eastAsia="Arial" w:cs="Arial"/>
          <w:sz w:val="24"/>
          <w:szCs w:val="24"/>
        </w:rPr>
        <w:t>2022: 18581 ÷ 279232 × 365 = 0.0665 × 365 = 24.2 days</w:t>
      </w:r>
    </w:p>
    <w:p w:rsidR="5C5EA3DB" w:rsidP="6407B060" w:rsidRDefault="5C5EA3DB" w14:paraId="4A9DD789" w14:textId="5A44FF0D">
      <w:pPr>
        <w:pStyle w:val="Normal"/>
        <w:bidi w:val="0"/>
        <w:rPr>
          <w:rFonts w:ascii="Arial" w:hAnsi="Arial" w:eastAsia="Arial" w:cs="Arial"/>
          <w:sz w:val="24"/>
          <w:szCs w:val="24"/>
        </w:rPr>
      </w:pPr>
      <w:r w:rsidRPr="6407B060" w:rsidR="5C5EA3DB">
        <w:rPr>
          <w:rFonts w:ascii="Arial" w:hAnsi="Arial" w:eastAsia="Arial" w:cs="Arial"/>
          <w:sz w:val="24"/>
          <w:szCs w:val="24"/>
        </w:rPr>
        <w:t>2023: 21849 ÷ 322284 × 365 = 0.0677 × 365 = 24.7 days</w:t>
      </w:r>
    </w:p>
    <w:p w:rsidR="5C5EA3DB" w:rsidP="6407B060" w:rsidRDefault="5C5EA3DB" w14:paraId="7175EB00" w14:textId="32BAD38B">
      <w:pPr>
        <w:pStyle w:val="Normal"/>
        <w:bidi w:val="0"/>
        <w:rPr>
          <w:rFonts w:ascii="Arial" w:hAnsi="Arial" w:eastAsia="Arial" w:cs="Arial"/>
          <w:sz w:val="24"/>
          <w:szCs w:val="24"/>
        </w:rPr>
      </w:pPr>
      <w:r w:rsidRPr="6407B060" w:rsidR="5C5EA3DB">
        <w:rPr>
          <w:rFonts w:ascii="Arial" w:hAnsi="Arial" w:eastAsia="Arial" w:cs="Arial"/>
          <w:sz w:val="24"/>
          <w:szCs w:val="24"/>
        </w:rPr>
        <w:t>2024: 21130 ÷ 324656 × 365 = 0.0650 × 365 = 23.7 days</w:t>
      </w:r>
    </w:p>
    <w:p w:rsidR="2A6D1C2B" w:rsidP="6407B060" w:rsidRDefault="2A6D1C2B" w14:paraId="0C379478" w14:textId="171396E1">
      <w:pPr>
        <w:pStyle w:val="Normal"/>
        <w:bidi w:val="0"/>
        <w:rPr>
          <w:rFonts w:ascii="Arial" w:hAnsi="Arial" w:eastAsia="Arial" w:cs="Arial"/>
          <w:sz w:val="24"/>
          <w:szCs w:val="24"/>
        </w:rPr>
      </w:pPr>
      <w:r w:rsidRPr="6407B060" w:rsidR="2A6D1C2B">
        <w:rPr>
          <w:rFonts w:ascii="Arial" w:hAnsi="Arial" w:eastAsia="Arial" w:cs="Arial"/>
          <w:b w:val="1"/>
          <w:bCs w:val="1"/>
          <w:sz w:val="24"/>
          <w:szCs w:val="24"/>
        </w:rPr>
        <w:t>1.3.4 Creditors` Payment Period</w:t>
      </w:r>
    </w:p>
    <w:p w:rsidR="2A6D1C2B" w:rsidP="6407B060" w:rsidRDefault="2A6D1C2B" w14:paraId="0A6FAAC2" w14:textId="30B3A15B">
      <w:pPr>
        <w:pStyle w:val="Normal"/>
        <w:bidi w:val="0"/>
        <w:rPr>
          <w:rFonts w:ascii="Arial" w:hAnsi="Arial" w:eastAsia="Arial" w:cs="Arial"/>
          <w:sz w:val="24"/>
          <w:szCs w:val="24"/>
        </w:rPr>
      </w:pPr>
      <w:r w:rsidRPr="6407B060" w:rsidR="2A6D1C2B">
        <w:rPr>
          <w:rFonts w:ascii="Arial" w:hAnsi="Arial" w:eastAsia="Arial" w:cs="Arial"/>
          <w:sz w:val="24"/>
          <w:szCs w:val="24"/>
        </w:rPr>
        <w:t>2020: 22677 ÷ 222884 × 365 = 0.1017 × 365 = 37.1 days</w:t>
      </w:r>
    </w:p>
    <w:p w:rsidR="273942B4" w:rsidP="6407B060" w:rsidRDefault="273942B4" w14:paraId="1BF6DD32" w14:textId="6654490C">
      <w:pPr>
        <w:pStyle w:val="Normal"/>
        <w:bidi w:val="0"/>
        <w:rPr>
          <w:rFonts w:ascii="Arial" w:hAnsi="Arial" w:eastAsia="Arial" w:cs="Arial"/>
          <w:sz w:val="24"/>
          <w:szCs w:val="24"/>
        </w:rPr>
      </w:pPr>
      <w:r w:rsidRPr="6407B060" w:rsidR="273942B4">
        <w:rPr>
          <w:rFonts w:ascii="Arial" w:hAnsi="Arial" w:eastAsia="Arial" w:cs="Arial"/>
          <w:sz w:val="24"/>
          <w:szCs w:val="24"/>
        </w:rPr>
        <w:t>2021: 23624 ÷ 250200 × 365 = 0.0944 × 365 = 34.4 days</w:t>
      </w:r>
    </w:p>
    <w:p w:rsidR="273942B4" w:rsidP="6407B060" w:rsidRDefault="273942B4" w14:paraId="2B9EFEA6" w14:textId="1AE3E067">
      <w:pPr>
        <w:pStyle w:val="Normal"/>
        <w:bidi w:val="0"/>
        <w:rPr>
          <w:rFonts w:ascii="Arial" w:hAnsi="Arial" w:eastAsia="Arial" w:cs="Arial"/>
          <w:sz w:val="24"/>
          <w:szCs w:val="24"/>
        </w:rPr>
      </w:pPr>
      <w:r w:rsidRPr="6407B060" w:rsidR="273942B4">
        <w:rPr>
          <w:rFonts w:ascii="Arial" w:hAnsi="Arial" w:eastAsia="Arial" w:cs="Arial"/>
          <w:sz w:val="24"/>
          <w:szCs w:val="24"/>
        </w:rPr>
        <w:t>2022: 28748 ÷ 279232 × 365 = 0.1029 × 365 = 37.5 days</w:t>
      </w:r>
    </w:p>
    <w:p w:rsidR="273942B4" w:rsidP="6407B060" w:rsidRDefault="273942B4" w14:paraId="0CB19BD3" w14:textId="61B431BF">
      <w:pPr>
        <w:pStyle w:val="Normal"/>
        <w:bidi w:val="0"/>
        <w:rPr>
          <w:rFonts w:ascii="Arial" w:hAnsi="Arial" w:eastAsia="Arial" w:cs="Arial"/>
          <w:sz w:val="24"/>
          <w:szCs w:val="24"/>
        </w:rPr>
      </w:pPr>
      <w:r w:rsidRPr="6407B060" w:rsidR="273942B4">
        <w:rPr>
          <w:rFonts w:ascii="Arial" w:hAnsi="Arial" w:eastAsia="Arial" w:cs="Arial"/>
          <w:sz w:val="24"/>
          <w:szCs w:val="24"/>
        </w:rPr>
        <w:t>2023: 30901 ÷ 322284 × 365 = 0.0958 × 365 = 34.9 days</w:t>
      </w:r>
    </w:p>
    <w:p w:rsidR="273942B4" w:rsidP="6407B060" w:rsidRDefault="273942B4" w14:paraId="13B9B2B6" w14:textId="25B92577">
      <w:pPr>
        <w:pStyle w:val="Normal"/>
        <w:bidi w:val="0"/>
        <w:rPr>
          <w:rFonts w:ascii="Arial" w:hAnsi="Arial" w:eastAsia="Arial" w:cs="Arial"/>
          <w:sz w:val="24"/>
          <w:szCs w:val="24"/>
        </w:rPr>
      </w:pPr>
      <w:r w:rsidRPr="6407B060" w:rsidR="273942B4">
        <w:rPr>
          <w:rFonts w:ascii="Arial" w:hAnsi="Arial" w:eastAsia="Arial" w:cs="Arial"/>
          <w:sz w:val="24"/>
          <w:szCs w:val="24"/>
        </w:rPr>
        <w:t>2024: 29772 ÷ 324656 × 365 = 0.0917 × 365 = 33.4 days</w:t>
      </w:r>
    </w:p>
    <w:p w:rsidR="68C6B797" w:rsidP="6407B060" w:rsidRDefault="68C6B797" w14:paraId="484AD818" w14:textId="0939E933">
      <w:pPr>
        <w:pStyle w:val="Normal"/>
        <w:bidi w:val="0"/>
        <w:rPr>
          <w:rFonts w:ascii="Arial" w:hAnsi="Arial" w:eastAsia="Arial" w:cs="Arial"/>
          <w:sz w:val="24"/>
          <w:szCs w:val="24"/>
        </w:rPr>
      </w:pPr>
      <w:r w:rsidRPr="6407B060" w:rsidR="68C6B797">
        <w:rPr>
          <w:rFonts w:ascii="Arial" w:hAnsi="Arial" w:eastAsia="Arial" w:cs="Arial"/>
          <w:b w:val="1"/>
          <w:bCs w:val="1"/>
          <w:sz w:val="24"/>
          <w:szCs w:val="24"/>
        </w:rPr>
        <w:t>1.4.1 Current Ratio (Working Capital Ratio)</w:t>
      </w:r>
      <w:r w:rsidRPr="6407B060" w:rsidR="68C6B797">
        <w:rPr>
          <w:rFonts w:ascii="Arial" w:hAnsi="Arial" w:eastAsia="Arial" w:cs="Arial"/>
          <w:sz w:val="24"/>
          <w:szCs w:val="24"/>
        </w:rPr>
        <w:t xml:space="preserve">  </w:t>
      </w:r>
    </w:p>
    <w:p w:rsidR="68C6B797" w:rsidP="6407B060" w:rsidRDefault="68C6B797" w14:paraId="75EEAB77" w14:textId="72AB3238">
      <w:pPr>
        <w:pStyle w:val="Normal"/>
        <w:bidi w:val="0"/>
        <w:rPr>
          <w:rFonts w:ascii="Arial" w:hAnsi="Arial" w:eastAsia="Arial" w:cs="Arial"/>
          <w:sz w:val="24"/>
          <w:szCs w:val="24"/>
        </w:rPr>
      </w:pPr>
      <w:r w:rsidRPr="6407B060" w:rsidR="68C6B797">
        <w:rPr>
          <w:rFonts w:ascii="Arial" w:hAnsi="Arial" w:eastAsia="Arial" w:cs="Arial"/>
          <w:sz w:val="24"/>
          <w:szCs w:val="24"/>
        </w:rPr>
        <w:t>2020: 194944 ÷ 165410 = 1.17</w:t>
      </w:r>
    </w:p>
    <w:p w:rsidR="68C6B797" w:rsidP="6407B060" w:rsidRDefault="68C6B797" w14:paraId="08D7A44F" w14:textId="065DC4A1">
      <w:pPr>
        <w:pStyle w:val="Normal"/>
        <w:bidi w:val="0"/>
        <w:rPr>
          <w:rFonts w:ascii="Arial" w:hAnsi="Arial" w:eastAsia="Arial" w:cs="Arial"/>
          <w:sz w:val="24"/>
          <w:szCs w:val="24"/>
        </w:rPr>
      </w:pPr>
      <w:r w:rsidRPr="6407B060" w:rsidR="68C6B797">
        <w:rPr>
          <w:rFonts w:ascii="Arial" w:hAnsi="Arial" w:eastAsia="Arial" w:cs="Arial"/>
          <w:sz w:val="24"/>
          <w:szCs w:val="24"/>
        </w:rPr>
        <w:t>2021: 200347 ÷ 164393 = 1.21</w:t>
      </w:r>
    </w:p>
    <w:p w:rsidR="68C6B797" w:rsidP="6407B060" w:rsidRDefault="68C6B797" w14:paraId="1B8F264D" w14:textId="75D2C89B">
      <w:pPr>
        <w:pStyle w:val="Normal"/>
        <w:bidi w:val="0"/>
        <w:rPr>
          <w:rFonts w:ascii="Arial" w:hAnsi="Arial" w:eastAsia="Arial" w:cs="Arial"/>
          <w:sz w:val="24"/>
          <w:szCs w:val="24"/>
        </w:rPr>
      </w:pPr>
      <w:r w:rsidRPr="6407B060" w:rsidR="68C6B797">
        <w:rPr>
          <w:rFonts w:ascii="Arial" w:hAnsi="Arial" w:eastAsia="Arial" w:cs="Arial"/>
          <w:sz w:val="24"/>
          <w:szCs w:val="24"/>
        </w:rPr>
        <w:t>2022: 224309 ÷ 182992 = 1.22</w:t>
      </w:r>
    </w:p>
    <w:p w:rsidR="68C6B797" w:rsidP="6407B060" w:rsidRDefault="68C6B797" w14:paraId="33DD86BD" w14:textId="6FF16DFB">
      <w:pPr>
        <w:pStyle w:val="Normal"/>
        <w:bidi w:val="0"/>
        <w:rPr>
          <w:rFonts w:ascii="Arial" w:hAnsi="Arial" w:eastAsia="Arial" w:cs="Arial"/>
          <w:sz w:val="24"/>
          <w:szCs w:val="24"/>
        </w:rPr>
      </w:pPr>
      <w:r w:rsidRPr="6407B060" w:rsidR="68C6B797">
        <w:rPr>
          <w:rFonts w:ascii="Arial" w:hAnsi="Arial" w:eastAsia="Arial" w:cs="Arial"/>
          <w:sz w:val="24"/>
          <w:szCs w:val="24"/>
        </w:rPr>
        <w:t>2023: 239644 ÷ 205874 = 1.16</w:t>
      </w:r>
    </w:p>
    <w:p w:rsidR="68C6B797" w:rsidP="6407B060" w:rsidRDefault="68C6B797" w14:paraId="08A1E319" w14:textId="4BD27B5A">
      <w:pPr>
        <w:pStyle w:val="Normal"/>
        <w:bidi w:val="0"/>
        <w:rPr>
          <w:rFonts w:ascii="Arial" w:hAnsi="Arial" w:eastAsia="Arial" w:cs="Arial"/>
          <w:sz w:val="24"/>
          <w:szCs w:val="24"/>
        </w:rPr>
      </w:pPr>
      <w:r w:rsidRPr="6407B060" w:rsidR="68C6B797">
        <w:rPr>
          <w:rFonts w:ascii="Arial" w:hAnsi="Arial" w:eastAsia="Arial" w:cs="Arial"/>
          <w:sz w:val="24"/>
          <w:szCs w:val="24"/>
        </w:rPr>
        <w:t>2024: 245231 ÷ 217039 = 1.1</w:t>
      </w:r>
      <w:r w:rsidRPr="6407B060" w:rsidR="3FFE69A7">
        <w:rPr>
          <w:rFonts w:ascii="Arial" w:hAnsi="Arial" w:eastAsia="Arial" w:cs="Arial"/>
          <w:sz w:val="24"/>
          <w:szCs w:val="24"/>
        </w:rPr>
        <w:t>2</w:t>
      </w:r>
    </w:p>
    <w:p w:rsidR="56642402" w:rsidP="6407B060" w:rsidRDefault="56642402" w14:paraId="1EE16198" w14:textId="18038611">
      <w:pPr>
        <w:pStyle w:val="Normal"/>
        <w:bidi w:val="0"/>
        <w:rPr>
          <w:rFonts w:ascii="Arial" w:hAnsi="Arial" w:eastAsia="Arial" w:cs="Arial"/>
          <w:b w:val="1"/>
          <w:bCs w:val="1"/>
          <w:sz w:val="24"/>
          <w:szCs w:val="24"/>
        </w:rPr>
      </w:pPr>
      <w:r w:rsidRPr="6407B060" w:rsidR="56642402">
        <w:rPr>
          <w:rFonts w:ascii="Arial" w:hAnsi="Arial" w:eastAsia="Arial" w:cs="Arial"/>
          <w:b w:val="1"/>
          <w:bCs w:val="1"/>
          <w:sz w:val="24"/>
          <w:szCs w:val="24"/>
        </w:rPr>
        <w:t>1.4.2 Quick Asset Ratio (Acid Test)</w:t>
      </w:r>
    </w:p>
    <w:p w:rsidR="56642402" w:rsidP="6407B060" w:rsidRDefault="56642402" w14:paraId="28BBE20D" w14:textId="6327FBF5">
      <w:pPr>
        <w:pStyle w:val="Normal"/>
        <w:bidi w:val="0"/>
        <w:rPr>
          <w:rFonts w:ascii="Arial" w:hAnsi="Arial" w:eastAsia="Arial" w:cs="Arial"/>
          <w:b w:val="0"/>
          <w:bCs w:val="0"/>
          <w:sz w:val="24"/>
          <w:szCs w:val="24"/>
        </w:rPr>
      </w:pPr>
      <w:r w:rsidRPr="6407B060" w:rsidR="56642402">
        <w:rPr>
          <w:rFonts w:ascii="Arial" w:hAnsi="Arial" w:eastAsia="Arial" w:cs="Arial"/>
          <w:b w:val="0"/>
          <w:bCs w:val="0"/>
          <w:sz w:val="24"/>
          <w:szCs w:val="24"/>
        </w:rPr>
        <w:t xml:space="preserve">2020: (194944 – 43823) ÷ 165410 = </w:t>
      </w:r>
      <w:r w:rsidRPr="6407B060" w:rsidR="5A19A062">
        <w:rPr>
          <w:rFonts w:ascii="Arial" w:hAnsi="Arial" w:eastAsia="Arial" w:cs="Arial"/>
          <w:b w:val="0"/>
          <w:bCs w:val="0"/>
          <w:sz w:val="24"/>
          <w:szCs w:val="24"/>
        </w:rPr>
        <w:t>151121 ÷ 165410 = 0.91</w:t>
      </w:r>
    </w:p>
    <w:p w:rsidR="5A19A062" w:rsidP="6407B060" w:rsidRDefault="5A19A062" w14:paraId="2A61F6DD" w14:textId="242E22E4">
      <w:pPr>
        <w:pStyle w:val="Normal"/>
        <w:bidi w:val="0"/>
        <w:rPr>
          <w:rFonts w:ascii="Arial" w:hAnsi="Arial" w:eastAsia="Arial" w:cs="Arial"/>
          <w:b w:val="0"/>
          <w:bCs w:val="0"/>
          <w:sz w:val="24"/>
          <w:szCs w:val="24"/>
        </w:rPr>
      </w:pPr>
      <w:r w:rsidRPr="6407B060" w:rsidR="5A19A062">
        <w:rPr>
          <w:rFonts w:ascii="Arial" w:hAnsi="Arial" w:eastAsia="Arial" w:cs="Arial"/>
          <w:b w:val="0"/>
          <w:bCs w:val="0"/>
          <w:sz w:val="24"/>
          <w:szCs w:val="24"/>
        </w:rPr>
        <w:t xml:space="preserve">2021: (200347 – 43725) ÷ 164393 </w:t>
      </w:r>
      <w:r w:rsidRPr="6407B060" w:rsidR="5A19A062">
        <w:rPr>
          <w:rFonts w:ascii="Arial" w:hAnsi="Arial" w:eastAsia="Arial" w:cs="Arial"/>
          <w:b w:val="0"/>
          <w:bCs w:val="0"/>
          <w:sz w:val="24"/>
          <w:szCs w:val="24"/>
        </w:rPr>
        <w:t xml:space="preserve">= </w:t>
      </w:r>
      <w:r w:rsidRPr="6407B060" w:rsidR="54D716EC">
        <w:rPr>
          <w:rFonts w:ascii="Arial" w:hAnsi="Arial" w:eastAsia="Arial" w:cs="Arial"/>
          <w:b w:val="0"/>
          <w:bCs w:val="0"/>
          <w:sz w:val="24"/>
          <w:szCs w:val="24"/>
        </w:rPr>
        <w:t>156622</w:t>
      </w:r>
      <w:r w:rsidRPr="6407B060" w:rsidR="54D716EC">
        <w:rPr>
          <w:rFonts w:ascii="Arial" w:hAnsi="Arial" w:eastAsia="Arial" w:cs="Arial"/>
          <w:b w:val="0"/>
          <w:bCs w:val="0"/>
          <w:sz w:val="24"/>
          <w:szCs w:val="24"/>
        </w:rPr>
        <w:t xml:space="preserve"> </w:t>
      </w:r>
      <w:r w:rsidRPr="6407B060" w:rsidR="5A19A062">
        <w:rPr>
          <w:rFonts w:ascii="Arial" w:hAnsi="Arial" w:eastAsia="Arial" w:cs="Arial"/>
          <w:b w:val="0"/>
          <w:bCs w:val="0"/>
          <w:sz w:val="24"/>
          <w:szCs w:val="24"/>
        </w:rPr>
        <w:t>÷</w:t>
      </w:r>
      <w:r w:rsidRPr="6407B060" w:rsidR="5A19A062">
        <w:rPr>
          <w:rFonts w:ascii="Arial" w:hAnsi="Arial" w:eastAsia="Arial" w:cs="Arial"/>
          <w:b w:val="0"/>
          <w:bCs w:val="0"/>
          <w:sz w:val="24"/>
          <w:szCs w:val="24"/>
        </w:rPr>
        <w:t xml:space="preserve"> 16</w:t>
      </w:r>
      <w:r w:rsidRPr="6407B060" w:rsidR="4B8CDCBE">
        <w:rPr>
          <w:rFonts w:ascii="Arial" w:hAnsi="Arial" w:eastAsia="Arial" w:cs="Arial"/>
          <w:b w:val="0"/>
          <w:bCs w:val="0"/>
          <w:sz w:val="24"/>
          <w:szCs w:val="24"/>
        </w:rPr>
        <w:t>4393</w:t>
      </w:r>
      <w:r w:rsidRPr="6407B060" w:rsidR="5A19A062">
        <w:rPr>
          <w:rFonts w:ascii="Arial" w:hAnsi="Arial" w:eastAsia="Arial" w:cs="Arial"/>
          <w:b w:val="0"/>
          <w:bCs w:val="0"/>
          <w:sz w:val="24"/>
          <w:szCs w:val="24"/>
        </w:rPr>
        <w:t xml:space="preserve"> = 0.9</w:t>
      </w:r>
      <w:r w:rsidRPr="6407B060" w:rsidR="418570CA">
        <w:rPr>
          <w:rFonts w:ascii="Arial" w:hAnsi="Arial" w:eastAsia="Arial" w:cs="Arial"/>
          <w:b w:val="0"/>
          <w:bCs w:val="0"/>
          <w:sz w:val="24"/>
          <w:szCs w:val="24"/>
        </w:rPr>
        <w:t>5</w:t>
      </w:r>
    </w:p>
    <w:p w:rsidR="418570CA" w:rsidP="6407B060" w:rsidRDefault="418570CA" w14:paraId="45141032" w14:textId="0D14F562">
      <w:pPr>
        <w:pStyle w:val="Normal"/>
        <w:bidi w:val="0"/>
        <w:rPr>
          <w:rFonts w:ascii="Arial" w:hAnsi="Arial" w:eastAsia="Arial" w:cs="Arial"/>
          <w:b w:val="0"/>
          <w:bCs w:val="0"/>
          <w:sz w:val="24"/>
          <w:szCs w:val="24"/>
        </w:rPr>
      </w:pPr>
      <w:r w:rsidRPr="6407B060" w:rsidR="418570CA">
        <w:rPr>
          <w:rFonts w:ascii="Arial" w:hAnsi="Arial" w:eastAsia="Arial" w:cs="Arial"/>
          <w:b w:val="0"/>
          <w:bCs w:val="0"/>
          <w:sz w:val="24"/>
          <w:szCs w:val="24"/>
        </w:rPr>
        <w:t>2022: (224309 – 52274) ÷ 182992 = 172035 ÷ 182992 = 0.9</w:t>
      </w:r>
      <w:r w:rsidRPr="6407B060" w:rsidR="434ABF38">
        <w:rPr>
          <w:rFonts w:ascii="Arial" w:hAnsi="Arial" w:eastAsia="Arial" w:cs="Arial"/>
          <w:b w:val="0"/>
          <w:bCs w:val="0"/>
          <w:sz w:val="24"/>
          <w:szCs w:val="24"/>
        </w:rPr>
        <w:t>4</w:t>
      </w:r>
    </w:p>
    <w:p w:rsidR="434ABF38" w:rsidP="6407B060" w:rsidRDefault="434ABF38" w14:paraId="4E584AE8" w14:textId="0873260A">
      <w:pPr>
        <w:pStyle w:val="Normal"/>
        <w:bidi w:val="0"/>
        <w:rPr>
          <w:rFonts w:ascii="Arial" w:hAnsi="Arial" w:eastAsia="Arial" w:cs="Arial"/>
          <w:b w:val="0"/>
          <w:bCs w:val="0"/>
          <w:sz w:val="24"/>
          <w:szCs w:val="24"/>
        </w:rPr>
      </w:pPr>
      <w:r w:rsidRPr="6407B060" w:rsidR="434ABF38">
        <w:rPr>
          <w:rFonts w:ascii="Arial" w:hAnsi="Arial" w:eastAsia="Arial" w:cs="Arial"/>
          <w:b w:val="0"/>
          <w:bCs w:val="0"/>
          <w:sz w:val="24"/>
          <w:szCs w:val="24"/>
        </w:rPr>
        <w:t xml:space="preserve">2023: (239644 – 53601) ÷ 205874 = 186043 ÷ </w:t>
      </w:r>
      <w:r w:rsidRPr="6407B060" w:rsidR="18279979">
        <w:rPr>
          <w:rFonts w:ascii="Arial" w:hAnsi="Arial" w:eastAsia="Arial" w:cs="Arial"/>
          <w:b w:val="0"/>
          <w:bCs w:val="0"/>
          <w:sz w:val="24"/>
          <w:szCs w:val="24"/>
        </w:rPr>
        <w:t>205874</w:t>
      </w:r>
      <w:r w:rsidRPr="6407B060" w:rsidR="434ABF38">
        <w:rPr>
          <w:rFonts w:ascii="Arial" w:hAnsi="Arial" w:eastAsia="Arial" w:cs="Arial"/>
          <w:b w:val="0"/>
          <w:bCs w:val="0"/>
          <w:sz w:val="24"/>
          <w:szCs w:val="24"/>
        </w:rPr>
        <w:t xml:space="preserve"> = 0.9</w:t>
      </w:r>
      <w:r w:rsidRPr="6407B060" w:rsidR="017E497E">
        <w:rPr>
          <w:rFonts w:ascii="Arial" w:hAnsi="Arial" w:eastAsia="Arial" w:cs="Arial"/>
          <w:b w:val="0"/>
          <w:bCs w:val="0"/>
          <w:sz w:val="24"/>
          <w:szCs w:val="24"/>
        </w:rPr>
        <w:t>0</w:t>
      </w:r>
    </w:p>
    <w:p w:rsidR="017E497E" w:rsidP="6407B060" w:rsidRDefault="017E497E" w14:paraId="6AE1ACFC" w14:textId="73EB48F4">
      <w:pPr>
        <w:pStyle w:val="Normal"/>
        <w:bidi w:val="0"/>
        <w:rPr>
          <w:rFonts w:ascii="Arial" w:hAnsi="Arial" w:eastAsia="Arial" w:cs="Arial"/>
          <w:b w:val="0"/>
          <w:bCs w:val="0"/>
          <w:sz w:val="24"/>
          <w:szCs w:val="24"/>
        </w:rPr>
      </w:pPr>
      <w:r w:rsidRPr="6407B060" w:rsidR="017E497E">
        <w:rPr>
          <w:rFonts w:ascii="Arial" w:hAnsi="Arial" w:eastAsia="Arial" w:cs="Arial"/>
          <w:b w:val="0"/>
          <w:bCs w:val="0"/>
          <w:sz w:val="24"/>
          <w:szCs w:val="24"/>
        </w:rPr>
        <w:t>2024: (245231 – 56720) ÷ 217039 = 188511 ÷ 217039 = 0.</w:t>
      </w:r>
      <w:r w:rsidRPr="6407B060" w:rsidR="6DAD7E2A">
        <w:rPr>
          <w:rFonts w:ascii="Arial" w:hAnsi="Arial" w:eastAsia="Arial" w:cs="Arial"/>
          <w:b w:val="0"/>
          <w:bCs w:val="0"/>
          <w:sz w:val="24"/>
          <w:szCs w:val="24"/>
        </w:rPr>
        <w:t>86</w:t>
      </w:r>
    </w:p>
    <w:p w:rsidR="6407B060" w:rsidP="6407B060" w:rsidRDefault="6407B060" w14:paraId="2063C353" w14:textId="1A21592C">
      <w:pPr>
        <w:pStyle w:val="Normal"/>
        <w:bidi w:val="0"/>
        <w:rPr>
          <w:rFonts w:ascii="Arial" w:hAnsi="Arial" w:eastAsia="Arial" w:cs="Arial"/>
          <w:b w:val="0"/>
          <w:bCs w:val="0"/>
          <w:sz w:val="24"/>
          <w:szCs w:val="24"/>
        </w:rPr>
      </w:pPr>
    </w:p>
    <w:p w:rsidR="5388094C" w:rsidP="6407B060" w:rsidRDefault="5388094C" w14:paraId="6CD0AEB8" w14:textId="4F0E91C0">
      <w:pPr>
        <w:pStyle w:val="Normal"/>
      </w:pPr>
      <w:r w:rsidR="5388094C">
        <w:drawing>
          <wp:inline wp14:editId="4830C24A" wp14:anchorId="4B3414F9">
            <wp:extent cx="5724525" cy="2543175"/>
            <wp:effectExtent l="0" t="0" r="0" b="0"/>
            <wp:docPr id="13065514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6551451" name="Picture 1306551451"/>
                    <pic:cNvPicPr/>
                  </pic:nvPicPr>
                  <pic:blipFill>
                    <a:blip xmlns:r="http://schemas.openxmlformats.org/officeDocument/2006/relationships" r:embed="rId1595635994">
                      <a:extLst>
                        <a:ext uri="{28A0092B-C50C-407E-A947-70E740481C1C}">
                          <a14:useLocalDpi xmlns:a14="http://schemas.microsoft.com/office/drawing/2010/main"/>
                        </a:ext>
                      </a:extLst>
                    </a:blip>
                    <a:stretch>
                      <a:fillRect/>
                    </a:stretch>
                  </pic:blipFill>
                  <pic:spPr>
                    <a:xfrm>
                      <a:off x="0" y="0"/>
                      <a:ext cx="5724525" cy="2543175"/>
                    </a:xfrm>
                    <a:prstGeom prst="rect">
                      <a:avLst/>
                    </a:prstGeom>
                  </pic:spPr>
                </pic:pic>
              </a:graphicData>
            </a:graphic>
          </wp:inline>
        </w:drawing>
      </w:r>
    </w:p>
    <w:p w:rsidR="44AC67F8" w:rsidP="6407B060" w:rsidRDefault="44AC67F8" w14:paraId="458922A3" w14:textId="69C5B1C8">
      <w:pPr>
        <w:pStyle w:val="Normal"/>
        <w:rPr>
          <w:rFonts w:ascii="Arial" w:hAnsi="Arial" w:eastAsia="Arial" w:cs="Arial"/>
          <w:sz w:val="28"/>
          <w:szCs w:val="28"/>
        </w:rPr>
      </w:pPr>
      <w:r w:rsidRPr="6407B060" w:rsidR="44AC67F8">
        <w:rPr>
          <w:rFonts w:ascii="Arial" w:hAnsi="Arial" w:eastAsia="Arial" w:cs="Arial"/>
          <w:sz w:val="28"/>
          <w:szCs w:val="28"/>
        </w:rPr>
        <w:t>4. Investment Appraisal and Capital Budgeting</w:t>
      </w:r>
    </w:p>
    <w:p w:rsidR="44AC67F8" w:rsidP="6407B060" w:rsidRDefault="44AC67F8" w14:paraId="4D1651FE" w14:textId="6CF99F75">
      <w:pPr>
        <w:pStyle w:val="Normal"/>
        <w:bidi w:val="0"/>
        <w:rPr>
          <w:rFonts w:ascii="Arial" w:hAnsi="Arial" w:eastAsia="Arial" w:cs="Arial"/>
          <w:b w:val="1"/>
          <w:bCs w:val="1"/>
          <w:sz w:val="24"/>
          <w:szCs w:val="24"/>
        </w:rPr>
      </w:pPr>
      <w:r w:rsidRPr="6407B060" w:rsidR="44AC67F8">
        <w:rPr>
          <w:rFonts w:ascii="Arial" w:hAnsi="Arial" w:eastAsia="Arial" w:cs="Arial"/>
          <w:b w:val="1"/>
          <w:bCs w:val="1"/>
          <w:sz w:val="24"/>
          <w:szCs w:val="24"/>
        </w:rPr>
        <w:t xml:space="preserve">Project </w:t>
      </w:r>
      <w:r w:rsidRPr="6407B060" w:rsidR="44AC67F8">
        <w:rPr>
          <w:rFonts w:ascii="Arial" w:hAnsi="Arial" w:eastAsia="Arial" w:cs="Arial"/>
          <w:b w:val="1"/>
          <w:bCs w:val="1"/>
          <w:sz w:val="24"/>
          <w:szCs w:val="24"/>
        </w:rPr>
        <w:t>A</w:t>
      </w:r>
      <w:r w:rsidRPr="6407B060" w:rsidR="44AC67F8">
        <w:rPr>
          <w:rFonts w:ascii="Arial" w:hAnsi="Arial" w:eastAsia="Arial" w:cs="Arial"/>
          <w:b w:val="1"/>
          <w:bCs w:val="1"/>
          <w:sz w:val="24"/>
          <w:szCs w:val="24"/>
        </w:rPr>
        <w:t xml:space="preserve"> IRR Calculation</w:t>
      </w:r>
    </w:p>
    <w:p w:rsidR="44AC67F8" w:rsidP="6407B060" w:rsidRDefault="44AC67F8" w14:paraId="13C495EC" w14:textId="14FB1A2C">
      <w:pPr>
        <w:pStyle w:val="Normal"/>
        <w:bidi w:val="0"/>
        <w:rPr>
          <w:rFonts w:ascii="Arial" w:hAnsi="Arial" w:eastAsia="Arial" w:cs="Arial"/>
          <w:b w:val="0"/>
          <w:bCs w:val="0"/>
          <w:sz w:val="24"/>
          <w:szCs w:val="24"/>
        </w:rPr>
      </w:pPr>
      <w:r w:rsidRPr="6407B060" w:rsidR="44AC67F8">
        <w:rPr>
          <w:rFonts w:ascii="Arial" w:hAnsi="Arial" w:eastAsia="Arial" w:cs="Arial"/>
          <w:b w:val="0"/>
          <w:bCs w:val="0"/>
          <w:sz w:val="24"/>
          <w:szCs w:val="24"/>
        </w:rPr>
        <w:t>NPV at 3%</w:t>
      </w:r>
    </w:p>
    <w:p w:rsidR="44AC67F8" w:rsidP="6407B060" w:rsidRDefault="44AC67F8" w14:paraId="731F7567" w14:textId="06883AE7">
      <w:pPr>
        <w:pStyle w:val="Normal"/>
        <w:bidi w:val="0"/>
        <w:rPr>
          <w:rFonts w:ascii="Arial" w:hAnsi="Arial" w:eastAsia="Arial" w:cs="Arial"/>
          <w:b w:val="0"/>
          <w:bCs w:val="0"/>
          <w:sz w:val="24"/>
          <w:szCs w:val="24"/>
        </w:rPr>
      </w:pPr>
      <w:r w:rsidRPr="6407B060" w:rsidR="44AC67F8">
        <w:rPr>
          <w:rFonts w:ascii="Arial" w:hAnsi="Arial" w:eastAsia="Arial" w:cs="Arial"/>
          <w:b w:val="0"/>
          <w:bCs w:val="0"/>
          <w:sz w:val="24"/>
          <w:szCs w:val="24"/>
        </w:rPr>
        <w:t>Discount factors</w:t>
      </w:r>
      <w:r w:rsidRPr="6407B060" w:rsidR="291537F9">
        <w:rPr>
          <w:rFonts w:ascii="Arial" w:hAnsi="Arial" w:eastAsia="Arial" w:cs="Arial"/>
          <w:b w:val="0"/>
          <w:bCs w:val="0"/>
          <w:sz w:val="24"/>
          <w:szCs w:val="24"/>
        </w:rPr>
        <w:t xml:space="preserve"> (DF)</w:t>
      </w:r>
      <w:r w:rsidRPr="6407B060" w:rsidR="44AC67F8">
        <w:rPr>
          <w:rFonts w:ascii="Arial" w:hAnsi="Arial" w:eastAsia="Arial" w:cs="Arial"/>
          <w:b w:val="0"/>
          <w:bCs w:val="0"/>
          <w:sz w:val="24"/>
          <w:szCs w:val="24"/>
        </w:rPr>
        <w:t>:</w:t>
      </w:r>
    </w:p>
    <w:p w:rsidR="3615C900" w:rsidP="6407B060" w:rsidRDefault="3615C900" w14:paraId="55CA3475" w14:textId="5794E7E1">
      <w:pPr>
        <w:pStyle w:val="Normal"/>
      </w:pPr>
      <w:r w:rsidR="3615C900">
        <w:drawing>
          <wp:inline wp14:editId="4630D39E" wp14:anchorId="18517C13">
            <wp:extent cx="1991004" cy="1463611"/>
            <wp:effectExtent l="0" t="0" r="0" b="0"/>
            <wp:docPr id="20031298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3129899" name="Picture 2003129899"/>
                    <pic:cNvPicPr/>
                  </pic:nvPicPr>
                  <pic:blipFill>
                    <a:blip xmlns:r="http://schemas.openxmlformats.org/officeDocument/2006/relationships" r:embed="rId2026624710">
                      <a:extLst>
                        <a:ext uri="{28A0092B-C50C-407E-A947-70E740481C1C}">
                          <a14:useLocalDpi xmlns:a14="http://schemas.microsoft.com/office/drawing/2010/main"/>
                        </a:ext>
                      </a:extLst>
                    </a:blip>
                    <a:stretch>
                      <a:fillRect/>
                    </a:stretch>
                  </pic:blipFill>
                  <pic:spPr>
                    <a:xfrm rot="0">
                      <a:off x="0" y="0"/>
                      <a:ext cx="1991004" cy="1463611"/>
                    </a:xfrm>
                    <a:prstGeom prst="rect">
                      <a:avLst/>
                    </a:prstGeom>
                  </pic:spPr>
                </pic:pic>
              </a:graphicData>
            </a:graphic>
          </wp:inline>
        </w:drawing>
      </w:r>
    </w:p>
    <w:p w:rsidR="0A5942BB" w:rsidP="6407B060" w:rsidRDefault="0A5942BB" w14:paraId="0AF48AF2" w14:textId="02B239C0">
      <w:pPr>
        <w:pStyle w:val="Normal"/>
        <w:bidi w:val="0"/>
        <w:rPr>
          <w:rFonts w:ascii="Arial" w:hAnsi="Arial" w:eastAsia="Arial" w:cs="Arial"/>
          <w:sz w:val="24"/>
          <w:szCs w:val="24"/>
        </w:rPr>
      </w:pPr>
      <w:r w:rsidRPr="6407B060" w:rsidR="0A5942BB">
        <w:rPr>
          <w:rFonts w:ascii="Arial" w:hAnsi="Arial" w:eastAsia="Arial" w:cs="Arial"/>
          <w:sz w:val="24"/>
          <w:szCs w:val="24"/>
        </w:rPr>
        <w:t>PV of cash inflows:</w:t>
      </w:r>
    </w:p>
    <w:p w:rsidR="4ED63376" w:rsidP="6407B060" w:rsidRDefault="4ED63376" w14:paraId="14036907" w14:textId="6FB570B1">
      <w:pPr>
        <w:pStyle w:val="Normal"/>
      </w:pPr>
      <w:r w:rsidR="4ED63376">
        <w:drawing>
          <wp:inline wp14:editId="1E214FD0" wp14:anchorId="1DF0A5D5">
            <wp:extent cx="2391108" cy="1417265"/>
            <wp:effectExtent l="0" t="0" r="0" b="0"/>
            <wp:docPr id="275165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516518" name="Picture 27516518"/>
                    <pic:cNvPicPr/>
                  </pic:nvPicPr>
                  <pic:blipFill>
                    <a:blip xmlns:r="http://schemas.openxmlformats.org/officeDocument/2006/relationships" r:embed="rId110341717">
                      <a:extLst>
                        <a:ext uri="{28A0092B-C50C-407E-A947-70E740481C1C}">
                          <a14:useLocalDpi xmlns:a14="http://schemas.microsoft.com/office/drawing/2010/main"/>
                        </a:ext>
                      </a:extLst>
                    </a:blip>
                    <a:stretch>
                      <a:fillRect/>
                    </a:stretch>
                  </pic:blipFill>
                  <pic:spPr>
                    <a:xfrm rot="0">
                      <a:off x="0" y="0"/>
                      <a:ext cx="2391108" cy="1417265"/>
                    </a:xfrm>
                    <a:prstGeom prst="rect">
                      <a:avLst/>
                    </a:prstGeom>
                  </pic:spPr>
                </pic:pic>
              </a:graphicData>
            </a:graphic>
          </wp:inline>
        </w:drawing>
      </w:r>
    </w:p>
    <w:p w:rsidR="0D167705" w:rsidP="6407B060" w:rsidRDefault="0D167705" w14:paraId="6F9D4A5F" w14:textId="3090C2E9">
      <w:pPr>
        <w:pStyle w:val="Normal"/>
        <w:bidi w:val="0"/>
        <w:rPr>
          <w:rFonts w:ascii="Arial" w:hAnsi="Arial" w:eastAsia="Arial" w:cs="Arial"/>
          <w:sz w:val="24"/>
          <w:szCs w:val="24"/>
        </w:rPr>
      </w:pPr>
      <w:r w:rsidRPr="6407B060" w:rsidR="0D167705">
        <w:rPr>
          <w:rFonts w:ascii="Arial" w:hAnsi="Arial" w:eastAsia="Arial" w:cs="Arial"/>
          <w:sz w:val="24"/>
          <w:szCs w:val="24"/>
        </w:rPr>
        <w:t>Total PV = 49.62</w:t>
      </w:r>
      <w:r w:rsidRPr="6407B060" w:rsidR="00882D22">
        <w:rPr>
          <w:rFonts w:ascii="Arial" w:hAnsi="Arial" w:eastAsia="Arial" w:cs="Arial"/>
          <w:sz w:val="24"/>
          <w:szCs w:val="24"/>
        </w:rPr>
        <w:t xml:space="preserve"> </w:t>
      </w:r>
    </w:p>
    <w:p w:rsidR="00882D22" w:rsidP="6407B060" w:rsidRDefault="00882D22" w14:paraId="0B6B38A4" w14:textId="0E617628">
      <w:pPr>
        <w:pStyle w:val="Normal"/>
        <w:bidi w:val="0"/>
        <w:rPr>
          <w:rFonts w:ascii="Arial" w:hAnsi="Arial" w:eastAsia="Arial" w:cs="Arial"/>
          <w:sz w:val="24"/>
          <w:szCs w:val="24"/>
        </w:rPr>
      </w:pPr>
      <w:r w:rsidRPr="6407B060" w:rsidR="00882D22">
        <w:rPr>
          <w:rFonts w:ascii="Arial" w:hAnsi="Arial" w:eastAsia="Arial" w:cs="Arial"/>
          <w:sz w:val="24"/>
          <w:szCs w:val="24"/>
        </w:rPr>
        <w:t>NPV=49.62−50=−0.38</w:t>
      </w:r>
    </w:p>
    <w:p w:rsidR="00882D22" w:rsidP="6407B060" w:rsidRDefault="00882D22" w14:paraId="75201729" w14:textId="1282DCB0">
      <w:pPr>
        <w:pStyle w:val="Normal"/>
        <w:bidi w:val="0"/>
        <w:rPr>
          <w:rFonts w:ascii="Arial" w:hAnsi="Arial" w:eastAsia="Arial" w:cs="Arial"/>
          <w:sz w:val="24"/>
          <w:szCs w:val="24"/>
        </w:rPr>
      </w:pPr>
      <w:r w:rsidRPr="6407B060" w:rsidR="00882D22">
        <w:rPr>
          <w:rFonts w:ascii="Arial" w:hAnsi="Arial" w:eastAsia="Arial" w:cs="Arial"/>
          <w:sz w:val="24"/>
          <w:szCs w:val="24"/>
        </w:rPr>
        <w:t>NPV at 2%</w:t>
      </w:r>
    </w:p>
    <w:p w:rsidR="00882D22" w:rsidP="6407B060" w:rsidRDefault="00882D22" w14:paraId="564603D7" w14:textId="035408BF">
      <w:pPr>
        <w:pStyle w:val="Normal"/>
        <w:bidi w:val="0"/>
        <w:rPr>
          <w:rFonts w:ascii="Arial" w:hAnsi="Arial" w:eastAsia="Arial" w:cs="Arial"/>
          <w:sz w:val="24"/>
          <w:szCs w:val="24"/>
        </w:rPr>
      </w:pPr>
      <w:r w:rsidRPr="6407B060" w:rsidR="00882D22">
        <w:rPr>
          <w:rFonts w:ascii="Arial" w:hAnsi="Arial" w:eastAsia="Arial" w:cs="Arial"/>
          <w:sz w:val="24"/>
          <w:szCs w:val="24"/>
        </w:rPr>
        <w:t xml:space="preserve">Discount factors (DF):  </w:t>
      </w:r>
    </w:p>
    <w:p w:rsidR="3A766579" w:rsidP="6407B060" w:rsidRDefault="3A766579" w14:paraId="79D75E1E" w14:textId="0712D1D8">
      <w:pPr>
        <w:pStyle w:val="Normal"/>
      </w:pPr>
      <w:r w:rsidR="3A766579">
        <w:drawing>
          <wp:inline wp14:editId="65602E11" wp14:anchorId="30A1CFDF">
            <wp:extent cx="1400370" cy="1574017"/>
            <wp:effectExtent l="0" t="0" r="0" b="0"/>
            <wp:docPr id="9075367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7536788" name="Picture 907536788"/>
                    <pic:cNvPicPr/>
                  </pic:nvPicPr>
                  <pic:blipFill>
                    <a:blip xmlns:r="http://schemas.openxmlformats.org/officeDocument/2006/relationships" r:embed="rId1577783554">
                      <a:extLst>
                        <a:ext uri="{28A0092B-C50C-407E-A947-70E740481C1C}">
                          <a14:useLocalDpi xmlns:a14="http://schemas.microsoft.com/office/drawing/2010/main"/>
                        </a:ext>
                      </a:extLst>
                    </a:blip>
                    <a:stretch>
                      <a:fillRect/>
                    </a:stretch>
                  </pic:blipFill>
                  <pic:spPr>
                    <a:xfrm rot="0">
                      <a:off x="0" y="0"/>
                      <a:ext cx="1400370" cy="1574017"/>
                    </a:xfrm>
                    <a:prstGeom prst="rect">
                      <a:avLst/>
                    </a:prstGeom>
                  </pic:spPr>
                </pic:pic>
              </a:graphicData>
            </a:graphic>
          </wp:inline>
        </w:drawing>
      </w:r>
    </w:p>
    <w:p w:rsidR="3A766579" w:rsidP="6407B060" w:rsidRDefault="3A766579" w14:paraId="199019CB" w14:textId="02B239C0">
      <w:pPr>
        <w:pStyle w:val="Normal"/>
        <w:bidi w:val="0"/>
        <w:rPr>
          <w:rFonts w:ascii="Arial" w:hAnsi="Arial" w:eastAsia="Arial" w:cs="Arial"/>
          <w:sz w:val="24"/>
          <w:szCs w:val="24"/>
        </w:rPr>
      </w:pPr>
      <w:r w:rsidRPr="6407B060" w:rsidR="3A766579">
        <w:rPr>
          <w:rFonts w:ascii="Arial" w:hAnsi="Arial" w:eastAsia="Arial" w:cs="Arial"/>
          <w:sz w:val="24"/>
          <w:szCs w:val="24"/>
        </w:rPr>
        <w:t>PV of cash inflows:</w:t>
      </w:r>
    </w:p>
    <w:p w:rsidR="7971B55C" w:rsidP="6407B060" w:rsidRDefault="7971B55C" w14:paraId="33535991" w14:textId="412476C8">
      <w:pPr>
        <w:pStyle w:val="Normal"/>
      </w:pPr>
      <w:r w:rsidR="7971B55C">
        <w:drawing>
          <wp:inline wp14:editId="6F30259E" wp14:anchorId="7CABD160">
            <wp:extent cx="1625009" cy="1672803"/>
            <wp:effectExtent l="0" t="0" r="0" b="0"/>
            <wp:docPr id="5269259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6925937" name="Picture 526925937"/>
                    <pic:cNvPicPr/>
                  </pic:nvPicPr>
                  <pic:blipFill>
                    <a:blip xmlns:r="http://schemas.openxmlformats.org/officeDocument/2006/relationships" r:embed="rId397145891">
                      <a:extLst>
                        <a:ext uri="{28A0092B-C50C-407E-A947-70E740481C1C}">
                          <a14:useLocalDpi xmlns:a14="http://schemas.microsoft.com/office/drawing/2010/main"/>
                        </a:ext>
                      </a:extLst>
                    </a:blip>
                    <a:stretch>
                      <a:fillRect/>
                    </a:stretch>
                  </pic:blipFill>
                  <pic:spPr>
                    <a:xfrm rot="0">
                      <a:off x="0" y="0"/>
                      <a:ext cx="1625009" cy="1672803"/>
                    </a:xfrm>
                    <a:prstGeom prst="rect">
                      <a:avLst/>
                    </a:prstGeom>
                  </pic:spPr>
                </pic:pic>
              </a:graphicData>
            </a:graphic>
          </wp:inline>
        </w:drawing>
      </w:r>
    </w:p>
    <w:p w:rsidR="7971B55C" w:rsidP="6407B060" w:rsidRDefault="7971B55C" w14:paraId="7CB9753C" w14:textId="2BB9555E">
      <w:pPr>
        <w:pStyle w:val="Normal"/>
        <w:bidi w:val="0"/>
        <w:rPr>
          <w:rFonts w:ascii="Arial" w:hAnsi="Arial" w:eastAsia="Arial" w:cs="Arial"/>
          <w:b w:val="0"/>
          <w:bCs w:val="0"/>
          <w:sz w:val="24"/>
          <w:szCs w:val="24"/>
        </w:rPr>
      </w:pPr>
      <w:r w:rsidRPr="6407B060" w:rsidR="7971B55C">
        <w:rPr>
          <w:rFonts w:ascii="Arial" w:hAnsi="Arial" w:eastAsia="Arial" w:cs="Arial"/>
          <w:b w:val="0"/>
          <w:bCs w:val="0"/>
          <w:sz w:val="24"/>
          <w:szCs w:val="24"/>
        </w:rPr>
        <w:t xml:space="preserve">Total PV = </w:t>
      </w:r>
      <w:r w:rsidRPr="6407B060" w:rsidR="7971B55C">
        <w:rPr>
          <w:rFonts w:ascii="Arial" w:hAnsi="Arial" w:eastAsia="Arial" w:cs="Arial"/>
          <w:b w:val="0"/>
          <w:bCs w:val="0"/>
          <w:sz w:val="24"/>
          <w:szCs w:val="24"/>
        </w:rPr>
        <w:t>50.99</w:t>
      </w:r>
    </w:p>
    <w:p w:rsidR="7971B55C" w:rsidP="6407B060" w:rsidRDefault="7971B55C" w14:paraId="54AD4E3C" w14:textId="2C0909B7">
      <w:pPr>
        <w:pStyle w:val="Normal"/>
        <w:bidi w:val="0"/>
        <w:rPr>
          <w:rFonts w:ascii="Arial" w:hAnsi="Arial" w:eastAsia="Arial" w:cs="Arial"/>
          <w:b w:val="0"/>
          <w:bCs w:val="0"/>
          <w:sz w:val="24"/>
          <w:szCs w:val="24"/>
        </w:rPr>
      </w:pPr>
      <w:r w:rsidRPr="6407B060" w:rsidR="7971B55C">
        <w:rPr>
          <w:rFonts w:ascii="Arial" w:hAnsi="Arial" w:eastAsia="Arial" w:cs="Arial"/>
          <w:b w:val="0"/>
          <w:bCs w:val="0"/>
          <w:sz w:val="24"/>
          <w:szCs w:val="24"/>
        </w:rPr>
        <w:t>NPV=50.99−50=0.99</w:t>
      </w:r>
    </w:p>
    <w:p w:rsidR="7971B55C" w:rsidP="6407B060" w:rsidRDefault="7971B55C" w14:paraId="120BDF20" w14:textId="798CB91E">
      <w:pPr>
        <w:pStyle w:val="Normal"/>
        <w:bidi w:val="0"/>
        <w:rPr>
          <w:rFonts w:ascii="Arial" w:hAnsi="Arial" w:eastAsia="Arial" w:cs="Arial"/>
          <w:b w:val="0"/>
          <w:bCs w:val="0"/>
          <w:sz w:val="24"/>
          <w:szCs w:val="24"/>
        </w:rPr>
      </w:pPr>
      <w:r w:rsidRPr="6407B060" w:rsidR="7971B55C">
        <w:rPr>
          <w:rFonts w:ascii="Arial" w:hAnsi="Arial" w:eastAsia="Arial" w:cs="Arial"/>
          <w:b w:val="0"/>
          <w:bCs w:val="0"/>
          <w:sz w:val="24"/>
          <w:szCs w:val="24"/>
        </w:rPr>
        <w:t xml:space="preserve">IRR Interpolation: </w:t>
      </w:r>
      <m:oMathPara xmlns:m="http://schemas.openxmlformats.org/officeDocument/2006/math">
        <m:oMath xmlns:m="http://schemas.openxmlformats.org/officeDocument/2006/math">
          <m:r xmlns:m="http://schemas.openxmlformats.org/officeDocument/2006/math">
            <m:t xmlns:m="http://schemas.openxmlformats.org/officeDocument/2006/math">𝐼𝑅𝑅</m:t>
          </m:r>
          <m:r xmlns:m="http://schemas.openxmlformats.org/officeDocument/2006/math">
            <m:t xmlns:m="http://schemas.openxmlformats.org/officeDocument/2006/math">= 2+</m:t>
          </m:r>
          <m:f xmlns:m="http://schemas.openxmlformats.org/officeDocument/2006/math">
            <m:fPr>
              <m:ctrlPr/>
            </m:fPr>
            <m:num>
              <m:r>
                <m:t>0.99</m:t>
              </m:r>
            </m:num>
            <m:den>
              <m:r>
                <m:t>0.99−</m:t>
              </m:r>
              <m:d>
                <m:dPr>
                  <m:ctrlPr/>
                </m:dPr>
                <m:e>
                  <m:r>
                    <m:t>−0.38</m:t>
                  </m:r>
                </m:e>
              </m:d>
            </m:den>
          </m:f>
          <m:d xmlns:m="http://schemas.openxmlformats.org/officeDocument/2006/math">
            <m:dPr>
              <m:ctrlPr/>
            </m:dPr>
            <m:e>
              <m:r>
                <m:t>3−2</m:t>
              </m:r>
            </m:e>
          </m:d>
        </m:oMath>
      </m:oMathPara>
    </w:p>
    <w:p w:rsidR="13383E47" w:rsidP="6407B060" w:rsidRDefault="13383E47" w14:paraId="7C97AAE6" w14:textId="7CE94599">
      <w:pPr>
        <w:pStyle w:val="Normal"/>
        <w:bidi w:val="0"/>
        <w:rPr>
          <w:rFonts w:ascii="Arial" w:hAnsi="Arial" w:eastAsia="Arial" w:cs="Arial"/>
          <w:b w:val="0"/>
          <w:bCs w:val="0"/>
          <w:sz w:val="24"/>
          <w:szCs w:val="24"/>
        </w:rPr>
      </w:pPr>
      <w:r w:rsidRPr="6407B060" w:rsidR="13383E47">
        <w:rPr>
          <w:rFonts w:ascii="Arial" w:hAnsi="Arial" w:eastAsia="Arial" w:cs="Arial"/>
          <w:b w:val="0"/>
          <w:bCs w:val="0"/>
          <w:sz w:val="24"/>
          <w:szCs w:val="24"/>
        </w:rPr>
        <w:t xml:space="preserve">                       </w:t>
      </w:r>
      <w:r w:rsidRPr="6407B060" w:rsidR="29B97F79">
        <w:rPr>
          <w:rFonts w:ascii="Arial" w:hAnsi="Arial" w:eastAsia="Arial" w:cs="Arial"/>
          <w:b w:val="0"/>
          <w:bCs w:val="0"/>
          <w:sz w:val="24"/>
          <w:szCs w:val="24"/>
        </w:rPr>
        <w:t xml:space="preserve">     </w:t>
      </w:r>
      <w:r w:rsidRPr="6407B060" w:rsidR="13383E47">
        <w:rPr>
          <w:rFonts w:ascii="Arial" w:hAnsi="Arial" w:eastAsia="Arial" w:cs="Arial"/>
          <w:b w:val="0"/>
          <w:bCs w:val="0"/>
          <w:sz w:val="24"/>
          <w:szCs w:val="24"/>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𝐼𝑅𝑅</m:t>
          </m:r>
          <m:r xmlns:m="http://schemas.openxmlformats.org/officeDocument/2006/math">
            <m:t xmlns:m="http://schemas.openxmlformats.org/officeDocument/2006/math">= 2+</m:t>
          </m:r>
          <m:f xmlns:m="http://schemas.openxmlformats.org/officeDocument/2006/math">
            <m:fPr>
              <m:ctrlPr/>
            </m:fPr>
            <m:num>
              <m:r>
                <m:t>0.99</m:t>
              </m:r>
            </m:num>
            <m:den>
              <m:r>
                <m:t>1.37</m:t>
              </m:r>
            </m:den>
          </m:f>
        </m:oMath>
      </m:oMathPara>
    </w:p>
    <w:p w:rsidR="093FE365" w:rsidP="6407B060" w:rsidRDefault="093FE365" w14:paraId="739D6857" w14:textId="4686011B">
      <w:pPr>
        <w:pStyle w:val="Normal"/>
        <w:bidi w:val="0"/>
        <w:rPr>
          <w:rFonts w:ascii="Arial" w:hAnsi="Arial" w:eastAsia="Arial" w:cs="Arial"/>
          <w:b w:val="0"/>
          <w:bCs w:val="0"/>
          <w:sz w:val="24"/>
          <w:szCs w:val="24"/>
        </w:rPr>
      </w:pPr>
      <w:r w:rsidRPr="6407B060" w:rsidR="093FE365">
        <w:rPr>
          <w:rFonts w:ascii="Arial" w:hAnsi="Arial" w:eastAsia="Arial" w:cs="Arial"/>
          <w:b w:val="0"/>
          <w:bCs w:val="0"/>
          <w:sz w:val="24"/>
          <w:szCs w:val="24"/>
        </w:rPr>
        <w:t xml:space="preserve">                       </w:t>
      </w:r>
      <w:r w:rsidRPr="6407B060" w:rsidR="0D1D336E">
        <w:rPr>
          <w:rFonts w:ascii="Arial" w:hAnsi="Arial" w:eastAsia="Arial" w:cs="Arial"/>
          <w:b w:val="0"/>
          <w:bCs w:val="0"/>
          <w:sz w:val="24"/>
          <w:szCs w:val="24"/>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𝐼𝑅𝑅</m:t>
          </m:r>
          <m:r xmlns:m="http://schemas.openxmlformats.org/officeDocument/2006/math">
            <m:t xmlns:m="http://schemas.openxmlformats.org/officeDocument/2006/math">≈2.72 </m:t>
          </m:r>
        </m:oMath>
      </m:oMathPara>
      <w:r w:rsidRPr="6407B060" w:rsidR="78F015E2">
        <w:rPr>
          <w:rFonts w:ascii="Arial" w:hAnsi="Arial" w:eastAsia="Arial" w:cs="Arial"/>
          <w:b w:val="0"/>
          <w:bCs w:val="0"/>
          <w:sz w:val="24"/>
          <w:szCs w:val="24"/>
        </w:rPr>
        <w:t xml:space="preserve">                   </w:t>
      </w:r>
      <w:r w:rsidRPr="6407B060" w:rsidR="3FE3F697">
        <w:rPr>
          <w:rFonts w:ascii="Arial" w:hAnsi="Arial" w:eastAsia="Arial" w:cs="Arial"/>
          <w:b w:val="0"/>
          <w:bCs w:val="0"/>
          <w:sz w:val="24"/>
          <w:szCs w:val="24"/>
        </w:rPr>
        <w:t>%</w:t>
      </w:r>
    </w:p>
    <w:p w:rsidR="5DF47F7B" w:rsidP="6407B060" w:rsidRDefault="5DF47F7B" w14:paraId="31683C48" w14:textId="6AC7C025">
      <w:pPr>
        <w:pStyle w:val="Normal"/>
        <w:bidi w:val="0"/>
        <w:rPr>
          <w:rFonts w:ascii="Arial" w:hAnsi="Arial" w:eastAsia="Arial" w:cs="Arial"/>
          <w:b w:val="1"/>
          <w:bCs w:val="1"/>
          <w:sz w:val="24"/>
          <w:szCs w:val="24"/>
        </w:rPr>
      </w:pPr>
      <w:r w:rsidRPr="6407B060" w:rsidR="5DF47F7B">
        <w:rPr>
          <w:rFonts w:ascii="Arial" w:hAnsi="Arial" w:eastAsia="Arial" w:cs="Arial"/>
          <w:b w:val="1"/>
          <w:bCs w:val="1"/>
          <w:sz w:val="24"/>
          <w:szCs w:val="24"/>
        </w:rPr>
        <w:t>Project B IRR Calculation</w:t>
      </w:r>
    </w:p>
    <w:p w:rsidR="5DF47F7B" w:rsidP="6407B060" w:rsidRDefault="5DF47F7B" w14:paraId="1908537D" w14:textId="009207BC">
      <w:pPr>
        <w:pStyle w:val="Normal"/>
      </w:pPr>
      <w:r w:rsidRPr="6407B060" w:rsidR="5DF47F7B">
        <w:rPr>
          <w:rFonts w:ascii="Arial" w:hAnsi="Arial" w:eastAsia="Arial" w:cs="Arial"/>
          <w:b w:val="0"/>
          <w:bCs w:val="0"/>
          <w:sz w:val="24"/>
          <w:szCs w:val="24"/>
        </w:rPr>
        <w:t>NPV at 3%</w:t>
      </w:r>
    </w:p>
    <w:p w:rsidR="5DF47F7B" w:rsidP="6407B060" w:rsidRDefault="5DF47F7B" w14:paraId="711AD6B3" w14:textId="25364662">
      <w:pPr>
        <w:pStyle w:val="Normal"/>
      </w:pPr>
      <w:r w:rsidRPr="6407B060" w:rsidR="5DF47F7B">
        <w:rPr>
          <w:rFonts w:ascii="Arial" w:hAnsi="Arial" w:eastAsia="Arial" w:cs="Arial"/>
          <w:b w:val="0"/>
          <w:bCs w:val="0"/>
          <w:sz w:val="24"/>
          <w:szCs w:val="24"/>
        </w:rPr>
        <w:t>Note: PV factors used above.</w:t>
      </w:r>
    </w:p>
    <w:p w:rsidR="5DF47F7B" w:rsidP="6407B060" w:rsidRDefault="5DF47F7B" w14:paraId="38B8F4FC" w14:textId="415D620E">
      <w:pPr>
        <w:pStyle w:val="Normal"/>
        <w:bidi w:val="0"/>
        <w:rPr>
          <w:rFonts w:ascii="Arial" w:hAnsi="Arial" w:eastAsia="Arial" w:cs="Arial"/>
          <w:b w:val="0"/>
          <w:bCs w:val="0"/>
          <w:sz w:val="24"/>
          <w:szCs w:val="24"/>
        </w:rPr>
      </w:pPr>
      <w:r w:rsidRPr="6407B060" w:rsidR="5DF47F7B">
        <w:rPr>
          <w:rFonts w:ascii="Arial" w:hAnsi="Arial" w:eastAsia="Arial" w:cs="Arial"/>
          <w:b w:val="0"/>
          <w:bCs w:val="0"/>
          <w:sz w:val="24"/>
          <w:szCs w:val="24"/>
        </w:rPr>
        <w:t xml:space="preserve">PV of cash inflows:  </w:t>
      </w:r>
    </w:p>
    <w:p w:rsidR="4580CEEC" w:rsidP="6407B060" w:rsidRDefault="4580CEEC" w14:paraId="5239D62E" w14:textId="395137DD">
      <w:pPr>
        <w:pStyle w:val="Normal"/>
      </w:pPr>
      <w:r w:rsidR="4580CEEC">
        <w:drawing>
          <wp:inline wp14:editId="2D65B528" wp14:anchorId="4A368655">
            <wp:extent cx="1524213" cy="1441544"/>
            <wp:effectExtent l="0" t="0" r="0" b="0"/>
            <wp:docPr id="13336182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3618239" name="Picture 1333618239"/>
                    <pic:cNvPicPr/>
                  </pic:nvPicPr>
                  <pic:blipFill>
                    <a:blip xmlns:r="http://schemas.openxmlformats.org/officeDocument/2006/relationships" r:embed="rId1729010108">
                      <a:extLst>
                        <a:ext uri="{28A0092B-C50C-407E-A947-70E740481C1C}">
                          <a14:useLocalDpi xmlns:a14="http://schemas.microsoft.com/office/drawing/2010/main"/>
                        </a:ext>
                      </a:extLst>
                    </a:blip>
                    <a:stretch>
                      <a:fillRect/>
                    </a:stretch>
                  </pic:blipFill>
                  <pic:spPr>
                    <a:xfrm rot="0">
                      <a:off x="0" y="0"/>
                      <a:ext cx="1524213" cy="1441544"/>
                    </a:xfrm>
                    <a:prstGeom prst="rect">
                      <a:avLst/>
                    </a:prstGeom>
                  </pic:spPr>
                </pic:pic>
              </a:graphicData>
            </a:graphic>
          </wp:inline>
        </w:drawing>
      </w:r>
    </w:p>
    <w:p w:rsidR="4580CEEC" w:rsidP="6407B060" w:rsidRDefault="4580CEEC" w14:paraId="6ABF7415" w14:textId="07713C78">
      <w:pPr>
        <w:pStyle w:val="Normal"/>
        <w:bidi w:val="0"/>
        <w:rPr>
          <w:rFonts w:ascii="Arial" w:hAnsi="Arial" w:eastAsia="Arial" w:cs="Arial"/>
          <w:sz w:val="24"/>
          <w:szCs w:val="24"/>
        </w:rPr>
      </w:pPr>
      <w:r w:rsidRPr="6407B060" w:rsidR="4580CEEC">
        <w:rPr>
          <w:rFonts w:ascii="Arial" w:hAnsi="Arial" w:eastAsia="Arial" w:cs="Arial"/>
          <w:sz w:val="24"/>
          <w:szCs w:val="24"/>
        </w:rPr>
        <w:t>Total PV = 50.38</w:t>
      </w:r>
    </w:p>
    <w:p w:rsidR="4580CEEC" w:rsidP="6407B060" w:rsidRDefault="4580CEEC" w14:paraId="65A3B06B" w14:textId="31EC0807">
      <w:pPr>
        <w:pStyle w:val="Normal"/>
        <w:bidi w:val="0"/>
        <w:rPr>
          <w:rFonts w:ascii="Arial" w:hAnsi="Arial" w:eastAsia="Arial" w:cs="Arial"/>
          <w:sz w:val="24"/>
          <w:szCs w:val="24"/>
        </w:rPr>
      </w:pPr>
      <w:r w:rsidRPr="6407B060" w:rsidR="4580CEEC">
        <w:rPr>
          <w:rFonts w:ascii="Arial" w:hAnsi="Arial" w:eastAsia="Arial" w:cs="Arial"/>
          <w:sz w:val="24"/>
          <w:szCs w:val="24"/>
        </w:rPr>
        <w:t>NPV=50.38−50=0.38</w:t>
      </w:r>
    </w:p>
    <w:p w:rsidR="4580CEEC" w:rsidP="6407B060" w:rsidRDefault="4580CEEC" w14:paraId="7B799434" w14:textId="1DAD7FF2">
      <w:pPr>
        <w:pStyle w:val="Normal"/>
        <w:bidi w:val="0"/>
        <w:rPr>
          <w:rFonts w:ascii="Arial" w:hAnsi="Arial" w:eastAsia="Arial" w:cs="Arial"/>
          <w:sz w:val="24"/>
          <w:szCs w:val="24"/>
        </w:rPr>
      </w:pPr>
      <w:r w:rsidRPr="6407B060" w:rsidR="4580CEEC">
        <w:rPr>
          <w:rFonts w:ascii="Arial" w:hAnsi="Arial" w:eastAsia="Arial" w:cs="Arial"/>
          <w:sz w:val="24"/>
          <w:szCs w:val="24"/>
        </w:rPr>
        <w:t>NPV at 4%</w:t>
      </w:r>
    </w:p>
    <w:p w:rsidR="4580CEEC" w:rsidP="6407B060" w:rsidRDefault="4580CEEC" w14:paraId="08509F42" w14:textId="2597EBE0">
      <w:pPr>
        <w:pStyle w:val="Normal"/>
      </w:pPr>
      <w:r w:rsidRPr="6407B060" w:rsidR="4580CEEC">
        <w:rPr>
          <w:rFonts w:ascii="Arial" w:hAnsi="Arial" w:eastAsia="Arial" w:cs="Arial"/>
          <w:sz w:val="24"/>
          <w:szCs w:val="24"/>
        </w:rPr>
        <w:t>Discount factors:</w:t>
      </w:r>
    </w:p>
    <w:p w:rsidR="625AA83A" w:rsidP="6407B060" w:rsidRDefault="625AA83A" w14:paraId="0F65B932" w14:textId="7B565AFE">
      <w:pPr>
        <w:pStyle w:val="Normal"/>
      </w:pPr>
      <w:r w:rsidR="625AA83A">
        <w:drawing>
          <wp:inline wp14:editId="431B6364" wp14:anchorId="37D8EAA6">
            <wp:extent cx="1185291" cy="1438476"/>
            <wp:effectExtent l="0" t="0" r="0" b="0"/>
            <wp:docPr id="16471285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7128524" name="Picture 1647128524"/>
                    <pic:cNvPicPr/>
                  </pic:nvPicPr>
                  <pic:blipFill>
                    <a:blip xmlns:r="http://schemas.openxmlformats.org/officeDocument/2006/relationships" r:embed="rId38397306">
                      <a:extLst>
                        <a:ext uri="{28A0092B-C50C-407E-A947-70E740481C1C}">
                          <a14:useLocalDpi xmlns:a14="http://schemas.microsoft.com/office/drawing/2010/main"/>
                        </a:ext>
                      </a:extLst>
                    </a:blip>
                    <a:stretch>
                      <a:fillRect/>
                    </a:stretch>
                  </pic:blipFill>
                  <pic:spPr>
                    <a:xfrm rot="0">
                      <a:off x="0" y="0"/>
                      <a:ext cx="1185291" cy="1438476"/>
                    </a:xfrm>
                    <a:prstGeom prst="rect">
                      <a:avLst/>
                    </a:prstGeom>
                  </pic:spPr>
                </pic:pic>
              </a:graphicData>
            </a:graphic>
          </wp:inline>
        </w:drawing>
      </w:r>
    </w:p>
    <w:p w:rsidR="625AA83A" w:rsidP="6407B060" w:rsidRDefault="625AA83A" w14:paraId="05606E40" w14:textId="1056D547">
      <w:pPr>
        <w:pStyle w:val="Normal"/>
        <w:bidi w:val="0"/>
        <w:rPr>
          <w:rFonts w:ascii="Arial" w:hAnsi="Arial" w:eastAsia="Arial" w:cs="Arial"/>
          <w:sz w:val="24"/>
          <w:szCs w:val="24"/>
        </w:rPr>
      </w:pPr>
      <w:r w:rsidRPr="6407B060" w:rsidR="625AA83A">
        <w:rPr>
          <w:rFonts w:ascii="Arial" w:hAnsi="Arial" w:eastAsia="Arial" w:cs="Arial"/>
          <w:sz w:val="24"/>
          <w:szCs w:val="24"/>
        </w:rPr>
        <w:t xml:space="preserve">PV: </w:t>
      </w:r>
    </w:p>
    <w:p w:rsidR="652542FA" w:rsidP="6407B060" w:rsidRDefault="652542FA" w14:paraId="5CB2C6E8" w14:textId="2B4927F4">
      <w:pPr>
        <w:pStyle w:val="Normal"/>
      </w:pPr>
      <w:r w:rsidR="652542FA">
        <w:drawing>
          <wp:inline wp14:editId="3FE5220B" wp14:anchorId="4FD015EC">
            <wp:extent cx="1590897" cy="1406147"/>
            <wp:effectExtent l="0" t="0" r="0" b="0"/>
            <wp:docPr id="7947619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4761973" name="Picture 794761973"/>
                    <pic:cNvPicPr/>
                  </pic:nvPicPr>
                  <pic:blipFill>
                    <a:blip xmlns:r="http://schemas.openxmlformats.org/officeDocument/2006/relationships" r:embed="rId1765607582">
                      <a:extLst>
                        <a:ext uri="{28A0092B-C50C-407E-A947-70E740481C1C}">
                          <a14:useLocalDpi xmlns:a14="http://schemas.microsoft.com/office/drawing/2010/main"/>
                        </a:ext>
                      </a:extLst>
                    </a:blip>
                    <a:stretch>
                      <a:fillRect/>
                    </a:stretch>
                  </pic:blipFill>
                  <pic:spPr>
                    <a:xfrm rot="0">
                      <a:off x="0" y="0"/>
                      <a:ext cx="1590897" cy="1406147"/>
                    </a:xfrm>
                    <a:prstGeom prst="rect">
                      <a:avLst/>
                    </a:prstGeom>
                  </pic:spPr>
                </pic:pic>
              </a:graphicData>
            </a:graphic>
          </wp:inline>
        </w:drawing>
      </w:r>
    </w:p>
    <w:p w:rsidR="652542FA" w:rsidP="6407B060" w:rsidRDefault="652542FA" w14:paraId="255A452A" w14:textId="4233E86D">
      <w:pPr>
        <w:pStyle w:val="Normal"/>
        <w:bidi w:val="0"/>
        <w:rPr>
          <w:rFonts w:ascii="Arial" w:hAnsi="Arial" w:eastAsia="Arial" w:cs="Arial"/>
          <w:sz w:val="24"/>
          <w:szCs w:val="24"/>
        </w:rPr>
      </w:pPr>
      <w:r w:rsidRPr="6407B060" w:rsidR="652542FA">
        <w:rPr>
          <w:rFonts w:ascii="Arial" w:hAnsi="Arial" w:eastAsia="Arial" w:cs="Arial"/>
          <w:sz w:val="24"/>
          <w:szCs w:val="24"/>
        </w:rPr>
        <w:t>Total PV = 48.98</w:t>
      </w:r>
    </w:p>
    <w:p w:rsidR="652542FA" w:rsidP="6407B060" w:rsidRDefault="652542FA" w14:paraId="197A315D" w14:textId="454212F5">
      <w:pPr>
        <w:pStyle w:val="Normal"/>
        <w:bidi w:val="0"/>
        <w:rPr>
          <w:rFonts w:ascii="Arial" w:hAnsi="Arial" w:eastAsia="Arial" w:cs="Arial"/>
          <w:sz w:val="24"/>
          <w:szCs w:val="24"/>
        </w:rPr>
      </w:pPr>
      <w:r w:rsidRPr="6407B060" w:rsidR="652542FA">
        <w:rPr>
          <w:rFonts w:ascii="Arial" w:hAnsi="Arial" w:eastAsia="Arial" w:cs="Arial"/>
          <w:sz w:val="24"/>
          <w:szCs w:val="24"/>
        </w:rPr>
        <w:t>NPV=48.98−50=−1.02</w:t>
      </w:r>
    </w:p>
    <w:p w:rsidR="652542FA" w:rsidP="6407B060" w:rsidRDefault="652542FA" w14:paraId="1006A597" w14:textId="7FD0BE5D">
      <w:pPr>
        <w:pStyle w:val="Normal"/>
        <w:bidi w:val="0"/>
        <w:rPr>
          <w:rFonts w:ascii="Arial" w:hAnsi="Arial" w:eastAsia="Arial" w:cs="Arial"/>
          <w:b w:val="0"/>
          <w:bCs w:val="0"/>
          <w:sz w:val="24"/>
          <w:szCs w:val="24"/>
        </w:rPr>
      </w:pPr>
      <w:r w:rsidRPr="6407B060" w:rsidR="652542FA">
        <w:rPr>
          <w:rFonts w:ascii="Arial" w:hAnsi="Arial" w:eastAsia="Arial" w:cs="Arial"/>
          <w:b w:val="0"/>
          <w:bCs w:val="0"/>
          <w:sz w:val="24"/>
          <w:szCs w:val="24"/>
        </w:rPr>
        <w:t xml:space="preserve">IRR Interpolation: </w:t>
      </w:r>
      <m:oMathPara xmlns:m="http://schemas.openxmlformats.org/officeDocument/2006/math">
        <m:oMath xmlns:m="http://schemas.openxmlformats.org/officeDocument/2006/math">
          <m:r xmlns:m="http://schemas.openxmlformats.org/officeDocument/2006/math">
            <m:t xmlns:m="http://schemas.openxmlformats.org/officeDocument/2006/math">𝐼𝑅𝑅</m:t>
          </m:r>
          <m:r xmlns:m="http://schemas.openxmlformats.org/officeDocument/2006/math">
            <m:t xmlns:m="http://schemas.openxmlformats.org/officeDocument/2006/math">=3+</m:t>
          </m:r>
          <m:f xmlns:m="http://schemas.openxmlformats.org/officeDocument/2006/math">
            <m:fPr>
              <m:ctrlPr/>
            </m:fPr>
            <m:num>
              <m:r>
                <m:t>0.38</m:t>
              </m:r>
            </m:num>
            <m:den>
              <m:r>
                <m:t>0.38−</m:t>
              </m:r>
              <m:d>
                <m:dPr>
                  <m:ctrlPr/>
                </m:dPr>
                <m:e>
                  <m:r>
                    <m:t>−1.02</m:t>
                  </m:r>
                </m:e>
              </m:d>
            </m:den>
          </m:f>
          <m:d xmlns:m="http://schemas.openxmlformats.org/officeDocument/2006/math">
            <m:dPr>
              <m:ctrlPr/>
            </m:dPr>
            <m:e>
              <m:r>
                <m:t>4−3</m:t>
              </m:r>
            </m:e>
          </m:d>
        </m:oMath>
      </m:oMathPara>
    </w:p>
    <w:p w:rsidR="37A98F98" w:rsidP="6407B060" w:rsidRDefault="37A98F98" w14:paraId="40AEFA41" w14:textId="0B22F65C">
      <w:pPr>
        <w:pStyle w:val="Normal"/>
        <w:bidi w:val="0"/>
        <w:rPr>
          <w:rFonts w:ascii="Arial" w:hAnsi="Arial" w:eastAsia="Arial" w:cs="Arial"/>
          <w:sz w:val="24"/>
          <w:szCs w:val="24"/>
        </w:rPr>
      </w:pPr>
      <w:r w:rsidRPr="6407B060" w:rsidR="37A98F98">
        <w:rPr>
          <w:rFonts w:ascii="Arial" w:hAnsi="Arial" w:eastAsia="Arial" w:cs="Arial"/>
          <w:sz w:val="24"/>
          <w:szCs w:val="24"/>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𝐼𝑅𝑅</m:t>
          </m:r>
          <m:r xmlns:m="http://schemas.openxmlformats.org/officeDocument/2006/math">
            <m:t xmlns:m="http://schemas.openxmlformats.org/officeDocument/2006/math">=3+</m:t>
          </m:r>
          <m:f xmlns:m="http://schemas.openxmlformats.org/officeDocument/2006/math">
            <m:fPr>
              <m:ctrlPr/>
            </m:fPr>
            <m:num>
              <m:r>
                <m:t>0.38</m:t>
              </m:r>
            </m:num>
            <m:den>
              <m:r>
                <m:t>1.40</m:t>
              </m:r>
            </m:den>
          </m:f>
        </m:oMath>
      </m:oMathPara>
    </w:p>
    <w:p w:rsidR="6C5E2761" w:rsidP="6407B060" w:rsidRDefault="6C5E2761" w14:paraId="4982B588" w14:textId="5E24414C">
      <w:pPr>
        <w:pStyle w:val="Normal"/>
        <w:bidi w:val="0"/>
        <w:rPr>
          <w:rFonts w:ascii="Arial" w:hAnsi="Arial" w:eastAsia="Arial" w:cs="Arial"/>
          <w:sz w:val="24"/>
          <w:szCs w:val="24"/>
        </w:rPr>
      </w:pPr>
      <w:r w:rsidRPr="6407B060" w:rsidR="6C5E2761">
        <w:rPr>
          <w:rFonts w:ascii="Arial" w:hAnsi="Arial" w:eastAsia="Arial" w:cs="Arial"/>
          <w:sz w:val="24"/>
          <w:szCs w:val="24"/>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𝐼𝑅𝑅</m:t>
          </m:r>
          <m:r xmlns:m="http://schemas.openxmlformats.org/officeDocument/2006/math">
            <m:t xmlns:m="http://schemas.openxmlformats.org/officeDocument/2006/math">≈3.27 </m:t>
          </m:r>
        </m:oMath>
      </m:oMathPara>
      <w:r w:rsidRPr="6407B060" w:rsidR="08FF32B4">
        <w:rPr>
          <w:rFonts w:ascii="Arial" w:hAnsi="Arial" w:eastAsia="Arial" w:cs="Arial"/>
          <w:sz w:val="24"/>
          <w:szCs w:val="24"/>
        </w:rPr>
        <w:t xml:space="preserve">                    </w:t>
      </w:r>
      <w:r w:rsidRPr="6407B060" w:rsidR="0E31ACDB">
        <w:rPr>
          <w:rFonts w:ascii="Arial" w:hAnsi="Arial" w:eastAsia="Arial" w:cs="Arial"/>
          <w:sz w:val="24"/>
          <w:szCs w:val="24"/>
        </w:rPr>
        <w:t>%</w:t>
      </w:r>
    </w:p>
    <w:p w:rsidR="0E31ACDB" w:rsidP="6407B060" w:rsidRDefault="0E31ACDB" w14:paraId="272F9AE9" w14:textId="0C249940">
      <w:pPr>
        <w:pStyle w:val="Normal"/>
        <w:bidi w:val="0"/>
        <w:rPr>
          <w:rFonts w:ascii="Arial" w:hAnsi="Arial" w:eastAsia="Arial" w:cs="Arial"/>
          <w:b w:val="1"/>
          <w:bCs w:val="1"/>
          <w:sz w:val="24"/>
          <w:szCs w:val="24"/>
        </w:rPr>
      </w:pPr>
      <w:r w:rsidRPr="6407B060" w:rsidR="0E31ACDB">
        <w:rPr>
          <w:rFonts w:ascii="Arial" w:hAnsi="Arial" w:eastAsia="Arial" w:cs="Arial"/>
          <w:b w:val="1"/>
          <w:bCs w:val="1"/>
          <w:sz w:val="24"/>
          <w:szCs w:val="24"/>
        </w:rPr>
        <w:t>Project C IRR Calculation</w:t>
      </w:r>
    </w:p>
    <w:p w:rsidR="0E31ACDB" w:rsidP="6407B060" w:rsidRDefault="0E31ACDB" w14:paraId="184BE9EE" w14:textId="56C92806">
      <w:pPr>
        <w:pStyle w:val="Normal"/>
        <w:bidi w:val="0"/>
        <w:rPr>
          <w:rFonts w:ascii="Arial" w:hAnsi="Arial" w:eastAsia="Arial" w:cs="Arial"/>
          <w:b w:val="0"/>
          <w:bCs w:val="0"/>
          <w:sz w:val="24"/>
          <w:szCs w:val="24"/>
        </w:rPr>
      </w:pPr>
      <w:r w:rsidRPr="6407B060" w:rsidR="0E31ACDB">
        <w:rPr>
          <w:rFonts w:ascii="Arial" w:hAnsi="Arial" w:eastAsia="Arial" w:cs="Arial"/>
          <w:b w:val="0"/>
          <w:bCs w:val="0"/>
          <w:sz w:val="24"/>
          <w:szCs w:val="24"/>
        </w:rPr>
        <w:t>NPV at 8%</w:t>
      </w:r>
    </w:p>
    <w:p w:rsidR="0E31ACDB" w:rsidP="6407B060" w:rsidRDefault="0E31ACDB" w14:paraId="36E2FE05" w14:textId="78276413">
      <w:pPr>
        <w:pStyle w:val="Normal"/>
        <w:bidi w:val="0"/>
        <w:rPr>
          <w:rFonts w:ascii="Arial" w:hAnsi="Arial" w:eastAsia="Arial" w:cs="Arial"/>
          <w:b w:val="0"/>
          <w:bCs w:val="0"/>
          <w:sz w:val="24"/>
          <w:szCs w:val="24"/>
        </w:rPr>
      </w:pPr>
      <w:r w:rsidRPr="6407B060" w:rsidR="0E31ACDB">
        <w:rPr>
          <w:rFonts w:ascii="Arial" w:hAnsi="Arial" w:eastAsia="Arial" w:cs="Arial"/>
          <w:b w:val="0"/>
          <w:bCs w:val="0"/>
          <w:sz w:val="24"/>
          <w:szCs w:val="24"/>
        </w:rPr>
        <w:t>Discount factors (DF):</w:t>
      </w:r>
    </w:p>
    <w:p w:rsidR="1ECBEFCB" w:rsidP="6407B060" w:rsidRDefault="1ECBEFCB" w14:paraId="6A72771E" w14:textId="3C04AE14">
      <w:pPr>
        <w:pStyle w:val="Normal"/>
      </w:pPr>
      <w:r w:rsidR="1ECBEFCB">
        <w:drawing>
          <wp:inline wp14:editId="373CDFB7" wp14:anchorId="63FF4783">
            <wp:extent cx="1575572" cy="1600111"/>
            <wp:effectExtent l="0" t="0" r="0" b="0"/>
            <wp:docPr id="536160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616030" name="Picture 53616030"/>
                    <pic:cNvPicPr/>
                  </pic:nvPicPr>
                  <pic:blipFill>
                    <a:blip xmlns:r="http://schemas.openxmlformats.org/officeDocument/2006/relationships" r:embed="rId501343847">
                      <a:extLst>
                        <a:ext uri="{28A0092B-C50C-407E-A947-70E740481C1C}">
                          <a14:useLocalDpi xmlns:a14="http://schemas.microsoft.com/office/drawing/2010/main"/>
                        </a:ext>
                      </a:extLst>
                    </a:blip>
                    <a:stretch>
                      <a:fillRect/>
                    </a:stretch>
                  </pic:blipFill>
                  <pic:spPr>
                    <a:xfrm rot="0">
                      <a:off x="0" y="0"/>
                      <a:ext cx="1575572" cy="1600111"/>
                    </a:xfrm>
                    <a:prstGeom prst="rect">
                      <a:avLst/>
                    </a:prstGeom>
                  </pic:spPr>
                </pic:pic>
              </a:graphicData>
            </a:graphic>
          </wp:inline>
        </w:drawing>
      </w:r>
    </w:p>
    <w:p w:rsidR="1ECBEFCB" w:rsidP="6407B060" w:rsidRDefault="1ECBEFCB" w14:paraId="61AEF9D9" w14:textId="36DD6E47">
      <w:pPr>
        <w:pStyle w:val="Normal"/>
        <w:bidi w:val="0"/>
        <w:rPr>
          <w:rFonts w:ascii="Arial" w:hAnsi="Arial" w:eastAsia="Arial" w:cs="Arial"/>
          <w:sz w:val="24"/>
          <w:szCs w:val="24"/>
        </w:rPr>
      </w:pPr>
      <w:r w:rsidRPr="6407B060" w:rsidR="1ECBEFCB">
        <w:rPr>
          <w:rFonts w:ascii="Arial" w:hAnsi="Arial" w:eastAsia="Arial" w:cs="Arial"/>
          <w:sz w:val="24"/>
          <w:szCs w:val="24"/>
        </w:rPr>
        <w:t>PV:</w:t>
      </w:r>
    </w:p>
    <w:p w:rsidR="007FCEFC" w:rsidP="6407B060" w:rsidRDefault="007FCEFC" w14:paraId="33A6239E" w14:textId="44BBBB7B">
      <w:pPr>
        <w:pStyle w:val="Normal"/>
      </w:pPr>
      <w:r w:rsidR="007FCEFC">
        <w:drawing>
          <wp:inline wp14:editId="6A74DA86" wp14:anchorId="108434C8">
            <wp:extent cx="1981477" cy="1499321"/>
            <wp:effectExtent l="0" t="0" r="0" b="0"/>
            <wp:docPr id="20959996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5999623" name="Picture 2095999623"/>
                    <pic:cNvPicPr/>
                  </pic:nvPicPr>
                  <pic:blipFill>
                    <a:blip xmlns:r="http://schemas.openxmlformats.org/officeDocument/2006/relationships" r:embed="rId1875808854">
                      <a:extLst>
                        <a:ext uri="{28A0092B-C50C-407E-A947-70E740481C1C}">
                          <a14:useLocalDpi xmlns:a14="http://schemas.microsoft.com/office/drawing/2010/main"/>
                        </a:ext>
                      </a:extLst>
                    </a:blip>
                    <a:stretch>
                      <a:fillRect/>
                    </a:stretch>
                  </pic:blipFill>
                  <pic:spPr>
                    <a:xfrm rot="0">
                      <a:off x="0" y="0"/>
                      <a:ext cx="1981477" cy="1499321"/>
                    </a:xfrm>
                    <a:prstGeom prst="rect">
                      <a:avLst/>
                    </a:prstGeom>
                  </pic:spPr>
                </pic:pic>
              </a:graphicData>
            </a:graphic>
          </wp:inline>
        </w:drawing>
      </w:r>
    </w:p>
    <w:p w:rsidR="007FCEFC" w:rsidP="6407B060" w:rsidRDefault="007FCEFC" w14:paraId="26D7BB95" w14:textId="43C63091">
      <w:pPr>
        <w:pStyle w:val="Normal"/>
        <w:bidi w:val="0"/>
        <w:rPr>
          <w:rFonts w:ascii="Arial" w:hAnsi="Arial" w:eastAsia="Arial" w:cs="Arial"/>
          <w:b w:val="0"/>
          <w:bCs w:val="0"/>
          <w:sz w:val="24"/>
          <w:szCs w:val="24"/>
        </w:rPr>
      </w:pPr>
      <w:r w:rsidRPr="6407B060" w:rsidR="007FCEFC">
        <w:rPr>
          <w:rFonts w:ascii="Arial" w:hAnsi="Arial" w:eastAsia="Arial" w:cs="Arial"/>
          <w:b w:val="0"/>
          <w:bCs w:val="0"/>
          <w:sz w:val="24"/>
          <w:szCs w:val="24"/>
        </w:rPr>
        <w:t xml:space="preserve">Total PV = </w:t>
      </w:r>
      <w:r w:rsidRPr="6407B060" w:rsidR="007FCEFC">
        <w:rPr>
          <w:rFonts w:ascii="Arial" w:hAnsi="Arial" w:eastAsia="Arial" w:cs="Arial"/>
          <w:b w:val="0"/>
          <w:bCs w:val="0"/>
          <w:sz w:val="24"/>
          <w:szCs w:val="24"/>
        </w:rPr>
        <w:t>50.87</w:t>
      </w:r>
    </w:p>
    <w:p w:rsidR="007FCEFC" w:rsidP="6407B060" w:rsidRDefault="007FCEFC" w14:paraId="7FDB5AAE" w14:textId="270AF211">
      <w:pPr>
        <w:pStyle w:val="Normal"/>
        <w:bidi w:val="0"/>
        <w:rPr>
          <w:rFonts w:ascii="Arial" w:hAnsi="Arial" w:eastAsia="Arial" w:cs="Arial"/>
          <w:b w:val="0"/>
          <w:bCs w:val="0"/>
          <w:sz w:val="24"/>
          <w:szCs w:val="24"/>
        </w:rPr>
      </w:pPr>
      <w:r w:rsidRPr="6407B060" w:rsidR="007FCEFC">
        <w:rPr>
          <w:rFonts w:ascii="Arial" w:hAnsi="Arial" w:eastAsia="Arial" w:cs="Arial"/>
          <w:b w:val="0"/>
          <w:bCs w:val="0"/>
          <w:sz w:val="24"/>
          <w:szCs w:val="24"/>
        </w:rPr>
        <w:t>NPV=50.87−50=0.87</w:t>
      </w:r>
    </w:p>
    <w:p w:rsidR="007FCEFC" w:rsidP="6407B060" w:rsidRDefault="007FCEFC" w14:paraId="259715E4" w14:textId="199EE0F7">
      <w:pPr>
        <w:pStyle w:val="Normal"/>
        <w:bidi w:val="0"/>
        <w:rPr>
          <w:rFonts w:ascii="Arial" w:hAnsi="Arial" w:eastAsia="Arial" w:cs="Arial"/>
          <w:b w:val="0"/>
          <w:bCs w:val="0"/>
          <w:sz w:val="24"/>
          <w:szCs w:val="24"/>
        </w:rPr>
      </w:pPr>
      <w:r w:rsidRPr="6407B060" w:rsidR="007FCEFC">
        <w:rPr>
          <w:rFonts w:ascii="Arial" w:hAnsi="Arial" w:eastAsia="Arial" w:cs="Arial"/>
          <w:b w:val="0"/>
          <w:bCs w:val="0"/>
          <w:sz w:val="24"/>
          <w:szCs w:val="24"/>
        </w:rPr>
        <w:t>NPV at 9%</w:t>
      </w:r>
    </w:p>
    <w:p w:rsidR="3054897E" w:rsidP="6407B060" w:rsidRDefault="3054897E" w14:paraId="38CA2CC0" w14:textId="2A749490">
      <w:pPr>
        <w:pStyle w:val="Normal"/>
      </w:pPr>
      <w:r w:rsidR="3054897E">
        <w:drawing>
          <wp:inline wp14:editId="1C8826A9" wp14:anchorId="75FD0BCA">
            <wp:extent cx="1362266" cy="1417460"/>
            <wp:effectExtent l="0" t="0" r="0" b="0"/>
            <wp:docPr id="9556705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5670542" name="Picture 955670542"/>
                    <pic:cNvPicPr/>
                  </pic:nvPicPr>
                  <pic:blipFill>
                    <a:blip xmlns:r="http://schemas.openxmlformats.org/officeDocument/2006/relationships" r:embed="rId2034824020">
                      <a:extLst>
                        <a:ext uri="{28A0092B-C50C-407E-A947-70E740481C1C}">
                          <a14:useLocalDpi xmlns:a14="http://schemas.microsoft.com/office/drawing/2010/main"/>
                        </a:ext>
                      </a:extLst>
                    </a:blip>
                    <a:stretch>
                      <a:fillRect/>
                    </a:stretch>
                  </pic:blipFill>
                  <pic:spPr>
                    <a:xfrm rot="0">
                      <a:off x="0" y="0"/>
                      <a:ext cx="1362266" cy="1417460"/>
                    </a:xfrm>
                    <a:prstGeom prst="rect">
                      <a:avLst/>
                    </a:prstGeom>
                  </pic:spPr>
                </pic:pic>
              </a:graphicData>
            </a:graphic>
          </wp:inline>
        </w:drawing>
      </w:r>
    </w:p>
    <w:p w:rsidR="3054897E" w:rsidP="6407B060" w:rsidRDefault="3054897E" w14:paraId="5A104E1B" w14:textId="415FD543">
      <w:pPr>
        <w:pStyle w:val="Normal"/>
      </w:pPr>
      <w:r w:rsidR="3054897E">
        <w:rPr/>
        <w:t xml:space="preserve">PV: </w:t>
      </w:r>
    </w:p>
    <w:p w:rsidR="79ABBA6F" w:rsidP="6407B060" w:rsidRDefault="79ABBA6F" w14:paraId="54D62F65" w14:textId="233FC458">
      <w:pPr>
        <w:pStyle w:val="Normal"/>
      </w:pPr>
      <w:r w:rsidR="79ABBA6F">
        <w:drawing>
          <wp:inline wp14:editId="62621C53" wp14:anchorId="5867A6B3">
            <wp:extent cx="1752845" cy="1511074"/>
            <wp:effectExtent l="0" t="0" r="0" b="0"/>
            <wp:docPr id="8411040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1104080" name="Picture 841104080"/>
                    <pic:cNvPicPr/>
                  </pic:nvPicPr>
                  <pic:blipFill>
                    <a:blip xmlns:r="http://schemas.openxmlformats.org/officeDocument/2006/relationships" r:embed="rId1817598344">
                      <a:extLst>
                        <a:ext uri="{28A0092B-C50C-407E-A947-70E740481C1C}">
                          <a14:useLocalDpi xmlns:a14="http://schemas.microsoft.com/office/drawing/2010/main"/>
                        </a:ext>
                      </a:extLst>
                    </a:blip>
                    <a:stretch>
                      <a:fillRect/>
                    </a:stretch>
                  </pic:blipFill>
                  <pic:spPr>
                    <a:xfrm rot="0">
                      <a:off x="0" y="0"/>
                      <a:ext cx="1752845" cy="1511074"/>
                    </a:xfrm>
                    <a:prstGeom prst="rect">
                      <a:avLst/>
                    </a:prstGeom>
                  </pic:spPr>
                </pic:pic>
              </a:graphicData>
            </a:graphic>
          </wp:inline>
        </w:drawing>
      </w:r>
    </w:p>
    <w:p w:rsidR="79ABBA6F" w:rsidP="6407B060" w:rsidRDefault="79ABBA6F" w14:paraId="3155A46F" w14:textId="17F6EE88">
      <w:pPr>
        <w:pStyle w:val="Normal"/>
        <w:bidi w:val="0"/>
        <w:rPr>
          <w:rFonts w:ascii="Arial" w:hAnsi="Arial" w:eastAsia="Arial" w:cs="Arial"/>
          <w:sz w:val="24"/>
          <w:szCs w:val="24"/>
        </w:rPr>
      </w:pPr>
      <w:r w:rsidRPr="6407B060" w:rsidR="79ABBA6F">
        <w:rPr>
          <w:rFonts w:ascii="Arial" w:hAnsi="Arial" w:eastAsia="Arial" w:cs="Arial"/>
          <w:sz w:val="24"/>
          <w:szCs w:val="24"/>
        </w:rPr>
        <w:t>Total PV = 49.40</w:t>
      </w:r>
    </w:p>
    <w:p w:rsidR="79ABBA6F" w:rsidP="6407B060" w:rsidRDefault="79ABBA6F" w14:paraId="32341F71" w14:textId="11A41FCF">
      <w:pPr>
        <w:pStyle w:val="Normal"/>
      </w:pPr>
      <w:r w:rsidRPr="6407B060" w:rsidR="79ABBA6F">
        <w:rPr>
          <w:rFonts w:ascii="Arial" w:hAnsi="Arial" w:eastAsia="Arial" w:cs="Arial"/>
          <w:sz w:val="24"/>
          <w:szCs w:val="24"/>
        </w:rPr>
        <w:t>NPV=49.40−50=−0.60</w:t>
      </w:r>
    </w:p>
    <w:p w:rsidR="79ABBA6F" w:rsidP="6407B060" w:rsidRDefault="79ABBA6F" w14:paraId="23C3095B" w14:textId="798DAF47">
      <w:pPr>
        <w:pStyle w:val="Normal"/>
        <w:bidi w:val="0"/>
        <w:rPr>
          <w:rFonts w:ascii="Arial" w:hAnsi="Arial" w:eastAsia="Arial" w:cs="Arial"/>
          <w:sz w:val="24"/>
          <w:szCs w:val="24"/>
        </w:rPr>
      </w:pPr>
      <w:r w:rsidRPr="6407B060" w:rsidR="79ABBA6F">
        <w:rPr>
          <w:rFonts w:ascii="Arial" w:hAnsi="Arial" w:eastAsia="Arial" w:cs="Arial"/>
          <w:sz w:val="24"/>
          <w:szCs w:val="24"/>
        </w:rPr>
        <w:t xml:space="preserve">IRR Interpolation: </w:t>
      </w:r>
      <m:oMathPara xmlns:m="http://schemas.openxmlformats.org/officeDocument/2006/math">
        <m:oMath xmlns:m="http://schemas.openxmlformats.org/officeDocument/2006/math">
          <m:r xmlns:m="http://schemas.openxmlformats.org/officeDocument/2006/math">
            <m:t xmlns:m="http://schemas.openxmlformats.org/officeDocument/2006/math">𝐼𝑅𝑅</m:t>
          </m:r>
          <m:r xmlns:m="http://schemas.openxmlformats.org/officeDocument/2006/math">
            <m:t xmlns:m="http://schemas.openxmlformats.org/officeDocument/2006/math">= 8+</m:t>
          </m:r>
          <m:f xmlns:m="http://schemas.openxmlformats.org/officeDocument/2006/math">
            <m:fPr>
              <m:ctrlPr/>
            </m:fPr>
            <m:num>
              <m:r>
                <m:t>0.87</m:t>
              </m:r>
            </m:num>
            <m:den>
              <m:r>
                <m:t>0.87−</m:t>
              </m:r>
              <m:d>
                <m:dPr>
                  <m:ctrlPr/>
                </m:dPr>
                <m:e>
                  <m:r>
                    <m:t>−0.60</m:t>
                  </m:r>
                </m:e>
              </m:d>
            </m:den>
          </m:f>
          <m:d xmlns:m="http://schemas.openxmlformats.org/officeDocument/2006/math">
            <m:dPr>
              <m:ctrlPr/>
            </m:dPr>
            <m:e>
              <m:r>
                <m:t>9−8</m:t>
              </m:r>
            </m:e>
          </m:d>
        </m:oMath>
      </m:oMathPara>
    </w:p>
    <w:p w:rsidR="21B5F803" w:rsidP="6407B060" w:rsidRDefault="21B5F803" w14:paraId="4914EE87" w14:textId="5920020C">
      <w:pPr>
        <w:pStyle w:val="Normal"/>
        <w:bidi w:val="0"/>
        <w:rPr>
          <w:rFonts w:ascii="Arial" w:hAnsi="Arial" w:eastAsia="Arial" w:cs="Arial"/>
          <w:sz w:val="24"/>
          <w:szCs w:val="24"/>
        </w:rPr>
      </w:pPr>
      <w:r w:rsidRPr="6407B060" w:rsidR="21B5F803">
        <w:rPr>
          <w:rFonts w:ascii="Arial" w:hAnsi="Arial" w:eastAsia="Arial" w:cs="Arial"/>
          <w:sz w:val="24"/>
          <w:szCs w:val="24"/>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𝐼𝑅𝑅</m:t>
          </m:r>
          <m:r xmlns:m="http://schemas.openxmlformats.org/officeDocument/2006/math">
            <m:t xmlns:m="http://schemas.openxmlformats.org/officeDocument/2006/math">= 8+</m:t>
          </m:r>
          <m:f xmlns:m="http://schemas.openxmlformats.org/officeDocument/2006/math">
            <m:fPr>
              <m:ctrlPr/>
            </m:fPr>
            <m:num>
              <m:r>
                <m:t>0.87</m:t>
              </m:r>
            </m:num>
            <m:den>
              <m:r>
                <m:t>1.47</m:t>
              </m:r>
            </m:den>
          </m:f>
        </m:oMath>
      </m:oMathPara>
    </w:p>
    <w:p w:rsidR="47E28DA2" w:rsidP="6407B060" w:rsidRDefault="47E28DA2" w14:paraId="549A8840" w14:textId="53646A11">
      <w:pPr>
        <w:pStyle w:val="Normal"/>
        <w:bidi w:val="0"/>
        <w:rPr>
          <w:rFonts w:ascii="Arial" w:hAnsi="Arial" w:eastAsia="Arial" w:cs="Arial"/>
          <w:sz w:val="24"/>
          <w:szCs w:val="24"/>
        </w:rPr>
      </w:pPr>
      <w:r w:rsidRPr="6407B060" w:rsidR="47E28DA2">
        <w:rPr>
          <w:rFonts w:ascii="Arial" w:hAnsi="Arial" w:eastAsia="Arial" w:cs="Arial"/>
          <w:sz w:val="24"/>
          <w:szCs w:val="24"/>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𝐼𝑅𝑅</m:t>
          </m:r>
          <m:r xmlns:m="http://schemas.openxmlformats.org/officeDocument/2006/math">
            <m:t xmlns:m="http://schemas.openxmlformats.org/officeDocument/2006/math">≈8.59 </m:t>
          </m:r>
        </m:oMath>
      </m:oMathPara>
      <w:r w:rsidRPr="6407B060" w:rsidR="4900453D">
        <w:rPr>
          <w:rFonts w:ascii="Arial" w:hAnsi="Arial" w:eastAsia="Arial" w:cs="Arial"/>
          <w:sz w:val="24"/>
          <w:szCs w:val="24"/>
        </w:rPr>
        <w:t xml:space="preserve">                   </w:t>
      </w:r>
      <w:r w:rsidRPr="6407B060" w:rsidR="3C50B302">
        <w:rPr>
          <w:rFonts w:ascii="Arial" w:hAnsi="Arial" w:eastAsia="Arial" w:cs="Arial"/>
          <w:sz w:val="24"/>
          <w:szCs w:val="24"/>
        </w:rPr>
        <w:t>%</w:t>
      </w:r>
    </w:p>
    <w:p w:rsidR="6407B060" w:rsidP="6407B060" w:rsidRDefault="6407B060" w14:paraId="13175D8D" w14:textId="730F05F8">
      <w:pPr>
        <w:pStyle w:val="Normal"/>
        <w:bidi w:val="0"/>
        <w:rPr>
          <w:rFonts w:ascii="Arial" w:hAnsi="Arial" w:eastAsia="Arial" w:cs="Arial"/>
          <w:sz w:val="24"/>
          <w:szCs w:val="24"/>
        </w:rPr>
      </w:pPr>
    </w:p>
    <w:p w:rsidR="6407B060" w:rsidP="6407B060" w:rsidRDefault="6407B060" w14:paraId="70149B42" w14:textId="42C14B5A">
      <w:pPr>
        <w:pStyle w:val="Normal"/>
      </w:pPr>
    </w:p>
    <w:p w:rsidR="6407B060" w:rsidP="6407B060" w:rsidRDefault="6407B060" w14:paraId="0FD11730" w14:textId="214C879C">
      <w:pPr>
        <w:pStyle w:val="Normal"/>
      </w:pPr>
    </w:p>
    <w:p w:rsidR="6407B060" w:rsidP="6407B060" w:rsidRDefault="6407B060" w14:paraId="407B5A90" w14:textId="57670283">
      <w:pPr>
        <w:pStyle w:val="Normal"/>
      </w:pPr>
    </w:p>
    <w:p w:rsidR="6407B060" w:rsidP="6407B060" w:rsidRDefault="6407B060" w14:paraId="62B40B46" w14:textId="1A62A20D">
      <w:pPr>
        <w:pStyle w:val="Normal"/>
        <w:bidi w:val="0"/>
        <w:rPr>
          <w:rFonts w:ascii="Arial" w:hAnsi="Arial" w:eastAsia="Arial" w:cs="Arial"/>
          <w:b w:val="0"/>
          <w:bCs w:val="0"/>
          <w:sz w:val="24"/>
          <w:szCs w:val="24"/>
        </w:rPr>
      </w:pPr>
    </w:p>
    <w:p w:rsidR="6407B060" w:rsidP="6407B060" w:rsidRDefault="6407B060" w14:paraId="6661C204" w14:textId="38A6BE56">
      <w:pPr>
        <w:pStyle w:val="Normal"/>
        <w:bidi w:val="0"/>
        <w:rPr>
          <w:rFonts w:ascii="Arial" w:hAnsi="Arial" w:eastAsia="Arial" w:cs="Arial"/>
          <w:b w:val="0"/>
          <w:bCs w:val="0"/>
          <w:sz w:val="24"/>
          <w:szCs w:val="24"/>
        </w:rPr>
      </w:pPr>
    </w:p>
    <w:p w:rsidR="00882D22" w:rsidP="6407B060" w:rsidRDefault="00882D22" w14:paraId="7B1ED3AB" w14:textId="4AB7B7A1">
      <w:pPr>
        <w:pStyle w:val="Normal"/>
        <w:bidi w:val="0"/>
        <w:rPr>
          <w:rFonts w:ascii="Arial" w:hAnsi="Arial" w:eastAsia="Arial" w:cs="Arial"/>
          <w:sz w:val="24"/>
          <w:szCs w:val="24"/>
        </w:rPr>
      </w:pPr>
      <w:r w:rsidRPr="6407B060" w:rsidR="00882D22">
        <w:rPr>
          <w:rFonts w:ascii="Arial" w:hAnsi="Arial" w:eastAsia="Arial" w:cs="Arial"/>
          <w:sz w:val="24"/>
          <w:szCs w:val="24"/>
        </w:rPr>
        <w:t xml:space="preserve">  </w:t>
      </w:r>
    </w:p>
    <w:p w:rsidR="6407B060" w:rsidP="6407B060" w:rsidRDefault="6407B060" w14:paraId="3EA9CED6" w14:textId="14A62252">
      <w:pPr>
        <w:pStyle w:val="Normal"/>
        <w:bidi w:val="0"/>
        <w:rPr>
          <w:rFonts w:ascii="Arial" w:hAnsi="Arial" w:eastAsia="Arial" w:cs="Arial"/>
          <w:b w:val="1"/>
          <w:bCs w:val="1"/>
          <w:sz w:val="24"/>
          <w:szCs w:val="24"/>
        </w:rPr>
      </w:pPr>
    </w:p>
    <w:p w:rsidR="6407B060" w:rsidP="6407B060" w:rsidRDefault="6407B060" w14:paraId="44370FBD" w14:textId="52592A5C">
      <w:pPr>
        <w:pStyle w:val="Normal"/>
        <w:bidi w:val="0"/>
        <w:rPr>
          <w:rFonts w:ascii="Arial" w:hAnsi="Arial" w:eastAsia="Arial" w:cs="Arial"/>
          <w:b w:val="1"/>
          <w:bCs w:val="1"/>
          <w:sz w:val="24"/>
          <w:szCs w:val="24"/>
        </w:rPr>
      </w:pPr>
    </w:p>
    <w:p w:rsidR="6407B060" w:rsidP="6407B060" w:rsidRDefault="6407B060" w14:paraId="0E92E780" w14:textId="261D6189">
      <w:pPr>
        <w:pStyle w:val="Normal"/>
        <w:bidi w:val="0"/>
        <w:rPr>
          <w:rFonts w:ascii="Arial" w:hAnsi="Arial" w:eastAsia="Arial" w:cs="Arial"/>
          <w:b w:val="0"/>
          <w:bCs w:val="0"/>
          <w:sz w:val="24"/>
          <w:szCs w:val="24"/>
        </w:rPr>
      </w:pPr>
    </w:p>
    <w:p w:rsidR="6407B060" w:rsidP="6407B060" w:rsidRDefault="6407B060" w14:paraId="44D43757" w14:textId="42B1ED26">
      <w:pPr>
        <w:pStyle w:val="Normal"/>
        <w:bidi w:val="0"/>
        <w:rPr>
          <w:rFonts w:ascii="Arial" w:hAnsi="Arial" w:eastAsia="Arial" w:cs="Arial"/>
          <w:b w:val="0"/>
          <w:bCs w:val="0"/>
          <w:sz w:val="24"/>
          <w:szCs w:val="24"/>
        </w:rPr>
      </w:pPr>
    </w:p>
    <w:p w:rsidR="6407B060" w:rsidP="6407B060" w:rsidRDefault="6407B060" w14:paraId="359E36DB" w14:textId="28834F31">
      <w:pPr>
        <w:pStyle w:val="Normal"/>
        <w:bidi w:val="0"/>
        <w:rPr>
          <w:rFonts w:ascii="Arial" w:hAnsi="Arial" w:eastAsia="Arial" w:cs="Arial"/>
          <w:b w:val="0"/>
          <w:bCs w:val="0"/>
          <w:sz w:val="24"/>
          <w:szCs w:val="24"/>
        </w:rPr>
      </w:pPr>
    </w:p>
    <w:p w:rsidR="6407B060" w:rsidP="6407B060" w:rsidRDefault="6407B060" w14:paraId="066A9BDF" w14:textId="73B7C465">
      <w:pPr>
        <w:pStyle w:val="Normal"/>
        <w:bidi w:val="0"/>
        <w:rPr>
          <w:rFonts w:ascii="Arial" w:hAnsi="Arial" w:eastAsia="Arial" w:cs="Arial"/>
          <w:sz w:val="24"/>
          <w:szCs w:val="24"/>
        </w:rPr>
      </w:pPr>
    </w:p>
    <w:p w:rsidR="6407B060" w:rsidP="6407B060" w:rsidRDefault="6407B060" w14:paraId="580984BB" w14:textId="330259DA">
      <w:pPr>
        <w:pStyle w:val="Normal"/>
        <w:bidi w:val="0"/>
        <w:rPr>
          <w:rFonts w:ascii="Arial" w:hAnsi="Arial" w:eastAsia="Arial" w:cs="Arial"/>
          <w:sz w:val="24"/>
          <w:szCs w:val="24"/>
        </w:rPr>
      </w:pPr>
    </w:p>
    <w:p w:rsidR="6407B060" w:rsidP="6407B060" w:rsidRDefault="6407B060" w14:paraId="7F7D7FA0" w14:textId="7F261822">
      <w:pPr>
        <w:pStyle w:val="Normal"/>
        <w:bidi w:val="0"/>
        <w:rPr>
          <w:rFonts w:ascii="Arial" w:hAnsi="Arial" w:eastAsia="Arial" w:cs="Arial"/>
          <w:sz w:val="24"/>
          <w:szCs w:val="24"/>
        </w:rPr>
      </w:pPr>
    </w:p>
    <w:p w:rsidR="6407B060" w:rsidP="6407B060" w:rsidRDefault="6407B060" w14:paraId="2E29E6D1" w14:textId="0E9A5327">
      <w:pPr>
        <w:pStyle w:val="Normal"/>
        <w:bidi w:val="0"/>
        <w:rPr>
          <w:rFonts w:ascii="Arial" w:hAnsi="Arial" w:eastAsia="Arial" w:cs="Arial"/>
          <w:sz w:val="24"/>
          <w:szCs w:val="24"/>
        </w:rPr>
      </w:pPr>
    </w:p>
    <w:p w:rsidR="6407B060" w:rsidP="6407B060" w:rsidRDefault="6407B060" w14:paraId="3C7BDBC3" w14:textId="3200338D">
      <w:pPr>
        <w:pStyle w:val="Normal"/>
        <w:bidi w:val="0"/>
        <w:rPr>
          <w:rFonts w:ascii="Arial" w:hAnsi="Arial" w:eastAsia="Arial" w:cs="Arial"/>
          <w:sz w:val="24"/>
          <w:szCs w:val="24"/>
        </w:rPr>
      </w:pPr>
    </w:p>
    <w:p w:rsidR="6407B060" w:rsidP="6407B060" w:rsidRDefault="6407B060" w14:paraId="646ECA9F" w14:textId="4AC7B0ED">
      <w:pPr>
        <w:pStyle w:val="Normal"/>
      </w:pPr>
    </w:p>
    <w:p w:rsidR="6407B060" w:rsidP="6407B060" w:rsidRDefault="6407B060" w14:paraId="3F2E4E46" w14:textId="46F901D3">
      <w:pPr>
        <w:pStyle w:val="Normal"/>
      </w:pPr>
    </w:p>
    <w:p w:rsidRPr="008E7E8F" w:rsidR="008E7E8F" w:rsidP="008E7E8F" w:rsidRDefault="008E7E8F" w14:paraId="496B7F23" w14:textId="77777777"/>
    <w:sectPr w:rsidRPr="008E7E8F" w:rsidR="008E7E8F">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76B5" w:rsidP="00942790" w:rsidRDefault="00DF76B5" w14:paraId="57D31D89" w14:textId="77777777">
      <w:pPr>
        <w:spacing w:after="0" w:line="240" w:lineRule="auto"/>
      </w:pPr>
      <w:r>
        <w:separator/>
      </w:r>
    </w:p>
  </w:endnote>
  <w:endnote w:type="continuationSeparator" w:id="0">
    <w:p w:rsidR="00DF76B5" w:rsidP="00942790" w:rsidRDefault="00DF76B5" w14:paraId="610E5AB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5528062"/>
      <w:docPartObj>
        <w:docPartGallery w:val="Page Numbers (Bottom of Page)"/>
        <w:docPartUnique/>
      </w:docPartObj>
    </w:sdtPr>
    <w:sdtContent>
      <w:p w:rsidR="00942790" w:rsidRDefault="00942790" w14:paraId="66ABD72C" w14:textId="39A8F54E">
        <w:pPr>
          <w:pStyle w:val="Footer"/>
          <w:jc w:val="center"/>
        </w:pPr>
        <w:r>
          <w:fldChar w:fldCharType="begin"/>
        </w:r>
        <w:r>
          <w:instrText xml:space="preserve">PAGE   \* MERGEFORMAT</w:instrText>
        </w:r>
        <w:r>
          <w:fldChar w:fldCharType="separate"/>
        </w:r>
        <w:r w:rsidR="6407B060">
          <w:rPr/>
          <w:t>2</w:t>
        </w:r>
        <w:r>
          <w:fldChar w:fldCharType="end"/>
        </w:r>
      </w:p>
    </w:sdtContent>
  </w:sdt>
  <w:p w:rsidR="00942790" w:rsidRDefault="00942790" w14:paraId="5612429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76B5" w:rsidP="00942790" w:rsidRDefault="00DF76B5" w14:paraId="557B4832" w14:textId="77777777">
      <w:pPr>
        <w:spacing w:after="0" w:line="240" w:lineRule="auto"/>
      </w:pPr>
      <w:r>
        <w:separator/>
      </w:r>
    </w:p>
  </w:footnote>
  <w:footnote w:type="continuationSeparator" w:id="0">
    <w:p w:rsidR="00DF76B5" w:rsidP="00942790" w:rsidRDefault="00DF76B5" w14:paraId="501E3BE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0HGwm/UJoSJWy7" int2:id="1dvH8VcE">
      <int2:state int2:type="spell" int2:value="Rejected"/>
    </int2:textHash>
    <int2:textHash int2:hashCode="w+JArmbY1z4OXJ" int2:id="rcTT4cE3">
      <int2:state int2:type="spell" int2:value="Rejected"/>
    </int2:textHash>
    <int2:textHash int2:hashCode="xJSeDROvd4rCQ6" int2:id="teUhSeed">
      <int2:state int2:type="spell" int2:value="Rejected"/>
    </int2:textHash>
    <int2:textHash int2:hashCode="i08WTAWE3I4xEW" int2:id="Veau0wnd">
      <int2:state int2:type="spell" int2:value="Rejected"/>
    </int2:textHash>
    <int2:textHash int2:hashCode="X7/gMCmFuvDs64" int2:id="eXjQ7Rbl">
      <int2:state int2:type="spell" int2:value="Rejected"/>
    </int2:textHash>
    <int2:textHash int2:hashCode="H94P5GIM+RGYwp" int2:id="G3tTkRf7">
      <int2:state int2:type="spell" int2:value="Rejected"/>
    </int2:textHash>
    <int2:textHash int2:hashCode="MCNdhS8azK6r0t" int2:id="nmc0FXbp">
      <int2:state int2:type="spell" int2:value="Rejected"/>
    </int2:textHash>
    <int2:textHash int2:hashCode="5l4VyDn5SMRABZ" int2:id="QBbWG0BZ">
      <int2:state int2:type="spell" int2:value="Rejected"/>
    </int2:textHash>
    <int2:textHash int2:hashCode="gMWa9dir6w4WEs" int2:id="XOa449j0">
      <int2:state int2:type="spell" int2:value="Rejected"/>
    </int2:textHash>
    <int2:textHash int2:hashCode="VUiuTzTLtuMEFF" int2:id="NWF6AlQ1">
      <int2:state int2:type="spell" int2:value="Rejected"/>
    </int2:textHash>
    <int2:textHash int2:hashCode="LKaaBuKh9M5sMo" int2:id="VSRAScc9">
      <int2:state int2:type="spell" int2:value="Rejected"/>
    </int2:textHash>
    <int2:textHash int2:hashCode="w4VzIa+wg76pbb" int2:id="Bqtloryh">
      <int2:state int2:type="spell" int2:value="Rejected"/>
    </int2:textHash>
    <int2:bookmark int2:bookmarkName="_Int_Lc1fLoeA" int2:invalidationBookmarkName="" int2:hashCode="LT3/LHLzLjuPap" int2:id="BKuRxQIv">
      <int2:state int2:type="gram" int2:value="Rejected"/>
    </int2:bookmark>
    <int2:bookmark int2:bookmarkName="_Int_kBBSI9Mb" int2:invalidationBookmarkName="" int2:hashCode="LT3/LHLzLjuPap" int2:id="qMERN8B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3f7a0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fe52a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b5d3e4"/>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1545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E8F"/>
    <w:rsid w:val="0000A323"/>
    <w:rsid w:val="000460EC"/>
    <w:rsid w:val="00090C8A"/>
    <w:rsid w:val="0016D296"/>
    <w:rsid w:val="00245F7B"/>
    <w:rsid w:val="00272B37"/>
    <w:rsid w:val="00315421"/>
    <w:rsid w:val="003E13EE"/>
    <w:rsid w:val="00456F3B"/>
    <w:rsid w:val="004E44C7"/>
    <w:rsid w:val="00572E25"/>
    <w:rsid w:val="006CD02F"/>
    <w:rsid w:val="007FCEFC"/>
    <w:rsid w:val="00882D22"/>
    <w:rsid w:val="008E7E8F"/>
    <w:rsid w:val="00942790"/>
    <w:rsid w:val="0099FDCD"/>
    <w:rsid w:val="00BE77A6"/>
    <w:rsid w:val="00C6F1B5"/>
    <w:rsid w:val="00CBE19D"/>
    <w:rsid w:val="00CD503D"/>
    <w:rsid w:val="00D34DBC"/>
    <w:rsid w:val="00D9820A"/>
    <w:rsid w:val="00DF76B5"/>
    <w:rsid w:val="00E631E9"/>
    <w:rsid w:val="00E73244"/>
    <w:rsid w:val="00EA1516"/>
    <w:rsid w:val="00F4C3D5"/>
    <w:rsid w:val="011C9FFB"/>
    <w:rsid w:val="01358EB7"/>
    <w:rsid w:val="016C1B4C"/>
    <w:rsid w:val="017E497E"/>
    <w:rsid w:val="0183E0CF"/>
    <w:rsid w:val="01932D76"/>
    <w:rsid w:val="01C5D498"/>
    <w:rsid w:val="01D78270"/>
    <w:rsid w:val="01D9CD6A"/>
    <w:rsid w:val="01E46371"/>
    <w:rsid w:val="01FBBD95"/>
    <w:rsid w:val="0207CBC9"/>
    <w:rsid w:val="0219EE82"/>
    <w:rsid w:val="02382830"/>
    <w:rsid w:val="0244A80F"/>
    <w:rsid w:val="025D3BCC"/>
    <w:rsid w:val="027299ED"/>
    <w:rsid w:val="027C1FAB"/>
    <w:rsid w:val="027CCA6E"/>
    <w:rsid w:val="02929673"/>
    <w:rsid w:val="02998723"/>
    <w:rsid w:val="029E5F13"/>
    <w:rsid w:val="029E5F13"/>
    <w:rsid w:val="02AE5D8F"/>
    <w:rsid w:val="02D6B7DC"/>
    <w:rsid w:val="02E5F729"/>
    <w:rsid w:val="02FFE28B"/>
    <w:rsid w:val="03343F2C"/>
    <w:rsid w:val="035774CE"/>
    <w:rsid w:val="036E9CFB"/>
    <w:rsid w:val="03BBA676"/>
    <w:rsid w:val="03C0092C"/>
    <w:rsid w:val="04212A79"/>
    <w:rsid w:val="043C4FA2"/>
    <w:rsid w:val="0470070F"/>
    <w:rsid w:val="047D2925"/>
    <w:rsid w:val="047DF6D7"/>
    <w:rsid w:val="047E5964"/>
    <w:rsid w:val="0498D5A4"/>
    <w:rsid w:val="04FF04AF"/>
    <w:rsid w:val="05269AAB"/>
    <w:rsid w:val="052F61AF"/>
    <w:rsid w:val="052F61AF"/>
    <w:rsid w:val="054A6DC4"/>
    <w:rsid w:val="05741CA9"/>
    <w:rsid w:val="057A6F80"/>
    <w:rsid w:val="057EF944"/>
    <w:rsid w:val="05824204"/>
    <w:rsid w:val="05A8EDE1"/>
    <w:rsid w:val="05EBA9F3"/>
    <w:rsid w:val="05FE5A2F"/>
    <w:rsid w:val="06467276"/>
    <w:rsid w:val="0648820F"/>
    <w:rsid w:val="064ABB28"/>
    <w:rsid w:val="064C420E"/>
    <w:rsid w:val="064D5DDA"/>
    <w:rsid w:val="06693959"/>
    <w:rsid w:val="06A71241"/>
    <w:rsid w:val="06D1B5C1"/>
    <w:rsid w:val="06D440B2"/>
    <w:rsid w:val="06DA898F"/>
    <w:rsid w:val="0705C2CF"/>
    <w:rsid w:val="070620A8"/>
    <w:rsid w:val="07083B64"/>
    <w:rsid w:val="070BA60B"/>
    <w:rsid w:val="071A1AA7"/>
    <w:rsid w:val="072B405A"/>
    <w:rsid w:val="0732F9B6"/>
    <w:rsid w:val="0741B2E6"/>
    <w:rsid w:val="0751B771"/>
    <w:rsid w:val="07707ABF"/>
    <w:rsid w:val="078094E1"/>
    <w:rsid w:val="078857DE"/>
    <w:rsid w:val="07B8CC79"/>
    <w:rsid w:val="07C786CA"/>
    <w:rsid w:val="080DE09D"/>
    <w:rsid w:val="0831943C"/>
    <w:rsid w:val="0856BDD5"/>
    <w:rsid w:val="0865A558"/>
    <w:rsid w:val="086A2B2B"/>
    <w:rsid w:val="086AA293"/>
    <w:rsid w:val="087F67A4"/>
    <w:rsid w:val="08AAF16A"/>
    <w:rsid w:val="08CFC2B0"/>
    <w:rsid w:val="08D5F8E2"/>
    <w:rsid w:val="08FF32B4"/>
    <w:rsid w:val="08FF9342"/>
    <w:rsid w:val="090B1623"/>
    <w:rsid w:val="093B97E8"/>
    <w:rsid w:val="093F379B"/>
    <w:rsid w:val="093FE365"/>
    <w:rsid w:val="0951F4C8"/>
    <w:rsid w:val="095EBD31"/>
    <w:rsid w:val="0962DA0D"/>
    <w:rsid w:val="0971D7DF"/>
    <w:rsid w:val="09761476"/>
    <w:rsid w:val="0981DFB1"/>
    <w:rsid w:val="099EB537"/>
    <w:rsid w:val="09C0B46E"/>
    <w:rsid w:val="09D4A880"/>
    <w:rsid w:val="0A3F9F2A"/>
    <w:rsid w:val="0A496A57"/>
    <w:rsid w:val="0A5942BB"/>
    <w:rsid w:val="0A59E1C0"/>
    <w:rsid w:val="0A6A8EC7"/>
    <w:rsid w:val="0A747198"/>
    <w:rsid w:val="0A77A3A0"/>
    <w:rsid w:val="0AB07FFB"/>
    <w:rsid w:val="0AC16955"/>
    <w:rsid w:val="0AEA9E2B"/>
    <w:rsid w:val="0AF88FFF"/>
    <w:rsid w:val="0B285F4E"/>
    <w:rsid w:val="0B2B19B9"/>
    <w:rsid w:val="0B3C1670"/>
    <w:rsid w:val="0B55D263"/>
    <w:rsid w:val="0B70F118"/>
    <w:rsid w:val="0B95BAE2"/>
    <w:rsid w:val="0BB2B217"/>
    <w:rsid w:val="0BDB2FF2"/>
    <w:rsid w:val="0BDD41DF"/>
    <w:rsid w:val="0BFD3EAF"/>
    <w:rsid w:val="0C130451"/>
    <w:rsid w:val="0C1560B0"/>
    <w:rsid w:val="0C1E7D86"/>
    <w:rsid w:val="0C2885EE"/>
    <w:rsid w:val="0C34D2F1"/>
    <w:rsid w:val="0C356ABA"/>
    <w:rsid w:val="0C3F89BE"/>
    <w:rsid w:val="0C4A7BE9"/>
    <w:rsid w:val="0C69CF99"/>
    <w:rsid w:val="0C70D902"/>
    <w:rsid w:val="0C7C96C9"/>
    <w:rsid w:val="0C95B2EB"/>
    <w:rsid w:val="0CA2C09D"/>
    <w:rsid w:val="0CAC7609"/>
    <w:rsid w:val="0CB3C37B"/>
    <w:rsid w:val="0CF3E537"/>
    <w:rsid w:val="0D067408"/>
    <w:rsid w:val="0D167705"/>
    <w:rsid w:val="0D1B403B"/>
    <w:rsid w:val="0D1D336E"/>
    <w:rsid w:val="0D299C24"/>
    <w:rsid w:val="0D492143"/>
    <w:rsid w:val="0D51B1E7"/>
    <w:rsid w:val="0D59CAFC"/>
    <w:rsid w:val="0DB139F3"/>
    <w:rsid w:val="0DDFC533"/>
    <w:rsid w:val="0DF64A28"/>
    <w:rsid w:val="0E08B231"/>
    <w:rsid w:val="0E31ACDB"/>
    <w:rsid w:val="0E34EA6F"/>
    <w:rsid w:val="0E36A52B"/>
    <w:rsid w:val="0E407B7D"/>
    <w:rsid w:val="0E6BE744"/>
    <w:rsid w:val="0E6BE744"/>
    <w:rsid w:val="0E7C4844"/>
    <w:rsid w:val="0E900AC8"/>
    <w:rsid w:val="0EE31FC7"/>
    <w:rsid w:val="0EFD1E09"/>
    <w:rsid w:val="0F078AE6"/>
    <w:rsid w:val="0F1BD343"/>
    <w:rsid w:val="0F26A550"/>
    <w:rsid w:val="0F2E8057"/>
    <w:rsid w:val="0F41A967"/>
    <w:rsid w:val="0F5B331F"/>
    <w:rsid w:val="0F63A57E"/>
    <w:rsid w:val="0F6C0CAA"/>
    <w:rsid w:val="0F72CD4A"/>
    <w:rsid w:val="0F788418"/>
    <w:rsid w:val="0F7C171F"/>
    <w:rsid w:val="0F9E0912"/>
    <w:rsid w:val="1002372C"/>
    <w:rsid w:val="10092E0D"/>
    <w:rsid w:val="101D8AB9"/>
    <w:rsid w:val="10229116"/>
    <w:rsid w:val="103CAA67"/>
    <w:rsid w:val="10418AED"/>
    <w:rsid w:val="106C3640"/>
    <w:rsid w:val="109D2164"/>
    <w:rsid w:val="10D927B9"/>
    <w:rsid w:val="10DC4773"/>
    <w:rsid w:val="10EB0F93"/>
    <w:rsid w:val="10F6DFC9"/>
    <w:rsid w:val="11587520"/>
    <w:rsid w:val="1181A8A8"/>
    <w:rsid w:val="12048D56"/>
    <w:rsid w:val="12078A21"/>
    <w:rsid w:val="122B79EE"/>
    <w:rsid w:val="1231BB12"/>
    <w:rsid w:val="123BF83A"/>
    <w:rsid w:val="125C6FFB"/>
    <w:rsid w:val="126EA2FF"/>
    <w:rsid w:val="12906087"/>
    <w:rsid w:val="12F13D37"/>
    <w:rsid w:val="12F6ED57"/>
    <w:rsid w:val="132D74F4"/>
    <w:rsid w:val="13383E47"/>
    <w:rsid w:val="134C87E7"/>
    <w:rsid w:val="13542AA4"/>
    <w:rsid w:val="136FEF3F"/>
    <w:rsid w:val="138B952C"/>
    <w:rsid w:val="138BACE3"/>
    <w:rsid w:val="139CCA0E"/>
    <w:rsid w:val="139ECC33"/>
    <w:rsid w:val="13A86E8B"/>
    <w:rsid w:val="13DD2202"/>
    <w:rsid w:val="13E1B4D3"/>
    <w:rsid w:val="13FA9A99"/>
    <w:rsid w:val="141BB47E"/>
    <w:rsid w:val="14221DBF"/>
    <w:rsid w:val="146B39F7"/>
    <w:rsid w:val="146DA1F8"/>
    <w:rsid w:val="14BAF766"/>
    <w:rsid w:val="14BF28AD"/>
    <w:rsid w:val="14C3A5FF"/>
    <w:rsid w:val="14C707DE"/>
    <w:rsid w:val="14C8A3BC"/>
    <w:rsid w:val="14D86555"/>
    <w:rsid w:val="14DF8CF1"/>
    <w:rsid w:val="1535B87A"/>
    <w:rsid w:val="1543ED2E"/>
    <w:rsid w:val="1551A60A"/>
    <w:rsid w:val="15524DE3"/>
    <w:rsid w:val="1576C5CB"/>
    <w:rsid w:val="15C79D7B"/>
    <w:rsid w:val="15CF8217"/>
    <w:rsid w:val="1604A603"/>
    <w:rsid w:val="160CE032"/>
    <w:rsid w:val="16151C18"/>
    <w:rsid w:val="1683B17E"/>
    <w:rsid w:val="1685BD84"/>
    <w:rsid w:val="16897B0A"/>
    <w:rsid w:val="17067621"/>
    <w:rsid w:val="173ECC95"/>
    <w:rsid w:val="174C0A0D"/>
    <w:rsid w:val="1750BBCF"/>
    <w:rsid w:val="176EA7BB"/>
    <w:rsid w:val="17892367"/>
    <w:rsid w:val="17943498"/>
    <w:rsid w:val="17C2F239"/>
    <w:rsid w:val="17C2F239"/>
    <w:rsid w:val="17DF0E37"/>
    <w:rsid w:val="17E752EA"/>
    <w:rsid w:val="17F439ED"/>
    <w:rsid w:val="18258727"/>
    <w:rsid w:val="182724B8"/>
    <w:rsid w:val="18279979"/>
    <w:rsid w:val="182C6B7E"/>
    <w:rsid w:val="186D6FFD"/>
    <w:rsid w:val="187CE3EA"/>
    <w:rsid w:val="18C38606"/>
    <w:rsid w:val="18E07832"/>
    <w:rsid w:val="18F5482A"/>
    <w:rsid w:val="19001286"/>
    <w:rsid w:val="191E19E2"/>
    <w:rsid w:val="19350ED6"/>
    <w:rsid w:val="194AF75B"/>
    <w:rsid w:val="19550C8D"/>
    <w:rsid w:val="195A36AC"/>
    <w:rsid w:val="196C402E"/>
    <w:rsid w:val="196F08E1"/>
    <w:rsid w:val="19995FD7"/>
    <w:rsid w:val="19A1E367"/>
    <w:rsid w:val="19B067F0"/>
    <w:rsid w:val="19B90366"/>
    <w:rsid w:val="19CFF6ED"/>
    <w:rsid w:val="19DD9D2B"/>
    <w:rsid w:val="19E39308"/>
    <w:rsid w:val="19F173D4"/>
    <w:rsid w:val="1A1E5FE9"/>
    <w:rsid w:val="1A3C7771"/>
    <w:rsid w:val="1A48FC89"/>
    <w:rsid w:val="1A594388"/>
    <w:rsid w:val="1A802C92"/>
    <w:rsid w:val="1A82C152"/>
    <w:rsid w:val="1ABE8782"/>
    <w:rsid w:val="1AE0AB2D"/>
    <w:rsid w:val="1AED21BB"/>
    <w:rsid w:val="1AFECE2F"/>
    <w:rsid w:val="1B0A736F"/>
    <w:rsid w:val="1B0A8363"/>
    <w:rsid w:val="1B0EBCE2"/>
    <w:rsid w:val="1B13A1E4"/>
    <w:rsid w:val="1B51F25E"/>
    <w:rsid w:val="1B6CC1C5"/>
    <w:rsid w:val="1B6DAC34"/>
    <w:rsid w:val="1BC3E9EB"/>
    <w:rsid w:val="1BDFB2ED"/>
    <w:rsid w:val="1BE5DD00"/>
    <w:rsid w:val="1BF00651"/>
    <w:rsid w:val="1BF0A70F"/>
    <w:rsid w:val="1BF36AFD"/>
    <w:rsid w:val="1BF50E79"/>
    <w:rsid w:val="1C13C962"/>
    <w:rsid w:val="1C13C962"/>
    <w:rsid w:val="1C3BE6C8"/>
    <w:rsid w:val="1C47FC59"/>
    <w:rsid w:val="1C6F015E"/>
    <w:rsid w:val="1C71BE1A"/>
    <w:rsid w:val="1C7E2F61"/>
    <w:rsid w:val="1C80AF28"/>
    <w:rsid w:val="1C9A72EC"/>
    <w:rsid w:val="1CA57EFB"/>
    <w:rsid w:val="1CBA89C2"/>
    <w:rsid w:val="1CBC5C1F"/>
    <w:rsid w:val="1CE0C1CA"/>
    <w:rsid w:val="1D3EAC04"/>
    <w:rsid w:val="1D3EAC04"/>
    <w:rsid w:val="1D574B21"/>
    <w:rsid w:val="1D8CB124"/>
    <w:rsid w:val="1DB39F61"/>
    <w:rsid w:val="1DD44C91"/>
    <w:rsid w:val="1DDA27E4"/>
    <w:rsid w:val="1DEF9F46"/>
    <w:rsid w:val="1DF2A1BE"/>
    <w:rsid w:val="1DF6F9A4"/>
    <w:rsid w:val="1E014FC3"/>
    <w:rsid w:val="1E470314"/>
    <w:rsid w:val="1E57DE2A"/>
    <w:rsid w:val="1E69CA5A"/>
    <w:rsid w:val="1E6FD9D0"/>
    <w:rsid w:val="1E7F319A"/>
    <w:rsid w:val="1E9123F4"/>
    <w:rsid w:val="1EAC04BB"/>
    <w:rsid w:val="1ECA80D9"/>
    <w:rsid w:val="1ECBEFCB"/>
    <w:rsid w:val="1ED97C5C"/>
    <w:rsid w:val="1F196086"/>
    <w:rsid w:val="1F233AC6"/>
    <w:rsid w:val="1F2FE474"/>
    <w:rsid w:val="1F52C841"/>
    <w:rsid w:val="1F742F67"/>
    <w:rsid w:val="1F7AB207"/>
    <w:rsid w:val="1FDC23C9"/>
    <w:rsid w:val="1FE1E571"/>
    <w:rsid w:val="1FFEED33"/>
    <w:rsid w:val="2023DE4F"/>
    <w:rsid w:val="20390B21"/>
    <w:rsid w:val="20425902"/>
    <w:rsid w:val="20725C35"/>
    <w:rsid w:val="20A063FF"/>
    <w:rsid w:val="20B70D18"/>
    <w:rsid w:val="2116E4AE"/>
    <w:rsid w:val="2131CF1F"/>
    <w:rsid w:val="21396EB7"/>
    <w:rsid w:val="214A630F"/>
    <w:rsid w:val="21611E9C"/>
    <w:rsid w:val="216283C0"/>
    <w:rsid w:val="21B5F803"/>
    <w:rsid w:val="21CDA19D"/>
    <w:rsid w:val="21DE0D02"/>
    <w:rsid w:val="21ED0653"/>
    <w:rsid w:val="22355B9B"/>
    <w:rsid w:val="227D19EC"/>
    <w:rsid w:val="228F8B17"/>
    <w:rsid w:val="229940F0"/>
    <w:rsid w:val="229F4100"/>
    <w:rsid w:val="22D652CD"/>
    <w:rsid w:val="22E91A63"/>
    <w:rsid w:val="232F5995"/>
    <w:rsid w:val="2345CCCD"/>
    <w:rsid w:val="2369B811"/>
    <w:rsid w:val="23D76C63"/>
    <w:rsid w:val="23E8F57C"/>
    <w:rsid w:val="23EB02E0"/>
    <w:rsid w:val="240AB380"/>
    <w:rsid w:val="2426A9A1"/>
    <w:rsid w:val="243CBB97"/>
    <w:rsid w:val="2498AC91"/>
    <w:rsid w:val="249C3952"/>
    <w:rsid w:val="24C8FA4E"/>
    <w:rsid w:val="2508F87A"/>
    <w:rsid w:val="25449DC2"/>
    <w:rsid w:val="258A0A40"/>
    <w:rsid w:val="25A63CA6"/>
    <w:rsid w:val="25AF2381"/>
    <w:rsid w:val="26075E49"/>
    <w:rsid w:val="261F2E9D"/>
    <w:rsid w:val="261FABBF"/>
    <w:rsid w:val="2623B111"/>
    <w:rsid w:val="26313193"/>
    <w:rsid w:val="26B93E9A"/>
    <w:rsid w:val="26C59669"/>
    <w:rsid w:val="26CE9809"/>
    <w:rsid w:val="26D3AFC9"/>
    <w:rsid w:val="26DC5CA0"/>
    <w:rsid w:val="26DC5CA0"/>
    <w:rsid w:val="26FCDFB4"/>
    <w:rsid w:val="273942B4"/>
    <w:rsid w:val="2774B31B"/>
    <w:rsid w:val="277BB450"/>
    <w:rsid w:val="278A3FEB"/>
    <w:rsid w:val="27A7C1A6"/>
    <w:rsid w:val="27E41CCE"/>
    <w:rsid w:val="27E55341"/>
    <w:rsid w:val="2800019A"/>
    <w:rsid w:val="2806B52C"/>
    <w:rsid w:val="281DEE47"/>
    <w:rsid w:val="28603DF8"/>
    <w:rsid w:val="2870C8C9"/>
    <w:rsid w:val="2873D0AB"/>
    <w:rsid w:val="289B87A4"/>
    <w:rsid w:val="28B79A52"/>
    <w:rsid w:val="28B866CE"/>
    <w:rsid w:val="28DF63AA"/>
    <w:rsid w:val="28E86A27"/>
    <w:rsid w:val="29076179"/>
    <w:rsid w:val="290CF7D5"/>
    <w:rsid w:val="291531F4"/>
    <w:rsid w:val="291537F9"/>
    <w:rsid w:val="295FC9D7"/>
    <w:rsid w:val="296BB00F"/>
    <w:rsid w:val="29B97F79"/>
    <w:rsid w:val="29E15095"/>
    <w:rsid w:val="29E22089"/>
    <w:rsid w:val="29F54E30"/>
    <w:rsid w:val="29F6929C"/>
    <w:rsid w:val="2A0368CE"/>
    <w:rsid w:val="2A07890A"/>
    <w:rsid w:val="2A1191FB"/>
    <w:rsid w:val="2A1B56C2"/>
    <w:rsid w:val="2A246B21"/>
    <w:rsid w:val="2A490BB4"/>
    <w:rsid w:val="2A6D1C2B"/>
    <w:rsid w:val="2AA32F28"/>
    <w:rsid w:val="2AAE3712"/>
    <w:rsid w:val="2AB22FA6"/>
    <w:rsid w:val="2ADA2E5F"/>
    <w:rsid w:val="2AE516DE"/>
    <w:rsid w:val="2AF9E98B"/>
    <w:rsid w:val="2B051903"/>
    <w:rsid w:val="2B179FFB"/>
    <w:rsid w:val="2B365F86"/>
    <w:rsid w:val="2B41CD94"/>
    <w:rsid w:val="2B50A0D5"/>
    <w:rsid w:val="2B976F64"/>
    <w:rsid w:val="2BA36A55"/>
    <w:rsid w:val="2BB6DE0E"/>
    <w:rsid w:val="2BD66CE7"/>
    <w:rsid w:val="2BD77EE9"/>
    <w:rsid w:val="2C123E57"/>
    <w:rsid w:val="2C22DBA6"/>
    <w:rsid w:val="2C3B988A"/>
    <w:rsid w:val="2C411670"/>
    <w:rsid w:val="2C68F87D"/>
    <w:rsid w:val="2C69A935"/>
    <w:rsid w:val="2C6A9C26"/>
    <w:rsid w:val="2C793FD4"/>
    <w:rsid w:val="2C82B2E9"/>
    <w:rsid w:val="2D06160A"/>
    <w:rsid w:val="2D0DC10F"/>
    <w:rsid w:val="2D0F4A6D"/>
    <w:rsid w:val="2D12BDF1"/>
    <w:rsid w:val="2D2DF63C"/>
    <w:rsid w:val="2D35B17A"/>
    <w:rsid w:val="2D38B05F"/>
    <w:rsid w:val="2D6BC18B"/>
    <w:rsid w:val="2D89E16D"/>
    <w:rsid w:val="2D915F9C"/>
    <w:rsid w:val="2D9BFEFC"/>
    <w:rsid w:val="2DB3785C"/>
    <w:rsid w:val="2DC0BE6E"/>
    <w:rsid w:val="2DE7A27A"/>
    <w:rsid w:val="2DE7B6ED"/>
    <w:rsid w:val="2DF60BAA"/>
    <w:rsid w:val="2E4AF34B"/>
    <w:rsid w:val="2E625B8E"/>
    <w:rsid w:val="2E63D5BE"/>
    <w:rsid w:val="2ECDF4E1"/>
    <w:rsid w:val="2ECDF4E1"/>
    <w:rsid w:val="2F512A15"/>
    <w:rsid w:val="2F575399"/>
    <w:rsid w:val="2F781B57"/>
    <w:rsid w:val="2FBE2A59"/>
    <w:rsid w:val="2FBF4375"/>
    <w:rsid w:val="2FDF2F8B"/>
    <w:rsid w:val="2FED2A85"/>
    <w:rsid w:val="3037FB0B"/>
    <w:rsid w:val="3049EF9C"/>
    <w:rsid w:val="3054897E"/>
    <w:rsid w:val="3064B516"/>
    <w:rsid w:val="309CF73D"/>
    <w:rsid w:val="30B5E6B3"/>
    <w:rsid w:val="30C160DC"/>
    <w:rsid w:val="30FEBA6F"/>
    <w:rsid w:val="31000D64"/>
    <w:rsid w:val="31097DA9"/>
    <w:rsid w:val="3122D536"/>
    <w:rsid w:val="3181DA3F"/>
    <w:rsid w:val="31903739"/>
    <w:rsid w:val="31E26F1B"/>
    <w:rsid w:val="324AD72C"/>
    <w:rsid w:val="325D8409"/>
    <w:rsid w:val="3279C81D"/>
    <w:rsid w:val="32836DDC"/>
    <w:rsid w:val="329D938B"/>
    <w:rsid w:val="32E6CC2B"/>
    <w:rsid w:val="32EA936D"/>
    <w:rsid w:val="330C87F1"/>
    <w:rsid w:val="33D652B5"/>
    <w:rsid w:val="33DAD278"/>
    <w:rsid w:val="33ED3322"/>
    <w:rsid w:val="33F6B9DA"/>
    <w:rsid w:val="34236351"/>
    <w:rsid w:val="34328860"/>
    <w:rsid w:val="34452191"/>
    <w:rsid w:val="348B73C3"/>
    <w:rsid w:val="348BFFB7"/>
    <w:rsid w:val="34962E7A"/>
    <w:rsid w:val="34ECEE33"/>
    <w:rsid w:val="34EDDF52"/>
    <w:rsid w:val="34FD8E72"/>
    <w:rsid w:val="351E2F28"/>
    <w:rsid w:val="352EAE71"/>
    <w:rsid w:val="35410C12"/>
    <w:rsid w:val="357B5275"/>
    <w:rsid w:val="359A5297"/>
    <w:rsid w:val="35CFB01F"/>
    <w:rsid w:val="35D4F32E"/>
    <w:rsid w:val="35D9FA65"/>
    <w:rsid w:val="35DDDCB6"/>
    <w:rsid w:val="35F5CCD8"/>
    <w:rsid w:val="35F8EFDD"/>
    <w:rsid w:val="3600315F"/>
    <w:rsid w:val="3615C900"/>
    <w:rsid w:val="361608BE"/>
    <w:rsid w:val="363626C2"/>
    <w:rsid w:val="36410A3C"/>
    <w:rsid w:val="364B649C"/>
    <w:rsid w:val="366DE108"/>
    <w:rsid w:val="36766FDC"/>
    <w:rsid w:val="36766FDC"/>
    <w:rsid w:val="3677CC81"/>
    <w:rsid w:val="3688E3E0"/>
    <w:rsid w:val="36895E0B"/>
    <w:rsid w:val="36C47BEB"/>
    <w:rsid w:val="371E5680"/>
    <w:rsid w:val="3720989F"/>
    <w:rsid w:val="3727D11F"/>
    <w:rsid w:val="37434C84"/>
    <w:rsid w:val="374908A5"/>
    <w:rsid w:val="375561B6"/>
    <w:rsid w:val="378DC8A0"/>
    <w:rsid w:val="37A98F98"/>
    <w:rsid w:val="37BF5D19"/>
    <w:rsid w:val="380F5EF7"/>
    <w:rsid w:val="3824EB49"/>
    <w:rsid w:val="3828FFC8"/>
    <w:rsid w:val="383334B8"/>
    <w:rsid w:val="3856403E"/>
    <w:rsid w:val="38A96739"/>
    <w:rsid w:val="38AF7056"/>
    <w:rsid w:val="38DBE151"/>
    <w:rsid w:val="38DE39CC"/>
    <w:rsid w:val="38E3F65D"/>
    <w:rsid w:val="38F623B3"/>
    <w:rsid w:val="390548BF"/>
    <w:rsid w:val="39132925"/>
    <w:rsid w:val="392FB8A8"/>
    <w:rsid w:val="39550FB8"/>
    <w:rsid w:val="399DA8E2"/>
    <w:rsid w:val="39AA9D2C"/>
    <w:rsid w:val="39E832E0"/>
    <w:rsid w:val="3A05B747"/>
    <w:rsid w:val="3A18244F"/>
    <w:rsid w:val="3A4C9D39"/>
    <w:rsid w:val="3A506FCC"/>
    <w:rsid w:val="3A506FCC"/>
    <w:rsid w:val="3A510EA6"/>
    <w:rsid w:val="3A621AFA"/>
    <w:rsid w:val="3A766579"/>
    <w:rsid w:val="3A8726F5"/>
    <w:rsid w:val="3A8D42CC"/>
    <w:rsid w:val="3AA0B74B"/>
    <w:rsid w:val="3AA1717C"/>
    <w:rsid w:val="3AFFCF6C"/>
    <w:rsid w:val="3B2E05D1"/>
    <w:rsid w:val="3B3BBEC4"/>
    <w:rsid w:val="3B44BE47"/>
    <w:rsid w:val="3B6CD856"/>
    <w:rsid w:val="3B7B61F9"/>
    <w:rsid w:val="3B984961"/>
    <w:rsid w:val="3BD536DC"/>
    <w:rsid w:val="3BDF3472"/>
    <w:rsid w:val="3C12934C"/>
    <w:rsid w:val="3C2B4B3D"/>
    <w:rsid w:val="3C40A9AA"/>
    <w:rsid w:val="3C47D34F"/>
    <w:rsid w:val="3C50B302"/>
    <w:rsid w:val="3CA598D2"/>
    <w:rsid w:val="3CB6A96C"/>
    <w:rsid w:val="3CD2E0D8"/>
    <w:rsid w:val="3CF2BF7A"/>
    <w:rsid w:val="3D0E73BD"/>
    <w:rsid w:val="3D1F5C1D"/>
    <w:rsid w:val="3D2C2784"/>
    <w:rsid w:val="3D2CBED1"/>
    <w:rsid w:val="3D2F6C26"/>
    <w:rsid w:val="3D3E0A7A"/>
    <w:rsid w:val="3D9249AE"/>
    <w:rsid w:val="3DB2A17E"/>
    <w:rsid w:val="3DB81302"/>
    <w:rsid w:val="3DBF53A2"/>
    <w:rsid w:val="3DCE3529"/>
    <w:rsid w:val="3DF08612"/>
    <w:rsid w:val="3E2B6D54"/>
    <w:rsid w:val="3E758E35"/>
    <w:rsid w:val="3EC57A06"/>
    <w:rsid w:val="3EC57A06"/>
    <w:rsid w:val="3F134330"/>
    <w:rsid w:val="3F168427"/>
    <w:rsid w:val="3F42A147"/>
    <w:rsid w:val="3F635491"/>
    <w:rsid w:val="3F697900"/>
    <w:rsid w:val="3FB927AE"/>
    <w:rsid w:val="3FE3F697"/>
    <w:rsid w:val="3FF8293B"/>
    <w:rsid w:val="3FF82A49"/>
    <w:rsid w:val="3FFE69A7"/>
    <w:rsid w:val="4015A96E"/>
    <w:rsid w:val="402515AB"/>
    <w:rsid w:val="402CD2AB"/>
    <w:rsid w:val="403135A5"/>
    <w:rsid w:val="404AFD48"/>
    <w:rsid w:val="406827EE"/>
    <w:rsid w:val="407A5329"/>
    <w:rsid w:val="40BC4408"/>
    <w:rsid w:val="40F2DC36"/>
    <w:rsid w:val="4106DF10"/>
    <w:rsid w:val="418570CA"/>
    <w:rsid w:val="419C5385"/>
    <w:rsid w:val="41BDBCD2"/>
    <w:rsid w:val="420310C2"/>
    <w:rsid w:val="420AF568"/>
    <w:rsid w:val="42325065"/>
    <w:rsid w:val="427B3D19"/>
    <w:rsid w:val="4281C9ED"/>
    <w:rsid w:val="42F69181"/>
    <w:rsid w:val="430E9B13"/>
    <w:rsid w:val="4314749A"/>
    <w:rsid w:val="432C089E"/>
    <w:rsid w:val="434ABF38"/>
    <w:rsid w:val="437D6855"/>
    <w:rsid w:val="438A958C"/>
    <w:rsid w:val="43998699"/>
    <w:rsid w:val="43BDBEFF"/>
    <w:rsid w:val="43D60418"/>
    <w:rsid w:val="4401F474"/>
    <w:rsid w:val="445A0004"/>
    <w:rsid w:val="4468FC76"/>
    <w:rsid w:val="447EE088"/>
    <w:rsid w:val="4488F7C8"/>
    <w:rsid w:val="448ED7B5"/>
    <w:rsid w:val="44A9E5AB"/>
    <w:rsid w:val="44AC67F8"/>
    <w:rsid w:val="44B48484"/>
    <w:rsid w:val="44B73F77"/>
    <w:rsid w:val="44DE3481"/>
    <w:rsid w:val="45062D43"/>
    <w:rsid w:val="4513B64F"/>
    <w:rsid w:val="451E3B8F"/>
    <w:rsid w:val="452F2B78"/>
    <w:rsid w:val="454B0184"/>
    <w:rsid w:val="45695C6E"/>
    <w:rsid w:val="45735399"/>
    <w:rsid w:val="4580CEEC"/>
    <w:rsid w:val="458A85D4"/>
    <w:rsid w:val="459D0F25"/>
    <w:rsid w:val="45AE4EF6"/>
    <w:rsid w:val="45B3F373"/>
    <w:rsid w:val="45D9537C"/>
    <w:rsid w:val="4628BCA1"/>
    <w:rsid w:val="4655C84A"/>
    <w:rsid w:val="46560F13"/>
    <w:rsid w:val="465E1BD4"/>
    <w:rsid w:val="4671D7B0"/>
    <w:rsid w:val="46A655F3"/>
    <w:rsid w:val="46DCF31F"/>
    <w:rsid w:val="46E55231"/>
    <w:rsid w:val="46E55231"/>
    <w:rsid w:val="46E86A23"/>
    <w:rsid w:val="46ED8BB8"/>
    <w:rsid w:val="46F17995"/>
    <w:rsid w:val="46F541E5"/>
    <w:rsid w:val="470E66DC"/>
    <w:rsid w:val="471426D8"/>
    <w:rsid w:val="474DD9A5"/>
    <w:rsid w:val="477A9AA7"/>
    <w:rsid w:val="47981012"/>
    <w:rsid w:val="47ACCFCA"/>
    <w:rsid w:val="47ACCFCA"/>
    <w:rsid w:val="47E28DA2"/>
    <w:rsid w:val="47F1BF12"/>
    <w:rsid w:val="47FB7408"/>
    <w:rsid w:val="482EC4CD"/>
    <w:rsid w:val="4847FFD8"/>
    <w:rsid w:val="484FFB49"/>
    <w:rsid w:val="485FF340"/>
    <w:rsid w:val="4871F0E8"/>
    <w:rsid w:val="48941708"/>
    <w:rsid w:val="489A8F28"/>
    <w:rsid w:val="489D7C45"/>
    <w:rsid w:val="489F093C"/>
    <w:rsid w:val="4900453D"/>
    <w:rsid w:val="490513AF"/>
    <w:rsid w:val="490752CF"/>
    <w:rsid w:val="490A020A"/>
    <w:rsid w:val="490A231E"/>
    <w:rsid w:val="491FCB55"/>
    <w:rsid w:val="494ACB25"/>
    <w:rsid w:val="4966F9D7"/>
    <w:rsid w:val="49AE6BB3"/>
    <w:rsid w:val="49DAB6FA"/>
    <w:rsid w:val="49DC4E31"/>
    <w:rsid w:val="49EA847E"/>
    <w:rsid w:val="4A04FE07"/>
    <w:rsid w:val="4A069ED2"/>
    <w:rsid w:val="4A1598AA"/>
    <w:rsid w:val="4A267D48"/>
    <w:rsid w:val="4A52C40F"/>
    <w:rsid w:val="4A8D5FA6"/>
    <w:rsid w:val="4AA8DCFC"/>
    <w:rsid w:val="4ABBF7AC"/>
    <w:rsid w:val="4AD32BCA"/>
    <w:rsid w:val="4ADAE242"/>
    <w:rsid w:val="4B071C3D"/>
    <w:rsid w:val="4B1F3CDD"/>
    <w:rsid w:val="4B2673C4"/>
    <w:rsid w:val="4B2C42D7"/>
    <w:rsid w:val="4B368EFE"/>
    <w:rsid w:val="4B3FEAD1"/>
    <w:rsid w:val="4B40A8FB"/>
    <w:rsid w:val="4B42C509"/>
    <w:rsid w:val="4B47CC41"/>
    <w:rsid w:val="4B6D556C"/>
    <w:rsid w:val="4B708D49"/>
    <w:rsid w:val="4B8A4C73"/>
    <w:rsid w:val="4B8CDCBE"/>
    <w:rsid w:val="4BB0CDAA"/>
    <w:rsid w:val="4BBB9D67"/>
    <w:rsid w:val="4BDCCB15"/>
    <w:rsid w:val="4BDCCE46"/>
    <w:rsid w:val="4BE03461"/>
    <w:rsid w:val="4BEB75FE"/>
    <w:rsid w:val="4BFE16FD"/>
    <w:rsid w:val="4C136EFD"/>
    <w:rsid w:val="4C279BB5"/>
    <w:rsid w:val="4C3B4C68"/>
    <w:rsid w:val="4C487975"/>
    <w:rsid w:val="4C5079D3"/>
    <w:rsid w:val="4C6A69E3"/>
    <w:rsid w:val="4C72BDE7"/>
    <w:rsid w:val="4C8583A2"/>
    <w:rsid w:val="4C9D09A1"/>
    <w:rsid w:val="4CAD05EB"/>
    <w:rsid w:val="4CB59254"/>
    <w:rsid w:val="4CB7FB56"/>
    <w:rsid w:val="4CBCCB9C"/>
    <w:rsid w:val="4CC7095E"/>
    <w:rsid w:val="4D0C1860"/>
    <w:rsid w:val="4D0EF9CC"/>
    <w:rsid w:val="4D278A7D"/>
    <w:rsid w:val="4D34B043"/>
    <w:rsid w:val="4D5CCAB8"/>
    <w:rsid w:val="4D6A2CBC"/>
    <w:rsid w:val="4DA55BC0"/>
    <w:rsid w:val="4E55ADBA"/>
    <w:rsid w:val="4E570C8D"/>
    <w:rsid w:val="4E724457"/>
    <w:rsid w:val="4E759BE3"/>
    <w:rsid w:val="4E7E49DB"/>
    <w:rsid w:val="4E8C3D22"/>
    <w:rsid w:val="4E98C1D9"/>
    <w:rsid w:val="4ED63376"/>
    <w:rsid w:val="4EE84C55"/>
    <w:rsid w:val="4F07DFEC"/>
    <w:rsid w:val="4F3B0B45"/>
    <w:rsid w:val="4F3C014F"/>
    <w:rsid w:val="4F63BA57"/>
    <w:rsid w:val="4F6735FC"/>
    <w:rsid w:val="4F79F1C4"/>
    <w:rsid w:val="4F7CAE4E"/>
    <w:rsid w:val="4F921D96"/>
    <w:rsid w:val="4F98A982"/>
    <w:rsid w:val="4FAC3267"/>
    <w:rsid w:val="4FC393F7"/>
    <w:rsid w:val="4FE65900"/>
    <w:rsid w:val="4FFECB6D"/>
    <w:rsid w:val="50490E70"/>
    <w:rsid w:val="507B0784"/>
    <w:rsid w:val="50C5F6A3"/>
    <w:rsid w:val="50E2468B"/>
    <w:rsid w:val="50F122D4"/>
    <w:rsid w:val="50FAFF36"/>
    <w:rsid w:val="51232BB8"/>
    <w:rsid w:val="513C85AF"/>
    <w:rsid w:val="51605EA4"/>
    <w:rsid w:val="516E02FD"/>
    <w:rsid w:val="51B5C38B"/>
    <w:rsid w:val="51D2A741"/>
    <w:rsid w:val="51D5E462"/>
    <w:rsid w:val="51D95421"/>
    <w:rsid w:val="51EC0AC9"/>
    <w:rsid w:val="522ED1BC"/>
    <w:rsid w:val="523CA6F3"/>
    <w:rsid w:val="52552FF6"/>
    <w:rsid w:val="52A703A5"/>
    <w:rsid w:val="52FA128B"/>
    <w:rsid w:val="531C046E"/>
    <w:rsid w:val="531E60F4"/>
    <w:rsid w:val="531EB661"/>
    <w:rsid w:val="533A990A"/>
    <w:rsid w:val="53735248"/>
    <w:rsid w:val="537C5393"/>
    <w:rsid w:val="5388094C"/>
    <w:rsid w:val="53B1900A"/>
    <w:rsid w:val="53D8A2C9"/>
    <w:rsid w:val="53DDC8E0"/>
    <w:rsid w:val="53FA2BD5"/>
    <w:rsid w:val="541D3FF9"/>
    <w:rsid w:val="54484477"/>
    <w:rsid w:val="544EF999"/>
    <w:rsid w:val="5457425E"/>
    <w:rsid w:val="547074F0"/>
    <w:rsid w:val="547FEF6F"/>
    <w:rsid w:val="54836CDA"/>
    <w:rsid w:val="54897A54"/>
    <w:rsid w:val="54AC5D16"/>
    <w:rsid w:val="54B73F81"/>
    <w:rsid w:val="54CE0F10"/>
    <w:rsid w:val="54D716EC"/>
    <w:rsid w:val="54DCF412"/>
    <w:rsid w:val="54E728FB"/>
    <w:rsid w:val="54E982BD"/>
    <w:rsid w:val="54FBD280"/>
    <w:rsid w:val="54FF9505"/>
    <w:rsid w:val="552F7BBE"/>
    <w:rsid w:val="55308342"/>
    <w:rsid w:val="555F5C87"/>
    <w:rsid w:val="5561189B"/>
    <w:rsid w:val="556A6086"/>
    <w:rsid w:val="5586FEC1"/>
    <w:rsid w:val="559410E7"/>
    <w:rsid w:val="5597EFDC"/>
    <w:rsid w:val="559DCF05"/>
    <w:rsid w:val="55BEDC7B"/>
    <w:rsid w:val="55E4240C"/>
    <w:rsid w:val="55F20C28"/>
    <w:rsid w:val="55F23C89"/>
    <w:rsid w:val="56346984"/>
    <w:rsid w:val="564D3883"/>
    <w:rsid w:val="564F00BC"/>
    <w:rsid w:val="56574741"/>
    <w:rsid w:val="56642402"/>
    <w:rsid w:val="5682C671"/>
    <w:rsid w:val="56849823"/>
    <w:rsid w:val="568DD837"/>
    <w:rsid w:val="56AF38CF"/>
    <w:rsid w:val="56AF38CF"/>
    <w:rsid w:val="56D8EBD6"/>
    <w:rsid w:val="56FA3D2B"/>
    <w:rsid w:val="5701C4F8"/>
    <w:rsid w:val="57096A8E"/>
    <w:rsid w:val="573D2739"/>
    <w:rsid w:val="5758FCD4"/>
    <w:rsid w:val="575D4279"/>
    <w:rsid w:val="57693E6A"/>
    <w:rsid w:val="57789974"/>
    <w:rsid w:val="57B16A76"/>
    <w:rsid w:val="57B43017"/>
    <w:rsid w:val="57BC4FF2"/>
    <w:rsid w:val="57CE8B9B"/>
    <w:rsid w:val="57CF6BBF"/>
    <w:rsid w:val="57D01DBA"/>
    <w:rsid w:val="57D3F860"/>
    <w:rsid w:val="57DCFCE2"/>
    <w:rsid w:val="580BBFC7"/>
    <w:rsid w:val="581E298D"/>
    <w:rsid w:val="5824C553"/>
    <w:rsid w:val="5832F1FF"/>
    <w:rsid w:val="58512834"/>
    <w:rsid w:val="587ABD8A"/>
    <w:rsid w:val="5880A4EA"/>
    <w:rsid w:val="58C43281"/>
    <w:rsid w:val="58DE7E8C"/>
    <w:rsid w:val="58EA44D9"/>
    <w:rsid w:val="5910B462"/>
    <w:rsid w:val="5922F142"/>
    <w:rsid w:val="592F732C"/>
    <w:rsid w:val="5931B531"/>
    <w:rsid w:val="596A0E92"/>
    <w:rsid w:val="59747D22"/>
    <w:rsid w:val="5979A075"/>
    <w:rsid w:val="59CAAC21"/>
    <w:rsid w:val="59CF5797"/>
    <w:rsid w:val="59E6FADE"/>
    <w:rsid w:val="59EBD61E"/>
    <w:rsid w:val="5A19A062"/>
    <w:rsid w:val="5A26A7F9"/>
    <w:rsid w:val="5A44DD54"/>
    <w:rsid w:val="5A544523"/>
    <w:rsid w:val="5A74FC93"/>
    <w:rsid w:val="5A793375"/>
    <w:rsid w:val="5A9FED5A"/>
    <w:rsid w:val="5AB560E5"/>
    <w:rsid w:val="5ABF19C4"/>
    <w:rsid w:val="5AD19EB3"/>
    <w:rsid w:val="5AE24546"/>
    <w:rsid w:val="5AE24546"/>
    <w:rsid w:val="5AFA664D"/>
    <w:rsid w:val="5AFBE780"/>
    <w:rsid w:val="5B02BA50"/>
    <w:rsid w:val="5B036D58"/>
    <w:rsid w:val="5B1D5395"/>
    <w:rsid w:val="5B3E126C"/>
    <w:rsid w:val="5B573181"/>
    <w:rsid w:val="5B66537F"/>
    <w:rsid w:val="5B783A86"/>
    <w:rsid w:val="5B7E7A80"/>
    <w:rsid w:val="5B860B8A"/>
    <w:rsid w:val="5B9088C6"/>
    <w:rsid w:val="5B9B067C"/>
    <w:rsid w:val="5BB91910"/>
    <w:rsid w:val="5BC45C44"/>
    <w:rsid w:val="5BD73933"/>
    <w:rsid w:val="5BF29898"/>
    <w:rsid w:val="5BFF70DB"/>
    <w:rsid w:val="5C3AEA7A"/>
    <w:rsid w:val="5C5EA3DB"/>
    <w:rsid w:val="5C74319C"/>
    <w:rsid w:val="5C8F6C19"/>
    <w:rsid w:val="5CB7CDF0"/>
    <w:rsid w:val="5CE5E0A4"/>
    <w:rsid w:val="5CF6D27D"/>
    <w:rsid w:val="5D112640"/>
    <w:rsid w:val="5D32F7D8"/>
    <w:rsid w:val="5D392E29"/>
    <w:rsid w:val="5D402CBC"/>
    <w:rsid w:val="5D45ED38"/>
    <w:rsid w:val="5D566317"/>
    <w:rsid w:val="5D5FBE27"/>
    <w:rsid w:val="5D674669"/>
    <w:rsid w:val="5D758161"/>
    <w:rsid w:val="5D7FDD82"/>
    <w:rsid w:val="5D88A99F"/>
    <w:rsid w:val="5DA36796"/>
    <w:rsid w:val="5DA69F82"/>
    <w:rsid w:val="5DBB07BB"/>
    <w:rsid w:val="5DE66452"/>
    <w:rsid w:val="5DF47F7B"/>
    <w:rsid w:val="5E0A02AA"/>
    <w:rsid w:val="5E2CA778"/>
    <w:rsid w:val="5E392DB4"/>
    <w:rsid w:val="5E6906BE"/>
    <w:rsid w:val="5EAB6531"/>
    <w:rsid w:val="5EC0DC76"/>
    <w:rsid w:val="5EC3311B"/>
    <w:rsid w:val="5ED683A2"/>
    <w:rsid w:val="5EF8E2AD"/>
    <w:rsid w:val="5F01F0AA"/>
    <w:rsid w:val="5F049E85"/>
    <w:rsid w:val="5F0688FF"/>
    <w:rsid w:val="5F156C40"/>
    <w:rsid w:val="5F93F236"/>
    <w:rsid w:val="5FBA4593"/>
    <w:rsid w:val="5FECF340"/>
    <w:rsid w:val="6009E24B"/>
    <w:rsid w:val="601BB4B5"/>
    <w:rsid w:val="607927C0"/>
    <w:rsid w:val="60A4AD2E"/>
    <w:rsid w:val="60ACC049"/>
    <w:rsid w:val="60AE6CEF"/>
    <w:rsid w:val="613CD17A"/>
    <w:rsid w:val="615F0EA5"/>
    <w:rsid w:val="6165FF18"/>
    <w:rsid w:val="6166D807"/>
    <w:rsid w:val="616BF65A"/>
    <w:rsid w:val="617CC775"/>
    <w:rsid w:val="61EBD77F"/>
    <w:rsid w:val="62024373"/>
    <w:rsid w:val="621DF518"/>
    <w:rsid w:val="6245DECE"/>
    <w:rsid w:val="625AA83A"/>
    <w:rsid w:val="62835B40"/>
    <w:rsid w:val="628C6F96"/>
    <w:rsid w:val="62AFB9B4"/>
    <w:rsid w:val="62B8FA8B"/>
    <w:rsid w:val="62C27448"/>
    <w:rsid w:val="62D717EA"/>
    <w:rsid w:val="62E89158"/>
    <w:rsid w:val="630EF490"/>
    <w:rsid w:val="630F4ED7"/>
    <w:rsid w:val="6314191A"/>
    <w:rsid w:val="6314511A"/>
    <w:rsid w:val="63236ECF"/>
    <w:rsid w:val="636515D1"/>
    <w:rsid w:val="638ACF11"/>
    <w:rsid w:val="6399A2FA"/>
    <w:rsid w:val="63F27E64"/>
    <w:rsid w:val="6407B060"/>
    <w:rsid w:val="6437B693"/>
    <w:rsid w:val="64614490"/>
    <w:rsid w:val="648C2C75"/>
    <w:rsid w:val="64957E36"/>
    <w:rsid w:val="64992D87"/>
    <w:rsid w:val="64F04D65"/>
    <w:rsid w:val="64FF2CA8"/>
    <w:rsid w:val="6505D578"/>
    <w:rsid w:val="650F9AE8"/>
    <w:rsid w:val="6517581C"/>
    <w:rsid w:val="651BF34F"/>
    <w:rsid w:val="652542FA"/>
    <w:rsid w:val="653B1C79"/>
    <w:rsid w:val="65528FF2"/>
    <w:rsid w:val="656B6FC0"/>
    <w:rsid w:val="65BDBA57"/>
    <w:rsid w:val="65C7E652"/>
    <w:rsid w:val="65CFC243"/>
    <w:rsid w:val="65D38E0C"/>
    <w:rsid w:val="65DC041C"/>
    <w:rsid w:val="6645C07C"/>
    <w:rsid w:val="664B20B9"/>
    <w:rsid w:val="664BD55A"/>
    <w:rsid w:val="664C6F13"/>
    <w:rsid w:val="666958A1"/>
    <w:rsid w:val="6669E941"/>
    <w:rsid w:val="6677D783"/>
    <w:rsid w:val="66C2CE3D"/>
    <w:rsid w:val="66C62D79"/>
    <w:rsid w:val="66F09562"/>
    <w:rsid w:val="670C8076"/>
    <w:rsid w:val="67374F2E"/>
    <w:rsid w:val="673B9E29"/>
    <w:rsid w:val="674DE3AF"/>
    <w:rsid w:val="675AB6BC"/>
    <w:rsid w:val="677039A2"/>
    <w:rsid w:val="6774194D"/>
    <w:rsid w:val="677CE93D"/>
    <w:rsid w:val="677D5C9A"/>
    <w:rsid w:val="679031F2"/>
    <w:rsid w:val="67A63F6F"/>
    <w:rsid w:val="67A95C87"/>
    <w:rsid w:val="67B60FC6"/>
    <w:rsid w:val="67D4129B"/>
    <w:rsid w:val="67ECCCD2"/>
    <w:rsid w:val="6818147F"/>
    <w:rsid w:val="681CC9E0"/>
    <w:rsid w:val="68538227"/>
    <w:rsid w:val="685CA694"/>
    <w:rsid w:val="6866FE4B"/>
    <w:rsid w:val="68BDD906"/>
    <w:rsid w:val="68C6B797"/>
    <w:rsid w:val="68E8D82A"/>
    <w:rsid w:val="690255B8"/>
    <w:rsid w:val="691A61C9"/>
    <w:rsid w:val="691A61C9"/>
    <w:rsid w:val="6924293E"/>
    <w:rsid w:val="6966821F"/>
    <w:rsid w:val="6967889C"/>
    <w:rsid w:val="69CDD1B3"/>
    <w:rsid w:val="6A056F55"/>
    <w:rsid w:val="6A2242DE"/>
    <w:rsid w:val="6A35EBE8"/>
    <w:rsid w:val="6A3A74BF"/>
    <w:rsid w:val="6A5BDDA4"/>
    <w:rsid w:val="6A68FB41"/>
    <w:rsid w:val="6A9DBC88"/>
    <w:rsid w:val="6AB1A92F"/>
    <w:rsid w:val="6AF57D3D"/>
    <w:rsid w:val="6B2CC1DF"/>
    <w:rsid w:val="6B5F70DA"/>
    <w:rsid w:val="6B648277"/>
    <w:rsid w:val="6B648277"/>
    <w:rsid w:val="6B7D0D39"/>
    <w:rsid w:val="6B7DC17D"/>
    <w:rsid w:val="6B93ED9B"/>
    <w:rsid w:val="6B98EB01"/>
    <w:rsid w:val="6BB75E71"/>
    <w:rsid w:val="6BBBF97D"/>
    <w:rsid w:val="6C05CA93"/>
    <w:rsid w:val="6C23E135"/>
    <w:rsid w:val="6C332393"/>
    <w:rsid w:val="6C391F6F"/>
    <w:rsid w:val="6C54A982"/>
    <w:rsid w:val="6C5E2761"/>
    <w:rsid w:val="6C7286FB"/>
    <w:rsid w:val="6C882DFC"/>
    <w:rsid w:val="6CFD0876"/>
    <w:rsid w:val="6D663292"/>
    <w:rsid w:val="6D773C43"/>
    <w:rsid w:val="6DAD7E2A"/>
    <w:rsid w:val="6DC1C3FF"/>
    <w:rsid w:val="6DCF58FF"/>
    <w:rsid w:val="6E3FB158"/>
    <w:rsid w:val="6E4E9386"/>
    <w:rsid w:val="6E729878"/>
    <w:rsid w:val="6E7F0781"/>
    <w:rsid w:val="6E7F2B1C"/>
    <w:rsid w:val="6E9D7652"/>
    <w:rsid w:val="6EE8E9D1"/>
    <w:rsid w:val="6EEE8737"/>
    <w:rsid w:val="6F80B63E"/>
    <w:rsid w:val="6F9091AA"/>
    <w:rsid w:val="6FD1862C"/>
    <w:rsid w:val="6FD541ED"/>
    <w:rsid w:val="6FFFB22A"/>
    <w:rsid w:val="701909A1"/>
    <w:rsid w:val="702B10F1"/>
    <w:rsid w:val="702C8CCB"/>
    <w:rsid w:val="70528BF2"/>
    <w:rsid w:val="707E735F"/>
    <w:rsid w:val="708EDBE6"/>
    <w:rsid w:val="70A6B8E2"/>
    <w:rsid w:val="70B21312"/>
    <w:rsid w:val="70C66AAB"/>
    <w:rsid w:val="70CFC737"/>
    <w:rsid w:val="70FD30B8"/>
    <w:rsid w:val="7119FA35"/>
    <w:rsid w:val="717F8192"/>
    <w:rsid w:val="718B2551"/>
    <w:rsid w:val="71A6E16C"/>
    <w:rsid w:val="71BC571E"/>
    <w:rsid w:val="71D44E1B"/>
    <w:rsid w:val="71D46D53"/>
    <w:rsid w:val="7211371E"/>
    <w:rsid w:val="72132E50"/>
    <w:rsid w:val="721B0F07"/>
    <w:rsid w:val="723523BA"/>
    <w:rsid w:val="724A80B5"/>
    <w:rsid w:val="726FF562"/>
    <w:rsid w:val="729EB5B3"/>
    <w:rsid w:val="72AD8CFF"/>
    <w:rsid w:val="72C11915"/>
    <w:rsid w:val="73421E6E"/>
    <w:rsid w:val="739E7208"/>
    <w:rsid w:val="73A1E705"/>
    <w:rsid w:val="73B4C3ED"/>
    <w:rsid w:val="73B5D860"/>
    <w:rsid w:val="73EEBEAA"/>
    <w:rsid w:val="740F91A0"/>
    <w:rsid w:val="74226C3B"/>
    <w:rsid w:val="742E9200"/>
    <w:rsid w:val="7447C39B"/>
    <w:rsid w:val="747BEAB1"/>
    <w:rsid w:val="74972AB4"/>
    <w:rsid w:val="74A783F3"/>
    <w:rsid w:val="74BE2934"/>
    <w:rsid w:val="74FDA37D"/>
    <w:rsid w:val="7509B0B1"/>
    <w:rsid w:val="751330C0"/>
    <w:rsid w:val="751A5531"/>
    <w:rsid w:val="756D20BA"/>
    <w:rsid w:val="757E2180"/>
    <w:rsid w:val="757E9999"/>
    <w:rsid w:val="758CC7B6"/>
    <w:rsid w:val="759A5E4F"/>
    <w:rsid w:val="759AACB3"/>
    <w:rsid w:val="75A079DC"/>
    <w:rsid w:val="75CA8783"/>
    <w:rsid w:val="75D65AA8"/>
    <w:rsid w:val="75D6F20F"/>
    <w:rsid w:val="75F98943"/>
    <w:rsid w:val="761DC5FA"/>
    <w:rsid w:val="76239F1B"/>
    <w:rsid w:val="762C6C69"/>
    <w:rsid w:val="7636C6C8"/>
    <w:rsid w:val="7656F071"/>
    <w:rsid w:val="76C376AD"/>
    <w:rsid w:val="76C659E0"/>
    <w:rsid w:val="76EE0C46"/>
    <w:rsid w:val="76FEDB36"/>
    <w:rsid w:val="77046582"/>
    <w:rsid w:val="7710AB73"/>
    <w:rsid w:val="773091D0"/>
    <w:rsid w:val="775BBEF1"/>
    <w:rsid w:val="777132DA"/>
    <w:rsid w:val="78265548"/>
    <w:rsid w:val="782FD4CC"/>
    <w:rsid w:val="7840558D"/>
    <w:rsid w:val="78407132"/>
    <w:rsid w:val="78593F6E"/>
    <w:rsid w:val="785DA51C"/>
    <w:rsid w:val="7870588A"/>
    <w:rsid w:val="788B9131"/>
    <w:rsid w:val="78AD9F29"/>
    <w:rsid w:val="78D56412"/>
    <w:rsid w:val="78F015E2"/>
    <w:rsid w:val="79127720"/>
    <w:rsid w:val="791418A7"/>
    <w:rsid w:val="7934D296"/>
    <w:rsid w:val="794151E4"/>
    <w:rsid w:val="7971B55C"/>
    <w:rsid w:val="7994E016"/>
    <w:rsid w:val="79ABBA6F"/>
    <w:rsid w:val="79B1C8F3"/>
    <w:rsid w:val="7ADD204F"/>
    <w:rsid w:val="7AF1D602"/>
    <w:rsid w:val="7AF61700"/>
    <w:rsid w:val="7AFA9910"/>
    <w:rsid w:val="7AFC7920"/>
    <w:rsid w:val="7B4C12D2"/>
    <w:rsid w:val="7B56FE11"/>
    <w:rsid w:val="7B6D56FF"/>
    <w:rsid w:val="7BAAE066"/>
    <w:rsid w:val="7BD9FC95"/>
    <w:rsid w:val="7C123960"/>
    <w:rsid w:val="7C17CB73"/>
    <w:rsid w:val="7C1B1539"/>
    <w:rsid w:val="7C2C89A4"/>
    <w:rsid w:val="7C4FF741"/>
    <w:rsid w:val="7CF5172D"/>
    <w:rsid w:val="7CF99151"/>
    <w:rsid w:val="7CFCE843"/>
    <w:rsid w:val="7CFD1943"/>
    <w:rsid w:val="7D096756"/>
    <w:rsid w:val="7D3E8276"/>
    <w:rsid w:val="7D47CE6B"/>
    <w:rsid w:val="7D53ABF1"/>
    <w:rsid w:val="7D832C3A"/>
    <w:rsid w:val="7DAA27E7"/>
    <w:rsid w:val="7DAA57B7"/>
    <w:rsid w:val="7DD97437"/>
    <w:rsid w:val="7DDB382F"/>
    <w:rsid w:val="7DE45EB6"/>
    <w:rsid w:val="7DF6ABE0"/>
    <w:rsid w:val="7E0B57FD"/>
    <w:rsid w:val="7E1D41CC"/>
    <w:rsid w:val="7E431A06"/>
    <w:rsid w:val="7E5638FD"/>
    <w:rsid w:val="7E732D9A"/>
    <w:rsid w:val="7E7BBA22"/>
    <w:rsid w:val="7EAEAB02"/>
    <w:rsid w:val="7EB16212"/>
    <w:rsid w:val="7EE25B5F"/>
    <w:rsid w:val="7EFAD82A"/>
    <w:rsid w:val="7F1C5236"/>
    <w:rsid w:val="7F1C5236"/>
    <w:rsid w:val="7F2483FD"/>
    <w:rsid w:val="7F3255BC"/>
    <w:rsid w:val="7F3914EA"/>
    <w:rsid w:val="7F5ED31C"/>
    <w:rsid w:val="7F747240"/>
    <w:rsid w:val="7F8E6AA6"/>
    <w:rsid w:val="7FA31509"/>
    <w:rsid w:val="7FBBA311"/>
    <w:rsid w:val="7FE15FCA"/>
    <w:rsid w:val="7FEEB80D"/>
    <w:rsid w:val="7FF75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A80D4"/>
  <w15:chartTrackingRefBased/>
  <w15:docId w15:val="{7BB43213-A5E4-4070-858E-E94341980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407B060"/>
    <w:rPr>
      <w:noProof w:val="0"/>
    </w:rPr>
  </w:style>
  <w:style w:type="paragraph" w:styleId="Heading1">
    <w:uiPriority w:val="9"/>
    <w:name w:val="heading 1"/>
    <w:basedOn w:val="Normal"/>
    <w:next w:val="Normal"/>
    <w:link w:val="Heading1Char"/>
    <w:qFormat/>
    <w:rsid w:val="6407B06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semiHidden/>
    <w:unhideWhenUsed/>
    <w:link w:val="Heading2Char"/>
    <w:qFormat/>
    <w:rsid w:val="6407B06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semiHidden/>
    <w:unhideWhenUsed/>
    <w:link w:val="Heading3Char"/>
    <w:qFormat/>
    <w:rsid w:val="6407B06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semiHidden/>
    <w:unhideWhenUsed/>
    <w:link w:val="Heading4Char"/>
    <w:qFormat/>
    <w:rsid w:val="6407B060"/>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semiHidden/>
    <w:unhideWhenUsed/>
    <w:link w:val="Heading5Char"/>
    <w:qFormat/>
    <w:rsid w:val="6407B060"/>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semiHidden/>
    <w:unhideWhenUsed/>
    <w:link w:val="Heading6Char"/>
    <w:qFormat/>
    <w:rsid w:val="6407B060"/>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semiHidden/>
    <w:unhideWhenUsed/>
    <w:link w:val="Heading7Char"/>
    <w:qFormat/>
    <w:rsid w:val="6407B060"/>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semiHidden/>
    <w:unhideWhenUsed/>
    <w:link w:val="Heading8Char"/>
    <w:qFormat/>
    <w:rsid w:val="6407B060"/>
    <w:rPr>
      <w:rFonts w:eastAsia=""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semiHidden/>
    <w:unhideWhenUsed/>
    <w:link w:val="Heading9Char"/>
    <w:qFormat/>
    <w:rsid w:val="6407B060"/>
    <w:rPr>
      <w:rFonts w:eastAsia="" w:cs="" w:eastAsiaTheme="majorEastAsia" w:cstheme="majorBidi"/>
      <w:color w:val="272727"/>
    </w:rPr>
    <w:pPr>
      <w:keepNext w:val="1"/>
      <w:keepLines w:val="1"/>
      <w:spacing w:after="0"/>
      <w:outlineLvl w:val="8"/>
    </w:p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E7E8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E7E8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E7E8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E7E8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E7E8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E7E8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E7E8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E7E8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E7E8F"/>
    <w:rPr>
      <w:rFonts w:eastAsiaTheme="majorEastAsia" w:cstheme="majorBidi"/>
      <w:color w:val="272727" w:themeColor="text1" w:themeTint="D8"/>
    </w:rPr>
  </w:style>
  <w:style w:type="paragraph" w:styleId="Title">
    <w:uiPriority w:val="10"/>
    <w:name w:val="Title"/>
    <w:basedOn w:val="Normal"/>
    <w:next w:val="Normal"/>
    <w:link w:val="TitleChar"/>
    <w:qFormat/>
    <w:rsid w:val="6407B06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1">
    <w:name w:val="Title Char"/>
    <w:basedOn w:val="DefaultParagraphFont"/>
    <w:link w:val="Title"/>
    <w:uiPriority w:val="10"/>
    <w:rsid w:val="008E7E8F"/>
    <w:rPr>
      <w:rFonts w:asciiTheme="majorHAnsi" w:hAnsiTheme="majorHAnsi" w:eastAsiaTheme="majorEastAsia" w:cstheme="majorBidi"/>
      <w:spacing w:val="-10"/>
      <w:kern w:val="28"/>
      <w:sz w:val="56"/>
      <w:szCs w:val="56"/>
    </w:rPr>
  </w:style>
  <w:style w:type="paragraph" w:styleId="Subtitle">
    <w:uiPriority w:val="11"/>
    <w:name w:val="Subtitle"/>
    <w:basedOn w:val="Normal"/>
    <w:next w:val="Normal"/>
    <w:link w:val="SubtitleChar"/>
    <w:qFormat/>
    <w:rsid w:val="6407B060"/>
    <w:rPr>
      <w:rFonts w:eastAsia="" w:cs="" w:eastAsiaTheme="majorEastAsia" w:cstheme="majorBidi"/>
      <w:color w:val="595959" w:themeColor="text1" w:themeTint="A6" w:themeShade="FF"/>
      <w:sz w:val="28"/>
      <w:szCs w:val="28"/>
    </w:rPr>
  </w:style>
  <w:style w:type="character" w:styleId="SubtitleChar" w:customStyle="1">
    <w:name w:val="Subtitle Char"/>
    <w:basedOn w:val="DefaultParagraphFont"/>
    <w:link w:val="Subtitle"/>
    <w:uiPriority w:val="11"/>
    <w:rsid w:val="008E7E8F"/>
    <w:rPr>
      <w:rFonts w:eastAsiaTheme="majorEastAsia" w:cstheme="majorBidi"/>
      <w:color w:val="595959" w:themeColor="text1" w:themeTint="A6"/>
      <w:spacing w:val="15"/>
      <w:sz w:val="28"/>
      <w:szCs w:val="28"/>
    </w:rPr>
  </w:style>
  <w:style w:type="paragraph" w:styleId="Quote">
    <w:uiPriority w:val="29"/>
    <w:name w:val="Quote"/>
    <w:basedOn w:val="Normal"/>
    <w:next w:val="Normal"/>
    <w:link w:val="QuoteChar"/>
    <w:qFormat/>
    <w:rsid w:val="6407B060"/>
    <w:rPr>
      <w:i w:val="1"/>
      <w:iCs w:val="1"/>
      <w:color w:val="404040" w:themeColor="text1" w:themeTint="BF" w:themeShade="FF"/>
    </w:rPr>
    <w:pPr>
      <w:spacing w:before="160"/>
      <w:jc w:val="center"/>
    </w:pPr>
  </w:style>
  <w:style w:type="character" w:styleId="QuoteChar" w:customStyle="1">
    <w:name w:val="Quote Char"/>
    <w:basedOn w:val="DefaultParagraphFont"/>
    <w:link w:val="Quote"/>
    <w:uiPriority w:val="29"/>
    <w:rsid w:val="008E7E8F"/>
    <w:rPr>
      <w:i/>
      <w:iCs/>
      <w:color w:val="404040" w:themeColor="text1" w:themeTint="BF"/>
    </w:rPr>
  </w:style>
  <w:style w:type="paragraph" w:styleId="ListParagraph">
    <w:uiPriority w:val="34"/>
    <w:name w:val="List Paragraph"/>
    <w:basedOn w:val="Normal"/>
    <w:qFormat/>
    <w:rsid w:val="6407B060"/>
    <w:pPr>
      <w:spacing/>
      <w:ind w:left="720"/>
      <w:contextualSpacing/>
    </w:pPr>
  </w:style>
  <w:style w:type="character" w:styleId="IntenseEmphasis">
    <w:name w:val="Intense Emphasis"/>
    <w:basedOn w:val="DefaultParagraphFont"/>
    <w:uiPriority w:val="21"/>
    <w:qFormat/>
    <w:rsid w:val="008E7E8F"/>
    <w:rPr>
      <w:i/>
      <w:iCs/>
      <w:color w:val="0F4761" w:themeColor="accent1" w:themeShade="BF"/>
    </w:rPr>
  </w:style>
  <w:style w:type="paragraph" w:styleId="IntenseQuote">
    <w:uiPriority w:val="30"/>
    <w:name w:val="Intense Quote"/>
    <w:basedOn w:val="Normal"/>
    <w:next w:val="Normal"/>
    <w:link w:val="IntenseQuoteChar"/>
    <w:qFormat/>
    <w:rsid w:val="6407B06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QuoteChar" w:customStyle="1">
    <w:name w:val="Intense Quote Char"/>
    <w:basedOn w:val="DefaultParagraphFont"/>
    <w:link w:val="IntenseQuote"/>
    <w:uiPriority w:val="30"/>
    <w:rsid w:val="008E7E8F"/>
    <w:rPr>
      <w:i/>
      <w:iCs/>
      <w:color w:val="0F4761" w:themeColor="accent1" w:themeShade="BF"/>
    </w:rPr>
  </w:style>
  <w:style w:type="character" w:styleId="IntenseReference">
    <w:name w:val="Intense Reference"/>
    <w:basedOn w:val="DefaultParagraphFont"/>
    <w:uiPriority w:val="32"/>
    <w:qFormat/>
    <w:rsid w:val="008E7E8F"/>
    <w:rPr>
      <w:b/>
      <w:bCs/>
      <w:smallCaps/>
      <w:color w:val="0F4761" w:themeColor="accent1" w:themeShade="BF"/>
      <w:spacing w:val="5"/>
    </w:rPr>
  </w:style>
  <w:style w:type="paragraph" w:styleId="TOCHeading">
    <w:name w:val="TOC Heading"/>
    <w:basedOn w:val="Heading1"/>
    <w:next w:val="Normal"/>
    <w:uiPriority w:val="39"/>
    <w:unhideWhenUsed/>
    <w:qFormat/>
    <w:rsid w:val="00D34DBC"/>
    <w:pPr>
      <w:spacing w:before="240" w:after="0"/>
      <w:outlineLvl w:val="9"/>
    </w:pPr>
    <w:rPr>
      <w:kern w:val="0"/>
      <w:sz w:val="32"/>
      <w:szCs w:val="32"/>
      <w:lang w:eastAsia="en-GB"/>
      <w14:ligatures w14:val="none"/>
    </w:rPr>
  </w:style>
  <w:style w:type="paragraph" w:styleId="TOC1">
    <w:uiPriority w:val="39"/>
    <w:name w:val="toc 1"/>
    <w:basedOn w:val="Normal"/>
    <w:next w:val="Normal"/>
    <w:unhideWhenUsed/>
    <w:rsid w:val="6407B060"/>
    <w:pPr>
      <w:spacing w:after="100"/>
    </w:pPr>
  </w:style>
  <w:style w:type="character" w:styleId="Hyperlink">
    <w:name w:val="Hyperlink"/>
    <w:basedOn w:val="DefaultParagraphFont"/>
    <w:uiPriority w:val="99"/>
    <w:unhideWhenUsed/>
    <w:rsid w:val="00D34DBC"/>
    <w:rPr>
      <w:color w:val="467886" w:themeColor="hyperlink"/>
      <w:u w:val="single"/>
    </w:rPr>
  </w:style>
  <w:style w:type="paragraph" w:styleId="Header">
    <w:uiPriority w:val="99"/>
    <w:name w:val="header"/>
    <w:basedOn w:val="Normal"/>
    <w:unhideWhenUsed/>
    <w:link w:val="HeaderChar"/>
    <w:rsid w:val="6407B060"/>
    <w:pPr>
      <w:tabs>
        <w:tab w:val="center" w:leader="none" w:pos="4513"/>
        <w:tab w:val="right" w:leader="none" w:pos="9026"/>
      </w:tabs>
      <w:spacing w:after="0" w:line="240" w:lineRule="auto"/>
    </w:pPr>
  </w:style>
  <w:style w:type="character" w:styleId="HeaderChar" w:customStyle="1">
    <w:name w:val="Header Char"/>
    <w:basedOn w:val="DefaultParagraphFont"/>
    <w:link w:val="Header"/>
    <w:uiPriority w:val="99"/>
    <w:rsid w:val="00942790"/>
  </w:style>
  <w:style w:type="paragraph" w:styleId="Footer">
    <w:uiPriority w:val="99"/>
    <w:name w:val="footer"/>
    <w:basedOn w:val="Normal"/>
    <w:unhideWhenUsed/>
    <w:link w:val="FooterChar"/>
    <w:rsid w:val="6407B060"/>
    <w:pPr>
      <w:tabs>
        <w:tab w:val="center" w:leader="none" w:pos="4513"/>
        <w:tab w:val="right" w:leader="none" w:pos="9026"/>
      </w:tabs>
      <w:spacing w:after="0" w:line="240" w:lineRule="auto"/>
    </w:pPr>
  </w:style>
  <w:style w:type="character" w:styleId="FooterChar" w:customStyle="1">
    <w:name w:val="Footer Char"/>
    <w:basedOn w:val="DefaultParagraphFont"/>
    <w:link w:val="Footer"/>
    <w:uiPriority w:val="99"/>
    <w:rsid w:val="00942790"/>
  </w:style>
  <w:style w:type="paragraph" w:styleId="TOC2">
    <w:uiPriority w:val="39"/>
    <w:name w:val="toc 2"/>
    <w:basedOn w:val="Normal"/>
    <w:next w:val="Normal"/>
    <w:unhideWhenUsed/>
    <w:rsid w:val="6407B060"/>
    <w:pPr>
      <w:spacing w:after="100"/>
      <w:ind w:left="220"/>
    </w:pPr>
  </w:style>
  <w:style w:type="paragraph" w:styleId="TOC3">
    <w:uiPriority w:val="39"/>
    <w:name w:val="toc 3"/>
    <w:basedOn w:val="Normal"/>
    <w:next w:val="Normal"/>
    <w:unhideWhenUsed/>
    <w:rsid w:val="6407B06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image" Target="/media/image2.png" Id="rId505341496" /><Relationship Type="http://schemas.openxmlformats.org/officeDocument/2006/relationships/image" Target="/media/image3.png" Id="rId1631716865" /><Relationship Type="http://schemas.openxmlformats.org/officeDocument/2006/relationships/image" Target="/media/image4.png" Id="rId1695946955" /><Relationship Type="http://schemas.openxmlformats.org/officeDocument/2006/relationships/image" Target="/media/image5.png" Id="rId926995204" /><Relationship Type="http://schemas.openxmlformats.org/officeDocument/2006/relationships/image" Target="/media/image6.png" Id="rId1684631426" /><Relationship Type="http://schemas.openxmlformats.org/officeDocument/2006/relationships/image" Target="/media/image7.png" Id="rId1340560631" /><Relationship Type="http://schemas.openxmlformats.org/officeDocument/2006/relationships/image" Target="/media/image8.png" Id="rId1278406965" /><Relationship Type="http://schemas.openxmlformats.org/officeDocument/2006/relationships/image" Target="/media/image9.png" Id="rId1088743685" /><Relationship Type="http://schemas.openxmlformats.org/officeDocument/2006/relationships/image" Target="/media/imagea.png" Id="rId284194898" /><Relationship Type="http://schemas.openxmlformats.org/officeDocument/2006/relationships/image" Target="/media/imageb.png" Id="rId1276973314" /><Relationship Type="http://schemas.openxmlformats.org/officeDocument/2006/relationships/image" Target="/media/imagec.png" Id="rId1302760898" /><Relationship Type="http://schemas.openxmlformats.org/officeDocument/2006/relationships/image" Target="/media/imaged.png" Id="rId1220300785" /><Relationship Type="http://schemas.openxmlformats.org/officeDocument/2006/relationships/image" Target="/media/imagee.png" Id="rId1652007266" /><Relationship Type="http://schemas.openxmlformats.org/officeDocument/2006/relationships/image" Target="/media/imagef.png" Id="rId999684983" /><Relationship Type="http://schemas.openxmlformats.org/officeDocument/2006/relationships/image" Target="/media/image10.png" Id="rId37459547" /><Relationship Type="http://schemas.openxmlformats.org/officeDocument/2006/relationships/image" Target="/media/image11.png" Id="rId434119413" /><Relationship Type="http://schemas.openxmlformats.org/officeDocument/2006/relationships/image" Target="/media/image12.png" Id="rId1988810350" /><Relationship Type="http://schemas.openxmlformats.org/officeDocument/2006/relationships/image" Target="/media/image13.png" Id="rId708059086" /><Relationship Type="http://schemas.openxmlformats.org/officeDocument/2006/relationships/image" Target="/media/image14.png" Id="rId2073361132" /><Relationship Type="http://schemas.openxmlformats.org/officeDocument/2006/relationships/image" Target="/media/image15.png" Id="rId1156961107" /><Relationship Type="http://schemas.openxmlformats.org/officeDocument/2006/relationships/image" Target="/media/image16.png" Id="rId816094468" /><Relationship Type="http://schemas.openxmlformats.org/officeDocument/2006/relationships/image" Target="/media/image17.png" Id="rId390038308" /><Relationship Type="http://schemas.openxmlformats.org/officeDocument/2006/relationships/image" Target="/media/image18.png" Id="rId2058321493" /><Relationship Type="http://schemas.openxmlformats.org/officeDocument/2006/relationships/image" Target="/media/image19.png" Id="rId1194054560" /><Relationship Type="http://schemas.openxmlformats.org/officeDocument/2006/relationships/image" Target="/media/image1a.png" Id="rId592775907" /><Relationship Type="http://schemas.openxmlformats.org/officeDocument/2006/relationships/image" Target="/media/image1b.png" Id="rId1317911812" /><Relationship Type="http://schemas.openxmlformats.org/officeDocument/2006/relationships/image" Target="/media/image1c.png" Id="rId405601668" /><Relationship Type="http://schemas.openxmlformats.org/officeDocument/2006/relationships/image" Target="/media/image1d.png" Id="rId627522011" /><Relationship Type="http://schemas.openxmlformats.org/officeDocument/2006/relationships/image" Target="/media/image1e.png" Id="rId799358305" /><Relationship Type="http://schemas.openxmlformats.org/officeDocument/2006/relationships/hyperlink" Target="https://doi.org/10.5430/ijba.v12n2p88" TargetMode="External" Id="R9ecfccaf16744fa2" /><Relationship Type="http://schemas.openxmlformats.org/officeDocument/2006/relationships/hyperlink" Target="https://doi.org/10.22555/ijelcs.v10i2.1432" TargetMode="External" Id="R86c43f23482d42cb" /><Relationship Type="http://schemas.openxmlformats.org/officeDocument/2006/relationships/hyperlink" Target="https://doi.org/10.3390/economies10070175" TargetMode="External" Id="R3f43a68786374c8e" /><Relationship Type="http://schemas.openxmlformats.org/officeDocument/2006/relationships/hyperlink" Target="https://doi.org/10.22108/amf.2025.141549.1886" TargetMode="External" Id="R9f90544c208d4479" /><Relationship Type="http://schemas.openxmlformats.org/officeDocument/2006/relationships/hyperlink" Target="https://doi.org/10.37945/cbr.2024.04.03" TargetMode="External" Id="R4170b1409e7b4227" /><Relationship Type="http://schemas.openxmlformats.org/officeDocument/2006/relationships/hyperlink" Target="https://doi.org/10.1016/j.jbusres.2019.09.025" TargetMode="External" Id="Re56709ba9d35473a" /><Relationship Type="http://schemas.openxmlformats.org/officeDocument/2006/relationships/hyperlink" Target="https://doi.org/10.3390/en16010205" TargetMode="External" Id="Re923b9768d684e42" /><Relationship Type="http://schemas.openxmlformats.org/officeDocument/2006/relationships/hyperlink" Target="https://doi.org/10.1109/JPROC.2019.2922543" TargetMode="External" Id="R5e4208ff09c641eb" /><Relationship Type="http://schemas.openxmlformats.org/officeDocument/2006/relationships/hyperlink" Target="https://finance.yahoo.com/news/byd-shows-king-ev-market-135133743.html" TargetMode="External" Id="R5924f1218f664bf2" /><Relationship Type="http://schemas.openxmlformats.org/officeDocument/2006/relationships/hyperlink" Target="https://doi.org/10.1007/s40847-023-00281-w" TargetMode="External" Id="R5d91feb234c244c9" /><Relationship Type="http://schemas.openxmlformats.org/officeDocument/2006/relationships/hyperlink" Target="https://www.macrotrends.net/stocks/charts/VWAGY/volkswagen-ag/eps-earnings-per-share-diluted?utm_source=chatgpt.com" TargetMode="External" Id="R69af23c386d947c4" /><Relationship Type="http://schemas.openxmlformats.org/officeDocument/2006/relationships/hyperlink" Target="https://doi.org/10.56578/jafas100204" TargetMode="External" Id="Rf4bb87a608914a2f" /><Relationship Type="http://schemas.openxmlformats.org/officeDocument/2006/relationships/hyperlink" Target="https://simplywall.st/stocks/de/automobiles/etr-vow3/volkswagen-shares/past" TargetMode="External" Id="R021e801f42fa4334" /><Relationship Type="http://schemas.openxmlformats.org/officeDocument/2006/relationships/hyperlink" Target="https://doi.org/10.25944/znmwse.2020.02.5567" TargetMode="External" Id="R5d4756494e0943a1" /><Relationship Type="http://schemas.openxmlformats.org/officeDocument/2006/relationships/hyperlink" Target="https://doi.org/10.15240/tul/001/2023-2-007" TargetMode="External" Id="R1db68b6a211e4b6d" /><Relationship Type="http://schemas.openxmlformats.org/officeDocument/2006/relationships/hyperlink" Target="https://www.volkswagen-group.com/en/financial-reports-18134" TargetMode="External" Id="R652e360fc9ec4662" /><Relationship Type="http://schemas.openxmlformats.org/officeDocument/2006/relationships/hyperlink" Target="https://finance.yahoo.com/news/volkswagen-targets-60b-cost-cuts-121028862.html" TargetMode="External" Id="Ra153f8707f7a4e85" /><Relationship Type="http://schemas.openxmlformats.org/officeDocument/2006/relationships/hyperlink" Target="https://doi.org/10.1108/MSCRA-02-2023-0009" TargetMode="External" Id="R5a773ba2e0bc4c23" /><Relationship Type="http://schemas.openxmlformats.org/officeDocument/2006/relationships/image" Target="/media/image1f.png" Id="rId1844272403" /><Relationship Type="http://schemas.openxmlformats.org/officeDocument/2006/relationships/image" Target="/media/image20.png" Id="rId224493209" /><Relationship Type="http://schemas.openxmlformats.org/officeDocument/2006/relationships/image" Target="/media/image21.png" Id="rId112335665" /><Relationship Type="http://schemas.openxmlformats.org/officeDocument/2006/relationships/image" Target="/media/image22.png" Id="rId787108113" /><Relationship Type="http://schemas.openxmlformats.org/officeDocument/2006/relationships/image" Target="/media/image23.png" Id="rId50694205" /><Relationship Type="http://schemas.openxmlformats.org/officeDocument/2006/relationships/image" Target="/media/image24.png" Id="rId1848592277" /><Relationship Type="http://schemas.openxmlformats.org/officeDocument/2006/relationships/image" Target="/media/image25.png" Id="rId1523465692" /><Relationship Type="http://schemas.openxmlformats.org/officeDocument/2006/relationships/image" Target="/media/image26.png" Id="rId310023641" /><Relationship Type="http://schemas.openxmlformats.org/officeDocument/2006/relationships/image" Target="/media/image27.png" Id="rId491872761" /><Relationship Type="http://schemas.openxmlformats.org/officeDocument/2006/relationships/image" Target="/media/image28.png" Id="rId228748202" /><Relationship Type="http://schemas.openxmlformats.org/officeDocument/2006/relationships/image" Target="/media/image29.png" Id="rId940913651" /><Relationship Type="http://schemas.openxmlformats.org/officeDocument/2006/relationships/image" Target="/media/image2a.png" Id="rId557412498" /><Relationship Type="http://schemas.openxmlformats.org/officeDocument/2006/relationships/image" Target="/media/image2b.png" Id="rId1726125638" /><Relationship Type="http://schemas.openxmlformats.org/officeDocument/2006/relationships/image" Target="/media/image2c.png" Id="rId361883053" /><Relationship Type="http://schemas.openxmlformats.org/officeDocument/2006/relationships/image" Target="/media/image2d.png" Id="rId2058905125" /><Relationship Type="http://schemas.openxmlformats.org/officeDocument/2006/relationships/image" Target="/media/image2e.png" Id="rId473696777" /><Relationship Type="http://schemas.openxmlformats.org/officeDocument/2006/relationships/image" Target="/media/image2f.png" Id="rId2105034955" /><Relationship Type="http://schemas.openxmlformats.org/officeDocument/2006/relationships/image" Target="/media/image30.png" Id="rId291834492" /><Relationship Type="http://schemas.openxmlformats.org/officeDocument/2006/relationships/image" Target="/media/image31.png" Id="rId1838145845" /><Relationship Type="http://schemas.openxmlformats.org/officeDocument/2006/relationships/image" Target="/media/image32.png" Id="rId1890194762" /><Relationship Type="http://schemas.openxmlformats.org/officeDocument/2006/relationships/image" Target="/media/image33.png" Id="rId1595635994" /><Relationship Type="http://schemas.openxmlformats.org/officeDocument/2006/relationships/image" Target="/media/image34.png" Id="rId2026624710" /><Relationship Type="http://schemas.openxmlformats.org/officeDocument/2006/relationships/image" Target="/media/image35.png" Id="rId110341717" /><Relationship Type="http://schemas.openxmlformats.org/officeDocument/2006/relationships/image" Target="/media/image36.png" Id="rId1577783554" /><Relationship Type="http://schemas.openxmlformats.org/officeDocument/2006/relationships/image" Target="/media/image37.png" Id="rId397145891" /><Relationship Type="http://schemas.openxmlformats.org/officeDocument/2006/relationships/image" Target="/media/image38.png" Id="rId1729010108" /><Relationship Type="http://schemas.openxmlformats.org/officeDocument/2006/relationships/image" Target="/media/image39.png" Id="rId38397306" /><Relationship Type="http://schemas.openxmlformats.org/officeDocument/2006/relationships/image" Target="/media/image3a.png" Id="rId1765607582" /><Relationship Type="http://schemas.openxmlformats.org/officeDocument/2006/relationships/image" Target="/media/image3b.png" Id="rId501343847" /><Relationship Type="http://schemas.openxmlformats.org/officeDocument/2006/relationships/image" Target="/media/image3c.png" Id="rId1875808854" /><Relationship Type="http://schemas.openxmlformats.org/officeDocument/2006/relationships/image" Target="/media/image3d.png" Id="rId2034824020" /><Relationship Type="http://schemas.openxmlformats.org/officeDocument/2006/relationships/image" Target="/media/image3e.png" Id="rId1817598344" /><Relationship Type="http://schemas.microsoft.com/office/2020/10/relationships/intelligence" Target="intelligence2.xml" Id="Rb1b9e685fa4d4656" /><Relationship Type="http://schemas.openxmlformats.org/officeDocument/2006/relationships/numbering" Target="numbering.xml" Id="R5e94c33d75d441f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6f9060558ad798a762e2a59379afbae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22598a9818610187acb86b77abb6d8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80F81E8-D711-46A9-AE15-661AAE2EF557}">
  <ds:schemaRefs>
    <ds:schemaRef ds:uri="http://schemas.openxmlformats.org/officeDocument/2006/bibliography"/>
  </ds:schemaRefs>
</ds:datastoreItem>
</file>

<file path=customXml/itemProps2.xml><?xml version="1.0" encoding="utf-8"?>
<ds:datastoreItem xmlns:ds="http://schemas.openxmlformats.org/officeDocument/2006/customXml" ds:itemID="{B8EAB04E-541E-4E5D-93E1-669F11EE40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105628-F3E9-4EA4-A514-DBC38383D86B}">
  <ds:schemaRefs>
    <ds:schemaRef ds:uri="http://schemas.microsoft.com/sharepoint/v3/contenttype/forms"/>
  </ds:schemaRefs>
</ds:datastoreItem>
</file>

<file path=customXml/itemProps4.xml><?xml version="1.0" encoding="utf-8"?>
<ds:datastoreItem xmlns:ds="http://schemas.openxmlformats.org/officeDocument/2006/customXml" ds:itemID="{2E4C0188-0587-4964-AFCC-1DE7FC362B82}">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Carmen Prodan (2223977)</dc:creator>
  <keywords/>
  <dc:description/>
  <lastModifiedBy>Carmen Prodan (2223977)</lastModifiedBy>
  <revision>3</revision>
  <dcterms:created xsi:type="dcterms:W3CDTF">2026-02-17T16:27:00.0000000Z</dcterms:created>
  <dcterms:modified xsi:type="dcterms:W3CDTF">2026-03-17T11:17:34.4855845Z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667443e5-6698-40f4-8319-8593ff88b70e</vt:lpwstr>
  </property>
  <property fmtid="{D5CDD505-2E9C-101B-9397-08002B2CF9AE}" pid="3" name="ContentTypeId">
    <vt:lpwstr>0x010100A20804DBFC42F64693D899720BA9B0FE</vt:lpwstr>
  </property>
</Properties>
</file>