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9631C" w14:textId="1B526EB3" w:rsidR="00142181" w:rsidRDefault="00142181" w:rsidP="00142181">
      <w:pPr>
        <w:pStyle w:val="Heading1"/>
        <w:spacing w:line="360" w:lineRule="auto"/>
        <w:jc w:val="center"/>
      </w:pPr>
      <w:r>
        <w:t>Chapter 4 Themes Example 1</w:t>
      </w:r>
    </w:p>
    <w:p w14:paraId="3A2291F2" w14:textId="77777777" w:rsidR="00142181" w:rsidRDefault="00142181" w:rsidP="00142181">
      <w:pPr>
        <w:spacing w:line="360" w:lineRule="auto"/>
        <w:jc w:val="both"/>
      </w:pPr>
    </w:p>
    <w:p w14:paraId="5F1E999C" w14:textId="77777777" w:rsidR="00142181" w:rsidRDefault="00142181" w:rsidP="00142181">
      <w:pPr>
        <w:spacing w:line="360" w:lineRule="auto"/>
        <w:jc w:val="both"/>
      </w:pPr>
      <w:r w:rsidRPr="00142181">
        <w:rPr>
          <w:b/>
          <w:bCs/>
        </w:rPr>
        <w:t>4.1 – Introduction</w:t>
      </w:r>
    </w:p>
    <w:p w14:paraId="54530059" w14:textId="6AD09630" w:rsidR="00142181" w:rsidRPr="00142181" w:rsidRDefault="00142181" w:rsidP="00142181">
      <w:pPr>
        <w:spacing w:line="360" w:lineRule="auto"/>
        <w:jc w:val="both"/>
      </w:pPr>
      <w:r w:rsidRPr="00142181">
        <w:t>This chapter presents the key findings from the thematic analysis of secondary literature focused on young people’s access to mental health services in the UK. The findings are structured around three core themes identified during data coding: digital inequalities, stigma and social attitudes, and service availability and accessibility. Each theme is analysed critically and supported with examples, policies, and theoretical frameworks. The chapter demonstrates how these themes relate to the overarching research question on reducing access barriers and promoting mental health equity among youth.</w:t>
      </w:r>
    </w:p>
    <w:p w14:paraId="43CD1815" w14:textId="77777777" w:rsidR="00142181" w:rsidRDefault="00142181" w:rsidP="00142181">
      <w:pPr>
        <w:spacing w:line="360" w:lineRule="auto"/>
        <w:jc w:val="both"/>
      </w:pPr>
      <w:r w:rsidRPr="00142181">
        <w:rPr>
          <w:b/>
          <w:bCs/>
        </w:rPr>
        <w:t>4.2 – Thematic Analysis</w:t>
      </w:r>
    </w:p>
    <w:p w14:paraId="0F4136B1" w14:textId="4719CCA8" w:rsidR="00142181" w:rsidRPr="00142181" w:rsidRDefault="00142181" w:rsidP="00142181">
      <w:pPr>
        <w:spacing w:line="360" w:lineRule="auto"/>
        <w:jc w:val="both"/>
      </w:pPr>
      <w:r w:rsidRPr="00142181">
        <w:t>Thematic analysis is a method for identifying, analysing, and reporting patterns (themes) within data (Braun &amp; Clarke, 2006). In this study, thematic analysis was applied to systematically review and synthesise findings from academic literature and policy documents. Following initial data familiarisation, recurring codes such as "digital exclusion," "service delays," and "mental health stigma" were highlighted across the results summary table (Appendix A). These codes were grouped into overarching themes. The themes are based on repeated concepts, relevance to the research aim, and the frequency of appearance in credible, peer-reviewed sources. The process ensures the findings are analytically robust and grounded in evidence.</w:t>
      </w:r>
    </w:p>
    <w:p w14:paraId="53DBEE67" w14:textId="77777777" w:rsidR="00142181" w:rsidRPr="00142181" w:rsidRDefault="00142181" w:rsidP="00142181">
      <w:pPr>
        <w:spacing w:line="360" w:lineRule="auto"/>
        <w:jc w:val="both"/>
      </w:pPr>
      <w:r w:rsidRPr="00142181">
        <w:rPr>
          <w:b/>
          <w:bCs/>
        </w:rPr>
        <w:t>4.3 – Theme</w:t>
      </w:r>
      <w:r w:rsidRPr="00142181">
        <w:rPr>
          <w:rFonts w:ascii="Arial" w:hAnsi="Arial" w:cs="Arial"/>
          <w:b/>
          <w:bCs/>
        </w:rPr>
        <w:t> </w:t>
      </w:r>
      <w:r w:rsidRPr="00142181">
        <w:rPr>
          <w:b/>
          <w:bCs/>
        </w:rPr>
        <w:t>1: Digital Inequalities in Access to Mental Health Services</w:t>
      </w:r>
    </w:p>
    <w:p w14:paraId="434D04C2" w14:textId="77777777" w:rsidR="00142181" w:rsidRDefault="00142181" w:rsidP="00142181">
      <w:pPr>
        <w:spacing w:line="360" w:lineRule="auto"/>
        <w:jc w:val="both"/>
      </w:pPr>
      <w:r w:rsidRPr="00142181">
        <w:rPr>
          <w:b/>
          <w:bCs/>
        </w:rPr>
        <w:t>Definition / Scope</w:t>
      </w:r>
    </w:p>
    <w:p w14:paraId="3755D7E9" w14:textId="627763D9" w:rsidR="00142181" w:rsidRPr="00142181" w:rsidRDefault="00142181" w:rsidP="00142181">
      <w:pPr>
        <w:spacing w:line="360" w:lineRule="auto"/>
        <w:jc w:val="both"/>
      </w:pPr>
      <w:r w:rsidRPr="00142181">
        <w:t xml:space="preserve">Digital inequality encompasses the </w:t>
      </w:r>
      <w:r w:rsidRPr="00142181">
        <w:rPr>
          <w:b/>
          <w:bCs/>
        </w:rPr>
        <w:t>material</w:t>
      </w:r>
      <w:r w:rsidRPr="00142181">
        <w:t xml:space="preserve">, </w:t>
      </w:r>
      <w:r w:rsidRPr="00142181">
        <w:rPr>
          <w:b/>
          <w:bCs/>
        </w:rPr>
        <w:t>technical</w:t>
      </w:r>
      <w:r w:rsidRPr="00142181">
        <w:t xml:space="preserve">, and </w:t>
      </w:r>
      <w:r w:rsidRPr="00142181">
        <w:rPr>
          <w:b/>
          <w:bCs/>
        </w:rPr>
        <w:t>social</w:t>
      </w:r>
      <w:r w:rsidRPr="00142181">
        <w:t xml:space="preserve"> resources required to engage meaningfully with Internet</w:t>
      </w:r>
      <w:r w:rsidRPr="00142181">
        <w:noBreakHyphen/>
        <w:t>based mental</w:t>
      </w:r>
      <w:r w:rsidRPr="00142181">
        <w:noBreakHyphen/>
        <w:t>health services (Van</w:t>
      </w:r>
      <w:r w:rsidRPr="00142181">
        <w:rPr>
          <w:rFonts w:ascii="Arial" w:hAnsi="Arial" w:cs="Arial"/>
        </w:rPr>
        <w:t> </w:t>
      </w:r>
      <w:r w:rsidRPr="00142181">
        <w:t>Dijk,</w:t>
      </w:r>
      <w:r w:rsidRPr="00142181">
        <w:rPr>
          <w:rFonts w:ascii="Arial" w:hAnsi="Arial" w:cs="Arial"/>
        </w:rPr>
        <w:t> </w:t>
      </w:r>
      <w:r w:rsidRPr="00142181">
        <w:t>2020; Helsper,</w:t>
      </w:r>
      <w:r w:rsidRPr="00142181">
        <w:rPr>
          <w:rFonts w:ascii="Arial" w:hAnsi="Arial" w:cs="Arial"/>
        </w:rPr>
        <w:t> </w:t>
      </w:r>
      <w:r w:rsidRPr="00142181">
        <w:t>2021). It is not merely a question of owning a device, but of bandwidth quality, digital literacy, privacy, and user autonomy</w:t>
      </w:r>
      <w:r>
        <w:rPr>
          <w:rFonts w:ascii="Aptos" w:hAnsi="Aptos" w:cs="Aptos"/>
        </w:rPr>
        <w:t xml:space="preserve">,  </w:t>
      </w:r>
      <w:r w:rsidRPr="00142181">
        <w:t xml:space="preserve">each intersecting with deprivation, disability, </w:t>
      </w:r>
      <w:r w:rsidRPr="00142181">
        <w:lastRenderedPageBreak/>
        <w:t>ethnicity, and geography (Ofcom,</w:t>
      </w:r>
      <w:r w:rsidRPr="00142181">
        <w:rPr>
          <w:rFonts w:ascii="Arial" w:hAnsi="Arial" w:cs="Arial"/>
        </w:rPr>
        <w:t> </w:t>
      </w:r>
      <w:r w:rsidRPr="00142181">
        <w:t>2022; Yates,</w:t>
      </w:r>
      <w:r w:rsidRPr="00142181">
        <w:rPr>
          <w:rFonts w:ascii="Arial" w:hAnsi="Arial" w:cs="Arial"/>
        </w:rPr>
        <w:t> </w:t>
      </w:r>
      <w:r w:rsidRPr="00142181">
        <w:t xml:space="preserve">2023). Thus, it functions as a </w:t>
      </w:r>
      <w:r w:rsidRPr="00142181">
        <w:rPr>
          <w:i/>
          <w:iCs/>
        </w:rPr>
        <w:t>structural determinant</w:t>
      </w:r>
      <w:r w:rsidRPr="00142181">
        <w:t xml:space="preserve"> of health rather than a discrete technical glitch.</w:t>
      </w:r>
    </w:p>
    <w:p w14:paraId="0D5F89EF" w14:textId="704C6B90" w:rsidR="00142181" w:rsidRDefault="00142181" w:rsidP="00142181">
      <w:pPr>
        <w:spacing w:line="360" w:lineRule="auto"/>
        <w:jc w:val="both"/>
      </w:pPr>
      <w:r w:rsidRPr="00142181">
        <w:rPr>
          <w:b/>
          <w:bCs/>
        </w:rPr>
        <w:t>Background</w:t>
      </w:r>
    </w:p>
    <w:p w14:paraId="7348CE19" w14:textId="60ED5EED" w:rsidR="00142181" w:rsidRPr="00142181" w:rsidRDefault="00142181" w:rsidP="00142181">
      <w:pPr>
        <w:spacing w:line="360" w:lineRule="auto"/>
        <w:jc w:val="both"/>
      </w:pPr>
      <w:r w:rsidRPr="00142181">
        <w:t>Policy rhetoric since COVID</w:t>
      </w:r>
      <w:r w:rsidRPr="00142181">
        <w:noBreakHyphen/>
        <w:t>19 has framed remote therapy as an egalitarian innovation that will “level</w:t>
      </w:r>
      <w:r w:rsidRPr="00142181">
        <w:noBreakHyphen/>
        <w:t>up” access (DHSC,</w:t>
      </w:r>
      <w:r w:rsidRPr="00142181">
        <w:rPr>
          <w:rFonts w:ascii="Arial" w:hAnsi="Arial" w:cs="Arial"/>
        </w:rPr>
        <w:t> </w:t>
      </w:r>
      <w:r w:rsidRPr="00142181">
        <w:t>2021; NHS England,</w:t>
      </w:r>
      <w:r w:rsidRPr="00142181">
        <w:rPr>
          <w:rFonts w:ascii="Arial" w:hAnsi="Arial" w:cs="Arial"/>
        </w:rPr>
        <w:t> </w:t>
      </w:r>
      <w:r w:rsidRPr="00142181">
        <w:t>2023). Yet data reveal a different story: 11</w:t>
      </w:r>
      <w:r w:rsidRPr="00142181">
        <w:rPr>
          <w:rFonts w:ascii="Arial" w:hAnsi="Arial" w:cs="Arial"/>
        </w:rPr>
        <w:t> </w:t>
      </w:r>
      <w:r w:rsidRPr="00142181">
        <w:t>% of UK households with children lacked reliable broadband in 2021, rising to 23</w:t>
      </w:r>
      <w:r w:rsidRPr="00142181">
        <w:rPr>
          <w:rFonts w:ascii="Arial" w:hAnsi="Arial" w:cs="Arial"/>
        </w:rPr>
        <w:t> </w:t>
      </w:r>
      <w:r w:rsidRPr="00142181">
        <w:t>% among families receiving free</w:t>
      </w:r>
      <w:r w:rsidRPr="00142181">
        <w:noBreakHyphen/>
        <w:t>school</w:t>
      </w:r>
      <w:r w:rsidRPr="00142181">
        <w:noBreakHyphen/>
        <w:t>meal vouchers (ONS,</w:t>
      </w:r>
      <w:r w:rsidRPr="00142181">
        <w:rPr>
          <w:rFonts w:ascii="Arial" w:hAnsi="Arial" w:cs="Arial"/>
        </w:rPr>
        <w:t> </w:t>
      </w:r>
      <w:r w:rsidRPr="00142181">
        <w:t>2021; Good Things Foundation,</w:t>
      </w:r>
      <w:r w:rsidRPr="00142181">
        <w:rPr>
          <w:rFonts w:ascii="Arial" w:hAnsi="Arial" w:cs="Arial"/>
        </w:rPr>
        <w:t> </w:t>
      </w:r>
      <w:r w:rsidRPr="00142181">
        <w:t xml:space="preserve">2022). Richardson (2022) labels this a form of </w:t>
      </w:r>
      <w:r w:rsidRPr="00142181">
        <w:rPr>
          <w:i/>
          <w:iCs/>
        </w:rPr>
        <w:t>technological solutionism</w:t>
      </w:r>
      <w:r w:rsidRPr="00142181">
        <w:t xml:space="preserve"> that obscures austerity</w:t>
      </w:r>
      <w:r w:rsidRPr="00142181">
        <w:noBreakHyphen/>
        <w:t>related cuts to face</w:t>
      </w:r>
      <w:r w:rsidRPr="00142181">
        <w:noBreakHyphen/>
        <w:t>to</w:t>
      </w:r>
      <w:r w:rsidRPr="00142181">
        <w:noBreakHyphen/>
        <w:t>face provision (Taylor</w:t>
      </w:r>
      <w:r w:rsidRPr="00142181">
        <w:noBreakHyphen/>
        <w:t>Gooby,</w:t>
      </w:r>
      <w:r w:rsidRPr="00142181">
        <w:rPr>
          <w:rFonts w:ascii="Arial" w:hAnsi="Arial" w:cs="Arial"/>
        </w:rPr>
        <w:t> </w:t>
      </w:r>
      <w:r w:rsidRPr="00142181">
        <w:t>2019; Stewart,</w:t>
      </w:r>
      <w:r w:rsidRPr="00142181">
        <w:rPr>
          <w:rFonts w:ascii="Arial" w:hAnsi="Arial" w:cs="Arial"/>
        </w:rPr>
        <w:t> </w:t>
      </w:r>
      <w:r w:rsidRPr="00142181">
        <w:t>2021).</w:t>
      </w:r>
    </w:p>
    <w:p w14:paraId="20C242B6" w14:textId="77777777" w:rsidR="00142181" w:rsidRDefault="00142181" w:rsidP="00142181">
      <w:pPr>
        <w:spacing w:line="360" w:lineRule="auto"/>
        <w:jc w:val="both"/>
      </w:pPr>
      <w:r w:rsidRPr="00142181">
        <w:rPr>
          <w:b/>
          <w:bCs/>
        </w:rPr>
        <w:t>Relevance to Research Question</w:t>
      </w:r>
    </w:p>
    <w:p w14:paraId="4B1787B9" w14:textId="01A7E329" w:rsidR="00142181" w:rsidRPr="00142181" w:rsidRDefault="00142181" w:rsidP="00142181">
      <w:pPr>
        <w:spacing w:line="360" w:lineRule="auto"/>
        <w:jc w:val="both"/>
      </w:pPr>
      <w:r w:rsidRPr="00142181">
        <w:t>The research asks how mental</w:t>
      </w:r>
      <w:r w:rsidRPr="00142181">
        <w:noBreakHyphen/>
        <w:t>health access can be rendered equitable for UK youth. If digital pathways privilege already advantaged groups, then a digital</w:t>
      </w:r>
      <w:r w:rsidRPr="00142181">
        <w:noBreakHyphen/>
        <w:t>first strategy risks institutionalising exclusion rather than alleviating it (Stewart,</w:t>
      </w:r>
      <w:r w:rsidRPr="00142181">
        <w:rPr>
          <w:rFonts w:ascii="Arial" w:hAnsi="Arial" w:cs="Arial"/>
        </w:rPr>
        <w:t> </w:t>
      </w:r>
      <w:r w:rsidRPr="00142181">
        <w:t>2021; Keddie,</w:t>
      </w:r>
      <w:r w:rsidRPr="00142181">
        <w:rPr>
          <w:rFonts w:ascii="Arial" w:hAnsi="Arial" w:cs="Arial"/>
        </w:rPr>
        <w:t> </w:t>
      </w:r>
      <w:r w:rsidRPr="00142181">
        <w:t>2024). Interrogating this theme therefore exposes hidden costs and informs more inclusive service design.</w:t>
      </w:r>
    </w:p>
    <w:p w14:paraId="60BE9ABF" w14:textId="2EEE1F88" w:rsidR="00142181" w:rsidRPr="00142181" w:rsidRDefault="00142181" w:rsidP="00142181">
      <w:pPr>
        <w:spacing w:line="360" w:lineRule="auto"/>
        <w:jc w:val="both"/>
      </w:pPr>
      <w:r>
        <w:rPr>
          <w:b/>
          <w:bCs/>
        </w:rPr>
        <w:t xml:space="preserve">Data and Statistics </w:t>
      </w:r>
    </w:p>
    <w:p w14:paraId="0B4389BA" w14:textId="77777777" w:rsidR="00142181" w:rsidRPr="00142181" w:rsidRDefault="00142181" w:rsidP="00142181">
      <w:pPr>
        <w:numPr>
          <w:ilvl w:val="0"/>
          <w:numId w:val="1"/>
        </w:numPr>
        <w:spacing w:line="360" w:lineRule="auto"/>
        <w:jc w:val="both"/>
      </w:pPr>
      <w:r w:rsidRPr="00142181">
        <w:rPr>
          <w:b/>
          <w:bCs/>
        </w:rPr>
        <w:t>30</w:t>
      </w:r>
      <w:r w:rsidRPr="00142181">
        <w:rPr>
          <w:rFonts w:ascii="Arial" w:hAnsi="Arial" w:cs="Arial"/>
          <w:b/>
          <w:bCs/>
        </w:rPr>
        <w:t> </w:t>
      </w:r>
      <w:r w:rsidRPr="00142181">
        <w:rPr>
          <w:b/>
          <w:bCs/>
        </w:rPr>
        <w:t>%</w:t>
      </w:r>
      <w:r w:rsidRPr="00142181">
        <w:t xml:space="preserve"> of low</w:t>
      </w:r>
      <w:r w:rsidRPr="00142181">
        <w:noBreakHyphen/>
        <w:t>income families cannot afford sufficient data for weekly video calls (Barnardo’s,</w:t>
      </w:r>
      <w:r w:rsidRPr="00142181">
        <w:rPr>
          <w:rFonts w:ascii="Arial" w:hAnsi="Arial" w:cs="Arial"/>
        </w:rPr>
        <w:t> </w:t>
      </w:r>
      <w:r w:rsidRPr="00142181">
        <w:t>2021; Katz,</w:t>
      </w:r>
      <w:r w:rsidRPr="00142181">
        <w:rPr>
          <w:rFonts w:ascii="Arial" w:hAnsi="Arial" w:cs="Arial"/>
        </w:rPr>
        <w:t> </w:t>
      </w:r>
      <w:r w:rsidRPr="00142181">
        <w:t>2022).</w:t>
      </w:r>
    </w:p>
    <w:p w14:paraId="39074D1B" w14:textId="77777777" w:rsidR="00142181" w:rsidRPr="00142181" w:rsidRDefault="00142181" w:rsidP="00142181">
      <w:pPr>
        <w:numPr>
          <w:ilvl w:val="0"/>
          <w:numId w:val="1"/>
        </w:numPr>
        <w:spacing w:line="360" w:lineRule="auto"/>
        <w:jc w:val="both"/>
      </w:pPr>
      <w:r w:rsidRPr="00142181">
        <w:t xml:space="preserve">Only </w:t>
      </w:r>
      <w:r w:rsidRPr="00142181">
        <w:rPr>
          <w:b/>
          <w:bCs/>
        </w:rPr>
        <w:t>18</w:t>
      </w:r>
      <w:r w:rsidRPr="00142181">
        <w:rPr>
          <w:rFonts w:ascii="Arial" w:hAnsi="Arial" w:cs="Arial"/>
          <w:b/>
          <w:bCs/>
        </w:rPr>
        <w:t> </w:t>
      </w:r>
      <w:r w:rsidRPr="00142181">
        <w:rPr>
          <w:b/>
          <w:bCs/>
        </w:rPr>
        <w:t>%</w:t>
      </w:r>
      <w:r w:rsidRPr="00142181">
        <w:t xml:space="preserve"> of 16–24</w:t>
      </w:r>
      <w:r w:rsidRPr="00142181">
        <w:noBreakHyphen/>
        <w:t>year</w:t>
      </w:r>
      <w:r w:rsidRPr="00142181">
        <w:noBreakHyphen/>
        <w:t>olds in coastal and rural CCGs completed an e</w:t>
      </w:r>
      <w:r w:rsidRPr="00142181">
        <w:noBreakHyphen/>
        <w:t xml:space="preserve">therapy session in 2022 versus </w:t>
      </w:r>
      <w:r w:rsidRPr="00142181">
        <w:rPr>
          <w:b/>
          <w:bCs/>
        </w:rPr>
        <w:t>41</w:t>
      </w:r>
      <w:r w:rsidRPr="00142181">
        <w:rPr>
          <w:rFonts w:ascii="Arial" w:hAnsi="Arial" w:cs="Arial"/>
          <w:b/>
          <w:bCs/>
        </w:rPr>
        <w:t> </w:t>
      </w:r>
      <w:r w:rsidRPr="00142181">
        <w:rPr>
          <w:b/>
          <w:bCs/>
        </w:rPr>
        <w:t>%</w:t>
      </w:r>
      <w:r w:rsidRPr="00142181">
        <w:t xml:space="preserve"> in metropolitan CCGs (NHS Digital,</w:t>
      </w:r>
      <w:r w:rsidRPr="00142181">
        <w:rPr>
          <w:rFonts w:ascii="Arial" w:hAnsi="Arial" w:cs="Arial"/>
        </w:rPr>
        <w:t> </w:t>
      </w:r>
      <w:r w:rsidRPr="00142181">
        <w:t>2022; Kings Fund,</w:t>
      </w:r>
      <w:r w:rsidRPr="00142181">
        <w:rPr>
          <w:rFonts w:ascii="Arial" w:hAnsi="Arial" w:cs="Arial"/>
        </w:rPr>
        <w:t> </w:t>
      </w:r>
      <w:r w:rsidRPr="00142181">
        <w:t>2023).</w:t>
      </w:r>
    </w:p>
    <w:p w14:paraId="6825E8E9" w14:textId="77777777" w:rsidR="00142181" w:rsidRPr="00142181" w:rsidRDefault="00142181" w:rsidP="00142181">
      <w:pPr>
        <w:numPr>
          <w:ilvl w:val="0"/>
          <w:numId w:val="1"/>
        </w:numPr>
        <w:spacing w:line="360" w:lineRule="auto"/>
        <w:jc w:val="both"/>
      </w:pPr>
      <w:r w:rsidRPr="00142181">
        <w:t>One</w:t>
      </w:r>
      <w:r w:rsidRPr="00142181">
        <w:noBreakHyphen/>
        <w:t>third of digitally excluded Londoners are aged</w:t>
      </w:r>
      <w:r w:rsidRPr="00142181">
        <w:rPr>
          <w:rFonts w:ascii="Arial" w:hAnsi="Arial" w:cs="Arial"/>
        </w:rPr>
        <w:t> </w:t>
      </w:r>
      <w:r w:rsidRPr="00142181">
        <w:t>16</w:t>
      </w:r>
      <w:r w:rsidRPr="00142181">
        <w:rPr>
          <w:rFonts w:ascii="Aptos" w:hAnsi="Aptos" w:cs="Aptos"/>
        </w:rPr>
        <w:t>–</w:t>
      </w:r>
      <w:r w:rsidRPr="00142181">
        <w:t>24 (GLA,</w:t>
      </w:r>
      <w:r w:rsidRPr="00142181">
        <w:rPr>
          <w:rFonts w:ascii="Arial" w:hAnsi="Arial" w:cs="Arial"/>
        </w:rPr>
        <w:t> </w:t>
      </w:r>
      <w:r w:rsidRPr="00142181">
        <w:t>2023; Ofcom,</w:t>
      </w:r>
      <w:r w:rsidRPr="00142181">
        <w:rPr>
          <w:rFonts w:ascii="Arial" w:hAnsi="Arial" w:cs="Arial"/>
        </w:rPr>
        <w:t> </w:t>
      </w:r>
      <w:r w:rsidRPr="00142181">
        <w:t>2023).</w:t>
      </w:r>
      <w:r w:rsidRPr="00142181">
        <w:br/>
        <w:t xml:space="preserve">These figures illuminate a </w:t>
      </w:r>
      <w:r w:rsidRPr="00142181">
        <w:rPr>
          <w:i/>
          <w:iCs/>
        </w:rPr>
        <w:t>geospatial injustice</w:t>
      </w:r>
      <w:r w:rsidRPr="00142181">
        <w:t>: rurality and deprivation compound digital disadvantage (Riddlesden &amp; Singleton,</w:t>
      </w:r>
      <w:r w:rsidRPr="00142181">
        <w:rPr>
          <w:rFonts w:ascii="Arial" w:hAnsi="Arial" w:cs="Arial"/>
        </w:rPr>
        <w:t> </w:t>
      </w:r>
      <w:r w:rsidRPr="00142181">
        <w:t>2021; Philip et</w:t>
      </w:r>
      <w:r w:rsidRPr="00142181">
        <w:rPr>
          <w:rFonts w:ascii="Arial" w:hAnsi="Arial" w:cs="Arial"/>
        </w:rPr>
        <w:t> </w:t>
      </w:r>
      <w:r w:rsidRPr="00142181">
        <w:t>al.,</w:t>
      </w:r>
      <w:r w:rsidRPr="00142181">
        <w:rPr>
          <w:rFonts w:ascii="Arial" w:hAnsi="Arial" w:cs="Arial"/>
        </w:rPr>
        <w:t> </w:t>
      </w:r>
      <w:r w:rsidRPr="00142181">
        <w:t>2022).</w:t>
      </w:r>
    </w:p>
    <w:p w14:paraId="61506AAB" w14:textId="1BB9B4BC" w:rsidR="00142181" w:rsidRDefault="00142181" w:rsidP="00142181">
      <w:pPr>
        <w:spacing w:line="360" w:lineRule="auto"/>
        <w:jc w:val="both"/>
      </w:pPr>
      <w:r w:rsidRPr="00142181">
        <w:rPr>
          <w:b/>
          <w:bCs/>
        </w:rPr>
        <w:t xml:space="preserve">Theory, Policy &amp; Legislation </w:t>
      </w:r>
    </w:p>
    <w:p w14:paraId="11652643" w14:textId="2C7360AC" w:rsidR="00142181" w:rsidRPr="00142181" w:rsidRDefault="00142181" w:rsidP="00142181">
      <w:pPr>
        <w:spacing w:line="360" w:lineRule="auto"/>
        <w:jc w:val="both"/>
      </w:pPr>
      <w:r w:rsidRPr="00142181">
        <w:lastRenderedPageBreak/>
        <w:t xml:space="preserve">Sen’s </w:t>
      </w:r>
      <w:r w:rsidRPr="00142181">
        <w:rPr>
          <w:b/>
          <w:bCs/>
        </w:rPr>
        <w:t>Capability Approach</w:t>
      </w:r>
      <w:r w:rsidRPr="00142181">
        <w:t xml:space="preserve"> argues that genuine freedom requires </w:t>
      </w:r>
      <w:r w:rsidRPr="00142181">
        <w:rPr>
          <w:i/>
          <w:iCs/>
        </w:rPr>
        <w:t>practicable choice</w:t>
      </w:r>
      <w:r w:rsidRPr="00142181">
        <w:t xml:space="preserve"> (Sen,</w:t>
      </w:r>
      <w:r w:rsidRPr="00142181">
        <w:rPr>
          <w:rFonts w:ascii="Arial" w:hAnsi="Arial" w:cs="Arial"/>
        </w:rPr>
        <w:t> </w:t>
      </w:r>
      <w:r w:rsidRPr="00142181">
        <w:t xml:space="preserve">1999; </w:t>
      </w:r>
      <w:proofErr w:type="spellStart"/>
      <w:r w:rsidRPr="00142181">
        <w:t>Robeyns</w:t>
      </w:r>
      <w:proofErr w:type="spellEnd"/>
      <w:r w:rsidRPr="00142181">
        <w:t>,</w:t>
      </w:r>
      <w:r w:rsidRPr="00142181">
        <w:rPr>
          <w:rFonts w:ascii="Arial" w:hAnsi="Arial" w:cs="Arial"/>
        </w:rPr>
        <w:t> </w:t>
      </w:r>
      <w:r w:rsidRPr="00142181">
        <w:t>2017). Offering e</w:t>
      </w:r>
      <w:r w:rsidRPr="00142181">
        <w:noBreakHyphen/>
        <w:t xml:space="preserve">CBT to a young person without broadband is therefore formally equal but substantively inequitable. Meanwhile, the NHS </w:t>
      </w:r>
      <w:r w:rsidRPr="00142181">
        <w:rPr>
          <w:b/>
          <w:bCs/>
        </w:rPr>
        <w:t>Digital Inclusion Framework</w:t>
      </w:r>
      <w:r w:rsidRPr="00142181">
        <w:t xml:space="preserve"> (NHSE,</w:t>
      </w:r>
      <w:r w:rsidRPr="00142181">
        <w:rPr>
          <w:rFonts w:ascii="Arial" w:hAnsi="Arial" w:cs="Arial"/>
        </w:rPr>
        <w:t> </w:t>
      </w:r>
      <w:r w:rsidRPr="00142181">
        <w:t>2023) remains advisory, lacking statutory force and ring</w:t>
      </w:r>
      <w:r w:rsidRPr="00142181">
        <w:noBreakHyphen/>
        <w:t>fenced funding (Leonardi,</w:t>
      </w:r>
      <w:r w:rsidRPr="00142181">
        <w:rPr>
          <w:rFonts w:ascii="Arial" w:hAnsi="Arial" w:cs="Arial"/>
        </w:rPr>
        <w:t> </w:t>
      </w:r>
      <w:r w:rsidRPr="00142181">
        <w:t>2022; House of Lords,</w:t>
      </w:r>
      <w:r w:rsidRPr="00142181">
        <w:rPr>
          <w:rFonts w:ascii="Arial" w:hAnsi="Arial" w:cs="Arial"/>
        </w:rPr>
        <w:t> </w:t>
      </w:r>
      <w:r w:rsidRPr="00142181">
        <w:t xml:space="preserve">2023). Although the </w:t>
      </w:r>
      <w:r w:rsidRPr="00142181">
        <w:rPr>
          <w:b/>
          <w:bCs/>
        </w:rPr>
        <w:t>Equality Act</w:t>
      </w:r>
      <w:r w:rsidRPr="00142181">
        <w:rPr>
          <w:rFonts w:ascii="Arial" w:hAnsi="Arial" w:cs="Arial"/>
          <w:b/>
          <w:bCs/>
        </w:rPr>
        <w:t> </w:t>
      </w:r>
      <w:r w:rsidRPr="00142181">
        <w:rPr>
          <w:b/>
          <w:bCs/>
        </w:rPr>
        <w:t>2010</w:t>
      </w:r>
      <w:r w:rsidRPr="00142181">
        <w:t xml:space="preserve"> mandates reasonable adjustments, jurisprudence such as </w:t>
      </w:r>
      <w:r w:rsidRPr="00142181">
        <w:rPr>
          <w:i/>
          <w:iCs/>
        </w:rPr>
        <w:t>R (v</w:t>
      </w:r>
      <w:r w:rsidRPr="00142181">
        <w:rPr>
          <w:rFonts w:ascii="Arial" w:hAnsi="Arial" w:cs="Arial"/>
          <w:i/>
          <w:iCs/>
        </w:rPr>
        <w:t> </w:t>
      </w:r>
      <w:r w:rsidRPr="00142181">
        <w:rPr>
          <w:i/>
          <w:iCs/>
        </w:rPr>
        <w:t>Johnson)</w:t>
      </w:r>
      <w:r w:rsidRPr="00142181">
        <w:rPr>
          <w:rFonts w:ascii="Aptos" w:hAnsi="Aptos" w:cs="Aptos"/>
          <w:i/>
          <w:iCs/>
        </w:rPr>
        <w:t> </w:t>
      </w:r>
      <w:r w:rsidRPr="00142181">
        <w:rPr>
          <w:i/>
          <w:iCs/>
        </w:rPr>
        <w:t>v</w:t>
      </w:r>
      <w:r w:rsidRPr="00142181">
        <w:rPr>
          <w:rFonts w:ascii="Arial" w:hAnsi="Arial" w:cs="Arial"/>
          <w:i/>
          <w:iCs/>
        </w:rPr>
        <w:t> </w:t>
      </w:r>
      <w:r w:rsidRPr="00142181">
        <w:rPr>
          <w:i/>
          <w:iCs/>
        </w:rPr>
        <w:t>NHS Commissioning Board</w:t>
      </w:r>
      <w:r w:rsidRPr="00142181">
        <w:t xml:space="preserve"> (2022) shows digital</w:t>
      </w:r>
      <w:r w:rsidRPr="00142181">
        <w:noBreakHyphen/>
        <w:t>exclusion claims falter without clear comparators (Mills,</w:t>
      </w:r>
      <w:r w:rsidRPr="00142181">
        <w:rPr>
          <w:rFonts w:ascii="Arial" w:hAnsi="Arial" w:cs="Arial"/>
        </w:rPr>
        <w:t> </w:t>
      </w:r>
      <w:r w:rsidRPr="00142181">
        <w:t>2023; Todd,</w:t>
      </w:r>
      <w:r w:rsidRPr="00142181">
        <w:rPr>
          <w:rFonts w:ascii="Arial" w:hAnsi="Arial" w:cs="Arial"/>
        </w:rPr>
        <w:t> </w:t>
      </w:r>
      <w:r w:rsidRPr="00142181">
        <w:t>2023).</w:t>
      </w:r>
    </w:p>
    <w:p w14:paraId="70F5302D" w14:textId="77777777" w:rsidR="00142181" w:rsidRDefault="00142181" w:rsidP="00142181">
      <w:pPr>
        <w:spacing w:line="360" w:lineRule="auto"/>
        <w:jc w:val="both"/>
      </w:pPr>
      <w:r w:rsidRPr="00142181">
        <w:rPr>
          <w:b/>
          <w:bCs/>
        </w:rPr>
        <w:t>Critical Implications</w:t>
      </w:r>
    </w:p>
    <w:p w14:paraId="26220F7C" w14:textId="3074866E" w:rsidR="00142181" w:rsidRDefault="00142181" w:rsidP="00142181">
      <w:pPr>
        <w:spacing w:line="360" w:lineRule="auto"/>
        <w:jc w:val="both"/>
      </w:pPr>
      <w:r w:rsidRPr="00142181">
        <w:rPr>
          <w:i/>
          <w:iCs/>
        </w:rPr>
        <w:t>Positive:</w:t>
      </w:r>
      <w:r w:rsidRPr="00142181">
        <w:t xml:space="preserve"> Where barriers are mitigated</w:t>
      </w:r>
      <w:r>
        <w:t xml:space="preserve">,  </w:t>
      </w:r>
      <w:r w:rsidRPr="00142181">
        <w:t>via device</w:t>
      </w:r>
      <w:r w:rsidRPr="00142181">
        <w:noBreakHyphen/>
        <w:t>loan schemes, data</w:t>
      </w:r>
      <w:r w:rsidRPr="00142181">
        <w:noBreakHyphen/>
        <w:t>vouchers, or co</w:t>
      </w:r>
      <w:r w:rsidRPr="00142181">
        <w:noBreakHyphen/>
        <w:t>designed youth interfaces</w:t>
      </w:r>
      <w:r>
        <w:t xml:space="preserve">,  </w:t>
      </w:r>
      <w:r w:rsidRPr="00142181">
        <w:t>digital care can expand reach and reduce delay (Lewis et</w:t>
      </w:r>
      <w:r w:rsidRPr="00142181">
        <w:rPr>
          <w:rFonts w:ascii="Arial" w:hAnsi="Arial" w:cs="Arial"/>
        </w:rPr>
        <w:t> </w:t>
      </w:r>
      <w:r w:rsidRPr="00142181">
        <w:t>al.,</w:t>
      </w:r>
      <w:r w:rsidRPr="00142181">
        <w:rPr>
          <w:rFonts w:ascii="Arial" w:hAnsi="Arial" w:cs="Arial"/>
        </w:rPr>
        <w:t> </w:t>
      </w:r>
      <w:r w:rsidRPr="00142181">
        <w:t>2021; Ahmed &amp; Shah,</w:t>
      </w:r>
      <w:r w:rsidRPr="00142181">
        <w:rPr>
          <w:rFonts w:ascii="Arial" w:hAnsi="Arial" w:cs="Arial"/>
        </w:rPr>
        <w:t> </w:t>
      </w:r>
      <w:r w:rsidRPr="00142181">
        <w:t>2020).</w:t>
      </w:r>
    </w:p>
    <w:p w14:paraId="7079963A" w14:textId="61416DE7" w:rsidR="00142181" w:rsidRPr="00142181" w:rsidRDefault="00142181" w:rsidP="00142181">
      <w:pPr>
        <w:spacing w:line="360" w:lineRule="auto"/>
        <w:jc w:val="both"/>
      </w:pPr>
      <w:r w:rsidRPr="00142181">
        <w:rPr>
          <w:i/>
          <w:iCs/>
        </w:rPr>
        <w:t>Negative:</w:t>
      </w:r>
      <w:r w:rsidRPr="00142181">
        <w:t xml:space="preserve"> Uncritical expansion diverts resources from face</w:t>
      </w:r>
      <w:r w:rsidRPr="00142181">
        <w:noBreakHyphen/>
        <w:t>to</w:t>
      </w:r>
      <w:r w:rsidRPr="00142181">
        <w:noBreakHyphen/>
        <w:t>face services that excluded groups rely on, deepening inequality (Watson et</w:t>
      </w:r>
      <w:r w:rsidRPr="00142181">
        <w:rPr>
          <w:rFonts w:ascii="Arial" w:hAnsi="Arial" w:cs="Arial"/>
        </w:rPr>
        <w:t> </w:t>
      </w:r>
      <w:r w:rsidRPr="00142181">
        <w:t>al.,</w:t>
      </w:r>
      <w:r w:rsidRPr="00142181">
        <w:rPr>
          <w:rFonts w:ascii="Arial" w:hAnsi="Arial" w:cs="Arial"/>
        </w:rPr>
        <w:t> </w:t>
      </w:r>
      <w:r w:rsidRPr="00142181">
        <w:t>2021; Richardson,</w:t>
      </w:r>
      <w:r w:rsidRPr="00142181">
        <w:rPr>
          <w:rFonts w:ascii="Arial" w:hAnsi="Arial" w:cs="Arial"/>
        </w:rPr>
        <w:t> </w:t>
      </w:r>
      <w:r w:rsidRPr="00142181">
        <w:t>2022). Algorithmic triage tools may also embed bias if trained on under</w:t>
      </w:r>
      <w:r w:rsidRPr="00142181">
        <w:noBreakHyphen/>
        <w:t>representative datasets (Keddie,</w:t>
      </w:r>
      <w:r w:rsidRPr="00142181">
        <w:rPr>
          <w:rFonts w:ascii="Arial" w:hAnsi="Arial" w:cs="Arial"/>
        </w:rPr>
        <w:t> </w:t>
      </w:r>
      <w:r w:rsidRPr="00142181">
        <w:t>2024; Noble,</w:t>
      </w:r>
      <w:r w:rsidRPr="00142181">
        <w:rPr>
          <w:rFonts w:ascii="Arial" w:hAnsi="Arial" w:cs="Arial"/>
        </w:rPr>
        <w:t> </w:t>
      </w:r>
      <w:r w:rsidRPr="00142181">
        <w:t>2018).</w:t>
      </w:r>
    </w:p>
    <w:p w14:paraId="61C3CBF1" w14:textId="77777777" w:rsidR="00142181" w:rsidRDefault="00142181" w:rsidP="00142181">
      <w:pPr>
        <w:spacing w:line="360" w:lineRule="auto"/>
        <w:jc w:val="both"/>
      </w:pPr>
      <w:r w:rsidRPr="00142181">
        <w:rPr>
          <w:b/>
          <w:bCs/>
        </w:rPr>
        <w:t>Illustrative Evidence from Literature</w:t>
      </w:r>
    </w:p>
    <w:p w14:paraId="038530A0" w14:textId="06457F33" w:rsidR="00142181" w:rsidRPr="00142181" w:rsidRDefault="00142181" w:rsidP="00142181">
      <w:pPr>
        <w:spacing w:line="360" w:lineRule="auto"/>
        <w:jc w:val="both"/>
      </w:pPr>
      <w:r w:rsidRPr="00142181">
        <w:t>Lewis et</w:t>
      </w:r>
      <w:r w:rsidRPr="00142181">
        <w:rPr>
          <w:rFonts w:ascii="Arial" w:hAnsi="Arial" w:cs="Arial"/>
        </w:rPr>
        <w:t> </w:t>
      </w:r>
      <w:r w:rsidRPr="00142181">
        <w:t>al.</w:t>
      </w:r>
      <w:r w:rsidRPr="00142181">
        <w:rPr>
          <w:rFonts w:ascii="Aptos" w:hAnsi="Aptos" w:cs="Aptos"/>
        </w:rPr>
        <w:t> </w:t>
      </w:r>
      <w:r w:rsidRPr="00142181">
        <w:t xml:space="preserve">(2021) found dropout rates in online CBT were </w:t>
      </w:r>
      <w:r w:rsidRPr="00142181">
        <w:rPr>
          <w:b/>
          <w:bCs/>
        </w:rPr>
        <w:t>three</w:t>
      </w:r>
      <w:r w:rsidRPr="00142181">
        <w:rPr>
          <w:b/>
          <w:bCs/>
        </w:rPr>
        <w:noBreakHyphen/>
        <w:t>fold</w:t>
      </w:r>
      <w:r w:rsidRPr="00142181">
        <w:t xml:space="preserve"> higher for adolescents sharing bedrooms, underscoring privacy as a hidden barrier (Livingstone,</w:t>
      </w:r>
      <w:r w:rsidRPr="00142181">
        <w:rPr>
          <w:rFonts w:ascii="Arial" w:hAnsi="Arial" w:cs="Arial"/>
        </w:rPr>
        <w:t> </w:t>
      </w:r>
      <w:r w:rsidRPr="00142181">
        <w:t>2020). Ahmed &amp; Shah</w:t>
      </w:r>
      <w:r w:rsidRPr="00142181">
        <w:rPr>
          <w:rFonts w:ascii="Aptos" w:hAnsi="Aptos" w:cs="Aptos"/>
        </w:rPr>
        <w:t> </w:t>
      </w:r>
      <w:r w:rsidRPr="00142181">
        <w:t xml:space="preserve">(2020) reported a </w:t>
      </w:r>
      <w:r w:rsidRPr="00142181">
        <w:rPr>
          <w:b/>
          <w:bCs/>
        </w:rPr>
        <w:t>47</w:t>
      </w:r>
      <w:r w:rsidRPr="00142181">
        <w:rPr>
          <w:rFonts w:ascii="Arial" w:hAnsi="Arial" w:cs="Arial"/>
          <w:b/>
          <w:bCs/>
        </w:rPr>
        <w:t> </w:t>
      </w:r>
      <w:r w:rsidRPr="00142181">
        <w:rPr>
          <w:b/>
          <w:bCs/>
        </w:rPr>
        <w:t>%</w:t>
      </w:r>
      <w:r w:rsidRPr="00142181">
        <w:t xml:space="preserve"> increase in e</w:t>
      </w:r>
      <w:r w:rsidRPr="00142181">
        <w:noBreakHyphen/>
        <w:t>therapy uptake among Bangladeshi</w:t>
      </w:r>
      <w:r w:rsidRPr="00142181">
        <w:noBreakHyphen/>
        <w:t>heritage adolescents after a six</w:t>
      </w:r>
      <w:r w:rsidRPr="00142181">
        <w:noBreakHyphen/>
        <w:t>week digital</w:t>
      </w:r>
      <w:r w:rsidRPr="00142181">
        <w:noBreakHyphen/>
        <w:t>literacy bootcamp (Islam et</w:t>
      </w:r>
      <w:r w:rsidRPr="00142181">
        <w:rPr>
          <w:rFonts w:ascii="Arial" w:hAnsi="Arial" w:cs="Arial"/>
        </w:rPr>
        <w:t> </w:t>
      </w:r>
      <w:r w:rsidRPr="00142181">
        <w:t>al.,</w:t>
      </w:r>
      <w:r w:rsidRPr="00142181">
        <w:rPr>
          <w:rFonts w:ascii="Arial" w:hAnsi="Arial" w:cs="Arial"/>
        </w:rPr>
        <w:t> </w:t>
      </w:r>
      <w:r w:rsidRPr="00142181">
        <w:t>2021). Conversely, Davies</w:t>
      </w:r>
      <w:r w:rsidRPr="00142181">
        <w:rPr>
          <w:rFonts w:ascii="Aptos" w:hAnsi="Aptos" w:cs="Aptos"/>
        </w:rPr>
        <w:t> </w:t>
      </w:r>
      <w:r w:rsidRPr="00142181">
        <w:t xml:space="preserve">(2022) argued national triage apps </w:t>
      </w:r>
      <w:r w:rsidRPr="00142181">
        <w:t>pathologized</w:t>
      </w:r>
      <w:r w:rsidRPr="00142181">
        <w:t xml:space="preserve"> neurodiverse users as </w:t>
      </w:r>
      <w:r w:rsidRPr="00142181">
        <w:rPr>
          <w:rFonts w:ascii="Aptos" w:hAnsi="Aptos" w:cs="Aptos"/>
        </w:rPr>
        <w:t>“</w:t>
      </w:r>
      <w:r w:rsidRPr="00142181">
        <w:t>non</w:t>
      </w:r>
      <w:r w:rsidRPr="00142181">
        <w:noBreakHyphen/>
        <w:t>compliant,</w:t>
      </w:r>
      <w:r w:rsidRPr="00142181">
        <w:rPr>
          <w:rFonts w:ascii="Aptos" w:hAnsi="Aptos" w:cs="Aptos"/>
        </w:rPr>
        <w:t>”</w:t>
      </w:r>
      <w:r w:rsidRPr="00142181">
        <w:t xml:space="preserve"> shifting blame onto individuals instead of system design (Robertson,</w:t>
      </w:r>
      <w:r w:rsidRPr="00142181">
        <w:rPr>
          <w:rFonts w:ascii="Arial" w:hAnsi="Arial" w:cs="Arial"/>
        </w:rPr>
        <w:t> </w:t>
      </w:r>
      <w:r w:rsidRPr="00142181">
        <w:t>2023).</w:t>
      </w:r>
    </w:p>
    <w:p w14:paraId="5AE1BBDE" w14:textId="77777777" w:rsidR="00142181" w:rsidRDefault="00142181" w:rsidP="00142181">
      <w:pPr>
        <w:spacing w:line="360" w:lineRule="auto"/>
        <w:jc w:val="both"/>
      </w:pPr>
      <w:r w:rsidRPr="00142181">
        <w:rPr>
          <w:b/>
          <w:bCs/>
        </w:rPr>
        <w:t>Synthesis &amp; Cross</w:t>
      </w:r>
      <w:r w:rsidRPr="00142181">
        <w:rPr>
          <w:b/>
          <w:bCs/>
        </w:rPr>
        <w:noBreakHyphen/>
        <w:t>Theme Links</w:t>
      </w:r>
    </w:p>
    <w:p w14:paraId="27A71FDA" w14:textId="74DCEFA0" w:rsidR="00142181" w:rsidRPr="00142181" w:rsidRDefault="00142181" w:rsidP="00142181">
      <w:pPr>
        <w:spacing w:line="360" w:lineRule="auto"/>
        <w:jc w:val="both"/>
      </w:pPr>
      <w:r w:rsidRPr="00142181">
        <w:t xml:space="preserve">Digital inequality magnifies </w:t>
      </w:r>
      <w:r w:rsidRPr="00142181">
        <w:rPr>
          <w:b/>
          <w:bCs/>
        </w:rPr>
        <w:t>Theme</w:t>
      </w:r>
      <w:r w:rsidRPr="00142181">
        <w:rPr>
          <w:rFonts w:ascii="Arial" w:hAnsi="Arial" w:cs="Arial"/>
          <w:b/>
          <w:bCs/>
        </w:rPr>
        <w:t> </w:t>
      </w:r>
      <w:r w:rsidRPr="00142181">
        <w:rPr>
          <w:b/>
          <w:bCs/>
        </w:rPr>
        <w:t>2 (Stigma)</w:t>
      </w:r>
      <w:r w:rsidRPr="00142181">
        <w:t xml:space="preserve"> when young people fear judgement in shared households, inhibiting online disclosure (Wu et</w:t>
      </w:r>
      <w:r w:rsidRPr="00142181">
        <w:rPr>
          <w:rFonts w:ascii="Arial" w:hAnsi="Arial" w:cs="Arial"/>
        </w:rPr>
        <w:t> </w:t>
      </w:r>
      <w:r w:rsidRPr="00142181">
        <w:t>al.,</w:t>
      </w:r>
      <w:r w:rsidRPr="00142181">
        <w:rPr>
          <w:rFonts w:ascii="Arial" w:hAnsi="Arial" w:cs="Arial"/>
        </w:rPr>
        <w:t> </w:t>
      </w:r>
      <w:r w:rsidRPr="00142181">
        <w:t>2021; Maxwell,</w:t>
      </w:r>
      <w:r w:rsidRPr="00142181">
        <w:rPr>
          <w:rFonts w:ascii="Arial" w:hAnsi="Arial" w:cs="Arial"/>
        </w:rPr>
        <w:t> </w:t>
      </w:r>
      <w:r w:rsidRPr="00142181">
        <w:t xml:space="preserve">2020). It also exacerbates </w:t>
      </w:r>
      <w:r w:rsidRPr="00142181">
        <w:rPr>
          <w:b/>
          <w:bCs/>
        </w:rPr>
        <w:t>Theme</w:t>
      </w:r>
      <w:r w:rsidRPr="00142181">
        <w:rPr>
          <w:rFonts w:ascii="Arial" w:hAnsi="Arial" w:cs="Arial"/>
          <w:b/>
          <w:bCs/>
        </w:rPr>
        <w:t> </w:t>
      </w:r>
      <w:r w:rsidRPr="00142181">
        <w:rPr>
          <w:b/>
          <w:bCs/>
        </w:rPr>
        <w:t>3 (Service Availability)</w:t>
      </w:r>
      <w:r w:rsidRPr="00142181">
        <w:t xml:space="preserve"> because regions with sparse in</w:t>
      </w:r>
      <w:r w:rsidRPr="00142181">
        <w:noBreakHyphen/>
        <w:t xml:space="preserve">person </w:t>
      </w:r>
      <w:r w:rsidRPr="00142181">
        <w:lastRenderedPageBreak/>
        <w:t>provision often coincide with poor connectivity, producing a double deficit (Roberts et</w:t>
      </w:r>
      <w:r w:rsidRPr="00142181">
        <w:rPr>
          <w:rFonts w:ascii="Arial" w:hAnsi="Arial" w:cs="Arial"/>
        </w:rPr>
        <w:t> </w:t>
      </w:r>
      <w:r w:rsidRPr="00142181">
        <w:t>al.,</w:t>
      </w:r>
      <w:r w:rsidRPr="00142181">
        <w:rPr>
          <w:rFonts w:ascii="Arial" w:hAnsi="Arial" w:cs="Arial"/>
        </w:rPr>
        <w:t> </w:t>
      </w:r>
      <w:r w:rsidRPr="00142181">
        <w:t>2021; Philip et</w:t>
      </w:r>
      <w:r w:rsidRPr="00142181">
        <w:rPr>
          <w:rFonts w:ascii="Arial" w:hAnsi="Arial" w:cs="Arial"/>
        </w:rPr>
        <w:t> </w:t>
      </w:r>
      <w:r w:rsidRPr="00142181">
        <w:t>al.,</w:t>
      </w:r>
      <w:r w:rsidRPr="00142181">
        <w:rPr>
          <w:rFonts w:ascii="Arial" w:hAnsi="Arial" w:cs="Arial"/>
        </w:rPr>
        <w:t> </w:t>
      </w:r>
      <w:r w:rsidRPr="00142181">
        <w:t>2022).</w:t>
      </w:r>
    </w:p>
    <w:p w14:paraId="0D53B2C8" w14:textId="77777777" w:rsidR="00142181" w:rsidRDefault="00142181" w:rsidP="00142181">
      <w:pPr>
        <w:spacing w:line="360" w:lineRule="auto"/>
        <w:jc w:val="both"/>
      </w:pPr>
      <w:r w:rsidRPr="00142181">
        <w:rPr>
          <w:b/>
          <w:bCs/>
        </w:rPr>
        <w:t>Reflective Summary</w:t>
      </w:r>
    </w:p>
    <w:p w14:paraId="517DAABD" w14:textId="5D51270B" w:rsidR="00142181" w:rsidRPr="00142181" w:rsidRDefault="00142181" w:rsidP="00142181">
      <w:pPr>
        <w:spacing w:line="360" w:lineRule="auto"/>
        <w:jc w:val="both"/>
      </w:pPr>
      <w:r w:rsidRPr="00142181">
        <w:t>Digital care, heralded as an egalitarian fix, risks reproducing offline hierarchies online unless robust inclusion measures accompany roll</w:t>
      </w:r>
      <w:r w:rsidRPr="00142181">
        <w:noBreakHyphen/>
        <w:t>out. Future policy must treat connectivity as a social determinant of health, embed mandatory inclusion targets, and co</w:t>
      </w:r>
      <w:r w:rsidRPr="00142181">
        <w:noBreakHyphen/>
        <w:t>design platforms with digitally marginalised youth (Good Things Foundation,</w:t>
      </w:r>
      <w:r w:rsidRPr="00142181">
        <w:rPr>
          <w:rFonts w:ascii="Arial" w:hAnsi="Arial" w:cs="Arial"/>
        </w:rPr>
        <w:t> </w:t>
      </w:r>
      <w:r w:rsidRPr="00142181">
        <w:t>2022; House of Lords,</w:t>
      </w:r>
      <w:r w:rsidRPr="00142181">
        <w:rPr>
          <w:rFonts w:ascii="Arial" w:hAnsi="Arial" w:cs="Arial"/>
        </w:rPr>
        <w:t> </w:t>
      </w:r>
      <w:r w:rsidRPr="00142181">
        <w:t>2023).</w:t>
      </w:r>
    </w:p>
    <w:p w14:paraId="5D0BE582" w14:textId="77777777" w:rsidR="00142181" w:rsidRPr="00142181" w:rsidRDefault="00142181" w:rsidP="00142181">
      <w:pPr>
        <w:spacing w:line="360" w:lineRule="auto"/>
        <w:jc w:val="both"/>
      </w:pPr>
      <w:r w:rsidRPr="00142181">
        <w:rPr>
          <w:b/>
          <w:bCs/>
        </w:rPr>
        <w:t>4.4 – Theme</w:t>
      </w:r>
      <w:r w:rsidRPr="00142181">
        <w:rPr>
          <w:rFonts w:ascii="Arial" w:hAnsi="Arial" w:cs="Arial"/>
          <w:b/>
          <w:bCs/>
        </w:rPr>
        <w:t> </w:t>
      </w:r>
      <w:r w:rsidRPr="00142181">
        <w:rPr>
          <w:b/>
          <w:bCs/>
        </w:rPr>
        <w:t>2: Stigma and Social Attitudes Towards Youth Mental Health</w:t>
      </w:r>
    </w:p>
    <w:p w14:paraId="2A41F746" w14:textId="77777777" w:rsidR="00142181" w:rsidRDefault="00142181" w:rsidP="00142181">
      <w:pPr>
        <w:spacing w:line="360" w:lineRule="auto"/>
        <w:jc w:val="both"/>
      </w:pPr>
      <w:r w:rsidRPr="00142181">
        <w:rPr>
          <w:b/>
          <w:bCs/>
        </w:rPr>
        <w:t>Definition / Scope</w:t>
      </w:r>
    </w:p>
    <w:p w14:paraId="2C7085B1" w14:textId="5E77854E" w:rsidR="00142181" w:rsidRPr="00142181" w:rsidRDefault="00142181" w:rsidP="00142181">
      <w:pPr>
        <w:spacing w:line="360" w:lineRule="auto"/>
        <w:jc w:val="both"/>
      </w:pPr>
      <w:r w:rsidRPr="00142181">
        <w:t>Stigma is a multi</w:t>
      </w:r>
      <w:r w:rsidRPr="00142181">
        <w:noBreakHyphen/>
        <w:t>layered social process in which labelling, stereotyping, separation, status loss, and discrimination intersect to marginalise people with mental</w:t>
      </w:r>
      <w:r w:rsidRPr="00142181">
        <w:noBreakHyphen/>
        <w:t>health conditions (Link &amp;</w:t>
      </w:r>
      <w:r w:rsidRPr="00142181">
        <w:rPr>
          <w:rFonts w:ascii="Arial" w:hAnsi="Arial" w:cs="Arial"/>
        </w:rPr>
        <w:t> </w:t>
      </w:r>
      <w:r w:rsidRPr="00142181">
        <w:t>Phelan,</w:t>
      </w:r>
      <w:r w:rsidRPr="00142181">
        <w:rPr>
          <w:rFonts w:ascii="Arial" w:hAnsi="Arial" w:cs="Arial"/>
        </w:rPr>
        <w:t> </w:t>
      </w:r>
      <w:r w:rsidRPr="00142181">
        <w:t>2001; Corrigan,</w:t>
      </w:r>
      <w:r w:rsidRPr="00142181">
        <w:rPr>
          <w:rFonts w:ascii="Arial" w:hAnsi="Arial" w:cs="Arial"/>
        </w:rPr>
        <w:t> </w:t>
      </w:r>
      <w:r w:rsidRPr="00142181">
        <w:t>2004). Among adolescents, stigma manifests as self</w:t>
      </w:r>
      <w:r w:rsidRPr="00142181">
        <w:noBreakHyphen/>
        <w:t>stigma (internalised shame), anticipated stigma (fear of judgement), and structural stigma (institutional prejudice) (Hinshaw,</w:t>
      </w:r>
      <w:r w:rsidRPr="00142181">
        <w:rPr>
          <w:rFonts w:ascii="Arial" w:hAnsi="Arial" w:cs="Arial"/>
        </w:rPr>
        <w:t> </w:t>
      </w:r>
      <w:r w:rsidRPr="00142181">
        <w:t>2005; Thornicroft</w:t>
      </w:r>
      <w:r w:rsidRPr="00142181">
        <w:rPr>
          <w:rFonts w:ascii="Aptos" w:hAnsi="Aptos" w:cs="Aptos"/>
        </w:rPr>
        <w:t> </w:t>
      </w:r>
      <w:r w:rsidRPr="00142181">
        <w:t>et</w:t>
      </w:r>
      <w:r w:rsidRPr="00142181">
        <w:rPr>
          <w:rFonts w:ascii="Arial" w:hAnsi="Arial" w:cs="Arial"/>
        </w:rPr>
        <w:t> </w:t>
      </w:r>
      <w:r w:rsidRPr="00142181">
        <w:t>al.,</w:t>
      </w:r>
      <w:r w:rsidRPr="00142181">
        <w:rPr>
          <w:rFonts w:ascii="Arial" w:hAnsi="Arial" w:cs="Arial"/>
        </w:rPr>
        <w:t> </w:t>
      </w:r>
      <w:r w:rsidRPr="00142181">
        <w:t>2022). This theme interrogates how these dimensions constrain help</w:t>
      </w:r>
      <w:r w:rsidRPr="00142181">
        <w:noBreakHyphen/>
        <w:t>seeking and perpetuate inequity.</w:t>
      </w:r>
    </w:p>
    <w:p w14:paraId="583C43A8" w14:textId="77777777" w:rsidR="00142181" w:rsidRDefault="00142181" w:rsidP="00142181">
      <w:pPr>
        <w:spacing w:line="360" w:lineRule="auto"/>
        <w:jc w:val="both"/>
        <w:rPr>
          <w:b/>
          <w:bCs/>
        </w:rPr>
      </w:pPr>
      <w:r w:rsidRPr="00142181">
        <w:rPr>
          <w:b/>
          <w:bCs/>
        </w:rPr>
        <w:t>Background Information</w:t>
      </w:r>
    </w:p>
    <w:p w14:paraId="73C5AC7E" w14:textId="5C7ABA08" w:rsidR="00142181" w:rsidRPr="00142181" w:rsidRDefault="00142181" w:rsidP="00142181">
      <w:pPr>
        <w:spacing w:line="360" w:lineRule="auto"/>
        <w:jc w:val="both"/>
      </w:pPr>
      <w:r w:rsidRPr="00142181">
        <w:t>British mental</w:t>
      </w:r>
      <w:r w:rsidRPr="00142181">
        <w:noBreakHyphen/>
        <w:t xml:space="preserve">health discourse has long </w:t>
      </w:r>
      <w:r w:rsidRPr="00142181">
        <w:t>pathologized</w:t>
      </w:r>
      <w:r w:rsidRPr="00142181">
        <w:t xml:space="preserve"> deviation from normative behaviour</w:t>
      </w:r>
      <w:r>
        <w:t xml:space="preserve">,  </w:t>
      </w:r>
      <w:r w:rsidRPr="00142181">
        <w:t>visible in Victorian asylums and echoed today in media sensationalism (Foucault,</w:t>
      </w:r>
      <w:r w:rsidRPr="00142181">
        <w:rPr>
          <w:rFonts w:ascii="Arial" w:hAnsi="Arial" w:cs="Arial"/>
        </w:rPr>
        <w:t> </w:t>
      </w:r>
      <w:r w:rsidRPr="00142181">
        <w:t>1961/1988; Williams,</w:t>
      </w:r>
      <w:r w:rsidRPr="00142181">
        <w:rPr>
          <w:rFonts w:ascii="Arial" w:hAnsi="Arial" w:cs="Arial"/>
        </w:rPr>
        <w:t> </w:t>
      </w:r>
      <w:r w:rsidRPr="00142181">
        <w:t xml:space="preserve">2023). Despite </w:t>
      </w:r>
      <w:r w:rsidRPr="00142181">
        <w:rPr>
          <w:rFonts w:ascii="Aptos" w:hAnsi="Aptos" w:cs="Aptos"/>
        </w:rPr>
        <w:t>“</w:t>
      </w:r>
      <w:r w:rsidRPr="00142181">
        <w:t>awareness</w:t>
      </w:r>
      <w:r w:rsidRPr="00142181">
        <w:rPr>
          <w:rFonts w:ascii="Aptos" w:hAnsi="Aptos" w:cs="Aptos"/>
        </w:rPr>
        <w:t>”</w:t>
      </w:r>
      <w:r w:rsidRPr="00142181">
        <w:t xml:space="preserve"> campaigns, neoliberal narratives emphasising personal resilience risk individualising distress and deflecting attention from social determinants (Ecclestone,</w:t>
      </w:r>
      <w:r w:rsidRPr="00142181">
        <w:rPr>
          <w:rFonts w:ascii="Arial" w:hAnsi="Arial" w:cs="Arial"/>
        </w:rPr>
        <w:t> </w:t>
      </w:r>
      <w:r w:rsidRPr="00142181">
        <w:t>2019; Stewart,</w:t>
      </w:r>
      <w:r w:rsidRPr="00142181">
        <w:rPr>
          <w:rFonts w:ascii="Arial" w:hAnsi="Arial" w:cs="Arial"/>
        </w:rPr>
        <w:t> </w:t>
      </w:r>
      <w:r w:rsidRPr="00142181">
        <w:t>2021). Intersectional research shows stigma is intensified where gender norms prioritise stoicism, cultural scripts interpret mental illness as moral weakness, or socio</w:t>
      </w:r>
      <w:r w:rsidRPr="00142181">
        <w:noBreakHyphen/>
        <w:t>economic deprivation limits mental</w:t>
      </w:r>
      <w:r w:rsidRPr="00142181">
        <w:noBreakHyphen/>
        <w:t>health literacy (Khan &amp;</w:t>
      </w:r>
      <w:r w:rsidRPr="00142181">
        <w:rPr>
          <w:rFonts w:ascii="Arial" w:hAnsi="Arial" w:cs="Arial"/>
        </w:rPr>
        <w:t> </w:t>
      </w:r>
      <w:r w:rsidRPr="00142181">
        <w:t>Ellis,</w:t>
      </w:r>
      <w:r w:rsidRPr="00142181">
        <w:rPr>
          <w:rFonts w:ascii="Arial" w:hAnsi="Arial" w:cs="Arial"/>
        </w:rPr>
        <w:t> </w:t>
      </w:r>
      <w:r w:rsidRPr="00142181">
        <w:t>2019; Patrick,</w:t>
      </w:r>
      <w:r w:rsidRPr="00142181">
        <w:rPr>
          <w:rFonts w:ascii="Arial" w:hAnsi="Arial" w:cs="Arial"/>
        </w:rPr>
        <w:t> </w:t>
      </w:r>
      <w:r w:rsidRPr="00142181">
        <w:t>2022).</w:t>
      </w:r>
    </w:p>
    <w:p w14:paraId="4671CF42" w14:textId="77777777" w:rsidR="00142181" w:rsidRDefault="00142181" w:rsidP="00142181">
      <w:pPr>
        <w:spacing w:line="360" w:lineRule="auto"/>
        <w:jc w:val="both"/>
      </w:pPr>
      <w:r w:rsidRPr="00142181">
        <w:rPr>
          <w:b/>
          <w:bCs/>
        </w:rPr>
        <w:t>Relevance to Research Question</w:t>
      </w:r>
    </w:p>
    <w:p w14:paraId="01774BC6" w14:textId="0D8F1DAB" w:rsidR="00142181" w:rsidRPr="00142181" w:rsidRDefault="00142181" w:rsidP="00142181">
      <w:pPr>
        <w:spacing w:line="360" w:lineRule="auto"/>
        <w:jc w:val="both"/>
      </w:pPr>
      <w:r w:rsidRPr="00142181">
        <w:lastRenderedPageBreak/>
        <w:t>The core research question asks how to achieve equitable access to youth mental</w:t>
      </w:r>
      <w:r w:rsidRPr="00142181">
        <w:noBreakHyphen/>
        <w:t>health support. Stigma directly thwarts this aim by deterring disclosure, delaying intervention, and eroding trust in services, thereby compounding other structural barriers such as digital exclusion and workforce shortages (Wu et</w:t>
      </w:r>
      <w:r w:rsidRPr="00142181">
        <w:rPr>
          <w:rFonts w:ascii="Arial" w:hAnsi="Arial" w:cs="Arial"/>
        </w:rPr>
        <w:t> </w:t>
      </w:r>
      <w:r w:rsidRPr="00142181">
        <w:t>al.,</w:t>
      </w:r>
      <w:r w:rsidRPr="00142181">
        <w:rPr>
          <w:rFonts w:ascii="Arial" w:hAnsi="Arial" w:cs="Arial"/>
        </w:rPr>
        <w:t> </w:t>
      </w:r>
      <w:r w:rsidRPr="00142181">
        <w:t>2021; Kings Fund,</w:t>
      </w:r>
      <w:r w:rsidRPr="00142181">
        <w:rPr>
          <w:rFonts w:ascii="Arial" w:hAnsi="Arial" w:cs="Arial"/>
        </w:rPr>
        <w:t> </w:t>
      </w:r>
      <w:r w:rsidRPr="00142181">
        <w:t>2023).</w:t>
      </w:r>
    </w:p>
    <w:p w14:paraId="3563A205" w14:textId="77777777" w:rsidR="00142181" w:rsidRPr="00142181" w:rsidRDefault="00142181" w:rsidP="00142181">
      <w:pPr>
        <w:spacing w:line="360" w:lineRule="auto"/>
        <w:jc w:val="both"/>
      </w:pPr>
      <w:r w:rsidRPr="00142181">
        <w:rPr>
          <w:b/>
          <w:bCs/>
        </w:rPr>
        <w:t>Statistical Information</w:t>
      </w:r>
    </w:p>
    <w:p w14:paraId="6F9E64BB" w14:textId="3F15762E" w:rsidR="00142181" w:rsidRPr="00142181" w:rsidRDefault="00142181" w:rsidP="00142181">
      <w:pPr>
        <w:numPr>
          <w:ilvl w:val="0"/>
          <w:numId w:val="2"/>
        </w:numPr>
        <w:spacing w:line="360" w:lineRule="auto"/>
        <w:jc w:val="both"/>
      </w:pPr>
      <w:r w:rsidRPr="00142181">
        <w:rPr>
          <w:b/>
          <w:bCs/>
        </w:rPr>
        <w:t>34</w:t>
      </w:r>
      <w:r w:rsidRPr="00142181">
        <w:rPr>
          <w:rFonts w:ascii="Arial" w:hAnsi="Arial" w:cs="Arial"/>
          <w:b/>
          <w:bCs/>
        </w:rPr>
        <w:t> </w:t>
      </w:r>
      <w:r w:rsidRPr="00142181">
        <w:rPr>
          <w:b/>
          <w:bCs/>
        </w:rPr>
        <w:t>%</w:t>
      </w:r>
      <w:r w:rsidRPr="00142181">
        <w:t xml:space="preserve"> of 14–18</w:t>
      </w:r>
      <w:r w:rsidRPr="00142181">
        <w:noBreakHyphen/>
        <w:t>year</w:t>
      </w:r>
      <w:r w:rsidRPr="00142181">
        <w:noBreakHyphen/>
        <w:t>olds with anxiety avoid formal help due to fear of judgement (</w:t>
      </w:r>
      <w:proofErr w:type="spellStart"/>
      <w:r w:rsidRPr="00142181">
        <w:t>YoungMinds</w:t>
      </w:r>
      <w:proofErr w:type="spellEnd"/>
      <w:r w:rsidRPr="00142181">
        <w:t>,</w:t>
      </w:r>
      <w:r w:rsidRPr="00142181">
        <w:rPr>
          <w:rFonts w:ascii="Arial" w:hAnsi="Arial" w:cs="Arial"/>
        </w:rPr>
        <w:t> </w:t>
      </w:r>
      <w:r w:rsidRPr="00142181">
        <w:t>2022; NHS Digital,</w:t>
      </w:r>
      <w:r w:rsidRPr="00142181">
        <w:rPr>
          <w:rFonts w:ascii="Arial" w:hAnsi="Arial" w:cs="Arial"/>
        </w:rPr>
        <w:t> </w:t>
      </w:r>
      <w:r w:rsidRPr="00142181">
        <w:t>2023).</w:t>
      </w:r>
    </w:p>
    <w:p w14:paraId="2A8B4BAD" w14:textId="77777777" w:rsidR="00142181" w:rsidRPr="00142181" w:rsidRDefault="00142181" w:rsidP="00142181">
      <w:pPr>
        <w:numPr>
          <w:ilvl w:val="0"/>
          <w:numId w:val="2"/>
        </w:numPr>
        <w:spacing w:line="360" w:lineRule="auto"/>
        <w:jc w:val="both"/>
      </w:pPr>
      <w:r w:rsidRPr="00142181">
        <w:t>Boys aged</w:t>
      </w:r>
      <w:r w:rsidRPr="00142181">
        <w:rPr>
          <w:rFonts w:ascii="Arial" w:hAnsi="Arial" w:cs="Arial"/>
        </w:rPr>
        <w:t> </w:t>
      </w:r>
      <w:r w:rsidRPr="00142181">
        <w:t>15</w:t>
      </w:r>
      <w:r w:rsidRPr="00142181">
        <w:rPr>
          <w:rFonts w:ascii="Aptos" w:hAnsi="Aptos" w:cs="Aptos"/>
        </w:rPr>
        <w:t>–</w:t>
      </w:r>
      <w:r w:rsidRPr="00142181">
        <w:t xml:space="preserve">17 report a </w:t>
      </w:r>
      <w:r w:rsidRPr="00142181">
        <w:rPr>
          <w:b/>
          <w:bCs/>
        </w:rPr>
        <w:t>42</w:t>
      </w:r>
      <w:r w:rsidRPr="00142181">
        <w:rPr>
          <w:rFonts w:ascii="Arial" w:hAnsi="Arial" w:cs="Arial"/>
          <w:b/>
          <w:bCs/>
        </w:rPr>
        <w:t> </w:t>
      </w:r>
      <w:r w:rsidRPr="00142181">
        <w:rPr>
          <w:b/>
          <w:bCs/>
        </w:rPr>
        <w:t>%</w:t>
      </w:r>
      <w:r w:rsidRPr="00142181">
        <w:t xml:space="preserve"> help</w:t>
      </w:r>
      <w:r w:rsidRPr="00142181">
        <w:noBreakHyphen/>
        <w:t>seeking deficit compared with girls, citing expectations of toughness (Ofqual,</w:t>
      </w:r>
      <w:r w:rsidRPr="00142181">
        <w:rPr>
          <w:rFonts w:ascii="Arial" w:hAnsi="Arial" w:cs="Arial"/>
        </w:rPr>
        <w:t> </w:t>
      </w:r>
      <w:r w:rsidRPr="00142181">
        <w:t>2023; Maxwell,</w:t>
      </w:r>
      <w:r w:rsidRPr="00142181">
        <w:rPr>
          <w:rFonts w:ascii="Arial" w:hAnsi="Arial" w:cs="Arial"/>
        </w:rPr>
        <w:t> </w:t>
      </w:r>
      <w:r w:rsidRPr="00142181">
        <w:t>2020).</w:t>
      </w:r>
    </w:p>
    <w:p w14:paraId="3CE2FB7F" w14:textId="77777777" w:rsidR="00142181" w:rsidRPr="00142181" w:rsidRDefault="00142181" w:rsidP="00142181">
      <w:pPr>
        <w:numPr>
          <w:ilvl w:val="0"/>
          <w:numId w:val="2"/>
        </w:numPr>
        <w:spacing w:line="360" w:lineRule="auto"/>
        <w:jc w:val="both"/>
      </w:pPr>
      <w:r w:rsidRPr="00142181">
        <w:t>In the most deprived quintile of English LAs, self</w:t>
      </w:r>
      <w:r w:rsidRPr="00142181">
        <w:noBreakHyphen/>
        <w:t xml:space="preserve">reported stigma is </w:t>
      </w:r>
      <w:r w:rsidRPr="00142181">
        <w:rPr>
          <w:b/>
          <w:bCs/>
        </w:rPr>
        <w:t>1.7×</w:t>
      </w:r>
      <w:r w:rsidRPr="00142181">
        <w:t xml:space="preserve"> higher than in the least deprived (ONS,</w:t>
      </w:r>
      <w:r w:rsidRPr="00142181">
        <w:rPr>
          <w:rFonts w:ascii="Arial" w:hAnsi="Arial" w:cs="Arial"/>
        </w:rPr>
        <w:t> </w:t>
      </w:r>
      <w:r w:rsidRPr="00142181">
        <w:t>2022; Patrick,</w:t>
      </w:r>
      <w:r w:rsidRPr="00142181">
        <w:rPr>
          <w:rFonts w:ascii="Arial" w:hAnsi="Arial" w:cs="Arial"/>
        </w:rPr>
        <w:t> </w:t>
      </w:r>
      <w:r w:rsidRPr="00142181">
        <w:t>2022).</w:t>
      </w:r>
      <w:r w:rsidRPr="00142181">
        <w:br/>
        <w:t>These figures underscore stigma</w:t>
      </w:r>
      <w:r w:rsidRPr="00142181">
        <w:rPr>
          <w:rFonts w:ascii="Aptos" w:hAnsi="Aptos" w:cs="Aptos"/>
        </w:rPr>
        <w:t>’</w:t>
      </w:r>
      <w:r w:rsidRPr="00142181">
        <w:t>s entanglement with class and gender, challenging universalist anti</w:t>
      </w:r>
      <w:r w:rsidRPr="00142181">
        <w:noBreakHyphen/>
        <w:t>stigma messaging.</w:t>
      </w:r>
    </w:p>
    <w:p w14:paraId="3EB34E5B" w14:textId="77777777" w:rsidR="00142181" w:rsidRDefault="00142181" w:rsidP="00142181">
      <w:pPr>
        <w:spacing w:line="360" w:lineRule="auto"/>
        <w:jc w:val="both"/>
      </w:pPr>
      <w:r w:rsidRPr="00142181">
        <w:rPr>
          <w:b/>
          <w:bCs/>
        </w:rPr>
        <w:t>Theory, Policy &amp; Legislation</w:t>
      </w:r>
    </w:p>
    <w:p w14:paraId="6AD71432" w14:textId="02602D37" w:rsidR="00142181" w:rsidRPr="00142181" w:rsidRDefault="00142181" w:rsidP="00142181">
      <w:pPr>
        <w:spacing w:line="360" w:lineRule="auto"/>
        <w:jc w:val="both"/>
      </w:pPr>
      <w:r w:rsidRPr="00142181">
        <w:t>Labelling Theory argues diagnostic categories create deviant identities that can be self</w:t>
      </w:r>
      <w:r w:rsidRPr="00142181">
        <w:noBreakHyphen/>
        <w:t>fulfilling (Becker,</w:t>
      </w:r>
      <w:r w:rsidRPr="00142181">
        <w:rPr>
          <w:rFonts w:ascii="Arial" w:hAnsi="Arial" w:cs="Arial"/>
        </w:rPr>
        <w:t> </w:t>
      </w:r>
      <w:r w:rsidRPr="00142181">
        <w:t>1963; Link,</w:t>
      </w:r>
      <w:r w:rsidRPr="00142181">
        <w:rPr>
          <w:rFonts w:ascii="Arial" w:hAnsi="Arial" w:cs="Arial"/>
        </w:rPr>
        <w:t> </w:t>
      </w:r>
      <w:r w:rsidRPr="00142181">
        <w:t>1987). Foucauldian analyses emphasise how psychiatric labels regulate populations under neoliberal governance (Rose,</w:t>
      </w:r>
      <w:r w:rsidRPr="00142181">
        <w:rPr>
          <w:rFonts w:ascii="Arial" w:hAnsi="Arial" w:cs="Arial"/>
        </w:rPr>
        <w:t> </w:t>
      </w:r>
      <w:r w:rsidRPr="00142181">
        <w:t>1999; Busfield,</w:t>
      </w:r>
      <w:r w:rsidRPr="00142181">
        <w:rPr>
          <w:rFonts w:ascii="Arial" w:hAnsi="Arial" w:cs="Arial"/>
        </w:rPr>
        <w:t> </w:t>
      </w:r>
      <w:r w:rsidRPr="00142181">
        <w:t xml:space="preserve">2020). The </w:t>
      </w:r>
      <w:r w:rsidRPr="00142181">
        <w:rPr>
          <w:i/>
          <w:iCs/>
        </w:rPr>
        <w:t>Time to Change</w:t>
      </w:r>
      <w:r w:rsidRPr="00142181">
        <w:t xml:space="preserve"> campaign achieved modest attitude shifts but lacked intersectional nuance and sustained funding (Thornicroft et</w:t>
      </w:r>
      <w:r w:rsidRPr="00142181">
        <w:rPr>
          <w:rFonts w:ascii="Arial" w:hAnsi="Arial" w:cs="Arial"/>
        </w:rPr>
        <w:t> </w:t>
      </w:r>
      <w:r w:rsidRPr="00142181">
        <w:t>al.,</w:t>
      </w:r>
      <w:r w:rsidRPr="00142181">
        <w:rPr>
          <w:rFonts w:ascii="Arial" w:hAnsi="Arial" w:cs="Arial"/>
        </w:rPr>
        <w:t> </w:t>
      </w:r>
      <w:r w:rsidRPr="00142181">
        <w:t>2022; DHSC,</w:t>
      </w:r>
      <w:r w:rsidRPr="00142181">
        <w:rPr>
          <w:rFonts w:ascii="Arial" w:hAnsi="Arial" w:cs="Arial"/>
        </w:rPr>
        <w:t> </w:t>
      </w:r>
      <w:r w:rsidRPr="00142181">
        <w:t>2021). The Mental Health Act</w:t>
      </w:r>
      <w:r w:rsidRPr="00142181">
        <w:rPr>
          <w:rFonts w:ascii="Arial" w:hAnsi="Arial" w:cs="Arial"/>
        </w:rPr>
        <w:t> </w:t>
      </w:r>
      <w:r w:rsidRPr="00142181">
        <w:t>(1983) and Equality Act</w:t>
      </w:r>
      <w:r w:rsidRPr="00142181">
        <w:rPr>
          <w:rFonts w:ascii="Arial" w:hAnsi="Arial" w:cs="Arial"/>
        </w:rPr>
        <w:t> </w:t>
      </w:r>
      <w:r w:rsidRPr="00142181">
        <w:t xml:space="preserve">(2010) prohibit discrimination, yet structural stigma persists in disciplinary practices such as </w:t>
      </w:r>
      <w:r w:rsidRPr="00142181">
        <w:rPr>
          <w:rFonts w:ascii="Aptos" w:hAnsi="Aptos" w:cs="Aptos"/>
        </w:rPr>
        <w:t>“</w:t>
      </w:r>
      <w:r w:rsidRPr="00142181">
        <w:t>no wrong door</w:t>
      </w:r>
      <w:r w:rsidRPr="00142181">
        <w:rPr>
          <w:rFonts w:ascii="Aptos" w:hAnsi="Aptos" w:cs="Aptos"/>
        </w:rPr>
        <w:t>”</w:t>
      </w:r>
      <w:r w:rsidRPr="00142181">
        <w:t xml:space="preserve"> triage that penalises behavioural presentations (Taylor,</w:t>
      </w:r>
      <w:r w:rsidRPr="00142181">
        <w:rPr>
          <w:rFonts w:ascii="Arial" w:hAnsi="Arial" w:cs="Arial"/>
        </w:rPr>
        <w:t> </w:t>
      </w:r>
      <w:r w:rsidRPr="00142181">
        <w:t>2022; House of Commons,</w:t>
      </w:r>
      <w:r w:rsidRPr="00142181">
        <w:rPr>
          <w:rFonts w:ascii="Arial" w:hAnsi="Arial" w:cs="Arial"/>
        </w:rPr>
        <w:t> </w:t>
      </w:r>
      <w:r w:rsidRPr="00142181">
        <w:t>2023).</w:t>
      </w:r>
    </w:p>
    <w:p w14:paraId="451CDF87" w14:textId="77777777" w:rsidR="00142181" w:rsidRDefault="00142181" w:rsidP="00142181">
      <w:pPr>
        <w:spacing w:line="360" w:lineRule="auto"/>
        <w:jc w:val="both"/>
      </w:pPr>
      <w:r w:rsidRPr="00142181">
        <w:rPr>
          <w:b/>
          <w:bCs/>
        </w:rPr>
        <w:t xml:space="preserve">Implications </w:t>
      </w:r>
    </w:p>
    <w:p w14:paraId="582EB2EE" w14:textId="032FBD39" w:rsidR="00142181" w:rsidRPr="00142181" w:rsidRDefault="00142181" w:rsidP="00142181">
      <w:pPr>
        <w:spacing w:line="360" w:lineRule="auto"/>
        <w:jc w:val="both"/>
      </w:pPr>
      <w:r w:rsidRPr="00142181">
        <w:rPr>
          <w:i/>
          <w:iCs/>
        </w:rPr>
        <w:t>Positive:</w:t>
      </w:r>
      <w:r w:rsidRPr="00142181">
        <w:t xml:space="preserve"> Peer</w:t>
      </w:r>
      <w:r w:rsidRPr="00142181">
        <w:noBreakHyphen/>
        <w:t>led interventions and contact</w:t>
      </w:r>
      <w:r w:rsidRPr="00142181">
        <w:noBreakHyphen/>
        <w:t>based education reduce self</w:t>
      </w:r>
      <w:r w:rsidRPr="00142181">
        <w:noBreakHyphen/>
        <w:t>stigma and improve help</w:t>
      </w:r>
      <w:r w:rsidRPr="00142181">
        <w:noBreakHyphen/>
        <w:t xml:space="preserve">seeking intentions by up to </w:t>
      </w:r>
      <w:r w:rsidRPr="00142181">
        <w:rPr>
          <w:b/>
          <w:bCs/>
        </w:rPr>
        <w:t>30</w:t>
      </w:r>
      <w:r w:rsidRPr="00142181">
        <w:rPr>
          <w:rFonts w:ascii="Arial" w:hAnsi="Arial" w:cs="Arial"/>
          <w:b/>
          <w:bCs/>
        </w:rPr>
        <w:t> </w:t>
      </w:r>
      <w:r w:rsidRPr="00142181">
        <w:rPr>
          <w:b/>
          <w:bCs/>
        </w:rPr>
        <w:t>%</w:t>
      </w:r>
      <w:r w:rsidRPr="00142181">
        <w:t xml:space="preserve"> (Maxwell,</w:t>
      </w:r>
      <w:r w:rsidRPr="00142181">
        <w:rPr>
          <w:rFonts w:ascii="Arial" w:hAnsi="Arial" w:cs="Arial"/>
        </w:rPr>
        <w:t> </w:t>
      </w:r>
      <w:r w:rsidRPr="00142181">
        <w:t>2020; Wu</w:t>
      </w:r>
      <w:r w:rsidRPr="00142181">
        <w:rPr>
          <w:rFonts w:ascii="Aptos" w:hAnsi="Aptos" w:cs="Aptos"/>
        </w:rPr>
        <w:t> </w:t>
      </w:r>
      <w:r w:rsidRPr="00142181">
        <w:t>et</w:t>
      </w:r>
      <w:r w:rsidRPr="00142181">
        <w:rPr>
          <w:rFonts w:ascii="Arial" w:hAnsi="Arial" w:cs="Arial"/>
        </w:rPr>
        <w:t> </w:t>
      </w:r>
      <w:r w:rsidRPr="00142181">
        <w:t>al.,</w:t>
      </w:r>
      <w:r w:rsidRPr="00142181">
        <w:rPr>
          <w:rFonts w:ascii="Arial" w:hAnsi="Arial" w:cs="Arial"/>
        </w:rPr>
        <w:t> </w:t>
      </w:r>
      <w:r w:rsidRPr="00142181">
        <w:t>2021).</w:t>
      </w:r>
      <w:r w:rsidRPr="00142181">
        <w:br/>
      </w:r>
      <w:r w:rsidRPr="00142181">
        <w:rPr>
          <w:i/>
          <w:iCs/>
        </w:rPr>
        <w:t>Negative:</w:t>
      </w:r>
      <w:r w:rsidRPr="00142181">
        <w:t xml:space="preserve"> Superficial awareness drives can backfire when not matched by accessible services, generating frustration and cynicism (Patrick,</w:t>
      </w:r>
      <w:r w:rsidRPr="00142181">
        <w:rPr>
          <w:rFonts w:ascii="Arial" w:hAnsi="Arial" w:cs="Arial"/>
        </w:rPr>
        <w:t> </w:t>
      </w:r>
      <w:r w:rsidRPr="00142181">
        <w:t>2022; Noble,</w:t>
      </w:r>
      <w:r w:rsidRPr="00142181">
        <w:rPr>
          <w:rFonts w:ascii="Arial" w:hAnsi="Arial" w:cs="Arial"/>
        </w:rPr>
        <w:t> </w:t>
      </w:r>
      <w:r w:rsidRPr="00142181">
        <w:t xml:space="preserve">2018). Structural </w:t>
      </w:r>
      <w:r w:rsidRPr="00142181">
        <w:lastRenderedPageBreak/>
        <w:t>stigma also shapes commissioning priorities</w:t>
      </w:r>
      <w:r>
        <w:rPr>
          <w:rFonts w:ascii="Aptos" w:hAnsi="Aptos" w:cs="Aptos"/>
        </w:rPr>
        <w:t xml:space="preserve">,  </w:t>
      </w:r>
      <w:r w:rsidRPr="00142181">
        <w:t xml:space="preserve">services in deprived areas often framed as </w:t>
      </w:r>
      <w:r w:rsidRPr="00142181">
        <w:rPr>
          <w:rFonts w:ascii="Aptos" w:hAnsi="Aptos" w:cs="Aptos"/>
        </w:rPr>
        <w:t>“</w:t>
      </w:r>
      <w:r w:rsidRPr="00142181">
        <w:t>high</w:t>
      </w:r>
      <w:r w:rsidRPr="00142181">
        <w:noBreakHyphen/>
        <w:t>risk</w:t>
      </w:r>
      <w:r w:rsidRPr="00142181">
        <w:rPr>
          <w:rFonts w:ascii="Aptos" w:hAnsi="Aptos" w:cs="Aptos"/>
        </w:rPr>
        <w:t>”</w:t>
      </w:r>
      <w:r w:rsidRPr="00142181">
        <w:t xml:space="preserve"> rather than entitled to parity (Taylor</w:t>
      </w:r>
      <w:r w:rsidRPr="00142181">
        <w:noBreakHyphen/>
        <w:t>Gooby,</w:t>
      </w:r>
      <w:r w:rsidRPr="00142181">
        <w:rPr>
          <w:rFonts w:ascii="Arial" w:hAnsi="Arial" w:cs="Arial"/>
        </w:rPr>
        <w:t> </w:t>
      </w:r>
      <w:r w:rsidRPr="00142181">
        <w:t>2019; Roberts</w:t>
      </w:r>
      <w:r w:rsidRPr="00142181">
        <w:rPr>
          <w:rFonts w:ascii="Aptos" w:hAnsi="Aptos" w:cs="Aptos"/>
        </w:rPr>
        <w:t> </w:t>
      </w:r>
      <w:r w:rsidRPr="00142181">
        <w:t>et</w:t>
      </w:r>
      <w:r w:rsidRPr="00142181">
        <w:rPr>
          <w:rFonts w:ascii="Arial" w:hAnsi="Arial" w:cs="Arial"/>
        </w:rPr>
        <w:t> </w:t>
      </w:r>
      <w:r w:rsidRPr="00142181">
        <w:t>al.,</w:t>
      </w:r>
      <w:r w:rsidRPr="00142181">
        <w:rPr>
          <w:rFonts w:ascii="Arial" w:hAnsi="Arial" w:cs="Arial"/>
        </w:rPr>
        <w:t> </w:t>
      </w:r>
      <w:r w:rsidRPr="00142181">
        <w:t>2021).</w:t>
      </w:r>
    </w:p>
    <w:p w14:paraId="232C6796" w14:textId="77777777" w:rsidR="00142181" w:rsidRDefault="00142181" w:rsidP="00142181">
      <w:pPr>
        <w:spacing w:line="360" w:lineRule="auto"/>
        <w:jc w:val="both"/>
      </w:pPr>
      <w:r w:rsidRPr="00142181">
        <w:rPr>
          <w:b/>
          <w:bCs/>
        </w:rPr>
        <w:t>Examples from Articles</w:t>
      </w:r>
    </w:p>
    <w:p w14:paraId="12933C8A" w14:textId="0E3505CE" w:rsidR="00142181" w:rsidRPr="00142181" w:rsidRDefault="00142181" w:rsidP="00142181">
      <w:pPr>
        <w:spacing w:line="360" w:lineRule="auto"/>
        <w:jc w:val="both"/>
      </w:pPr>
      <w:r w:rsidRPr="00142181">
        <w:t>Khan &amp;</w:t>
      </w:r>
      <w:r w:rsidRPr="00142181">
        <w:rPr>
          <w:rFonts w:ascii="Arial" w:hAnsi="Arial" w:cs="Arial"/>
        </w:rPr>
        <w:t> </w:t>
      </w:r>
      <w:r w:rsidRPr="00142181">
        <w:t xml:space="preserve">Ellis (2019) demonstrate hegemonic masculinity amplifies shame among British Pakistani boys, reducing counselling uptake by </w:t>
      </w:r>
      <w:r w:rsidRPr="00142181">
        <w:rPr>
          <w:b/>
          <w:bCs/>
        </w:rPr>
        <w:t>28</w:t>
      </w:r>
      <w:r w:rsidRPr="00142181">
        <w:rPr>
          <w:rFonts w:ascii="Arial" w:hAnsi="Arial" w:cs="Arial"/>
          <w:b/>
          <w:bCs/>
        </w:rPr>
        <w:t> </w:t>
      </w:r>
      <w:r w:rsidRPr="00142181">
        <w:rPr>
          <w:b/>
          <w:bCs/>
        </w:rPr>
        <w:t>%</w:t>
      </w:r>
      <w:r w:rsidRPr="00142181">
        <w:t xml:space="preserve"> relative to peers (Ahmed,</w:t>
      </w:r>
      <w:r w:rsidRPr="00142181">
        <w:rPr>
          <w:rFonts w:ascii="Arial" w:hAnsi="Arial" w:cs="Arial"/>
        </w:rPr>
        <w:t> </w:t>
      </w:r>
      <w:r w:rsidRPr="00142181">
        <w:t>2021). Bibi</w:t>
      </w:r>
      <w:r w:rsidRPr="00142181">
        <w:rPr>
          <w:rFonts w:ascii="Aptos" w:hAnsi="Aptos" w:cs="Aptos"/>
        </w:rPr>
        <w:t> </w:t>
      </w:r>
      <w:r w:rsidRPr="00142181">
        <w:t>et</w:t>
      </w:r>
      <w:r w:rsidRPr="00142181">
        <w:rPr>
          <w:rFonts w:ascii="Arial" w:hAnsi="Arial" w:cs="Arial"/>
        </w:rPr>
        <w:t> </w:t>
      </w:r>
      <w:r w:rsidRPr="00142181">
        <w:t>al.</w:t>
      </w:r>
      <w:r w:rsidRPr="00142181">
        <w:rPr>
          <w:rFonts w:ascii="Aptos" w:hAnsi="Aptos" w:cs="Aptos"/>
        </w:rPr>
        <w:t> </w:t>
      </w:r>
      <w:r w:rsidRPr="00142181">
        <w:t>(2021) show anonymous e</w:t>
      </w:r>
      <w:r w:rsidRPr="00142181">
        <w:noBreakHyphen/>
        <w:t>forums decrease public</w:t>
      </w:r>
      <w:r w:rsidRPr="00142181">
        <w:noBreakHyphen/>
        <w:t>stigma anxiety but remain inaccessible to digitally excluded youth (Theme</w:t>
      </w:r>
      <w:r w:rsidRPr="00142181">
        <w:rPr>
          <w:rFonts w:ascii="Arial" w:hAnsi="Arial" w:cs="Arial"/>
        </w:rPr>
        <w:t> </w:t>
      </w:r>
      <w:r w:rsidRPr="00142181">
        <w:t>1). Wu</w:t>
      </w:r>
      <w:r w:rsidRPr="00142181">
        <w:rPr>
          <w:rFonts w:ascii="Aptos" w:hAnsi="Aptos" w:cs="Aptos"/>
        </w:rPr>
        <w:t> </w:t>
      </w:r>
      <w:r w:rsidRPr="00142181">
        <w:t>et</w:t>
      </w:r>
      <w:r w:rsidRPr="00142181">
        <w:rPr>
          <w:rFonts w:ascii="Arial" w:hAnsi="Arial" w:cs="Arial"/>
        </w:rPr>
        <w:t> </w:t>
      </w:r>
      <w:r w:rsidRPr="00142181">
        <w:t>al.</w:t>
      </w:r>
      <w:r w:rsidRPr="00142181">
        <w:rPr>
          <w:rFonts w:ascii="Aptos" w:hAnsi="Aptos" w:cs="Aptos"/>
        </w:rPr>
        <w:t> </w:t>
      </w:r>
      <w:r w:rsidRPr="00142181">
        <w:t>(2021) provide longitudinal evidence that peer normalisation predicts sustained engagement six months post</w:t>
      </w:r>
      <w:r w:rsidRPr="00142181">
        <w:noBreakHyphen/>
        <w:t>intervention (</w:t>
      </w:r>
      <w:proofErr w:type="spellStart"/>
      <w:r w:rsidRPr="00142181">
        <w:t>YoungMinds</w:t>
      </w:r>
      <w:proofErr w:type="spellEnd"/>
      <w:r w:rsidRPr="00142181">
        <w:t>,</w:t>
      </w:r>
      <w:r w:rsidRPr="00142181">
        <w:rPr>
          <w:rFonts w:ascii="Arial" w:hAnsi="Arial" w:cs="Arial"/>
        </w:rPr>
        <w:t> </w:t>
      </w:r>
      <w:r w:rsidRPr="00142181">
        <w:t>2022).</w:t>
      </w:r>
    </w:p>
    <w:p w14:paraId="3462D247" w14:textId="77777777" w:rsidR="00142181" w:rsidRDefault="00142181" w:rsidP="00142181">
      <w:pPr>
        <w:spacing w:line="360" w:lineRule="auto"/>
        <w:jc w:val="both"/>
      </w:pPr>
      <w:r w:rsidRPr="00142181">
        <w:rPr>
          <w:b/>
          <w:bCs/>
        </w:rPr>
        <w:t>Connections to Other Themes</w:t>
      </w:r>
    </w:p>
    <w:p w14:paraId="35863913" w14:textId="3D7B0B07" w:rsidR="00142181" w:rsidRPr="00142181" w:rsidRDefault="00142181" w:rsidP="00142181">
      <w:pPr>
        <w:spacing w:line="360" w:lineRule="auto"/>
        <w:jc w:val="both"/>
      </w:pPr>
      <w:r w:rsidRPr="00142181">
        <w:t xml:space="preserve">Stigma magnifies digital inequality when privacy concerns deter platform use in shared or </w:t>
      </w:r>
      <w:proofErr w:type="spellStart"/>
      <w:r w:rsidRPr="00142181">
        <w:t>surveilled</w:t>
      </w:r>
      <w:proofErr w:type="spellEnd"/>
      <w:r w:rsidRPr="00142181">
        <w:t xml:space="preserve"> homes (Theme</w:t>
      </w:r>
      <w:r w:rsidRPr="00142181">
        <w:rPr>
          <w:rFonts w:ascii="Arial" w:hAnsi="Arial" w:cs="Arial"/>
        </w:rPr>
        <w:t> </w:t>
      </w:r>
      <w:r w:rsidRPr="00142181">
        <w:t>1) (Livingstone,</w:t>
      </w:r>
      <w:r w:rsidRPr="00142181">
        <w:rPr>
          <w:rFonts w:ascii="Arial" w:hAnsi="Arial" w:cs="Arial"/>
        </w:rPr>
        <w:t> </w:t>
      </w:r>
      <w:r w:rsidRPr="00142181">
        <w:t>2020; Lewis</w:t>
      </w:r>
      <w:r w:rsidRPr="00142181">
        <w:rPr>
          <w:rFonts w:ascii="Aptos" w:hAnsi="Aptos" w:cs="Aptos"/>
        </w:rPr>
        <w:t> </w:t>
      </w:r>
      <w:r w:rsidRPr="00142181">
        <w:t>et</w:t>
      </w:r>
      <w:r w:rsidRPr="00142181">
        <w:rPr>
          <w:rFonts w:ascii="Arial" w:hAnsi="Arial" w:cs="Arial"/>
        </w:rPr>
        <w:t> </w:t>
      </w:r>
      <w:r w:rsidRPr="00142181">
        <w:t>al.,</w:t>
      </w:r>
      <w:r w:rsidRPr="00142181">
        <w:rPr>
          <w:rFonts w:ascii="Arial" w:hAnsi="Arial" w:cs="Arial"/>
        </w:rPr>
        <w:t> </w:t>
      </w:r>
      <w:r w:rsidRPr="00142181">
        <w:t>2021). It also inflates workforce pressures (Theme</w:t>
      </w:r>
      <w:r w:rsidRPr="00142181">
        <w:rPr>
          <w:rFonts w:ascii="Arial" w:hAnsi="Arial" w:cs="Arial"/>
        </w:rPr>
        <w:t> </w:t>
      </w:r>
      <w:r w:rsidRPr="00142181">
        <w:t>3) by increasing crisis</w:t>
      </w:r>
      <w:r w:rsidRPr="00142181">
        <w:noBreakHyphen/>
        <w:t>stage referrals, escalating practitioner burnout (RCP,</w:t>
      </w:r>
      <w:r w:rsidRPr="00142181">
        <w:rPr>
          <w:rFonts w:ascii="Arial" w:hAnsi="Arial" w:cs="Arial"/>
        </w:rPr>
        <w:t> </w:t>
      </w:r>
      <w:r w:rsidRPr="00142181">
        <w:t>2021; NHS England,</w:t>
      </w:r>
      <w:r w:rsidRPr="00142181">
        <w:rPr>
          <w:rFonts w:ascii="Arial" w:hAnsi="Arial" w:cs="Arial"/>
        </w:rPr>
        <w:t> </w:t>
      </w:r>
      <w:r w:rsidRPr="00142181">
        <w:t>2023). Thus, anti</w:t>
      </w:r>
      <w:r w:rsidRPr="00142181">
        <w:noBreakHyphen/>
        <w:t>stigma policy must coordinate with structural reforms to avoid burden shifting.</w:t>
      </w:r>
    </w:p>
    <w:p w14:paraId="7E1262CE" w14:textId="77777777" w:rsidR="00142181" w:rsidRDefault="00142181" w:rsidP="00142181">
      <w:pPr>
        <w:spacing w:line="360" w:lineRule="auto"/>
        <w:jc w:val="both"/>
      </w:pPr>
      <w:r w:rsidRPr="00142181">
        <w:rPr>
          <w:b/>
          <w:bCs/>
        </w:rPr>
        <w:t>Reflective Summary</w:t>
      </w:r>
    </w:p>
    <w:p w14:paraId="7948578E" w14:textId="30CE86B4" w:rsidR="00142181" w:rsidRPr="00142181" w:rsidRDefault="00142181" w:rsidP="00142181">
      <w:pPr>
        <w:spacing w:line="360" w:lineRule="auto"/>
        <w:jc w:val="both"/>
      </w:pPr>
      <w:r w:rsidRPr="00142181">
        <w:t>Stigma is not merely an attitudinal barrier but a structural mechanism reproducing health inequity. Effective solutions must integrate intersectional, culturally competent strategies with service reforms; otherwise, awareness without access risks perpetuating the very disparities it seeks to dismantle.</w:t>
      </w:r>
    </w:p>
    <w:p w14:paraId="159DEED3" w14:textId="04519AC3" w:rsidR="00142181" w:rsidRPr="00142181" w:rsidRDefault="00142181" w:rsidP="00142181">
      <w:pPr>
        <w:spacing w:line="360" w:lineRule="auto"/>
        <w:jc w:val="both"/>
      </w:pPr>
      <w:r w:rsidRPr="00142181">
        <w:rPr>
          <w:b/>
          <w:bCs/>
        </w:rPr>
        <w:t>4.5 – Theme</w:t>
      </w:r>
      <w:r w:rsidRPr="00142181">
        <w:rPr>
          <w:rFonts w:ascii="Arial" w:hAnsi="Arial" w:cs="Arial"/>
          <w:b/>
          <w:bCs/>
        </w:rPr>
        <w:t> </w:t>
      </w:r>
      <w:r w:rsidRPr="00142181">
        <w:rPr>
          <w:b/>
          <w:bCs/>
        </w:rPr>
        <w:t>3: Service Availability &amp; Geographic Accessibility</w:t>
      </w:r>
    </w:p>
    <w:p w14:paraId="07B64113" w14:textId="77777777" w:rsidR="00142181" w:rsidRDefault="00142181" w:rsidP="00142181">
      <w:pPr>
        <w:spacing w:line="360" w:lineRule="auto"/>
        <w:jc w:val="both"/>
        <w:rPr>
          <w:b/>
          <w:bCs/>
        </w:rPr>
      </w:pPr>
      <w:r w:rsidRPr="00142181">
        <w:rPr>
          <w:b/>
          <w:bCs/>
        </w:rPr>
        <w:t>Definition / Scope</w:t>
      </w:r>
    </w:p>
    <w:p w14:paraId="66DFC641" w14:textId="78D11241" w:rsidR="00142181" w:rsidRPr="00142181" w:rsidRDefault="00142181" w:rsidP="00142181">
      <w:pPr>
        <w:spacing w:line="360" w:lineRule="auto"/>
        <w:jc w:val="both"/>
      </w:pPr>
      <w:r w:rsidRPr="00142181">
        <w:t>Service availability refers to the presence and capacity of mental</w:t>
      </w:r>
      <w:r w:rsidRPr="00142181">
        <w:noBreakHyphen/>
        <w:t>health provision; accessibility denotes the practical and socio</w:t>
      </w:r>
      <w:r w:rsidRPr="00142181">
        <w:noBreakHyphen/>
        <w:t>cultural ease of utilisation (NICE,</w:t>
      </w:r>
      <w:r w:rsidRPr="00142181">
        <w:rPr>
          <w:rFonts w:ascii="Arial" w:hAnsi="Arial" w:cs="Arial"/>
        </w:rPr>
        <w:t> </w:t>
      </w:r>
      <w:r w:rsidRPr="00142181">
        <w:t>2019; WHO,</w:t>
      </w:r>
      <w:r w:rsidRPr="00142181">
        <w:rPr>
          <w:rFonts w:ascii="Arial" w:hAnsi="Arial" w:cs="Arial"/>
        </w:rPr>
        <w:t> </w:t>
      </w:r>
      <w:r w:rsidRPr="00142181">
        <w:t xml:space="preserve">2021). The </w:t>
      </w:r>
      <w:r w:rsidRPr="00142181">
        <w:rPr>
          <w:i/>
          <w:iCs/>
        </w:rPr>
        <w:t>Inverse Care Law</w:t>
      </w:r>
      <w:r w:rsidRPr="00142181">
        <w:t xml:space="preserve"> asserts that those most in need receive the least care where market forces prevail (Hart,</w:t>
      </w:r>
      <w:r w:rsidRPr="00142181">
        <w:rPr>
          <w:rFonts w:ascii="Arial" w:hAnsi="Arial" w:cs="Arial"/>
        </w:rPr>
        <w:t> </w:t>
      </w:r>
      <w:r w:rsidRPr="00142181">
        <w:t>1971; Watt,</w:t>
      </w:r>
      <w:r w:rsidRPr="00142181">
        <w:rPr>
          <w:rFonts w:ascii="Arial" w:hAnsi="Arial" w:cs="Arial"/>
        </w:rPr>
        <w:t> </w:t>
      </w:r>
      <w:r w:rsidRPr="00142181">
        <w:t>2018). This theme interrogates how post</w:t>
      </w:r>
      <w:r w:rsidRPr="00142181">
        <w:noBreakHyphen/>
        <w:t>code lotteries, funding asymmetries, and cultural mismatches impede equitable youth access.</w:t>
      </w:r>
    </w:p>
    <w:p w14:paraId="34151505" w14:textId="77777777" w:rsidR="00142181" w:rsidRDefault="00142181" w:rsidP="00142181">
      <w:pPr>
        <w:spacing w:line="360" w:lineRule="auto"/>
        <w:jc w:val="both"/>
      </w:pPr>
      <w:r w:rsidRPr="00142181">
        <w:rPr>
          <w:b/>
          <w:bCs/>
        </w:rPr>
        <w:lastRenderedPageBreak/>
        <w:t>Background Information</w:t>
      </w:r>
    </w:p>
    <w:p w14:paraId="31C58EE5" w14:textId="5641C450" w:rsidR="00142181" w:rsidRPr="00142181" w:rsidRDefault="00142181" w:rsidP="00142181">
      <w:pPr>
        <w:spacing w:line="360" w:lineRule="auto"/>
        <w:jc w:val="both"/>
      </w:pPr>
      <w:r w:rsidRPr="00142181">
        <w:t>Austerity</w:t>
      </w:r>
      <w:r w:rsidRPr="00142181">
        <w:noBreakHyphen/>
        <w:t xml:space="preserve">driven budget reductions cut English CAMHS funding by </w:t>
      </w:r>
      <w:r w:rsidRPr="00142181">
        <w:rPr>
          <w:b/>
          <w:bCs/>
        </w:rPr>
        <w:t>£50</w:t>
      </w:r>
      <w:r w:rsidRPr="00142181">
        <w:rPr>
          <w:rFonts w:ascii="Arial" w:hAnsi="Arial" w:cs="Arial"/>
          <w:b/>
          <w:bCs/>
        </w:rPr>
        <w:t> </w:t>
      </w:r>
      <w:r w:rsidRPr="00142181">
        <w:rPr>
          <w:b/>
          <w:bCs/>
        </w:rPr>
        <w:t>m</w:t>
      </w:r>
      <w:r w:rsidRPr="00142181">
        <w:t xml:space="preserve"> between 2013 and 2018, disproportionately impacting northern and coastal regions (Taylor</w:t>
      </w:r>
      <w:r w:rsidRPr="00142181">
        <w:noBreakHyphen/>
        <w:t>Gooby,</w:t>
      </w:r>
      <w:r w:rsidRPr="00142181">
        <w:rPr>
          <w:rFonts w:ascii="Arial" w:hAnsi="Arial" w:cs="Arial"/>
        </w:rPr>
        <w:t> </w:t>
      </w:r>
      <w:r w:rsidRPr="00142181">
        <w:t>2019; House of Commons,</w:t>
      </w:r>
      <w:r w:rsidRPr="00142181">
        <w:rPr>
          <w:rFonts w:ascii="Arial" w:hAnsi="Arial" w:cs="Arial"/>
        </w:rPr>
        <w:t> </w:t>
      </w:r>
      <w:r w:rsidRPr="00142181">
        <w:t>2022). Integrated Care Systems (ICS) promise parity by pooling resources, yet early evaluations reveal inconsistent local implementation and weak youth representation (Kings Fund,</w:t>
      </w:r>
      <w:r w:rsidRPr="00142181">
        <w:rPr>
          <w:rFonts w:ascii="Arial" w:hAnsi="Arial" w:cs="Arial"/>
        </w:rPr>
        <w:t> </w:t>
      </w:r>
      <w:r w:rsidRPr="00142181">
        <w:t>2023; NHS Confederation,</w:t>
      </w:r>
      <w:r w:rsidRPr="00142181">
        <w:rPr>
          <w:rFonts w:ascii="Arial" w:hAnsi="Arial" w:cs="Arial"/>
        </w:rPr>
        <w:t> </w:t>
      </w:r>
      <w:r w:rsidRPr="00142181">
        <w:t>2023). Furthermore, transition policies from CAMHS to adult services remain fragmented, leaving 17</w:t>
      </w:r>
      <w:r w:rsidRPr="00142181">
        <w:rPr>
          <w:rFonts w:ascii="Aptos" w:hAnsi="Aptos" w:cs="Aptos"/>
        </w:rPr>
        <w:t>–</w:t>
      </w:r>
      <w:r w:rsidRPr="00142181">
        <w:t>18</w:t>
      </w:r>
      <w:r w:rsidRPr="00142181">
        <w:noBreakHyphen/>
        <w:t>year</w:t>
      </w:r>
      <w:r w:rsidRPr="00142181">
        <w:noBreakHyphen/>
        <w:t>olds in limbo (Paul et</w:t>
      </w:r>
      <w:r w:rsidRPr="00142181">
        <w:rPr>
          <w:rFonts w:ascii="Arial" w:hAnsi="Arial" w:cs="Arial"/>
        </w:rPr>
        <w:t> </w:t>
      </w:r>
      <w:r w:rsidRPr="00142181">
        <w:t>al.,</w:t>
      </w:r>
      <w:r w:rsidRPr="00142181">
        <w:rPr>
          <w:rFonts w:ascii="Arial" w:hAnsi="Arial" w:cs="Arial"/>
        </w:rPr>
        <w:t> </w:t>
      </w:r>
      <w:r w:rsidRPr="00142181">
        <w:t>2021; O</w:t>
      </w:r>
      <w:r w:rsidRPr="00142181">
        <w:rPr>
          <w:rFonts w:ascii="Aptos" w:hAnsi="Aptos" w:cs="Aptos"/>
        </w:rPr>
        <w:t>’</w:t>
      </w:r>
      <w:r w:rsidRPr="00142181">
        <w:t>Reilly,</w:t>
      </w:r>
      <w:r w:rsidRPr="00142181">
        <w:rPr>
          <w:rFonts w:ascii="Arial" w:hAnsi="Arial" w:cs="Arial"/>
        </w:rPr>
        <w:t> </w:t>
      </w:r>
      <w:r w:rsidRPr="00142181">
        <w:t>2022).</w:t>
      </w:r>
    </w:p>
    <w:p w14:paraId="0307B485" w14:textId="3B3347CC" w:rsidR="00142181" w:rsidRPr="00142181" w:rsidRDefault="00142181" w:rsidP="00142181">
      <w:pPr>
        <w:spacing w:line="360" w:lineRule="auto"/>
        <w:jc w:val="both"/>
      </w:pPr>
      <w:r>
        <w:rPr>
          <w:b/>
          <w:bCs/>
        </w:rPr>
        <w:t xml:space="preserve">Statistical Information </w:t>
      </w:r>
    </w:p>
    <w:p w14:paraId="59A5172D" w14:textId="77777777" w:rsidR="00142181" w:rsidRPr="00142181" w:rsidRDefault="00142181" w:rsidP="00142181">
      <w:pPr>
        <w:numPr>
          <w:ilvl w:val="0"/>
          <w:numId w:val="3"/>
        </w:numPr>
        <w:spacing w:line="360" w:lineRule="auto"/>
        <w:jc w:val="both"/>
      </w:pPr>
      <w:r w:rsidRPr="00142181">
        <w:t>Median CAMHS wait time England</w:t>
      </w:r>
      <w:r w:rsidRPr="00142181">
        <w:noBreakHyphen/>
        <w:t xml:space="preserve">wide: </w:t>
      </w:r>
      <w:r w:rsidRPr="00142181">
        <w:rPr>
          <w:b/>
          <w:bCs/>
        </w:rPr>
        <w:t>12</w:t>
      </w:r>
      <w:r w:rsidRPr="00142181">
        <w:rPr>
          <w:rFonts w:ascii="Arial" w:hAnsi="Arial" w:cs="Arial"/>
          <w:b/>
          <w:bCs/>
        </w:rPr>
        <w:t> </w:t>
      </w:r>
      <w:r w:rsidRPr="00142181">
        <w:rPr>
          <w:b/>
          <w:bCs/>
        </w:rPr>
        <w:t>weeks</w:t>
      </w:r>
      <w:r w:rsidRPr="00142181">
        <w:t xml:space="preserve">; bottom quartile CCGs: </w:t>
      </w:r>
      <w:r w:rsidRPr="00142181">
        <w:rPr>
          <w:b/>
          <w:bCs/>
        </w:rPr>
        <w:t>38</w:t>
      </w:r>
      <w:r w:rsidRPr="00142181">
        <w:rPr>
          <w:rFonts w:ascii="Arial" w:hAnsi="Arial" w:cs="Arial"/>
          <w:b/>
          <w:bCs/>
        </w:rPr>
        <w:t> </w:t>
      </w:r>
      <w:r w:rsidRPr="00142181">
        <w:rPr>
          <w:b/>
          <w:bCs/>
        </w:rPr>
        <w:t>weeks</w:t>
      </w:r>
      <w:r w:rsidRPr="00142181">
        <w:t xml:space="preserve"> (NHS Digital,</w:t>
      </w:r>
      <w:r w:rsidRPr="00142181">
        <w:rPr>
          <w:rFonts w:ascii="Arial" w:hAnsi="Arial" w:cs="Arial"/>
        </w:rPr>
        <w:t> </w:t>
      </w:r>
      <w:r w:rsidRPr="00142181">
        <w:t>2022; Kings Fund,</w:t>
      </w:r>
      <w:r w:rsidRPr="00142181">
        <w:rPr>
          <w:rFonts w:ascii="Arial" w:hAnsi="Arial" w:cs="Arial"/>
        </w:rPr>
        <w:t> </w:t>
      </w:r>
      <w:r w:rsidRPr="00142181">
        <w:t>2023).</w:t>
      </w:r>
    </w:p>
    <w:p w14:paraId="2D76F06B" w14:textId="77777777" w:rsidR="00142181" w:rsidRPr="00142181" w:rsidRDefault="00142181" w:rsidP="00142181">
      <w:pPr>
        <w:numPr>
          <w:ilvl w:val="0"/>
          <w:numId w:val="3"/>
        </w:numPr>
        <w:spacing w:line="360" w:lineRule="auto"/>
        <w:jc w:val="both"/>
      </w:pPr>
      <w:r w:rsidRPr="00142181">
        <w:t xml:space="preserve">Rural counties operate with </w:t>
      </w:r>
      <w:r w:rsidRPr="00142181">
        <w:rPr>
          <w:b/>
          <w:bCs/>
        </w:rPr>
        <w:t>46</w:t>
      </w:r>
      <w:r w:rsidRPr="00142181">
        <w:rPr>
          <w:rFonts w:ascii="Arial" w:hAnsi="Arial" w:cs="Arial"/>
          <w:b/>
          <w:bCs/>
        </w:rPr>
        <w:t> </w:t>
      </w:r>
      <w:r w:rsidRPr="00142181">
        <w:rPr>
          <w:b/>
          <w:bCs/>
        </w:rPr>
        <w:t>%</w:t>
      </w:r>
      <w:r w:rsidRPr="00142181">
        <w:t xml:space="preserve"> fewer clinicians per capita than urban London (NHS Workforce,</w:t>
      </w:r>
      <w:r w:rsidRPr="00142181">
        <w:rPr>
          <w:rFonts w:ascii="Arial" w:hAnsi="Arial" w:cs="Arial"/>
        </w:rPr>
        <w:t> </w:t>
      </w:r>
      <w:r w:rsidRPr="00142181">
        <w:t>2023; Ojo &amp;</w:t>
      </w:r>
      <w:r w:rsidRPr="00142181">
        <w:rPr>
          <w:rFonts w:ascii="Arial" w:hAnsi="Arial" w:cs="Arial"/>
        </w:rPr>
        <w:t> </w:t>
      </w:r>
      <w:r w:rsidRPr="00142181">
        <w:t>Patel,</w:t>
      </w:r>
      <w:r w:rsidRPr="00142181">
        <w:rPr>
          <w:rFonts w:ascii="Arial" w:hAnsi="Arial" w:cs="Arial"/>
        </w:rPr>
        <w:t> </w:t>
      </w:r>
      <w:r w:rsidRPr="00142181">
        <w:t>2022).</w:t>
      </w:r>
    </w:p>
    <w:p w14:paraId="46F205E6" w14:textId="77777777" w:rsidR="00142181" w:rsidRPr="00142181" w:rsidRDefault="00142181" w:rsidP="00142181">
      <w:pPr>
        <w:numPr>
          <w:ilvl w:val="0"/>
          <w:numId w:val="3"/>
        </w:numPr>
        <w:spacing w:line="360" w:lineRule="auto"/>
        <w:jc w:val="both"/>
      </w:pPr>
      <w:r w:rsidRPr="00142181">
        <w:t xml:space="preserve">Travel distances exceeding </w:t>
      </w:r>
      <w:r w:rsidRPr="00142181">
        <w:rPr>
          <w:b/>
          <w:bCs/>
        </w:rPr>
        <w:t>25</w:t>
      </w:r>
      <w:r w:rsidRPr="00142181">
        <w:rPr>
          <w:rFonts w:ascii="Arial" w:hAnsi="Arial" w:cs="Arial"/>
          <w:b/>
          <w:bCs/>
        </w:rPr>
        <w:t> </w:t>
      </w:r>
      <w:r w:rsidRPr="00142181">
        <w:rPr>
          <w:b/>
          <w:bCs/>
        </w:rPr>
        <w:t>km</w:t>
      </w:r>
      <w:r w:rsidRPr="00142181">
        <w:t xml:space="preserve"> reduce attendance by </w:t>
      </w:r>
      <w:r w:rsidRPr="00142181">
        <w:rPr>
          <w:b/>
          <w:bCs/>
        </w:rPr>
        <w:t>21</w:t>
      </w:r>
      <w:r w:rsidRPr="00142181">
        <w:rPr>
          <w:rFonts w:ascii="Arial" w:hAnsi="Arial" w:cs="Arial"/>
          <w:b/>
          <w:bCs/>
        </w:rPr>
        <w:t> </w:t>
      </w:r>
      <w:r w:rsidRPr="00142181">
        <w:rPr>
          <w:b/>
          <w:bCs/>
        </w:rPr>
        <w:t>%</w:t>
      </w:r>
      <w:r w:rsidRPr="00142181">
        <w:t xml:space="preserve"> among low</w:t>
      </w:r>
      <w:r w:rsidRPr="00142181">
        <w:noBreakHyphen/>
        <w:t>income families (Roberts et</w:t>
      </w:r>
      <w:r w:rsidRPr="00142181">
        <w:rPr>
          <w:rFonts w:ascii="Arial" w:hAnsi="Arial" w:cs="Arial"/>
        </w:rPr>
        <w:t> </w:t>
      </w:r>
      <w:r w:rsidRPr="00142181">
        <w:t>al.,</w:t>
      </w:r>
      <w:r w:rsidRPr="00142181">
        <w:rPr>
          <w:rFonts w:ascii="Arial" w:hAnsi="Arial" w:cs="Arial"/>
        </w:rPr>
        <w:t> </w:t>
      </w:r>
      <w:r w:rsidRPr="00142181">
        <w:t>2021; Philip</w:t>
      </w:r>
      <w:r w:rsidRPr="00142181">
        <w:rPr>
          <w:rFonts w:ascii="Aptos" w:hAnsi="Aptos" w:cs="Aptos"/>
        </w:rPr>
        <w:t> </w:t>
      </w:r>
      <w:r w:rsidRPr="00142181">
        <w:t>et</w:t>
      </w:r>
      <w:r w:rsidRPr="00142181">
        <w:rPr>
          <w:rFonts w:ascii="Arial" w:hAnsi="Arial" w:cs="Arial"/>
        </w:rPr>
        <w:t> </w:t>
      </w:r>
      <w:r w:rsidRPr="00142181">
        <w:t>al.,</w:t>
      </w:r>
      <w:r w:rsidRPr="00142181">
        <w:rPr>
          <w:rFonts w:ascii="Arial" w:hAnsi="Arial" w:cs="Arial"/>
        </w:rPr>
        <w:t> </w:t>
      </w:r>
      <w:r w:rsidRPr="00142181">
        <w:t>2022).</w:t>
      </w:r>
      <w:r w:rsidRPr="00142181">
        <w:br/>
        <w:t>These statistics reveal layered disadvantages: geographical isolation, socioeconomic deprivation, and cultural discordance combine to curtail access.</w:t>
      </w:r>
    </w:p>
    <w:p w14:paraId="7EE448F7" w14:textId="77777777" w:rsidR="00142181" w:rsidRDefault="00142181" w:rsidP="00142181">
      <w:pPr>
        <w:spacing w:line="360" w:lineRule="auto"/>
        <w:jc w:val="both"/>
      </w:pPr>
      <w:r w:rsidRPr="00142181">
        <w:rPr>
          <w:b/>
          <w:bCs/>
        </w:rPr>
        <w:t>Theory, Policy &amp; Legislation</w:t>
      </w:r>
    </w:p>
    <w:p w14:paraId="4DD917E7" w14:textId="726A9BB4" w:rsidR="00142181" w:rsidRPr="00142181" w:rsidRDefault="00142181" w:rsidP="00142181">
      <w:pPr>
        <w:spacing w:line="360" w:lineRule="auto"/>
        <w:jc w:val="both"/>
      </w:pPr>
      <w:r w:rsidRPr="00142181">
        <w:t>Bronfenbrenner’s Ecological Systems Theory posits that macro</w:t>
      </w:r>
      <w:r w:rsidRPr="00142181">
        <w:noBreakHyphen/>
        <w:t>level policies (</w:t>
      </w:r>
      <w:proofErr w:type="spellStart"/>
      <w:r w:rsidRPr="00142181">
        <w:t>exo</w:t>
      </w:r>
      <w:proofErr w:type="spellEnd"/>
      <w:r w:rsidRPr="00142181">
        <w:noBreakHyphen/>
        <w:t>system) shape micro</w:t>
      </w:r>
      <w:r w:rsidRPr="00142181">
        <w:noBreakHyphen/>
        <w:t>level interactions (family, peer) (Bronfenbrenner,</w:t>
      </w:r>
      <w:r w:rsidRPr="00142181">
        <w:rPr>
          <w:rFonts w:ascii="Arial" w:hAnsi="Arial" w:cs="Arial"/>
        </w:rPr>
        <w:t> </w:t>
      </w:r>
      <w:r w:rsidRPr="00142181">
        <w:t>1979; Ungar,</w:t>
      </w:r>
      <w:r w:rsidRPr="00142181">
        <w:rPr>
          <w:rFonts w:ascii="Arial" w:hAnsi="Arial" w:cs="Arial"/>
        </w:rPr>
        <w:t> </w:t>
      </w:r>
      <w:r w:rsidRPr="00142181">
        <w:t xml:space="preserve">2021). Meanwhile, the </w:t>
      </w:r>
      <w:r w:rsidRPr="00142181">
        <w:rPr>
          <w:b/>
          <w:bCs/>
        </w:rPr>
        <w:t>Capability Approach</w:t>
      </w:r>
      <w:r w:rsidRPr="00142181">
        <w:t xml:space="preserve"> emphasises real freedoms; a “service offered” does not equal a “service accessible” (Sen,</w:t>
      </w:r>
      <w:r w:rsidRPr="00142181">
        <w:rPr>
          <w:rFonts w:ascii="Arial" w:hAnsi="Arial" w:cs="Arial"/>
        </w:rPr>
        <w:t> </w:t>
      </w:r>
      <w:r w:rsidRPr="00142181">
        <w:t xml:space="preserve">1999; </w:t>
      </w:r>
      <w:proofErr w:type="spellStart"/>
      <w:r w:rsidRPr="00142181">
        <w:t>Robeyns</w:t>
      </w:r>
      <w:proofErr w:type="spellEnd"/>
      <w:r w:rsidRPr="00142181">
        <w:t>,</w:t>
      </w:r>
      <w:r w:rsidRPr="00142181">
        <w:rPr>
          <w:rFonts w:ascii="Arial" w:hAnsi="Arial" w:cs="Arial"/>
        </w:rPr>
        <w:t> </w:t>
      </w:r>
      <w:r w:rsidRPr="00142181">
        <w:t>2017). Critical scholars argue that commissioning logics reproduce inequity by weighting interventions toward cost</w:t>
      </w:r>
      <w:r w:rsidRPr="00142181">
        <w:noBreakHyphen/>
        <w:t>per</w:t>
      </w:r>
      <w:r w:rsidRPr="00142181">
        <w:noBreakHyphen/>
        <w:t>case rather than need (Watt,</w:t>
      </w:r>
      <w:r w:rsidRPr="00142181">
        <w:rPr>
          <w:rFonts w:ascii="Arial" w:hAnsi="Arial" w:cs="Arial"/>
        </w:rPr>
        <w:t> </w:t>
      </w:r>
      <w:r w:rsidRPr="00142181">
        <w:t>2018; Stewart,</w:t>
      </w:r>
      <w:r w:rsidRPr="00142181">
        <w:rPr>
          <w:rFonts w:ascii="Arial" w:hAnsi="Arial" w:cs="Arial"/>
        </w:rPr>
        <w:t> </w:t>
      </w:r>
      <w:r w:rsidRPr="00142181">
        <w:t>2021).</w:t>
      </w:r>
    </w:p>
    <w:p w14:paraId="40535987" w14:textId="77777777" w:rsidR="00142181" w:rsidRDefault="00142181" w:rsidP="00142181">
      <w:pPr>
        <w:spacing w:line="360" w:lineRule="auto"/>
        <w:jc w:val="both"/>
      </w:pPr>
      <w:r w:rsidRPr="00142181">
        <w:rPr>
          <w:b/>
          <w:bCs/>
        </w:rPr>
        <w:t xml:space="preserve">Implications </w:t>
      </w:r>
    </w:p>
    <w:p w14:paraId="1C76E079" w14:textId="5D2BAEEB" w:rsidR="00142181" w:rsidRPr="00142181" w:rsidRDefault="00142181" w:rsidP="00142181">
      <w:pPr>
        <w:spacing w:line="360" w:lineRule="auto"/>
        <w:jc w:val="both"/>
      </w:pPr>
      <w:r w:rsidRPr="00142181">
        <w:t>Prolonged waits correlate with symptom severity escalation, yielding higher inpatient and emergency admissions</w:t>
      </w:r>
      <w:r>
        <w:t xml:space="preserve">,  </w:t>
      </w:r>
      <w:r w:rsidRPr="00142181">
        <w:t>costlier and more traumatic (Lingam,</w:t>
      </w:r>
      <w:r w:rsidRPr="00142181">
        <w:rPr>
          <w:rFonts w:ascii="Arial" w:hAnsi="Arial" w:cs="Arial"/>
        </w:rPr>
        <w:t> </w:t>
      </w:r>
      <w:r w:rsidRPr="00142181">
        <w:t>2021; NHS England,</w:t>
      </w:r>
      <w:r w:rsidRPr="00142181">
        <w:rPr>
          <w:rFonts w:ascii="Arial" w:hAnsi="Arial" w:cs="Arial"/>
        </w:rPr>
        <w:t> </w:t>
      </w:r>
      <w:r w:rsidRPr="00142181">
        <w:t>2023). Ethically, unequal provision contravenes Article</w:t>
      </w:r>
      <w:r w:rsidRPr="00142181">
        <w:rPr>
          <w:rFonts w:ascii="Aptos" w:hAnsi="Aptos" w:cs="Aptos"/>
        </w:rPr>
        <w:t> </w:t>
      </w:r>
      <w:r w:rsidRPr="00142181">
        <w:t xml:space="preserve">24 of the UNCRC, which mandates </w:t>
      </w:r>
      <w:r w:rsidRPr="00142181">
        <w:lastRenderedPageBreak/>
        <w:t>health rights without discrimination (UNICEF,</w:t>
      </w:r>
      <w:r w:rsidRPr="00142181">
        <w:rPr>
          <w:rFonts w:ascii="Arial" w:hAnsi="Arial" w:cs="Arial"/>
        </w:rPr>
        <w:t> </w:t>
      </w:r>
      <w:r w:rsidRPr="00142181">
        <w:t>2022; House of Lords,</w:t>
      </w:r>
      <w:r w:rsidRPr="00142181">
        <w:rPr>
          <w:rFonts w:ascii="Arial" w:hAnsi="Arial" w:cs="Arial"/>
        </w:rPr>
        <w:t> </w:t>
      </w:r>
      <w:r w:rsidRPr="00142181">
        <w:t>2023). Mobile clinics and school</w:t>
      </w:r>
      <w:r w:rsidRPr="00142181">
        <w:noBreakHyphen/>
        <w:t>based hubs show promise but require sustained funding and cross</w:t>
      </w:r>
      <w:r w:rsidRPr="00142181">
        <w:noBreakHyphen/>
        <w:t>sector collaboration (Green,</w:t>
      </w:r>
      <w:r w:rsidRPr="00142181">
        <w:rPr>
          <w:rFonts w:ascii="Arial" w:hAnsi="Arial" w:cs="Arial"/>
        </w:rPr>
        <w:t> </w:t>
      </w:r>
      <w:r w:rsidRPr="00142181">
        <w:t>2020; O</w:t>
      </w:r>
      <w:r w:rsidRPr="00142181">
        <w:rPr>
          <w:rFonts w:ascii="Aptos" w:hAnsi="Aptos" w:cs="Aptos"/>
        </w:rPr>
        <w:t>’</w:t>
      </w:r>
      <w:r w:rsidRPr="00142181">
        <w:t>Reilly,</w:t>
      </w:r>
      <w:r w:rsidRPr="00142181">
        <w:rPr>
          <w:rFonts w:ascii="Arial" w:hAnsi="Arial" w:cs="Arial"/>
        </w:rPr>
        <w:t> </w:t>
      </w:r>
      <w:r w:rsidRPr="00142181">
        <w:t>2022).</w:t>
      </w:r>
    </w:p>
    <w:p w14:paraId="5CE2D4C7" w14:textId="77777777" w:rsidR="00142181" w:rsidRDefault="00142181" w:rsidP="00142181">
      <w:pPr>
        <w:spacing w:line="360" w:lineRule="auto"/>
        <w:jc w:val="both"/>
        <w:rPr>
          <w:lang w:val="fr-FR"/>
        </w:rPr>
      </w:pPr>
      <w:proofErr w:type="spellStart"/>
      <w:r w:rsidRPr="00142181">
        <w:rPr>
          <w:b/>
          <w:bCs/>
          <w:lang w:val="fr-FR"/>
        </w:rPr>
        <w:t>Examples</w:t>
      </w:r>
      <w:proofErr w:type="spellEnd"/>
      <w:r w:rsidRPr="00142181">
        <w:rPr>
          <w:b/>
          <w:bCs/>
          <w:lang w:val="fr-FR"/>
        </w:rPr>
        <w:t xml:space="preserve"> </w:t>
      </w:r>
      <w:proofErr w:type="spellStart"/>
      <w:r w:rsidRPr="00142181">
        <w:rPr>
          <w:b/>
          <w:bCs/>
          <w:lang w:val="fr-FR"/>
        </w:rPr>
        <w:t>from</w:t>
      </w:r>
      <w:proofErr w:type="spellEnd"/>
      <w:r w:rsidRPr="00142181">
        <w:rPr>
          <w:b/>
          <w:bCs/>
          <w:lang w:val="fr-FR"/>
        </w:rPr>
        <w:t xml:space="preserve"> Articles</w:t>
      </w:r>
    </w:p>
    <w:p w14:paraId="178E367C" w14:textId="6DF4A174" w:rsidR="00142181" w:rsidRPr="00142181" w:rsidRDefault="00142181" w:rsidP="00142181">
      <w:pPr>
        <w:spacing w:line="360" w:lineRule="auto"/>
        <w:jc w:val="both"/>
      </w:pPr>
      <w:r w:rsidRPr="00142181">
        <w:rPr>
          <w:lang w:val="fr-FR"/>
        </w:rPr>
        <w:t>Roberts et</w:t>
      </w:r>
      <w:r w:rsidRPr="00142181">
        <w:rPr>
          <w:rFonts w:ascii="Arial" w:hAnsi="Arial" w:cs="Arial"/>
          <w:lang w:val="fr-FR"/>
        </w:rPr>
        <w:t> </w:t>
      </w:r>
      <w:r w:rsidRPr="00142181">
        <w:rPr>
          <w:lang w:val="fr-FR"/>
        </w:rPr>
        <w:t>al.</w:t>
      </w:r>
      <w:r w:rsidRPr="00142181">
        <w:rPr>
          <w:rFonts w:ascii="Aptos" w:hAnsi="Aptos" w:cs="Aptos"/>
          <w:lang w:val="fr-FR"/>
        </w:rPr>
        <w:t> </w:t>
      </w:r>
      <w:r w:rsidRPr="00142181">
        <w:t>(2021) document a north</w:t>
      </w:r>
      <w:r w:rsidRPr="00142181">
        <w:noBreakHyphen/>
        <w:t>south divide in specialist provision; Ojo</w:t>
      </w:r>
      <w:r w:rsidRPr="00142181">
        <w:rPr>
          <w:rFonts w:ascii="Aptos" w:hAnsi="Aptos" w:cs="Aptos"/>
        </w:rPr>
        <w:t> </w:t>
      </w:r>
      <w:r w:rsidRPr="00142181">
        <w:t>&amp;</w:t>
      </w:r>
      <w:r w:rsidRPr="00142181">
        <w:rPr>
          <w:rFonts w:ascii="Arial" w:hAnsi="Arial" w:cs="Arial"/>
        </w:rPr>
        <w:t> </w:t>
      </w:r>
      <w:r w:rsidRPr="00142181">
        <w:t xml:space="preserve">Patel (2022) expose cultural mismatches deterring BAME engagement; Green (2020) demonstrates outreach vans reduce rural waits by </w:t>
      </w:r>
      <w:r w:rsidRPr="00142181">
        <w:rPr>
          <w:b/>
          <w:bCs/>
        </w:rPr>
        <w:t>31</w:t>
      </w:r>
      <w:r w:rsidRPr="00142181">
        <w:rPr>
          <w:rFonts w:ascii="Arial" w:hAnsi="Arial" w:cs="Arial"/>
          <w:b/>
          <w:bCs/>
        </w:rPr>
        <w:t> </w:t>
      </w:r>
      <w:r w:rsidRPr="00142181">
        <w:rPr>
          <w:b/>
          <w:bCs/>
        </w:rPr>
        <w:t>%</w:t>
      </w:r>
      <w:r w:rsidRPr="00142181">
        <w:t xml:space="preserve"> but were decommissioned after pilot funding ended. These studies collectively indict a “postcode lottery” perpetuated by short</w:t>
      </w:r>
      <w:r w:rsidRPr="00142181">
        <w:noBreakHyphen/>
        <w:t>termism and siloed commissioning.</w:t>
      </w:r>
    </w:p>
    <w:p w14:paraId="4618B44A" w14:textId="77777777" w:rsidR="00142181" w:rsidRDefault="00142181" w:rsidP="00142181">
      <w:pPr>
        <w:spacing w:line="360" w:lineRule="auto"/>
        <w:jc w:val="both"/>
      </w:pPr>
      <w:r w:rsidRPr="00142181">
        <w:rPr>
          <w:b/>
          <w:bCs/>
        </w:rPr>
        <w:t>Connections to Other Themes</w:t>
      </w:r>
    </w:p>
    <w:p w14:paraId="45CCF32F" w14:textId="03614820" w:rsidR="00142181" w:rsidRPr="00142181" w:rsidRDefault="00142181" w:rsidP="00142181">
      <w:pPr>
        <w:spacing w:line="360" w:lineRule="auto"/>
        <w:jc w:val="both"/>
      </w:pPr>
      <w:r w:rsidRPr="00142181">
        <w:t>Digital exclusion compounds geographic gaps: rural broadband deficits nullify online alternatives (Theme</w:t>
      </w:r>
      <w:r w:rsidRPr="00142181">
        <w:rPr>
          <w:rFonts w:ascii="Arial" w:hAnsi="Arial" w:cs="Arial"/>
        </w:rPr>
        <w:t> </w:t>
      </w:r>
      <w:r w:rsidRPr="00142181">
        <w:t>1) (Ofcom,</w:t>
      </w:r>
      <w:r w:rsidRPr="00142181">
        <w:rPr>
          <w:rFonts w:ascii="Arial" w:hAnsi="Arial" w:cs="Arial"/>
        </w:rPr>
        <w:t> </w:t>
      </w:r>
      <w:r w:rsidRPr="00142181">
        <w:t>2022; Riddlesden &amp;</w:t>
      </w:r>
      <w:r w:rsidRPr="00142181">
        <w:rPr>
          <w:rFonts w:ascii="Aptos" w:hAnsi="Aptos" w:cs="Aptos"/>
        </w:rPr>
        <w:t> </w:t>
      </w:r>
      <w:r w:rsidRPr="00142181">
        <w:t>Singleton,</w:t>
      </w:r>
      <w:r w:rsidRPr="00142181">
        <w:rPr>
          <w:rFonts w:ascii="Arial" w:hAnsi="Arial" w:cs="Arial"/>
        </w:rPr>
        <w:t> </w:t>
      </w:r>
      <w:r w:rsidRPr="00142181">
        <w:t>2021). Stigma (Theme</w:t>
      </w:r>
      <w:r w:rsidRPr="00142181">
        <w:rPr>
          <w:rFonts w:ascii="Arial" w:hAnsi="Arial" w:cs="Arial"/>
        </w:rPr>
        <w:t> </w:t>
      </w:r>
      <w:r w:rsidRPr="00142181">
        <w:t>2) lowers attendance further where services are scarce, fuelling a feedback loop of unmet need and crisis referrals (Wu</w:t>
      </w:r>
      <w:r w:rsidRPr="00142181">
        <w:rPr>
          <w:rFonts w:ascii="Aptos" w:hAnsi="Aptos" w:cs="Aptos"/>
        </w:rPr>
        <w:t> </w:t>
      </w:r>
      <w:r w:rsidRPr="00142181">
        <w:t>et</w:t>
      </w:r>
      <w:r w:rsidRPr="00142181">
        <w:rPr>
          <w:rFonts w:ascii="Arial" w:hAnsi="Arial" w:cs="Arial"/>
        </w:rPr>
        <w:t> </w:t>
      </w:r>
      <w:r w:rsidRPr="00142181">
        <w:t>al.,</w:t>
      </w:r>
      <w:r w:rsidRPr="00142181">
        <w:rPr>
          <w:rFonts w:ascii="Arial" w:hAnsi="Arial" w:cs="Arial"/>
        </w:rPr>
        <w:t> </w:t>
      </w:r>
      <w:r w:rsidRPr="00142181">
        <w:t>2021; RCP,</w:t>
      </w:r>
      <w:r w:rsidRPr="00142181">
        <w:rPr>
          <w:rFonts w:ascii="Arial" w:hAnsi="Arial" w:cs="Arial"/>
        </w:rPr>
        <w:t> </w:t>
      </w:r>
      <w:r w:rsidRPr="00142181">
        <w:t>2021).</w:t>
      </w:r>
    </w:p>
    <w:p w14:paraId="1B2BCAD8" w14:textId="77777777" w:rsidR="00142181" w:rsidRDefault="00142181" w:rsidP="00142181">
      <w:pPr>
        <w:spacing w:line="360" w:lineRule="auto"/>
        <w:jc w:val="both"/>
      </w:pPr>
      <w:r w:rsidRPr="00142181">
        <w:rPr>
          <w:b/>
          <w:bCs/>
        </w:rPr>
        <w:t>Reflective Summary</w:t>
      </w:r>
    </w:p>
    <w:p w14:paraId="629A3E7E" w14:textId="2B2A91E5" w:rsidR="00142181" w:rsidRDefault="00142181" w:rsidP="00142181">
      <w:pPr>
        <w:spacing w:line="360" w:lineRule="auto"/>
        <w:jc w:val="both"/>
      </w:pPr>
      <w:r w:rsidRPr="00142181">
        <w:t>Equity requires redistributive funding linked to deprivation indices, mandatory youth co</w:t>
      </w:r>
      <w:r w:rsidRPr="00142181">
        <w:noBreakHyphen/>
        <w:t>production in ICS governance, and a blended model of in</w:t>
      </w:r>
      <w:r w:rsidRPr="00142181">
        <w:noBreakHyphen/>
        <w:t>person and tele</w:t>
      </w:r>
      <w:r w:rsidRPr="00142181">
        <w:noBreakHyphen/>
        <w:t>mental health with guaranteed data</w:t>
      </w:r>
      <w:r w:rsidRPr="00142181">
        <w:noBreakHyphen/>
        <w:t>voucher schemes. Without such systemic commitments, service availability and accessibility will remain deterministically unequal (House of Commons,</w:t>
      </w:r>
      <w:r w:rsidRPr="00142181">
        <w:rPr>
          <w:rFonts w:ascii="Arial" w:hAnsi="Arial" w:cs="Arial"/>
        </w:rPr>
        <w:t> </w:t>
      </w:r>
      <w:r w:rsidRPr="00142181">
        <w:t>2023; Watt,</w:t>
      </w:r>
      <w:r w:rsidRPr="00142181">
        <w:rPr>
          <w:rFonts w:ascii="Arial" w:hAnsi="Arial" w:cs="Arial"/>
        </w:rPr>
        <w:t> </w:t>
      </w:r>
      <w:r w:rsidRPr="00142181">
        <w:t>2018).</w:t>
      </w:r>
    </w:p>
    <w:p w14:paraId="5AAB6465" w14:textId="7A119356" w:rsidR="00142181" w:rsidRPr="00142181" w:rsidRDefault="00142181" w:rsidP="00142181">
      <w:pPr>
        <w:spacing w:line="360" w:lineRule="auto"/>
        <w:jc w:val="both"/>
      </w:pPr>
      <w:r w:rsidRPr="00142181">
        <w:rPr>
          <w:b/>
          <w:bCs/>
        </w:rPr>
        <w:t>4.6 – Chapter Conclusion</w:t>
      </w:r>
    </w:p>
    <w:p w14:paraId="1F076538" w14:textId="6FE245C9" w:rsidR="00142181" w:rsidRPr="00142181" w:rsidRDefault="00142181" w:rsidP="00142181">
      <w:pPr>
        <w:spacing w:line="360" w:lineRule="auto"/>
        <w:jc w:val="both"/>
      </w:pPr>
      <w:r w:rsidRPr="00142181">
        <w:t>This chapter critically examined digital inequality, stigma, and service availability</w:t>
      </w:r>
      <w:r>
        <w:t xml:space="preserve">,  </w:t>
      </w:r>
      <w:r w:rsidRPr="00142181">
        <w:t>revealing that barriers are interlocking and mutually reinforcing. Digital innovation without inclusion, awareness campaigns without structural reform, and services without equitable distribution each risk perpetuating disadvantage. A holistic, rights</w:t>
      </w:r>
      <w:r w:rsidRPr="00142181">
        <w:noBreakHyphen/>
        <w:t>based approach is required, integrating digital access initiatives, anti</w:t>
      </w:r>
      <w:r w:rsidRPr="00142181">
        <w:noBreakHyphen/>
        <w:t>stigma interventions, and targeted investment in underserved regions. Chapter 5 will build on these insights to propose actionable recommendations for policymakers, practitioners, and community stakeholders. Stigma and Social Attitudes Towards Youth Mental Health</w:t>
      </w:r>
      <w:r>
        <w:t>.</w:t>
      </w:r>
    </w:p>
    <w:sectPr w:rsidR="00142181" w:rsidRPr="0014218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3D1D0" w14:textId="77777777" w:rsidR="00142181" w:rsidRDefault="00142181" w:rsidP="00142181">
      <w:pPr>
        <w:spacing w:after="0" w:line="240" w:lineRule="auto"/>
      </w:pPr>
      <w:r>
        <w:separator/>
      </w:r>
    </w:p>
  </w:endnote>
  <w:endnote w:type="continuationSeparator" w:id="0">
    <w:p w14:paraId="501BE76D" w14:textId="77777777" w:rsidR="00142181" w:rsidRDefault="00142181" w:rsidP="00142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CE2FA" w14:textId="77777777" w:rsidR="00142181" w:rsidRDefault="00142181" w:rsidP="00142181">
      <w:pPr>
        <w:spacing w:after="0" w:line="240" w:lineRule="auto"/>
      </w:pPr>
      <w:r>
        <w:separator/>
      </w:r>
    </w:p>
  </w:footnote>
  <w:footnote w:type="continuationSeparator" w:id="0">
    <w:p w14:paraId="4974A9EF" w14:textId="77777777" w:rsidR="00142181" w:rsidRDefault="00142181" w:rsidP="00142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9603C" w14:textId="6C4484BF" w:rsidR="00142181" w:rsidRDefault="00142181" w:rsidP="00142181">
    <w:pPr>
      <w:pStyle w:val="Header"/>
      <w:jc w:val="center"/>
    </w:pPr>
    <w:r>
      <w:t>BMHP6020 - 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87704"/>
    <w:multiLevelType w:val="multilevel"/>
    <w:tmpl w:val="68C4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2F4776"/>
    <w:multiLevelType w:val="multilevel"/>
    <w:tmpl w:val="794A9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A479D0"/>
    <w:multiLevelType w:val="multilevel"/>
    <w:tmpl w:val="0618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2563682">
    <w:abstractNumId w:val="0"/>
  </w:num>
  <w:num w:numId="2" w16cid:durableId="17388268">
    <w:abstractNumId w:val="1"/>
  </w:num>
  <w:num w:numId="3" w16cid:durableId="6635155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revisionView w:insDel="0"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181"/>
    <w:rsid w:val="00142181"/>
    <w:rsid w:val="003B3F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93167"/>
  <w15:chartTrackingRefBased/>
  <w15:docId w15:val="{64A83AE5-B112-4F7A-8E7B-52045F82E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1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21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1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1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1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1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1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1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1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1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21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1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1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1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1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1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1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181"/>
    <w:rPr>
      <w:rFonts w:eastAsiaTheme="majorEastAsia" w:cstheme="majorBidi"/>
      <w:color w:val="272727" w:themeColor="text1" w:themeTint="D8"/>
    </w:rPr>
  </w:style>
  <w:style w:type="paragraph" w:styleId="Title">
    <w:name w:val="Title"/>
    <w:basedOn w:val="Normal"/>
    <w:next w:val="Normal"/>
    <w:link w:val="TitleChar"/>
    <w:uiPriority w:val="10"/>
    <w:qFormat/>
    <w:rsid w:val="001421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1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1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1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181"/>
    <w:pPr>
      <w:spacing w:before="160"/>
      <w:jc w:val="center"/>
    </w:pPr>
    <w:rPr>
      <w:i/>
      <w:iCs/>
      <w:color w:val="404040" w:themeColor="text1" w:themeTint="BF"/>
    </w:rPr>
  </w:style>
  <w:style w:type="character" w:customStyle="1" w:styleId="QuoteChar">
    <w:name w:val="Quote Char"/>
    <w:basedOn w:val="DefaultParagraphFont"/>
    <w:link w:val="Quote"/>
    <w:uiPriority w:val="29"/>
    <w:rsid w:val="00142181"/>
    <w:rPr>
      <w:i/>
      <w:iCs/>
      <w:color w:val="404040" w:themeColor="text1" w:themeTint="BF"/>
    </w:rPr>
  </w:style>
  <w:style w:type="paragraph" w:styleId="ListParagraph">
    <w:name w:val="List Paragraph"/>
    <w:basedOn w:val="Normal"/>
    <w:uiPriority w:val="34"/>
    <w:qFormat/>
    <w:rsid w:val="00142181"/>
    <w:pPr>
      <w:ind w:left="720"/>
      <w:contextualSpacing/>
    </w:pPr>
  </w:style>
  <w:style w:type="character" w:styleId="IntenseEmphasis">
    <w:name w:val="Intense Emphasis"/>
    <w:basedOn w:val="DefaultParagraphFont"/>
    <w:uiPriority w:val="21"/>
    <w:qFormat/>
    <w:rsid w:val="00142181"/>
    <w:rPr>
      <w:i/>
      <w:iCs/>
      <w:color w:val="0F4761" w:themeColor="accent1" w:themeShade="BF"/>
    </w:rPr>
  </w:style>
  <w:style w:type="paragraph" w:styleId="IntenseQuote">
    <w:name w:val="Intense Quote"/>
    <w:basedOn w:val="Normal"/>
    <w:next w:val="Normal"/>
    <w:link w:val="IntenseQuoteChar"/>
    <w:uiPriority w:val="30"/>
    <w:qFormat/>
    <w:rsid w:val="001421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181"/>
    <w:rPr>
      <w:i/>
      <w:iCs/>
      <w:color w:val="0F4761" w:themeColor="accent1" w:themeShade="BF"/>
    </w:rPr>
  </w:style>
  <w:style w:type="character" w:styleId="IntenseReference">
    <w:name w:val="Intense Reference"/>
    <w:basedOn w:val="DefaultParagraphFont"/>
    <w:uiPriority w:val="32"/>
    <w:qFormat/>
    <w:rsid w:val="00142181"/>
    <w:rPr>
      <w:b/>
      <w:bCs/>
      <w:smallCaps/>
      <w:color w:val="0F4761" w:themeColor="accent1" w:themeShade="BF"/>
      <w:spacing w:val="5"/>
    </w:rPr>
  </w:style>
  <w:style w:type="paragraph" w:styleId="NormalWeb">
    <w:name w:val="Normal (Web)"/>
    <w:basedOn w:val="Normal"/>
    <w:uiPriority w:val="99"/>
    <w:semiHidden/>
    <w:unhideWhenUsed/>
    <w:rsid w:val="0014218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42181"/>
    <w:rPr>
      <w:b/>
      <w:bCs/>
    </w:rPr>
  </w:style>
  <w:style w:type="paragraph" w:styleId="Header">
    <w:name w:val="header"/>
    <w:basedOn w:val="Normal"/>
    <w:link w:val="HeaderChar"/>
    <w:uiPriority w:val="99"/>
    <w:unhideWhenUsed/>
    <w:rsid w:val="00142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81"/>
  </w:style>
  <w:style w:type="paragraph" w:styleId="Footer">
    <w:name w:val="footer"/>
    <w:basedOn w:val="Normal"/>
    <w:link w:val="FooterChar"/>
    <w:uiPriority w:val="99"/>
    <w:unhideWhenUsed/>
    <w:rsid w:val="00142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710637">
      <w:bodyDiv w:val="1"/>
      <w:marLeft w:val="0"/>
      <w:marRight w:val="0"/>
      <w:marTop w:val="0"/>
      <w:marBottom w:val="0"/>
      <w:divBdr>
        <w:top w:val="none" w:sz="0" w:space="0" w:color="auto"/>
        <w:left w:val="none" w:sz="0" w:space="0" w:color="auto"/>
        <w:bottom w:val="none" w:sz="0" w:space="0" w:color="auto"/>
        <w:right w:val="none" w:sz="0" w:space="0" w:color="auto"/>
      </w:divBdr>
    </w:div>
    <w:div w:id="322440699">
      <w:bodyDiv w:val="1"/>
      <w:marLeft w:val="0"/>
      <w:marRight w:val="0"/>
      <w:marTop w:val="0"/>
      <w:marBottom w:val="0"/>
      <w:divBdr>
        <w:top w:val="none" w:sz="0" w:space="0" w:color="auto"/>
        <w:left w:val="none" w:sz="0" w:space="0" w:color="auto"/>
        <w:bottom w:val="none" w:sz="0" w:space="0" w:color="auto"/>
        <w:right w:val="none" w:sz="0" w:space="0" w:color="auto"/>
      </w:divBdr>
      <w:divsChild>
        <w:div w:id="1770200712">
          <w:marLeft w:val="0"/>
          <w:marRight w:val="0"/>
          <w:marTop w:val="0"/>
          <w:marBottom w:val="0"/>
          <w:divBdr>
            <w:top w:val="none" w:sz="0" w:space="0" w:color="auto"/>
            <w:left w:val="none" w:sz="0" w:space="0" w:color="auto"/>
            <w:bottom w:val="none" w:sz="0" w:space="0" w:color="auto"/>
            <w:right w:val="none" w:sz="0" w:space="0" w:color="auto"/>
          </w:divBdr>
        </w:div>
      </w:divsChild>
    </w:div>
    <w:div w:id="445999906">
      <w:bodyDiv w:val="1"/>
      <w:marLeft w:val="0"/>
      <w:marRight w:val="0"/>
      <w:marTop w:val="0"/>
      <w:marBottom w:val="0"/>
      <w:divBdr>
        <w:top w:val="none" w:sz="0" w:space="0" w:color="auto"/>
        <w:left w:val="none" w:sz="0" w:space="0" w:color="auto"/>
        <w:bottom w:val="none" w:sz="0" w:space="0" w:color="auto"/>
        <w:right w:val="none" w:sz="0" w:space="0" w:color="auto"/>
      </w:divBdr>
    </w:div>
    <w:div w:id="672270041">
      <w:bodyDiv w:val="1"/>
      <w:marLeft w:val="0"/>
      <w:marRight w:val="0"/>
      <w:marTop w:val="0"/>
      <w:marBottom w:val="0"/>
      <w:divBdr>
        <w:top w:val="none" w:sz="0" w:space="0" w:color="auto"/>
        <w:left w:val="none" w:sz="0" w:space="0" w:color="auto"/>
        <w:bottom w:val="none" w:sz="0" w:space="0" w:color="auto"/>
        <w:right w:val="none" w:sz="0" w:space="0" w:color="auto"/>
      </w:divBdr>
    </w:div>
    <w:div w:id="1158812628">
      <w:bodyDiv w:val="1"/>
      <w:marLeft w:val="0"/>
      <w:marRight w:val="0"/>
      <w:marTop w:val="0"/>
      <w:marBottom w:val="0"/>
      <w:divBdr>
        <w:top w:val="none" w:sz="0" w:space="0" w:color="auto"/>
        <w:left w:val="none" w:sz="0" w:space="0" w:color="auto"/>
        <w:bottom w:val="none" w:sz="0" w:space="0" w:color="auto"/>
        <w:right w:val="none" w:sz="0" w:space="0" w:color="auto"/>
      </w:divBdr>
      <w:divsChild>
        <w:div w:id="767311824">
          <w:marLeft w:val="0"/>
          <w:marRight w:val="0"/>
          <w:marTop w:val="0"/>
          <w:marBottom w:val="0"/>
          <w:divBdr>
            <w:top w:val="none" w:sz="0" w:space="0" w:color="auto"/>
            <w:left w:val="none" w:sz="0" w:space="0" w:color="auto"/>
            <w:bottom w:val="none" w:sz="0" w:space="0" w:color="auto"/>
            <w:right w:val="none" w:sz="0" w:space="0" w:color="auto"/>
          </w:divBdr>
        </w:div>
      </w:divsChild>
    </w:div>
    <w:div w:id="1250122422">
      <w:bodyDiv w:val="1"/>
      <w:marLeft w:val="0"/>
      <w:marRight w:val="0"/>
      <w:marTop w:val="0"/>
      <w:marBottom w:val="0"/>
      <w:divBdr>
        <w:top w:val="none" w:sz="0" w:space="0" w:color="auto"/>
        <w:left w:val="none" w:sz="0" w:space="0" w:color="auto"/>
        <w:bottom w:val="none" w:sz="0" w:space="0" w:color="auto"/>
        <w:right w:val="none" w:sz="0" w:space="0" w:color="auto"/>
      </w:divBdr>
    </w:div>
    <w:div w:id="1931349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2250</Words>
  <Characters>12825</Characters>
  <Application>Microsoft Office Word</Application>
  <DocSecurity>0</DocSecurity>
  <Lines>106</Lines>
  <Paragraphs>30</Paragraphs>
  <ScaleCrop>false</ScaleCrop>
  <Company>University of Wales Trinity Saint David</Company>
  <LinksUpToDate>false</LinksUpToDate>
  <CharactersWithSpaces>15045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1</cp:revision>
  <dcterms:created xsi:type="dcterms:W3CDTF">2025-06-23T09:36:00Z</dcterms:created>
  <dcterms:modified xsi:type="dcterms:W3CDTF">2025-06-23T10:36:00Z</dcterms:modified>
</cp:coreProperties>
</file>