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39865" w14:textId="2BE158F2" w:rsidR="00CE1045" w:rsidRPr="00526515" w:rsidRDefault="00CE1045" w:rsidP="00461005">
      <w:pPr>
        <w:pStyle w:val="NormalWeb"/>
        <w:spacing w:before="0" w:beforeAutospacing="0" w:after="0" w:afterAutospacing="0" w:line="360" w:lineRule="auto"/>
        <w:jc w:val="both"/>
        <w:rPr>
          <w:b/>
          <w:color w:val="000000"/>
        </w:rPr>
      </w:pPr>
      <w:r w:rsidRPr="00526515">
        <w:rPr>
          <w:b/>
          <w:color w:val="000000"/>
        </w:rPr>
        <w:t xml:space="preserve">An analysis of observations made during a placement at </w:t>
      </w:r>
      <w:r w:rsidR="00526515" w:rsidRPr="00526515">
        <w:rPr>
          <w:b/>
          <w:color w:val="000000"/>
        </w:rPr>
        <w:t xml:space="preserve">the Pupil Referral Unit (PRU) </w:t>
      </w:r>
      <w:r w:rsidRPr="00526515">
        <w:rPr>
          <w:b/>
          <w:color w:val="000000"/>
        </w:rPr>
        <w:t>Canolfan-Y-Gors</w:t>
      </w:r>
      <w:r w:rsidR="00526515" w:rsidRPr="00526515">
        <w:rPr>
          <w:b/>
          <w:color w:val="000000"/>
        </w:rPr>
        <w:t>.</w:t>
      </w:r>
    </w:p>
    <w:p w14:paraId="014D690B" w14:textId="77777777" w:rsidR="00CE1045" w:rsidRDefault="00CE1045" w:rsidP="00461005">
      <w:pPr>
        <w:pStyle w:val="NormalWeb"/>
        <w:spacing w:before="0" w:beforeAutospacing="0" w:after="0" w:afterAutospacing="0" w:line="360" w:lineRule="auto"/>
        <w:jc w:val="both"/>
        <w:rPr>
          <w:color w:val="000000"/>
        </w:rPr>
      </w:pPr>
    </w:p>
    <w:p w14:paraId="1FBAB4CE" w14:textId="45134BAB" w:rsidR="00EE6AA3" w:rsidRDefault="00EA40DC" w:rsidP="00461005">
      <w:pPr>
        <w:pStyle w:val="NormalWeb"/>
        <w:spacing w:before="0" w:beforeAutospacing="0" w:after="0" w:afterAutospacing="0" w:line="360" w:lineRule="auto"/>
        <w:jc w:val="both"/>
        <w:rPr>
          <w:color w:val="000000"/>
        </w:rPr>
      </w:pPr>
      <w:r w:rsidRPr="00461005">
        <w:rPr>
          <w:color w:val="000000"/>
        </w:rPr>
        <w:t xml:space="preserve">This essay shall approach observations made during a placement at a Pupil Referral Unit (PRU) called Canolfan-Y-Gors. </w:t>
      </w:r>
      <w:r w:rsidR="00461005">
        <w:rPr>
          <w:color w:val="000000"/>
        </w:rPr>
        <w:t xml:space="preserve">The essay shall first give a small amount of background context into Canolfan-Y-Gors before giving the 3 observations made during the placement that will be analysed. Then each observation </w:t>
      </w:r>
      <w:r w:rsidR="00D50AFD">
        <w:rPr>
          <w:color w:val="000000"/>
        </w:rPr>
        <w:t>shall be analysed in detail</w:t>
      </w:r>
      <w:r w:rsidR="00EE6AA3">
        <w:rPr>
          <w:color w:val="000000"/>
        </w:rPr>
        <w:t xml:space="preserve"> with critical analysis and reviews of scholarly work regarding the observations. The essay shall then reach a conclusion regarding the three observations. </w:t>
      </w:r>
      <w:r w:rsidR="00D114CB">
        <w:rPr>
          <w:color w:val="000000"/>
        </w:rPr>
        <w:t xml:space="preserve">It will be expected to be found that the need to physically restrain a pupil in a PRU would be quite high and a common </w:t>
      </w:r>
      <w:r w:rsidR="00491392">
        <w:rPr>
          <w:color w:val="000000"/>
        </w:rPr>
        <w:t>occurrence</w:t>
      </w:r>
      <w:r w:rsidR="00CB4CBF">
        <w:rPr>
          <w:color w:val="000000"/>
        </w:rPr>
        <w:t>,</w:t>
      </w:r>
      <w:r w:rsidR="00491392">
        <w:rPr>
          <w:color w:val="000000"/>
        </w:rPr>
        <w:t xml:space="preserve"> </w:t>
      </w:r>
      <w:r w:rsidR="00CB4CBF">
        <w:rPr>
          <w:color w:val="000000"/>
        </w:rPr>
        <w:t>and</w:t>
      </w:r>
      <w:r w:rsidR="00491392">
        <w:rPr>
          <w:color w:val="000000"/>
        </w:rPr>
        <w:t xml:space="preserve"> that there are strict guidelines t</w:t>
      </w:r>
      <w:r w:rsidR="00DA4AD0">
        <w:rPr>
          <w:color w:val="000000"/>
        </w:rPr>
        <w:t>hat must be</w:t>
      </w:r>
      <w:r w:rsidR="00491392">
        <w:rPr>
          <w:color w:val="000000"/>
        </w:rPr>
        <w:t xml:space="preserve"> adhere</w:t>
      </w:r>
      <w:r w:rsidR="00DA4AD0">
        <w:rPr>
          <w:color w:val="000000"/>
        </w:rPr>
        <w:t>d</w:t>
      </w:r>
      <w:r w:rsidR="00491392">
        <w:rPr>
          <w:color w:val="000000"/>
        </w:rPr>
        <w:t xml:space="preserve"> to when restraining a pupil</w:t>
      </w:r>
      <w:r w:rsidR="00CB4CBF">
        <w:rPr>
          <w:color w:val="000000"/>
        </w:rPr>
        <w:t>. T</w:t>
      </w:r>
      <w:r w:rsidR="00D114CB">
        <w:rPr>
          <w:color w:val="000000"/>
        </w:rPr>
        <w:t>here are policies in place to prevent non-violent physical contact between staff and pupils taking place and crossing boundaries</w:t>
      </w:r>
      <w:r w:rsidR="00CB4CBF">
        <w:rPr>
          <w:color w:val="000000"/>
        </w:rPr>
        <w:t>. T</w:t>
      </w:r>
      <w:r w:rsidR="00491392">
        <w:rPr>
          <w:color w:val="000000"/>
        </w:rPr>
        <w:t>he final expectation that is expected to be found is that it is detrimental to pupils</w:t>
      </w:r>
      <w:r w:rsidR="00CB4CBF">
        <w:rPr>
          <w:color w:val="000000"/>
        </w:rPr>
        <w:t>’</w:t>
      </w:r>
      <w:r w:rsidR="00491392">
        <w:rPr>
          <w:color w:val="000000"/>
        </w:rPr>
        <w:t xml:space="preserve"> education when being taught in mixed-ability and mixed-age teaching groups.</w:t>
      </w:r>
      <w:r w:rsidR="00AA413F">
        <w:rPr>
          <w:color w:val="000000"/>
        </w:rPr>
        <w:t xml:space="preserve"> </w:t>
      </w:r>
    </w:p>
    <w:p w14:paraId="16A83D62" w14:textId="77777777" w:rsidR="00AA413F" w:rsidRPr="00461005" w:rsidRDefault="00AA413F" w:rsidP="00461005">
      <w:pPr>
        <w:pStyle w:val="NormalWeb"/>
        <w:spacing w:before="0" w:beforeAutospacing="0" w:after="0" w:afterAutospacing="0" w:line="360" w:lineRule="auto"/>
        <w:jc w:val="both"/>
        <w:rPr>
          <w:color w:val="000000"/>
        </w:rPr>
      </w:pPr>
    </w:p>
    <w:p w14:paraId="27D364BF" w14:textId="0BE77685" w:rsidR="00EA40DC" w:rsidRDefault="00D50AFD" w:rsidP="00EE6AA3">
      <w:pPr>
        <w:pStyle w:val="NormalWeb"/>
        <w:spacing w:before="0" w:beforeAutospacing="0" w:after="0" w:afterAutospacing="0" w:line="360" w:lineRule="auto"/>
        <w:ind w:firstLine="360"/>
        <w:jc w:val="both"/>
        <w:rPr>
          <w:color w:val="000000"/>
        </w:rPr>
      </w:pPr>
      <w:r>
        <w:rPr>
          <w:color w:val="000000"/>
        </w:rPr>
        <w:t xml:space="preserve">In order to discuss the observations made on the placement it is necessary to gain a small amount of background information on </w:t>
      </w:r>
      <w:r w:rsidR="0087204E">
        <w:rPr>
          <w:color w:val="000000"/>
        </w:rPr>
        <w:t>Canolfan-Y-Gors, it</w:t>
      </w:r>
      <w:r w:rsidR="00CB4CBF">
        <w:rPr>
          <w:color w:val="000000"/>
        </w:rPr>
        <w:t>’</w:t>
      </w:r>
      <w:r w:rsidR="00EA40DC" w:rsidRPr="00461005">
        <w:rPr>
          <w:color w:val="000000"/>
        </w:rPr>
        <w:t>s located in South West Wale</w:t>
      </w:r>
      <w:r w:rsidR="0087204E">
        <w:rPr>
          <w:color w:val="000000"/>
        </w:rPr>
        <w:t xml:space="preserve">s </w:t>
      </w:r>
      <w:r w:rsidR="00EA40DC" w:rsidRPr="00461005">
        <w:rPr>
          <w:color w:val="000000"/>
        </w:rPr>
        <w:t xml:space="preserve">a few miles from Llanelli. </w:t>
      </w:r>
      <w:r>
        <w:rPr>
          <w:color w:val="000000"/>
        </w:rPr>
        <w:t>Canolfan-Y-Gors also</w:t>
      </w:r>
      <w:r w:rsidR="00EA40DC" w:rsidRPr="00461005">
        <w:rPr>
          <w:color w:val="000000"/>
        </w:rPr>
        <w:t xml:space="preserve"> has a sister school named Rhydygors</w:t>
      </w:r>
      <w:r w:rsidR="00CB4CBF">
        <w:rPr>
          <w:color w:val="000000"/>
        </w:rPr>
        <w:t>. P</w:t>
      </w:r>
      <w:r w:rsidR="00EA40DC" w:rsidRPr="00461005">
        <w:rPr>
          <w:color w:val="000000"/>
        </w:rPr>
        <w:t>upils at Rhydygors usually suffer with behavioural issues</w:t>
      </w:r>
      <w:r w:rsidR="006942C4">
        <w:rPr>
          <w:color w:val="000000"/>
        </w:rPr>
        <w:t>,</w:t>
      </w:r>
      <w:r w:rsidR="00EA40DC" w:rsidRPr="00461005">
        <w:rPr>
          <w:color w:val="000000"/>
        </w:rPr>
        <w:t xml:space="preserve"> while pupils at Canolfan-Y-Gors tend to suffer with anxiety and self-exclusion issues. Ca</w:t>
      </w:r>
      <w:r>
        <w:rPr>
          <w:color w:val="000000"/>
        </w:rPr>
        <w:t>n</w:t>
      </w:r>
      <w:r w:rsidR="00EA40DC" w:rsidRPr="00461005">
        <w:rPr>
          <w:color w:val="000000"/>
        </w:rPr>
        <w:t>olfan-Y-Gors has only 24 pupils enrolled at the school and only 18 attend the PRU w</w:t>
      </w:r>
      <w:r w:rsidR="00CB4CBF">
        <w:rPr>
          <w:color w:val="000000"/>
        </w:rPr>
        <w:t>hilst</w:t>
      </w:r>
      <w:r w:rsidR="00EA40DC" w:rsidRPr="00461005">
        <w:rPr>
          <w:color w:val="000000"/>
        </w:rPr>
        <w:t xml:space="preserve"> the other 6 </w:t>
      </w:r>
      <w:r w:rsidR="00CB4CBF">
        <w:rPr>
          <w:color w:val="000000"/>
        </w:rPr>
        <w:t xml:space="preserve">are </w:t>
      </w:r>
      <w:r w:rsidR="00EA40DC" w:rsidRPr="00461005">
        <w:rPr>
          <w:color w:val="000000"/>
        </w:rPr>
        <w:t>currently being taught at their homes. The</w:t>
      </w:r>
      <w:r w:rsidR="00461005">
        <w:rPr>
          <w:color w:val="000000"/>
        </w:rPr>
        <w:t>re were many observations made through</w:t>
      </w:r>
      <w:r>
        <w:rPr>
          <w:color w:val="000000"/>
        </w:rPr>
        <w:t>o</w:t>
      </w:r>
      <w:r w:rsidR="00461005">
        <w:rPr>
          <w:color w:val="000000"/>
        </w:rPr>
        <w:t>ut the placement, however, the 3 that shall be focused on in this essay are:</w:t>
      </w:r>
    </w:p>
    <w:p w14:paraId="6385553E" w14:textId="1599ABA5" w:rsidR="00461005" w:rsidRDefault="00461005" w:rsidP="00461005">
      <w:pPr>
        <w:pStyle w:val="NormalWeb"/>
        <w:numPr>
          <w:ilvl w:val="0"/>
          <w:numId w:val="1"/>
        </w:numPr>
        <w:spacing w:before="0" w:beforeAutospacing="0" w:after="0" w:afterAutospacing="0" w:line="360" w:lineRule="auto"/>
        <w:jc w:val="both"/>
        <w:rPr>
          <w:color w:val="000000"/>
        </w:rPr>
      </w:pPr>
      <w:r>
        <w:rPr>
          <w:color w:val="000000"/>
        </w:rPr>
        <w:t xml:space="preserve">Witnessing a pupil </w:t>
      </w:r>
      <w:r w:rsidR="00ED163A">
        <w:rPr>
          <w:color w:val="000000"/>
        </w:rPr>
        <w:t>being</w:t>
      </w:r>
      <w:r>
        <w:rPr>
          <w:color w:val="000000"/>
        </w:rPr>
        <w:t xml:space="preserve"> physically restrained by staff due to a breakdown.</w:t>
      </w:r>
    </w:p>
    <w:p w14:paraId="7EB9C0D8" w14:textId="2E2E2C78" w:rsidR="00461005" w:rsidRDefault="006942C4" w:rsidP="00461005">
      <w:pPr>
        <w:pStyle w:val="NormalWeb"/>
        <w:numPr>
          <w:ilvl w:val="0"/>
          <w:numId w:val="1"/>
        </w:numPr>
        <w:spacing w:before="0" w:beforeAutospacing="0" w:after="0" w:afterAutospacing="0" w:line="360" w:lineRule="auto"/>
        <w:jc w:val="both"/>
        <w:rPr>
          <w:color w:val="000000"/>
        </w:rPr>
      </w:pPr>
      <w:r>
        <w:rPr>
          <w:color w:val="000000"/>
        </w:rPr>
        <w:t>Non</w:t>
      </w:r>
      <w:r w:rsidR="00461005">
        <w:rPr>
          <w:color w:val="000000"/>
        </w:rPr>
        <w:t>-violent physical contact between Staff and Pupils e.g. hugs, an arm round a shoulder, high fives etc.</w:t>
      </w:r>
    </w:p>
    <w:p w14:paraId="5B99B925" w14:textId="3E28719D" w:rsidR="00461005" w:rsidRDefault="00461005" w:rsidP="00461005">
      <w:pPr>
        <w:pStyle w:val="NormalWeb"/>
        <w:numPr>
          <w:ilvl w:val="0"/>
          <w:numId w:val="1"/>
        </w:numPr>
        <w:spacing w:before="0" w:beforeAutospacing="0" w:after="0" w:afterAutospacing="0" w:line="360" w:lineRule="auto"/>
        <w:jc w:val="both"/>
        <w:rPr>
          <w:color w:val="000000"/>
        </w:rPr>
      </w:pPr>
      <w:r>
        <w:rPr>
          <w:color w:val="000000"/>
        </w:rPr>
        <w:t xml:space="preserve">Classes often mixed pupils of different </w:t>
      </w:r>
      <w:r w:rsidR="006942C4">
        <w:rPr>
          <w:color w:val="000000"/>
        </w:rPr>
        <w:t>a</w:t>
      </w:r>
      <w:r>
        <w:rPr>
          <w:color w:val="000000"/>
        </w:rPr>
        <w:t xml:space="preserve">bility and </w:t>
      </w:r>
      <w:r w:rsidR="006942C4">
        <w:rPr>
          <w:color w:val="000000"/>
        </w:rPr>
        <w:t>m</w:t>
      </w:r>
      <w:r>
        <w:rPr>
          <w:color w:val="000000"/>
        </w:rPr>
        <w:t xml:space="preserve">ixed </w:t>
      </w:r>
      <w:r w:rsidR="006942C4">
        <w:rPr>
          <w:color w:val="000000"/>
        </w:rPr>
        <w:t>a</w:t>
      </w:r>
      <w:r>
        <w:rPr>
          <w:color w:val="000000"/>
        </w:rPr>
        <w:t>ges</w:t>
      </w:r>
      <w:r w:rsidR="00244249">
        <w:rPr>
          <w:color w:val="000000"/>
        </w:rPr>
        <w:t>.</w:t>
      </w:r>
    </w:p>
    <w:p w14:paraId="65D4F163" w14:textId="77777777" w:rsidR="00EE6AA3" w:rsidRPr="00461005" w:rsidRDefault="00EE6AA3" w:rsidP="00EE6AA3">
      <w:pPr>
        <w:pStyle w:val="NormalWeb"/>
        <w:spacing w:before="0" w:beforeAutospacing="0" w:after="0" w:afterAutospacing="0" w:line="360" w:lineRule="auto"/>
        <w:ind w:left="720"/>
        <w:jc w:val="both"/>
        <w:rPr>
          <w:color w:val="000000"/>
        </w:rPr>
      </w:pPr>
    </w:p>
    <w:p w14:paraId="542F1F9C" w14:textId="1920ED87" w:rsidR="00D50AFD" w:rsidRDefault="00EA40DC" w:rsidP="00EE6AA3">
      <w:pPr>
        <w:pStyle w:val="NormalWeb"/>
        <w:spacing w:before="0" w:beforeAutospacing="0" w:after="0" w:afterAutospacing="0" w:line="360" w:lineRule="auto"/>
        <w:jc w:val="both"/>
        <w:rPr>
          <w:color w:val="000000"/>
        </w:rPr>
      </w:pPr>
      <w:r w:rsidRPr="00461005">
        <w:rPr>
          <w:color w:val="000000"/>
        </w:rPr>
        <w:t xml:space="preserve">The first observation </w:t>
      </w:r>
      <w:r w:rsidR="00D50AFD">
        <w:rPr>
          <w:color w:val="000000"/>
        </w:rPr>
        <w:t xml:space="preserve">that will be </w:t>
      </w:r>
      <w:r w:rsidRPr="00461005">
        <w:rPr>
          <w:color w:val="000000"/>
        </w:rPr>
        <w:t>discuss</w:t>
      </w:r>
      <w:r w:rsidR="00D50AFD">
        <w:rPr>
          <w:color w:val="000000"/>
        </w:rPr>
        <w:t>ed from the</w:t>
      </w:r>
      <w:r w:rsidRPr="00461005">
        <w:rPr>
          <w:color w:val="000000"/>
        </w:rPr>
        <w:t xml:space="preserve"> placement </w:t>
      </w:r>
      <w:r w:rsidR="002E2FFE">
        <w:rPr>
          <w:color w:val="000000"/>
        </w:rPr>
        <w:t>i</w:t>
      </w:r>
      <w:r w:rsidRPr="00461005">
        <w:rPr>
          <w:color w:val="000000"/>
        </w:rPr>
        <w:t>s Physical Restraint.</w:t>
      </w:r>
      <w:r w:rsidR="00D50AFD">
        <w:rPr>
          <w:color w:val="000000"/>
        </w:rPr>
        <w:t xml:space="preserve"> It</w:t>
      </w:r>
      <w:r w:rsidRPr="00461005">
        <w:rPr>
          <w:color w:val="000000"/>
        </w:rPr>
        <w:t xml:space="preserve"> </w:t>
      </w:r>
      <w:r w:rsidR="002E2FFE">
        <w:rPr>
          <w:color w:val="000000"/>
        </w:rPr>
        <w:t xml:space="preserve">was </w:t>
      </w:r>
      <w:r w:rsidRPr="00461005">
        <w:rPr>
          <w:color w:val="000000"/>
        </w:rPr>
        <w:t>witness</w:t>
      </w:r>
      <w:r w:rsidR="00D50AFD">
        <w:rPr>
          <w:color w:val="000000"/>
        </w:rPr>
        <w:t>ed that</w:t>
      </w:r>
      <w:r w:rsidRPr="00461005">
        <w:rPr>
          <w:color w:val="000000"/>
        </w:rPr>
        <w:t xml:space="preserve"> a year 7 pupil</w:t>
      </w:r>
      <w:r w:rsidR="00D50AFD">
        <w:rPr>
          <w:color w:val="000000"/>
        </w:rPr>
        <w:t xml:space="preserve"> was</w:t>
      </w:r>
      <w:r w:rsidRPr="00461005">
        <w:rPr>
          <w:color w:val="000000"/>
        </w:rPr>
        <w:t xml:space="preserve"> having to be physically restraint as he was having a breakdown. Items</w:t>
      </w:r>
      <w:r w:rsidR="00D50AFD">
        <w:rPr>
          <w:color w:val="000000"/>
        </w:rPr>
        <w:t xml:space="preserve"> such as wooden blocks, metal staplers and chairs</w:t>
      </w:r>
      <w:r w:rsidRPr="00461005">
        <w:rPr>
          <w:color w:val="000000"/>
        </w:rPr>
        <w:t xml:space="preserve"> were being thrown and the pupil became physically aggressive. The teachers used Strategies for Crisis Intervention and Prevention </w:t>
      </w:r>
      <w:r w:rsidR="00D50AFD">
        <w:rPr>
          <w:color w:val="000000"/>
        </w:rPr>
        <w:t>–</w:t>
      </w:r>
      <w:r w:rsidRPr="00461005">
        <w:rPr>
          <w:color w:val="000000"/>
        </w:rPr>
        <w:t xml:space="preserve"> Revised</w:t>
      </w:r>
      <w:r w:rsidR="00D50AFD">
        <w:rPr>
          <w:color w:val="000000"/>
        </w:rPr>
        <w:t xml:space="preserve"> (SCIP</w:t>
      </w:r>
      <w:r w:rsidR="006942C4">
        <w:rPr>
          <w:color w:val="000000"/>
        </w:rPr>
        <w:t>-</w:t>
      </w:r>
      <w:r w:rsidR="00D50AFD">
        <w:rPr>
          <w:color w:val="000000"/>
        </w:rPr>
        <w:t>R)</w:t>
      </w:r>
      <w:r w:rsidRPr="00461005">
        <w:rPr>
          <w:color w:val="000000"/>
        </w:rPr>
        <w:t xml:space="preserve"> to handle the situation. SCIP was originally created by the Office of Mental Retardation and Developmental Disabilities in New York in 1988</w:t>
      </w:r>
      <w:r w:rsidR="002E2FFE">
        <w:rPr>
          <w:color w:val="000000"/>
        </w:rPr>
        <w:t>,</w:t>
      </w:r>
      <w:r w:rsidRPr="00461005">
        <w:rPr>
          <w:color w:val="000000"/>
        </w:rPr>
        <w:t xml:space="preserve"> however</w:t>
      </w:r>
      <w:r w:rsidR="002E2FFE">
        <w:rPr>
          <w:color w:val="000000"/>
        </w:rPr>
        <w:t>,</w:t>
      </w:r>
      <w:r w:rsidRPr="00461005">
        <w:rPr>
          <w:color w:val="000000"/>
        </w:rPr>
        <w:t xml:space="preserve"> </w:t>
      </w:r>
      <w:r w:rsidRPr="00461005">
        <w:rPr>
          <w:color w:val="000000"/>
        </w:rPr>
        <w:lastRenderedPageBreak/>
        <w:t>it was later revised in 1998 and is now known as SCIP-R.</w:t>
      </w:r>
      <w:r w:rsidR="00E26BE0">
        <w:rPr>
          <w:rStyle w:val="FootnoteReference"/>
          <w:color w:val="000000"/>
        </w:rPr>
        <w:footnoteReference w:id="1"/>
      </w:r>
      <w:r w:rsidRPr="00461005">
        <w:rPr>
          <w:color w:val="000000"/>
        </w:rPr>
        <w:t xml:space="preserve"> The Office of Mental Retardation and Developmental Disabilities later changed its name in 2016 to</w:t>
      </w:r>
      <w:r w:rsidR="00D50AFD">
        <w:rPr>
          <w:color w:val="000000"/>
        </w:rPr>
        <w:t xml:space="preserve"> the </w:t>
      </w:r>
      <w:r w:rsidRPr="00461005">
        <w:rPr>
          <w:color w:val="000000"/>
        </w:rPr>
        <w:t xml:space="preserve">Office </w:t>
      </w:r>
      <w:r w:rsidR="006942C4" w:rsidRPr="00461005">
        <w:rPr>
          <w:color w:val="000000"/>
        </w:rPr>
        <w:t>for</w:t>
      </w:r>
      <w:r w:rsidRPr="00461005">
        <w:rPr>
          <w:color w:val="000000"/>
        </w:rPr>
        <w:t xml:space="preserve"> People with Developmental Disabilities.</w:t>
      </w:r>
      <w:r w:rsidR="00E26BE0">
        <w:rPr>
          <w:rStyle w:val="FootnoteReference"/>
          <w:color w:val="000000"/>
        </w:rPr>
        <w:footnoteReference w:id="2"/>
      </w:r>
      <w:r w:rsidR="00362122">
        <w:rPr>
          <w:color w:val="000000"/>
        </w:rPr>
        <w:t xml:space="preserve"> SCIP-R is split into three strategies; Early </w:t>
      </w:r>
      <w:r w:rsidR="002E2FFE">
        <w:rPr>
          <w:color w:val="000000"/>
        </w:rPr>
        <w:t>I</w:t>
      </w:r>
      <w:r w:rsidR="00362122">
        <w:rPr>
          <w:color w:val="000000"/>
        </w:rPr>
        <w:t>ntervention, Calming Techniques and Physical Intervention.</w:t>
      </w:r>
      <w:r w:rsidR="00E26BE0">
        <w:rPr>
          <w:rStyle w:val="FootnoteReference"/>
          <w:color w:val="000000"/>
        </w:rPr>
        <w:footnoteReference w:id="3"/>
      </w:r>
      <w:r w:rsidRPr="00461005">
        <w:rPr>
          <w:color w:val="000000"/>
        </w:rPr>
        <w:t xml:space="preserve"> The SCIP-R techniques</w:t>
      </w:r>
      <w:r w:rsidR="00D50AFD">
        <w:rPr>
          <w:color w:val="000000"/>
        </w:rPr>
        <w:t xml:space="preserve"> that</w:t>
      </w:r>
      <w:r w:rsidRPr="00461005">
        <w:rPr>
          <w:color w:val="000000"/>
        </w:rPr>
        <w:t xml:space="preserve"> were </w:t>
      </w:r>
      <w:r w:rsidR="00D50AFD">
        <w:rPr>
          <w:color w:val="000000"/>
        </w:rPr>
        <w:t xml:space="preserve">observed being used by the staff members on the Pupil were </w:t>
      </w:r>
      <w:r w:rsidRPr="00461005">
        <w:rPr>
          <w:color w:val="000000"/>
        </w:rPr>
        <w:t>‘Two Person Escort’ and the specialised technique of ‘Back Hold Under Arms Release’.</w:t>
      </w:r>
      <w:r w:rsidR="00E26BE0">
        <w:rPr>
          <w:rStyle w:val="FootnoteReference"/>
          <w:color w:val="000000"/>
        </w:rPr>
        <w:footnoteReference w:id="4"/>
      </w:r>
      <w:r w:rsidRPr="00461005">
        <w:rPr>
          <w:color w:val="000000"/>
        </w:rPr>
        <w:t xml:space="preserve"> Although physical restraint is seen as a last resort</w:t>
      </w:r>
      <w:r w:rsidR="00362122">
        <w:rPr>
          <w:color w:val="000000"/>
        </w:rPr>
        <w:t xml:space="preserve">, </w:t>
      </w:r>
      <w:r w:rsidR="00D50AFD">
        <w:rPr>
          <w:color w:val="000000"/>
        </w:rPr>
        <w:t>it appeared that the staff were extremely quick and eager to use physical restraint on this pupil,</w:t>
      </w:r>
      <w:r w:rsidR="00362122">
        <w:rPr>
          <w:color w:val="000000"/>
        </w:rPr>
        <w:t xml:space="preserve"> and that the two other strategies of SCIP-R had been forgotten. </w:t>
      </w:r>
      <w:r w:rsidR="006A335E">
        <w:rPr>
          <w:color w:val="000000"/>
        </w:rPr>
        <w:t>I</w:t>
      </w:r>
      <w:r w:rsidR="00362122">
        <w:rPr>
          <w:color w:val="000000"/>
        </w:rPr>
        <w:t>t state</w:t>
      </w:r>
      <w:r w:rsidR="006A335E">
        <w:rPr>
          <w:color w:val="000000"/>
        </w:rPr>
        <w:t>s</w:t>
      </w:r>
      <w:r w:rsidR="00362122">
        <w:rPr>
          <w:color w:val="000000"/>
        </w:rPr>
        <w:t xml:space="preserve"> in the guidelines for SCIP-R that the three strategies depend on the ‘Phase of behaviour exhibited by the individual’.</w:t>
      </w:r>
      <w:r w:rsidR="00362122">
        <w:rPr>
          <w:rStyle w:val="FootnoteReference"/>
          <w:color w:val="000000"/>
        </w:rPr>
        <w:footnoteReference w:id="5"/>
      </w:r>
      <w:r w:rsidR="00362122">
        <w:rPr>
          <w:color w:val="000000"/>
        </w:rPr>
        <w:t xml:space="preserve"> I</w:t>
      </w:r>
      <w:r w:rsidRPr="00461005">
        <w:rPr>
          <w:color w:val="000000"/>
        </w:rPr>
        <w:t>n situations such as this one, it was necessary for the teaching assistants to utilise it</w:t>
      </w:r>
      <w:r w:rsidR="00D50AFD" w:rsidRPr="00D50AFD">
        <w:rPr>
          <w:color w:val="000000"/>
        </w:rPr>
        <w:t xml:space="preserve"> </w:t>
      </w:r>
      <w:r w:rsidR="00D50AFD">
        <w:rPr>
          <w:color w:val="000000"/>
        </w:rPr>
        <w:t>as the breakdown had not occurred in a classroom</w:t>
      </w:r>
      <w:r w:rsidR="006942C4">
        <w:rPr>
          <w:color w:val="000000"/>
        </w:rPr>
        <w:t>,</w:t>
      </w:r>
      <w:r w:rsidR="00D50AFD">
        <w:rPr>
          <w:color w:val="000000"/>
        </w:rPr>
        <w:t xml:space="preserve"> but in a more communal area of the school</w:t>
      </w:r>
      <w:r w:rsidR="006A335E">
        <w:rPr>
          <w:color w:val="000000"/>
        </w:rPr>
        <w:t>,</w:t>
      </w:r>
      <w:r w:rsidRPr="00461005">
        <w:rPr>
          <w:color w:val="000000"/>
        </w:rPr>
        <w:t xml:space="preserve"> </w:t>
      </w:r>
      <w:r w:rsidR="00D50AFD">
        <w:rPr>
          <w:color w:val="000000"/>
        </w:rPr>
        <w:t xml:space="preserve">and the items that were being thrown put the other pupils and staff members </w:t>
      </w:r>
      <w:r w:rsidRPr="00461005">
        <w:rPr>
          <w:color w:val="000000"/>
        </w:rPr>
        <w:t xml:space="preserve">wellbeing and </w:t>
      </w:r>
      <w:r w:rsidR="00362122">
        <w:rPr>
          <w:color w:val="000000"/>
        </w:rPr>
        <w:t xml:space="preserve">safety </w:t>
      </w:r>
      <w:r w:rsidRPr="00461005">
        <w:rPr>
          <w:color w:val="000000"/>
        </w:rPr>
        <w:t>in danger</w:t>
      </w:r>
      <w:r w:rsidR="006A335E">
        <w:rPr>
          <w:color w:val="000000"/>
        </w:rPr>
        <w:t>.</w:t>
      </w:r>
      <w:r w:rsidR="00D50AFD">
        <w:rPr>
          <w:color w:val="000000"/>
        </w:rPr>
        <w:t xml:space="preserve"> </w:t>
      </w:r>
      <w:r w:rsidRPr="00461005">
        <w:rPr>
          <w:color w:val="000000"/>
        </w:rPr>
        <w:t xml:space="preserve">The school policy states that all staff are to be trained in SCIP-R </w:t>
      </w:r>
      <w:r w:rsidR="00D50AFD">
        <w:rPr>
          <w:color w:val="000000"/>
        </w:rPr>
        <w:t xml:space="preserve">(which all the staff were) </w:t>
      </w:r>
      <w:r w:rsidRPr="00461005">
        <w:rPr>
          <w:color w:val="000000"/>
        </w:rPr>
        <w:t>which allows situations like this to be dealt with effectively and efficiently.</w:t>
      </w:r>
      <w:r w:rsidR="00994A1E">
        <w:rPr>
          <w:color w:val="000000"/>
        </w:rPr>
        <w:t xml:space="preserve"> It was discovered through conversation with a SCIP</w:t>
      </w:r>
      <w:r w:rsidR="00362122">
        <w:rPr>
          <w:color w:val="000000"/>
        </w:rPr>
        <w:t>-</w:t>
      </w:r>
      <w:r w:rsidR="00994A1E">
        <w:rPr>
          <w:color w:val="000000"/>
        </w:rPr>
        <w:t>R trained teaching assistant who worked at Canolfan-Y-Gors</w:t>
      </w:r>
      <w:r w:rsidR="006A335E">
        <w:rPr>
          <w:color w:val="000000"/>
        </w:rPr>
        <w:t>,</w:t>
      </w:r>
      <w:r w:rsidR="00994A1E">
        <w:rPr>
          <w:color w:val="000000"/>
        </w:rPr>
        <w:t xml:space="preserve"> and previously at the sister school Rhydygors, that it was uncommon in this setting for the need to physically restrain a pupil and that throughout his career of several years (five) they personally had only had to utilise SCIP</w:t>
      </w:r>
      <w:r w:rsidR="00362122">
        <w:rPr>
          <w:color w:val="000000"/>
        </w:rPr>
        <w:t>-</w:t>
      </w:r>
      <w:r w:rsidR="00994A1E">
        <w:rPr>
          <w:color w:val="000000"/>
        </w:rPr>
        <w:t>R three times. However</w:t>
      </w:r>
      <w:r w:rsidR="00362122">
        <w:rPr>
          <w:color w:val="000000"/>
        </w:rPr>
        <w:t>,</w:t>
      </w:r>
      <w:r w:rsidR="00994A1E">
        <w:rPr>
          <w:color w:val="000000"/>
        </w:rPr>
        <w:t xml:space="preserve"> it was a more common occurrence at the sister school but still not as common as one might think</w:t>
      </w:r>
      <w:r w:rsidR="006A335E">
        <w:rPr>
          <w:color w:val="000000"/>
        </w:rPr>
        <w:t>,</w:t>
      </w:r>
      <w:r w:rsidR="00362122">
        <w:rPr>
          <w:color w:val="000000"/>
        </w:rPr>
        <w:t xml:space="preserve"> and not utilised on a weekly or monthly basis.</w:t>
      </w:r>
      <w:r w:rsidR="00C00914">
        <w:rPr>
          <w:color w:val="000000"/>
        </w:rPr>
        <w:t xml:space="preserve"> Although SCIP-R is a recognised qualification and strategy for physical restraint of a pupil, there are guidelines produced by the </w:t>
      </w:r>
      <w:r w:rsidR="00EE239E">
        <w:rPr>
          <w:color w:val="000000"/>
        </w:rPr>
        <w:t xml:space="preserve">UK </w:t>
      </w:r>
      <w:r w:rsidR="00C00914">
        <w:rPr>
          <w:color w:val="000000"/>
        </w:rPr>
        <w:t>government on the use of physical restraint in order to protect pupil and staff well-being. These guidelines state that schools are authorised to utilise reasonable force</w:t>
      </w:r>
      <w:r w:rsidR="00CD3A90">
        <w:rPr>
          <w:color w:val="000000"/>
        </w:rPr>
        <w:t>; if</w:t>
      </w:r>
      <w:r w:rsidR="00C00914">
        <w:rPr>
          <w:color w:val="000000"/>
        </w:rPr>
        <w:t xml:space="preserve"> there is a pupil at risk of doing harm to themselves through a ‘physical outburst’, </w:t>
      </w:r>
      <w:r w:rsidR="00CD3A90">
        <w:rPr>
          <w:color w:val="000000"/>
        </w:rPr>
        <w:t xml:space="preserve">to remove a pupil from a class if they have </w:t>
      </w:r>
      <w:r w:rsidR="00CD3A90">
        <w:rPr>
          <w:color w:val="000000"/>
        </w:rPr>
        <w:lastRenderedPageBreak/>
        <w:t>refused to leave after being told to do so</w:t>
      </w:r>
      <w:r w:rsidR="00EE239E">
        <w:rPr>
          <w:color w:val="000000"/>
        </w:rPr>
        <w:t>,</w:t>
      </w:r>
      <w:r w:rsidR="00CD3A90">
        <w:rPr>
          <w:color w:val="000000"/>
        </w:rPr>
        <w:t xml:space="preserve"> in order to prevent a pupil from behaving in a way that disrupts a school event or trip, prevent a pupil from leaving the classroom if doing so would put their safety at risk or disrupt the leaving of others and  to stop a pupil from attacking another pupil of member of staff. </w:t>
      </w:r>
      <w:r w:rsidR="00C00914">
        <w:rPr>
          <w:color w:val="000000"/>
        </w:rPr>
        <w:t>These are contained in the Government publication from 2013 entitled “Use of reasonable force in schools”.</w:t>
      </w:r>
      <w:r w:rsidR="00C00914">
        <w:rPr>
          <w:rStyle w:val="FootnoteReference"/>
          <w:color w:val="000000"/>
        </w:rPr>
        <w:footnoteReference w:id="6"/>
      </w:r>
    </w:p>
    <w:p w14:paraId="4A502438" w14:textId="77777777" w:rsidR="00EE6AA3" w:rsidRDefault="00EE6AA3" w:rsidP="00EE6AA3">
      <w:pPr>
        <w:pStyle w:val="NormalWeb"/>
        <w:spacing w:before="0" w:beforeAutospacing="0" w:after="0" w:afterAutospacing="0" w:line="360" w:lineRule="auto"/>
        <w:jc w:val="both"/>
        <w:rPr>
          <w:color w:val="000000"/>
        </w:rPr>
      </w:pPr>
    </w:p>
    <w:p w14:paraId="7B094984" w14:textId="104A0768" w:rsidR="00EE6AA3" w:rsidRDefault="00EA40DC" w:rsidP="00461005">
      <w:pPr>
        <w:pStyle w:val="NormalWeb"/>
        <w:spacing w:before="0" w:beforeAutospacing="0" w:after="0" w:afterAutospacing="0" w:line="360" w:lineRule="auto"/>
        <w:jc w:val="both"/>
        <w:rPr>
          <w:color w:val="000000"/>
        </w:rPr>
      </w:pPr>
      <w:r w:rsidRPr="00461005">
        <w:rPr>
          <w:color w:val="000000"/>
        </w:rPr>
        <w:t xml:space="preserve">The </w:t>
      </w:r>
      <w:r w:rsidR="00D50AFD">
        <w:rPr>
          <w:color w:val="000000"/>
        </w:rPr>
        <w:t xml:space="preserve">second </w:t>
      </w:r>
      <w:r w:rsidRPr="00461005">
        <w:rPr>
          <w:color w:val="000000"/>
        </w:rPr>
        <w:t xml:space="preserve">observation made, which is one observed throughout </w:t>
      </w:r>
      <w:r w:rsidR="00D50AFD">
        <w:rPr>
          <w:color w:val="000000"/>
        </w:rPr>
        <w:t>the</w:t>
      </w:r>
      <w:r w:rsidRPr="00461005">
        <w:rPr>
          <w:color w:val="000000"/>
        </w:rPr>
        <w:t xml:space="preserve"> entire placement</w:t>
      </w:r>
      <w:r w:rsidR="006942C4">
        <w:rPr>
          <w:color w:val="000000"/>
        </w:rPr>
        <w:t>,</w:t>
      </w:r>
      <w:r w:rsidRPr="00461005">
        <w:rPr>
          <w:color w:val="000000"/>
        </w:rPr>
        <w:t xml:space="preserve"> is non-aggressive physical contact between staff and pupils, for example</w:t>
      </w:r>
      <w:r w:rsidR="006942C4">
        <w:rPr>
          <w:color w:val="000000"/>
        </w:rPr>
        <w:t>,</w:t>
      </w:r>
      <w:r w:rsidRPr="00461005">
        <w:rPr>
          <w:color w:val="000000"/>
        </w:rPr>
        <w:t xml:space="preserve"> high fives and hugs. This was usually done between staff and pupils of the same sex</w:t>
      </w:r>
      <w:r w:rsidR="006942C4">
        <w:rPr>
          <w:color w:val="000000"/>
        </w:rPr>
        <w:t>,</w:t>
      </w:r>
      <w:r w:rsidRPr="00461005">
        <w:rPr>
          <w:color w:val="000000"/>
        </w:rPr>
        <w:t xml:space="preserve"> for example</w:t>
      </w:r>
      <w:r w:rsidR="006942C4">
        <w:rPr>
          <w:color w:val="000000"/>
        </w:rPr>
        <w:t>,</w:t>
      </w:r>
      <w:r w:rsidRPr="00461005">
        <w:rPr>
          <w:color w:val="000000"/>
        </w:rPr>
        <w:t xml:space="preserve"> male staff member with a male pupil. It is argued that in order to prevent themselves from allegations </w:t>
      </w:r>
      <w:r w:rsidR="006942C4">
        <w:rPr>
          <w:color w:val="000000"/>
        </w:rPr>
        <w:t>t</w:t>
      </w:r>
      <w:r w:rsidRPr="00461005">
        <w:rPr>
          <w:color w:val="000000"/>
        </w:rPr>
        <w:t>eachers and staff should not have physical contact with pupils.</w:t>
      </w:r>
      <w:r w:rsidR="00526515">
        <w:rPr>
          <w:rStyle w:val="FootnoteReference"/>
          <w:color w:val="000000"/>
        </w:rPr>
        <w:footnoteReference w:id="7"/>
      </w:r>
      <w:r w:rsidR="00526515">
        <w:rPr>
          <w:color w:val="000000"/>
        </w:rPr>
        <w:t xml:space="preserve"> This is backed up by Hewett who </w:t>
      </w:r>
      <w:r w:rsidR="00C00914">
        <w:rPr>
          <w:color w:val="000000"/>
        </w:rPr>
        <w:t>states,</w:t>
      </w:r>
      <w:r w:rsidR="00526515">
        <w:rPr>
          <w:color w:val="000000"/>
        </w:rPr>
        <w:t xml:space="preserve"> “there can be difficulties with the complexities of physical contact in our work”.</w:t>
      </w:r>
      <w:r w:rsidR="00526515">
        <w:rPr>
          <w:rStyle w:val="FootnoteReference"/>
          <w:color w:val="000000"/>
        </w:rPr>
        <w:footnoteReference w:id="8"/>
      </w:r>
      <w:r w:rsidR="00526515">
        <w:rPr>
          <w:color w:val="000000"/>
        </w:rPr>
        <w:t xml:space="preserve"> Hewett does continue to state that the difficulties can be negotiated through ‘Professional Collaboration’.</w:t>
      </w:r>
      <w:r w:rsidR="00526515">
        <w:rPr>
          <w:rStyle w:val="FootnoteReference"/>
          <w:color w:val="000000"/>
        </w:rPr>
        <w:footnoteReference w:id="9"/>
      </w:r>
      <w:r w:rsidR="00526515">
        <w:rPr>
          <w:color w:val="000000"/>
        </w:rPr>
        <w:t xml:space="preserve"> </w:t>
      </w:r>
      <w:r w:rsidRPr="00461005">
        <w:rPr>
          <w:color w:val="000000"/>
        </w:rPr>
        <w:t xml:space="preserve">However, </w:t>
      </w:r>
      <w:r w:rsidR="0087204E">
        <w:rPr>
          <w:color w:val="000000"/>
        </w:rPr>
        <w:t xml:space="preserve">through research it is found that </w:t>
      </w:r>
      <w:r w:rsidRPr="00461005">
        <w:rPr>
          <w:color w:val="000000"/>
        </w:rPr>
        <w:t>there is no government policy that states that this behaviour is not allowed and that in fact it should be encouraged.</w:t>
      </w:r>
      <w:r w:rsidR="0070408A">
        <w:rPr>
          <w:rStyle w:val="FootnoteReference"/>
          <w:color w:val="000000"/>
        </w:rPr>
        <w:footnoteReference w:id="10"/>
      </w:r>
      <w:r w:rsidRPr="00461005">
        <w:rPr>
          <w:color w:val="000000"/>
        </w:rPr>
        <w:t xml:space="preserve"> In an article by the Independent </w:t>
      </w:r>
      <w:r w:rsidR="0087204E">
        <w:rPr>
          <w:color w:val="000000"/>
        </w:rPr>
        <w:t xml:space="preserve">newspaper </w:t>
      </w:r>
      <w:r w:rsidRPr="00461005">
        <w:rPr>
          <w:color w:val="000000"/>
        </w:rPr>
        <w:t xml:space="preserve">it has been argued </w:t>
      </w:r>
      <w:r w:rsidR="00E60FBE">
        <w:rPr>
          <w:color w:val="000000"/>
        </w:rPr>
        <w:t>by</w:t>
      </w:r>
      <w:r w:rsidRPr="00461005">
        <w:rPr>
          <w:color w:val="000000"/>
        </w:rPr>
        <w:t xml:space="preserve"> psychologists </w:t>
      </w:r>
      <w:r w:rsidR="00E60FBE">
        <w:rPr>
          <w:color w:val="000000"/>
        </w:rPr>
        <w:t xml:space="preserve">that </w:t>
      </w:r>
      <w:r w:rsidRPr="00461005">
        <w:rPr>
          <w:color w:val="000000"/>
        </w:rPr>
        <w:t>have called on schools to change their attitudes towards physical contact with students, explaining to parents that touch is not only necessary, but an integral part of the teacher-pupil relationship</w:t>
      </w:r>
      <w:r w:rsidR="0087204E">
        <w:rPr>
          <w:color w:val="000000"/>
        </w:rPr>
        <w:t>.</w:t>
      </w:r>
      <w:r w:rsidR="0070408A">
        <w:rPr>
          <w:rStyle w:val="FootnoteReference"/>
          <w:color w:val="000000"/>
        </w:rPr>
        <w:footnoteReference w:id="11"/>
      </w:r>
      <w:r w:rsidR="00CE1045">
        <w:rPr>
          <w:color w:val="000000"/>
        </w:rPr>
        <w:t xml:space="preserve"> Montagu </w:t>
      </w:r>
      <w:r w:rsidR="00526515">
        <w:rPr>
          <w:color w:val="000000"/>
        </w:rPr>
        <w:t>stated,</w:t>
      </w:r>
      <w:r w:rsidR="00CE1045">
        <w:rPr>
          <w:color w:val="000000"/>
        </w:rPr>
        <w:t xml:space="preserve"> “touch is a basic behavioural need, in much the same way as breathing is a basic physical need”.</w:t>
      </w:r>
      <w:r w:rsidR="00CE1045">
        <w:rPr>
          <w:rStyle w:val="FootnoteReference"/>
          <w:color w:val="000000"/>
        </w:rPr>
        <w:footnoteReference w:id="12"/>
      </w:r>
      <w:r w:rsidR="00CE1045">
        <w:rPr>
          <w:color w:val="000000"/>
        </w:rPr>
        <w:t xml:space="preserve"> This would reinforce the argument for physical contact between staff and pupil</w:t>
      </w:r>
      <w:r w:rsidR="00D24971">
        <w:rPr>
          <w:color w:val="000000"/>
        </w:rPr>
        <w:t>,</w:t>
      </w:r>
      <w:r w:rsidRPr="00461005">
        <w:rPr>
          <w:color w:val="000000"/>
        </w:rPr>
        <w:t xml:space="preserve"> </w:t>
      </w:r>
      <w:r w:rsidR="00CE1045">
        <w:rPr>
          <w:color w:val="000000"/>
        </w:rPr>
        <w:t>and connect</w:t>
      </w:r>
      <w:r w:rsidR="00D24971">
        <w:rPr>
          <w:color w:val="000000"/>
        </w:rPr>
        <w:t>s</w:t>
      </w:r>
      <w:r w:rsidR="00CE1045">
        <w:rPr>
          <w:color w:val="000000"/>
        </w:rPr>
        <w:t xml:space="preserve"> it to</w:t>
      </w:r>
      <w:r w:rsidRPr="00461005">
        <w:rPr>
          <w:color w:val="000000"/>
        </w:rPr>
        <w:t xml:space="preserve"> Maslow’s Hierarchy of Needs</w:t>
      </w:r>
      <w:r w:rsidR="00CE1045">
        <w:rPr>
          <w:color w:val="000000"/>
        </w:rPr>
        <w:t>.</w:t>
      </w:r>
      <w:r w:rsidRPr="00461005">
        <w:rPr>
          <w:color w:val="000000"/>
        </w:rPr>
        <w:t xml:space="preserve"> </w:t>
      </w:r>
      <w:r w:rsidR="0087204E">
        <w:rPr>
          <w:color w:val="000000"/>
        </w:rPr>
        <w:t xml:space="preserve">Maslow’s </w:t>
      </w:r>
      <w:r w:rsidRPr="00461005">
        <w:rPr>
          <w:color w:val="000000"/>
        </w:rPr>
        <w:t xml:space="preserve">theory </w:t>
      </w:r>
      <w:r w:rsidR="0087204E">
        <w:rPr>
          <w:color w:val="000000"/>
        </w:rPr>
        <w:t xml:space="preserve">is portrayed in a pyramid made </w:t>
      </w:r>
      <w:r w:rsidR="0087204E">
        <w:rPr>
          <w:color w:val="000000"/>
        </w:rPr>
        <w:lastRenderedPageBreak/>
        <w:t xml:space="preserve">up of 5 </w:t>
      </w:r>
      <w:r w:rsidR="00CE1045">
        <w:rPr>
          <w:color w:val="000000"/>
        </w:rPr>
        <w:t>Levels</w:t>
      </w:r>
      <w:r w:rsidR="00D24971">
        <w:rPr>
          <w:color w:val="000000"/>
        </w:rPr>
        <w:t xml:space="preserve"> -</w:t>
      </w:r>
      <w:r w:rsidR="00CE1045">
        <w:rPr>
          <w:color w:val="000000"/>
        </w:rPr>
        <w:t xml:space="preserve"> Physiological</w:t>
      </w:r>
      <w:r w:rsidR="00EE6AA3">
        <w:rPr>
          <w:color w:val="000000"/>
        </w:rPr>
        <w:t xml:space="preserve"> Needs being at the bottom of the Pyramid, working up with Safety Needs</w:t>
      </w:r>
      <w:r w:rsidR="00CE1045">
        <w:rPr>
          <w:color w:val="000000"/>
        </w:rPr>
        <w:t>,</w:t>
      </w:r>
      <w:r w:rsidR="006942C4">
        <w:rPr>
          <w:color w:val="000000"/>
        </w:rPr>
        <w:t xml:space="preserve"> </w:t>
      </w:r>
      <w:r w:rsidR="00EE6AA3">
        <w:rPr>
          <w:color w:val="000000"/>
        </w:rPr>
        <w:t>Belongingness/ Love Needs, Esteem Needs, and the Peak being Self-actualization</w:t>
      </w:r>
      <w:r w:rsidR="00CE1045">
        <w:rPr>
          <w:color w:val="000000"/>
        </w:rPr>
        <w:t>. I</w:t>
      </w:r>
      <w:r w:rsidR="00CB7E5D">
        <w:rPr>
          <w:color w:val="000000"/>
        </w:rPr>
        <w:t>t is possible to also split these levels into three categories; The lowest two levels being ‘Basic Needs’, the third and fourth levels contained in ‘</w:t>
      </w:r>
      <w:r w:rsidR="00D114CB">
        <w:rPr>
          <w:color w:val="000000"/>
        </w:rPr>
        <w:t>Physiological</w:t>
      </w:r>
      <w:r w:rsidR="00CB7E5D">
        <w:rPr>
          <w:color w:val="000000"/>
        </w:rPr>
        <w:t xml:space="preserve"> Needs’ and the peak fifth level grouped in ‘Self-</w:t>
      </w:r>
      <w:r w:rsidR="00D114CB">
        <w:rPr>
          <w:color w:val="000000"/>
        </w:rPr>
        <w:t>Fulfilment</w:t>
      </w:r>
      <w:r w:rsidR="00CB7E5D">
        <w:rPr>
          <w:color w:val="000000"/>
        </w:rPr>
        <w:t xml:space="preserve"> Needs’. </w:t>
      </w:r>
      <w:r w:rsidR="00EE6AA3">
        <w:rPr>
          <w:color w:val="000000"/>
        </w:rPr>
        <w:t xml:space="preserve">Maslow’s theory also states </w:t>
      </w:r>
      <w:r w:rsidR="0087204E">
        <w:rPr>
          <w:color w:val="000000"/>
        </w:rPr>
        <w:t xml:space="preserve">that a person cannot </w:t>
      </w:r>
      <w:r w:rsidR="00EE6AA3">
        <w:rPr>
          <w:color w:val="000000"/>
        </w:rPr>
        <w:t>‘step-up</w:t>
      </w:r>
      <w:r w:rsidR="00D114CB">
        <w:rPr>
          <w:color w:val="000000"/>
        </w:rPr>
        <w:t xml:space="preserve">’ </w:t>
      </w:r>
      <w:r w:rsidR="00EE6AA3">
        <w:rPr>
          <w:color w:val="000000"/>
        </w:rPr>
        <w:t>to the next level of the pyramid until the needs required of</w:t>
      </w:r>
      <w:r w:rsidR="006942C4">
        <w:rPr>
          <w:color w:val="000000"/>
        </w:rPr>
        <w:t xml:space="preserve"> </w:t>
      </w:r>
      <w:r w:rsidR="00EE6AA3">
        <w:rPr>
          <w:color w:val="000000"/>
        </w:rPr>
        <w:t>the level they are on are met.</w:t>
      </w:r>
      <w:r w:rsidR="00CE1045">
        <w:rPr>
          <w:rStyle w:val="FootnoteReference"/>
          <w:color w:val="000000"/>
        </w:rPr>
        <w:footnoteReference w:id="13"/>
      </w:r>
      <w:r w:rsidR="00EE6AA3">
        <w:rPr>
          <w:color w:val="000000"/>
        </w:rPr>
        <w:t xml:space="preserve"> The physical contact described between staff and pupils would for the majority of pupils fall under the level of ‘Belongingness/ Love Needs’ and for some pupils</w:t>
      </w:r>
      <w:r w:rsidR="00D24971">
        <w:rPr>
          <w:color w:val="000000"/>
        </w:rPr>
        <w:t>,</w:t>
      </w:r>
      <w:r w:rsidR="00EE6AA3">
        <w:rPr>
          <w:color w:val="000000"/>
        </w:rPr>
        <w:t xml:space="preserve"> due to the psychological issues they suffer</w:t>
      </w:r>
      <w:r w:rsidR="00D24971">
        <w:rPr>
          <w:color w:val="000000"/>
        </w:rPr>
        <w:t>,</w:t>
      </w:r>
      <w:r w:rsidR="00EE6AA3">
        <w:rPr>
          <w:color w:val="000000"/>
        </w:rPr>
        <w:t xml:space="preserve"> it may also even fall under the Safety/Needs. The theory </w:t>
      </w:r>
      <w:r w:rsidRPr="00461005">
        <w:rPr>
          <w:color w:val="000000"/>
        </w:rPr>
        <w:t xml:space="preserve">suggests that without physical contact/intimate relationships a person </w:t>
      </w:r>
      <w:r w:rsidR="0087204E">
        <w:rPr>
          <w:color w:val="000000"/>
        </w:rPr>
        <w:t>is unable</w:t>
      </w:r>
      <w:r w:rsidRPr="00461005">
        <w:rPr>
          <w:color w:val="000000"/>
        </w:rPr>
        <w:t xml:space="preserve"> </w:t>
      </w:r>
      <w:r w:rsidR="006942C4">
        <w:rPr>
          <w:color w:val="000000"/>
        </w:rPr>
        <w:t xml:space="preserve">to </w:t>
      </w:r>
      <w:r w:rsidRPr="00461005">
        <w:rPr>
          <w:color w:val="000000"/>
        </w:rPr>
        <w:t>achieve one’s full potential.</w:t>
      </w:r>
      <w:r w:rsidR="0070408A">
        <w:rPr>
          <w:rStyle w:val="FootnoteReference"/>
          <w:color w:val="000000"/>
        </w:rPr>
        <w:footnoteReference w:id="14"/>
      </w:r>
    </w:p>
    <w:p w14:paraId="43ADDD6D" w14:textId="001470A6" w:rsidR="00EE6AA3" w:rsidRDefault="00EE6AA3" w:rsidP="00461005">
      <w:pPr>
        <w:pStyle w:val="NormalWeb"/>
        <w:spacing w:before="0" w:beforeAutospacing="0" w:after="0" w:afterAutospacing="0" w:line="360" w:lineRule="auto"/>
        <w:jc w:val="both"/>
        <w:rPr>
          <w:color w:val="000000"/>
        </w:rPr>
      </w:pPr>
    </w:p>
    <w:p w14:paraId="35486423" w14:textId="2A1C0B00" w:rsidR="00461005" w:rsidRPr="00FA1DCA" w:rsidRDefault="006942C4" w:rsidP="00D114CB">
      <w:pPr>
        <w:pStyle w:val="NormalWeb"/>
        <w:spacing w:before="0" w:beforeAutospacing="0" w:after="0" w:afterAutospacing="0" w:line="360" w:lineRule="auto"/>
        <w:jc w:val="both"/>
        <w:rPr>
          <w:i/>
          <w:color w:val="000000"/>
        </w:rPr>
      </w:pPr>
      <w:r>
        <w:rPr>
          <w:color w:val="000000"/>
        </w:rPr>
        <w:t>Finally,</w:t>
      </w:r>
      <w:r w:rsidR="00EE6AA3">
        <w:rPr>
          <w:color w:val="000000"/>
        </w:rPr>
        <w:t xml:space="preserve"> the third Observation that was made</w:t>
      </w:r>
      <w:r>
        <w:rPr>
          <w:color w:val="000000"/>
        </w:rPr>
        <w:t>,</w:t>
      </w:r>
      <w:r w:rsidR="00EE6AA3">
        <w:rPr>
          <w:color w:val="000000"/>
        </w:rPr>
        <w:t xml:space="preserve"> and again one that was observed throughout the placement was</w:t>
      </w:r>
      <w:r>
        <w:rPr>
          <w:color w:val="000000"/>
        </w:rPr>
        <w:t>,</w:t>
      </w:r>
      <w:r w:rsidR="00EE6AA3">
        <w:rPr>
          <w:color w:val="000000"/>
        </w:rPr>
        <w:t xml:space="preserve"> that although the school attempted to group pupils of similar ages and abilities together, due to pupil numbers and the size of the school this was not always possible. </w:t>
      </w:r>
      <w:r>
        <w:rPr>
          <w:color w:val="000000"/>
        </w:rPr>
        <w:t xml:space="preserve">Pupils of different ages and abilities were put in classes together. It is worth noting that there was not a large gap in the ages of pupils in the teaching groups for example, </w:t>
      </w:r>
      <w:r w:rsidR="00B46C70">
        <w:rPr>
          <w:color w:val="000000"/>
        </w:rPr>
        <w:t xml:space="preserve">the PRU only had one year seven pupil so they had been placed in a teaching group with year eight pupils. However, </w:t>
      </w:r>
      <w:r w:rsidR="00C12AAF">
        <w:rPr>
          <w:color w:val="000000"/>
        </w:rPr>
        <w:t>regarding</w:t>
      </w:r>
      <w:r w:rsidR="00B46C70">
        <w:rPr>
          <w:color w:val="000000"/>
        </w:rPr>
        <w:t xml:space="preserve"> ability in some subjects there was a gulf in ability</w:t>
      </w:r>
      <w:r w:rsidR="00C12AAF">
        <w:rPr>
          <w:color w:val="000000"/>
        </w:rPr>
        <w:t>.</w:t>
      </w:r>
      <w:r w:rsidR="00B46C70">
        <w:rPr>
          <w:color w:val="000000"/>
        </w:rPr>
        <w:t xml:space="preserve"> </w:t>
      </w:r>
      <w:r w:rsidR="00C12AAF">
        <w:rPr>
          <w:color w:val="000000"/>
        </w:rPr>
        <w:t>F</w:t>
      </w:r>
      <w:r w:rsidR="00B46C70">
        <w:rPr>
          <w:color w:val="000000"/>
        </w:rPr>
        <w:t xml:space="preserve">or example, a teaching group contained year ten pupils </w:t>
      </w:r>
      <w:r w:rsidR="00C12AAF">
        <w:rPr>
          <w:color w:val="000000"/>
        </w:rPr>
        <w:t>and</w:t>
      </w:r>
      <w:r w:rsidR="00B46C70">
        <w:rPr>
          <w:color w:val="000000"/>
        </w:rPr>
        <w:t xml:space="preserve"> one year eleven pupil</w:t>
      </w:r>
      <w:r w:rsidR="00CB7E5D">
        <w:rPr>
          <w:color w:val="000000"/>
        </w:rPr>
        <w:t>,</w:t>
      </w:r>
      <w:bookmarkStart w:id="5" w:name="_GoBack"/>
      <w:bookmarkEnd w:id="5"/>
      <w:r w:rsidR="00B46C70">
        <w:rPr>
          <w:color w:val="000000"/>
        </w:rPr>
        <w:t xml:space="preserve"> the ability of th</w:t>
      </w:r>
      <w:r w:rsidR="00CB7E5D">
        <w:rPr>
          <w:color w:val="000000"/>
        </w:rPr>
        <w:t>e</w:t>
      </w:r>
      <w:r w:rsidR="00B46C70">
        <w:rPr>
          <w:color w:val="000000"/>
        </w:rPr>
        <w:t xml:space="preserve"> year eleven pupil </w:t>
      </w:r>
      <w:r w:rsidR="00CB7E5D">
        <w:rPr>
          <w:color w:val="000000"/>
        </w:rPr>
        <w:t xml:space="preserve">was </w:t>
      </w:r>
      <w:r w:rsidR="00B46C70">
        <w:rPr>
          <w:color w:val="000000"/>
        </w:rPr>
        <w:t>expected to enable him to sit a math intermediate exam, while the rest of the year ten pupils</w:t>
      </w:r>
      <w:r w:rsidR="00CB7E5D">
        <w:rPr>
          <w:color w:val="000000"/>
        </w:rPr>
        <w:t>,</w:t>
      </w:r>
      <w:r w:rsidR="00B46C70">
        <w:rPr>
          <w:color w:val="000000"/>
        </w:rPr>
        <w:t xml:space="preserve"> by the time of them sitting the GCSE exams they were only expected to reach foundation level GCSE</w:t>
      </w:r>
      <w:r w:rsidR="00CB7E5D">
        <w:rPr>
          <w:color w:val="000000"/>
        </w:rPr>
        <w:t xml:space="preserve"> maths</w:t>
      </w:r>
      <w:r w:rsidR="00B46C70">
        <w:rPr>
          <w:color w:val="000000"/>
        </w:rPr>
        <w:t>. The teacher of the class did explain that it wasn’t possible to teach him the necessary subjects in order for the pupil to gain the knowledge for the exam</w:t>
      </w:r>
      <w:r w:rsidR="00CB7E5D">
        <w:rPr>
          <w:color w:val="000000"/>
        </w:rPr>
        <w:t>,</w:t>
      </w:r>
      <w:r w:rsidR="00B46C70">
        <w:rPr>
          <w:color w:val="000000"/>
        </w:rPr>
        <w:t xml:space="preserve"> as the other pupils of the class were not at the level to be able t</w:t>
      </w:r>
      <w:r w:rsidR="00CB7E5D">
        <w:rPr>
          <w:color w:val="000000"/>
        </w:rPr>
        <w:t>o</w:t>
      </w:r>
      <w:r w:rsidR="00B46C70">
        <w:rPr>
          <w:color w:val="000000"/>
        </w:rPr>
        <w:t xml:space="preserve"> understand the work and so to counteract act this the teacher would also teach the year elven pupil at another time on a one-to-one basis. However</w:t>
      </w:r>
      <w:r w:rsidR="00CB7E5D">
        <w:rPr>
          <w:color w:val="000000"/>
        </w:rPr>
        <w:t>,</w:t>
      </w:r>
      <w:r w:rsidR="00B46C70">
        <w:rPr>
          <w:color w:val="000000"/>
        </w:rPr>
        <w:t xml:space="preserve"> </w:t>
      </w:r>
      <w:r w:rsidR="00CB7E5D">
        <w:rPr>
          <w:color w:val="000000"/>
        </w:rPr>
        <w:t>this could</w:t>
      </w:r>
      <w:r w:rsidR="00B46C70">
        <w:rPr>
          <w:color w:val="000000"/>
        </w:rPr>
        <w:t xml:space="preserve"> possibly </w:t>
      </w:r>
      <w:r w:rsidR="00CB7E5D">
        <w:rPr>
          <w:color w:val="000000"/>
        </w:rPr>
        <w:t xml:space="preserve">be </w:t>
      </w:r>
      <w:r w:rsidR="00B46C70">
        <w:rPr>
          <w:color w:val="000000"/>
        </w:rPr>
        <w:t>detrimental to the pupil</w:t>
      </w:r>
      <w:r w:rsidR="00CB7E5D">
        <w:rPr>
          <w:color w:val="000000"/>
        </w:rPr>
        <w:t xml:space="preserve">’s well-being and engagement with other pupils </w:t>
      </w:r>
      <w:r w:rsidR="00B46C70">
        <w:rPr>
          <w:color w:val="000000"/>
        </w:rPr>
        <w:t xml:space="preserve">as they </w:t>
      </w:r>
      <w:r w:rsidR="00712F1A">
        <w:rPr>
          <w:color w:val="000000"/>
        </w:rPr>
        <w:t>couldn’t</w:t>
      </w:r>
      <w:r w:rsidR="00B46C70">
        <w:rPr>
          <w:color w:val="000000"/>
        </w:rPr>
        <w:t xml:space="preserve"> partake in other activities laid on by the school as </w:t>
      </w:r>
      <w:r w:rsidR="00D114CB">
        <w:rPr>
          <w:color w:val="000000"/>
        </w:rPr>
        <w:t>they</w:t>
      </w:r>
      <w:r w:rsidR="00B46C70">
        <w:rPr>
          <w:color w:val="000000"/>
        </w:rPr>
        <w:t xml:space="preserve"> would be</w:t>
      </w:r>
      <w:r w:rsidR="00D114CB">
        <w:rPr>
          <w:color w:val="000000"/>
        </w:rPr>
        <w:t xml:space="preserve"> receiving</w:t>
      </w:r>
      <w:r w:rsidR="00B46C70">
        <w:rPr>
          <w:color w:val="000000"/>
        </w:rPr>
        <w:t xml:space="preserve"> the one-to-one lessons.</w:t>
      </w:r>
      <w:r w:rsidR="00DA4AD0">
        <w:rPr>
          <w:color w:val="000000"/>
        </w:rPr>
        <w:t xml:space="preserve"> In the book </w:t>
      </w:r>
      <w:r w:rsidR="00DA4AD0">
        <w:rPr>
          <w:i/>
          <w:color w:val="000000"/>
        </w:rPr>
        <w:t>A Course in Language Teaching: Practice and Theory</w:t>
      </w:r>
      <w:r w:rsidR="00263595">
        <w:rPr>
          <w:i/>
          <w:color w:val="000000"/>
        </w:rPr>
        <w:t>,</w:t>
      </w:r>
      <w:r w:rsidR="00DA4AD0">
        <w:rPr>
          <w:i/>
          <w:color w:val="000000"/>
        </w:rPr>
        <w:t xml:space="preserve"> </w:t>
      </w:r>
      <w:r w:rsidR="00DA4AD0">
        <w:rPr>
          <w:color w:val="000000"/>
        </w:rPr>
        <w:t xml:space="preserve">Penny Ur </w:t>
      </w:r>
      <w:r w:rsidR="00263595">
        <w:rPr>
          <w:color w:val="000000"/>
        </w:rPr>
        <w:t xml:space="preserve">states that we should not use the term ‘mixed-ability’ as there is more that </w:t>
      </w:r>
      <w:r w:rsidR="00263595">
        <w:rPr>
          <w:color w:val="000000"/>
        </w:rPr>
        <w:lastRenderedPageBreak/>
        <w:t>affects a pupils learning than ability such as, learning-style, personality, interests and cultural background and that an improved term is ‘heterogeneous’.</w:t>
      </w:r>
      <w:r w:rsidR="00263595">
        <w:rPr>
          <w:rStyle w:val="FootnoteReference"/>
          <w:color w:val="000000"/>
        </w:rPr>
        <w:footnoteReference w:id="15"/>
      </w:r>
      <w:r w:rsidR="00263595">
        <w:rPr>
          <w:color w:val="000000"/>
        </w:rPr>
        <w:t xml:space="preserve"> Ur also states that the main teaching problems that arise for heterogenous classes are; difficult to control discipline, challenging to reassure that every student is learning as effectively as possible. </w:t>
      </w:r>
      <w:r w:rsidR="00AA413F">
        <w:rPr>
          <w:color w:val="000000"/>
        </w:rPr>
        <w:t>Concerns in finding appropriate material for every student, the is difficulty in following individual progress in large classes (this final point is not applicable to Canolfan-Y-Gors due to pupil numbers).</w:t>
      </w:r>
      <w:r w:rsidR="00AA413F">
        <w:rPr>
          <w:rStyle w:val="FootnoteReference"/>
          <w:color w:val="000000"/>
        </w:rPr>
        <w:footnoteReference w:id="16"/>
      </w:r>
      <w:r w:rsidR="00AA413F">
        <w:rPr>
          <w:color w:val="000000"/>
        </w:rPr>
        <w:t xml:space="preserve"> If as Ur suggests these problems arise through teaching heterogeneous classes at mainstream level it is only imaginable how much these problems could be exacerbated when heterogeneous classes are used in a PRU. When approaching from a pupil’s</w:t>
      </w:r>
      <w:r w:rsidR="00FA1DCA">
        <w:rPr>
          <w:color w:val="000000"/>
        </w:rPr>
        <w:t xml:space="preserve"> view,</w:t>
      </w:r>
      <w:r w:rsidR="00AA413F">
        <w:rPr>
          <w:color w:val="000000"/>
        </w:rPr>
        <w:t xml:space="preserve"> </w:t>
      </w:r>
      <w:r w:rsidR="00FA1DCA">
        <w:rPr>
          <w:color w:val="000000"/>
        </w:rPr>
        <w:t xml:space="preserve">Chief Inspector of Education at Ofsted 2012-2016, Sir Michael Wilshaw stated in </w:t>
      </w:r>
      <w:r w:rsidR="00994A1E">
        <w:rPr>
          <w:color w:val="000000"/>
        </w:rPr>
        <w:t>an</w:t>
      </w:r>
      <w:r w:rsidR="00FA1DCA">
        <w:rPr>
          <w:color w:val="000000"/>
        </w:rPr>
        <w:t xml:space="preserve"> Ofsted report, that “</w:t>
      </w:r>
      <w:r w:rsidR="00FA1DCA">
        <w:t>In too many lessons observed by inspectors, teaching is not supporting our highest attaining students to do well. We know from our inspections that this is particularly the case in mixed ability groups. This survey suggests that few checks are made on whether mixed ability teaching helps the most able to achieve their potential</w:t>
      </w:r>
      <w:r w:rsidR="00994A1E">
        <w:t>”.</w:t>
      </w:r>
      <w:r w:rsidR="00FA1DCA">
        <w:rPr>
          <w:rStyle w:val="FootnoteReference"/>
        </w:rPr>
        <w:footnoteReference w:id="17"/>
      </w:r>
    </w:p>
    <w:p w14:paraId="00BA3944" w14:textId="0333A506" w:rsidR="00D114CB" w:rsidRDefault="00D114CB" w:rsidP="00D114CB">
      <w:pPr>
        <w:pStyle w:val="NormalWeb"/>
        <w:spacing w:before="0" w:beforeAutospacing="0" w:after="0" w:afterAutospacing="0" w:line="360" w:lineRule="auto"/>
        <w:jc w:val="both"/>
        <w:rPr>
          <w:color w:val="000000"/>
        </w:rPr>
      </w:pPr>
    </w:p>
    <w:p w14:paraId="2AED673E" w14:textId="44B9609B" w:rsidR="00244249" w:rsidRDefault="00D114CB" w:rsidP="00244249">
      <w:pPr>
        <w:pStyle w:val="NormalWeb"/>
        <w:spacing w:before="0" w:beforeAutospacing="0" w:after="0" w:afterAutospacing="0" w:line="360" w:lineRule="auto"/>
        <w:jc w:val="both"/>
        <w:rPr>
          <w:color w:val="000000"/>
        </w:rPr>
      </w:pPr>
      <w:r>
        <w:rPr>
          <w:color w:val="000000"/>
        </w:rPr>
        <w:t xml:space="preserve">This now leads to concluding the essay, </w:t>
      </w:r>
      <w:r w:rsidR="00244249">
        <w:rPr>
          <w:color w:val="000000"/>
        </w:rPr>
        <w:t>throughout the essay three observations have analysed these observations were:</w:t>
      </w:r>
      <w:r w:rsidR="00244249" w:rsidRPr="00244249">
        <w:rPr>
          <w:color w:val="000000"/>
        </w:rPr>
        <w:t xml:space="preserve"> </w:t>
      </w:r>
    </w:p>
    <w:p w14:paraId="21A9ED0E" w14:textId="77777777" w:rsidR="00244249" w:rsidRDefault="00244249" w:rsidP="00244249">
      <w:pPr>
        <w:pStyle w:val="NormalWeb"/>
        <w:numPr>
          <w:ilvl w:val="0"/>
          <w:numId w:val="3"/>
        </w:numPr>
        <w:spacing w:before="0" w:beforeAutospacing="0" w:after="0" w:afterAutospacing="0" w:line="360" w:lineRule="auto"/>
        <w:jc w:val="both"/>
        <w:rPr>
          <w:color w:val="000000"/>
        </w:rPr>
      </w:pPr>
      <w:r>
        <w:rPr>
          <w:color w:val="000000"/>
        </w:rPr>
        <w:t>Witnessing a pupil having to be physically restrained by staff due to a breakdown.</w:t>
      </w:r>
    </w:p>
    <w:p w14:paraId="73CAC375" w14:textId="77777777" w:rsidR="00244249" w:rsidRDefault="00244249" w:rsidP="00244249">
      <w:pPr>
        <w:pStyle w:val="NormalWeb"/>
        <w:numPr>
          <w:ilvl w:val="0"/>
          <w:numId w:val="3"/>
        </w:numPr>
        <w:spacing w:before="0" w:beforeAutospacing="0" w:after="0" w:afterAutospacing="0" w:line="360" w:lineRule="auto"/>
        <w:jc w:val="both"/>
        <w:rPr>
          <w:color w:val="000000"/>
        </w:rPr>
      </w:pPr>
      <w:r>
        <w:rPr>
          <w:color w:val="000000"/>
        </w:rPr>
        <w:t>Non-violent physical contact between Staff and Pupils e.g. hugs, an arm round a shoulder, high fives etc.</w:t>
      </w:r>
    </w:p>
    <w:p w14:paraId="48F36AC1" w14:textId="77777777" w:rsidR="00244249" w:rsidRDefault="00244249" w:rsidP="00D114CB">
      <w:pPr>
        <w:pStyle w:val="NormalWeb"/>
        <w:numPr>
          <w:ilvl w:val="0"/>
          <w:numId w:val="3"/>
        </w:numPr>
        <w:spacing w:before="0" w:beforeAutospacing="0" w:after="0" w:afterAutospacing="0" w:line="360" w:lineRule="auto"/>
        <w:jc w:val="both"/>
        <w:rPr>
          <w:color w:val="000000"/>
        </w:rPr>
      </w:pPr>
      <w:r w:rsidRPr="00244249">
        <w:rPr>
          <w:color w:val="000000"/>
        </w:rPr>
        <w:t>Classes often mixed pupils of different ability and mixed ages.</w:t>
      </w:r>
    </w:p>
    <w:p w14:paraId="6F4E76F3" w14:textId="003910BA" w:rsidR="001D222F" w:rsidRDefault="00244249" w:rsidP="00244249">
      <w:pPr>
        <w:pStyle w:val="NormalWeb"/>
        <w:spacing w:before="0" w:beforeAutospacing="0" w:after="0" w:afterAutospacing="0" w:line="360" w:lineRule="auto"/>
        <w:jc w:val="both"/>
        <w:rPr>
          <w:color w:val="000000"/>
        </w:rPr>
      </w:pPr>
      <w:r>
        <w:rPr>
          <w:color w:val="000000"/>
        </w:rPr>
        <w:t xml:space="preserve">It was discovered that </w:t>
      </w:r>
      <w:r w:rsidR="00C00914">
        <w:rPr>
          <w:color w:val="000000"/>
        </w:rPr>
        <w:t xml:space="preserve">regarding </w:t>
      </w:r>
      <w:r w:rsidR="00CD3A90">
        <w:rPr>
          <w:color w:val="000000"/>
        </w:rPr>
        <w:t xml:space="preserve">the </w:t>
      </w:r>
      <w:r w:rsidR="00C00914">
        <w:rPr>
          <w:color w:val="000000"/>
        </w:rPr>
        <w:t xml:space="preserve">physical restraining of pupils that even at a Pupil </w:t>
      </w:r>
      <w:r w:rsidR="00CD3A90">
        <w:rPr>
          <w:color w:val="000000"/>
        </w:rPr>
        <w:t>Re</w:t>
      </w:r>
      <w:r w:rsidR="00C00914">
        <w:rPr>
          <w:color w:val="000000"/>
        </w:rPr>
        <w:t>ferral Unit it is</w:t>
      </w:r>
      <w:r w:rsidR="00A20084">
        <w:rPr>
          <w:color w:val="000000"/>
        </w:rPr>
        <w:t>n’</w:t>
      </w:r>
      <w:r w:rsidR="00C00914">
        <w:rPr>
          <w:color w:val="000000"/>
        </w:rPr>
        <w:t>t a common occurrence</w:t>
      </w:r>
      <w:r w:rsidR="00CD3A90">
        <w:rPr>
          <w:color w:val="000000"/>
        </w:rPr>
        <w:t xml:space="preserve"> as would first be expected, and that there are guidelines produced by the </w:t>
      </w:r>
      <w:r w:rsidR="00A20084">
        <w:rPr>
          <w:color w:val="000000"/>
        </w:rPr>
        <w:t>government that</w:t>
      </w:r>
      <w:r w:rsidR="00CD3A90">
        <w:rPr>
          <w:color w:val="000000"/>
        </w:rPr>
        <w:t xml:space="preserve"> state when a school is authorised to use reasonable force</w:t>
      </w:r>
      <w:r w:rsidR="00A20084">
        <w:rPr>
          <w:color w:val="000000"/>
        </w:rPr>
        <w:t>.</w:t>
      </w:r>
      <w:r w:rsidR="00CD3A90">
        <w:rPr>
          <w:color w:val="000000"/>
        </w:rPr>
        <w:t xml:space="preserve"> </w:t>
      </w:r>
      <w:r w:rsidR="00A20084">
        <w:rPr>
          <w:color w:val="000000"/>
        </w:rPr>
        <w:t>I</w:t>
      </w:r>
      <w:r w:rsidR="00CD3A90">
        <w:rPr>
          <w:color w:val="000000"/>
        </w:rPr>
        <w:t xml:space="preserve">t was also discovered that there are recognised training schemes, qualifications and strategies that schools use to ensure they meet these guidelines. In </w:t>
      </w:r>
      <w:r w:rsidR="00D114CB" w:rsidRPr="00244249">
        <w:rPr>
          <w:color w:val="000000"/>
        </w:rPr>
        <w:t xml:space="preserve">conclusion </w:t>
      </w:r>
      <w:r w:rsidR="00CD3A90">
        <w:rPr>
          <w:color w:val="000000"/>
        </w:rPr>
        <w:t xml:space="preserve">to the second observation </w:t>
      </w:r>
      <w:r w:rsidR="00D114CB" w:rsidRPr="00244249">
        <w:rPr>
          <w:color w:val="000000"/>
        </w:rPr>
        <w:t>although i</w:t>
      </w:r>
      <w:r w:rsidRPr="00244249">
        <w:rPr>
          <w:color w:val="000000"/>
        </w:rPr>
        <w:t>t</w:t>
      </w:r>
      <w:r w:rsidR="00D114CB" w:rsidRPr="00244249">
        <w:rPr>
          <w:color w:val="000000"/>
        </w:rPr>
        <w:t xml:space="preserve"> was expected to find that there were policies</w:t>
      </w:r>
      <w:r w:rsidR="00CD3A90">
        <w:rPr>
          <w:color w:val="000000"/>
        </w:rPr>
        <w:t xml:space="preserve"> and rules</w:t>
      </w:r>
      <w:r w:rsidR="00D114CB" w:rsidRPr="00244249">
        <w:rPr>
          <w:color w:val="000000"/>
        </w:rPr>
        <w:t xml:space="preserve"> against physical contact between staff and pupils, in fact it</w:t>
      </w:r>
      <w:r w:rsidR="00A20084">
        <w:rPr>
          <w:color w:val="000000"/>
        </w:rPr>
        <w:t>’</w:t>
      </w:r>
      <w:r w:rsidR="00D114CB" w:rsidRPr="00244249">
        <w:rPr>
          <w:color w:val="000000"/>
        </w:rPr>
        <w:t>s quite the opposite</w:t>
      </w:r>
      <w:r w:rsidR="00A20084">
        <w:rPr>
          <w:color w:val="000000"/>
        </w:rPr>
        <w:t>.</w:t>
      </w:r>
      <w:r w:rsidR="00D114CB" w:rsidRPr="00244249">
        <w:rPr>
          <w:color w:val="000000"/>
        </w:rPr>
        <w:t xml:space="preserve"> </w:t>
      </w:r>
      <w:r w:rsidR="00A20084">
        <w:rPr>
          <w:color w:val="000000"/>
        </w:rPr>
        <w:t>P</w:t>
      </w:r>
      <w:r w:rsidR="00D114CB" w:rsidRPr="00244249">
        <w:rPr>
          <w:color w:val="000000"/>
        </w:rPr>
        <w:t xml:space="preserve">hysical contact between staff and </w:t>
      </w:r>
      <w:r w:rsidR="00D114CB" w:rsidRPr="00244249">
        <w:rPr>
          <w:color w:val="000000"/>
        </w:rPr>
        <w:lastRenderedPageBreak/>
        <w:t>pupils is actually encouraged,</w:t>
      </w:r>
      <w:r w:rsidR="00CD3A90">
        <w:rPr>
          <w:color w:val="000000"/>
        </w:rPr>
        <w:t xml:space="preserve"> and that it is of benefit to the pupil,</w:t>
      </w:r>
      <w:r w:rsidR="00D114CB" w:rsidRPr="00244249">
        <w:rPr>
          <w:color w:val="000000"/>
        </w:rPr>
        <w:t xml:space="preserve"> although it is ultimately down to individual school</w:t>
      </w:r>
      <w:r w:rsidR="00A84099">
        <w:rPr>
          <w:color w:val="000000"/>
        </w:rPr>
        <w:t>’s</w:t>
      </w:r>
      <w:r w:rsidR="00D114CB" w:rsidRPr="00244249">
        <w:rPr>
          <w:color w:val="000000"/>
        </w:rPr>
        <w:t xml:space="preserve"> policy. </w:t>
      </w:r>
      <w:r w:rsidR="00A036A4">
        <w:rPr>
          <w:color w:val="000000"/>
        </w:rPr>
        <w:t>When approaching the third observation of mixed-ability and mixed-aged groups the expectation was correct that the teaching of pupils in mixed-ability classes proves to be detrimental to the education of pupils even in a mainstream setting</w:t>
      </w:r>
      <w:r w:rsidR="00021D1B">
        <w:rPr>
          <w:color w:val="000000"/>
        </w:rPr>
        <w:t>. H</w:t>
      </w:r>
      <w:r w:rsidR="00A036A4">
        <w:rPr>
          <w:color w:val="000000"/>
        </w:rPr>
        <w:t xml:space="preserve">owever due to staff numbers, pupil numbers and funding it is logistically </w:t>
      </w:r>
      <w:r w:rsidR="00003693">
        <w:rPr>
          <w:color w:val="000000"/>
        </w:rPr>
        <w:t xml:space="preserve">challenging and impractical to split the small number of pupils at the PRU into groups based on </w:t>
      </w:r>
      <w:r w:rsidR="00021D1B">
        <w:rPr>
          <w:color w:val="000000"/>
        </w:rPr>
        <w:t>a</w:t>
      </w:r>
      <w:r w:rsidR="00003693">
        <w:rPr>
          <w:color w:val="000000"/>
        </w:rPr>
        <w:t>bility AND age.</w:t>
      </w:r>
    </w:p>
    <w:p w14:paraId="28435CD4" w14:textId="77777777" w:rsidR="001D222F" w:rsidRDefault="001D222F">
      <w:pPr>
        <w:rPr>
          <w:rFonts w:ascii="Times New Roman" w:eastAsia="Times New Roman" w:hAnsi="Times New Roman" w:cs="Times New Roman"/>
          <w:color w:val="000000"/>
          <w:sz w:val="24"/>
          <w:szCs w:val="24"/>
          <w:lang w:eastAsia="en-GB"/>
        </w:rPr>
      </w:pPr>
      <w:r>
        <w:rPr>
          <w:color w:val="000000"/>
        </w:rPr>
        <w:br w:type="page"/>
      </w:r>
    </w:p>
    <w:p w14:paraId="13961890" w14:textId="07835036" w:rsidR="00D114CB" w:rsidRDefault="001D222F" w:rsidP="00244249">
      <w:pPr>
        <w:pStyle w:val="NormalWeb"/>
        <w:spacing w:before="0" w:beforeAutospacing="0" w:after="0" w:afterAutospacing="0" w:line="360" w:lineRule="auto"/>
        <w:jc w:val="both"/>
        <w:rPr>
          <w:b/>
          <w:color w:val="000000"/>
          <w:sz w:val="32"/>
          <w:szCs w:val="32"/>
          <w:u w:val="single"/>
        </w:rPr>
      </w:pPr>
      <w:r w:rsidRPr="001D222F">
        <w:rPr>
          <w:b/>
          <w:color w:val="000000"/>
          <w:sz w:val="32"/>
          <w:szCs w:val="32"/>
          <w:u w:val="single"/>
        </w:rPr>
        <w:lastRenderedPageBreak/>
        <w:t>Bibliography</w:t>
      </w:r>
    </w:p>
    <w:p w14:paraId="4FA6FC0C" w14:textId="4B2C9B96" w:rsidR="001D222F" w:rsidRDefault="001D222F" w:rsidP="001D222F">
      <w:pPr>
        <w:jc w:val="both"/>
        <w:rPr>
          <w:rFonts w:eastAsiaTheme="minorEastAsia" w:hAnsi="Calibri"/>
          <w:kern w:val="24"/>
        </w:rPr>
      </w:pPr>
      <w:r w:rsidRPr="00BE22DB">
        <w:rPr>
          <w:rFonts w:eastAsiaTheme="minorEastAsia" w:hAnsi="Calibri"/>
          <w:kern w:val="24"/>
        </w:rPr>
        <w:t xml:space="preserve">Department of Education, “School Discipline: New Guidance </w:t>
      </w:r>
      <w:r w:rsidR="00D70A43" w:rsidRPr="00BE22DB">
        <w:rPr>
          <w:rFonts w:eastAsiaTheme="minorEastAsia" w:hAnsi="Calibri"/>
          <w:kern w:val="24"/>
        </w:rPr>
        <w:t>for</w:t>
      </w:r>
      <w:r w:rsidRPr="00BE22DB">
        <w:rPr>
          <w:rFonts w:eastAsiaTheme="minorEastAsia" w:hAnsi="Calibri"/>
          <w:kern w:val="24"/>
        </w:rPr>
        <w:t xml:space="preserve"> Teachers”, </w:t>
      </w:r>
      <w:r w:rsidRPr="00BE22DB">
        <w:rPr>
          <w:rFonts w:eastAsiaTheme="minorEastAsia" w:hAnsi="Calibri"/>
          <w:i/>
          <w:iCs/>
          <w:kern w:val="24"/>
        </w:rPr>
        <w:t xml:space="preserve">gov.uk, </w:t>
      </w:r>
      <w:r w:rsidRPr="00BE22DB">
        <w:rPr>
          <w:rFonts w:eastAsiaTheme="minorEastAsia" w:hAnsi="Calibri"/>
          <w:kern w:val="24"/>
        </w:rPr>
        <w:t>11 July 2011 https://www.gov.uk/government/news/school-discipline-new-guidance-for-teachers [Accessed 13 November 2018]</w:t>
      </w:r>
    </w:p>
    <w:p w14:paraId="542035CB" w14:textId="77777777" w:rsidR="001D222F" w:rsidRPr="00BE22DB" w:rsidRDefault="001D222F" w:rsidP="001D222F">
      <w:pPr>
        <w:jc w:val="both"/>
      </w:pPr>
      <w:r w:rsidRPr="0070408A">
        <w:rPr>
          <w:sz w:val="20"/>
          <w:szCs w:val="20"/>
        </w:rPr>
        <w:t xml:space="preserve">Department of Education, </w:t>
      </w:r>
      <w:r w:rsidRPr="0070408A">
        <w:rPr>
          <w:i/>
          <w:sz w:val="20"/>
          <w:szCs w:val="20"/>
        </w:rPr>
        <w:t>Use of reasonable force in schools</w:t>
      </w:r>
      <w:r w:rsidRPr="0070408A">
        <w:rPr>
          <w:sz w:val="20"/>
          <w:szCs w:val="20"/>
        </w:rPr>
        <w:t xml:space="preserve"> (London, Department Of Education, 2013), P. 5, &lt;</w:t>
      </w:r>
      <w:hyperlink r:id="rId8" w:history="1">
        <w:r w:rsidRPr="0070408A">
          <w:rPr>
            <w:rStyle w:val="Hyperlink"/>
            <w:sz w:val="20"/>
            <w:szCs w:val="20"/>
          </w:rPr>
          <w:t>https://www.gov.uk/government/publications/use-of-reasonable-force-in-schools</w:t>
        </w:r>
      </w:hyperlink>
      <w:r w:rsidRPr="0070408A">
        <w:rPr>
          <w:sz w:val="20"/>
          <w:szCs w:val="20"/>
        </w:rPr>
        <w:t>&gt; [Accessed 20 November 2018]</w:t>
      </w:r>
    </w:p>
    <w:p w14:paraId="72BC99FD" w14:textId="317BC4DF" w:rsidR="001D222F" w:rsidRDefault="001D222F" w:rsidP="001D222F">
      <w:pPr>
        <w:jc w:val="both"/>
        <w:rPr>
          <w:rFonts w:eastAsiaTheme="minorEastAsia" w:hAnsi="Calibri"/>
          <w:kern w:val="24"/>
        </w:rPr>
      </w:pPr>
      <w:r w:rsidRPr="00BE22DB">
        <w:rPr>
          <w:rFonts w:eastAsiaTheme="minorEastAsia" w:hAnsi="Calibri"/>
          <w:kern w:val="24"/>
        </w:rPr>
        <w:t xml:space="preserve">Harrison, David, “Music Teachers Advised Not </w:t>
      </w:r>
      <w:r w:rsidR="00D70A43" w:rsidRPr="00BE22DB">
        <w:rPr>
          <w:rFonts w:eastAsiaTheme="minorEastAsia" w:hAnsi="Calibri"/>
          <w:kern w:val="24"/>
        </w:rPr>
        <w:t>to</w:t>
      </w:r>
      <w:r w:rsidRPr="00BE22DB">
        <w:rPr>
          <w:rFonts w:eastAsiaTheme="minorEastAsia" w:hAnsi="Calibri"/>
          <w:kern w:val="24"/>
        </w:rPr>
        <w:t xml:space="preserve"> Touch Children </w:t>
      </w:r>
      <w:r w:rsidR="00D70A43" w:rsidRPr="00BE22DB">
        <w:rPr>
          <w:rFonts w:eastAsiaTheme="minorEastAsia" w:hAnsi="Calibri"/>
          <w:kern w:val="24"/>
        </w:rPr>
        <w:t>to</w:t>
      </w:r>
      <w:r w:rsidRPr="00BE22DB">
        <w:rPr>
          <w:rFonts w:eastAsiaTheme="minorEastAsia" w:hAnsi="Calibri"/>
          <w:kern w:val="24"/>
        </w:rPr>
        <w:t xml:space="preserve"> Avoid Abuse Claims”, </w:t>
      </w:r>
      <w:r w:rsidRPr="00BE22DB">
        <w:rPr>
          <w:rFonts w:eastAsiaTheme="minorEastAsia" w:hAnsi="Calibri"/>
          <w:i/>
          <w:iCs/>
          <w:kern w:val="24"/>
        </w:rPr>
        <w:t xml:space="preserve">The Telegraph.co.uk, </w:t>
      </w:r>
      <w:r w:rsidRPr="00BE22DB">
        <w:rPr>
          <w:rFonts w:eastAsiaTheme="minorEastAsia" w:hAnsi="Calibri"/>
          <w:kern w:val="24"/>
        </w:rPr>
        <w:t xml:space="preserve">8 November 2008 https://www.telegraph.co.uk/news/uknews/3407277/Music-teachers-advised-not-to-touch-children-to-avoid-abuse-claims.html [accessed 14 November 2018] </w:t>
      </w:r>
    </w:p>
    <w:p w14:paraId="486C78AB" w14:textId="77777777" w:rsidR="001D222F" w:rsidRPr="00BE22DB" w:rsidRDefault="001D222F" w:rsidP="001D222F">
      <w:pPr>
        <w:jc w:val="both"/>
      </w:pPr>
      <w:r w:rsidRPr="0070408A">
        <w:rPr>
          <w:sz w:val="20"/>
          <w:szCs w:val="20"/>
        </w:rPr>
        <w:t>Hewett,</w:t>
      </w:r>
      <w:r>
        <w:rPr>
          <w:sz w:val="20"/>
          <w:szCs w:val="20"/>
        </w:rPr>
        <w:t xml:space="preserve"> Dave,</w:t>
      </w:r>
      <w:r w:rsidRPr="0070408A">
        <w:rPr>
          <w:sz w:val="20"/>
          <w:szCs w:val="20"/>
        </w:rPr>
        <w:t xml:space="preserve"> ‘Do touch: physical contact and people who have severe, profound and multiple learning difficulties’, </w:t>
      </w:r>
      <w:r w:rsidRPr="0070408A">
        <w:rPr>
          <w:i/>
          <w:sz w:val="20"/>
          <w:szCs w:val="20"/>
        </w:rPr>
        <w:t xml:space="preserve">Support for Learning, </w:t>
      </w:r>
      <w:r w:rsidRPr="0070408A">
        <w:rPr>
          <w:sz w:val="20"/>
          <w:szCs w:val="20"/>
        </w:rPr>
        <w:t>v22.3 (2007), PP. 116-123</w:t>
      </w:r>
      <w:r>
        <w:rPr>
          <w:sz w:val="20"/>
          <w:szCs w:val="20"/>
        </w:rPr>
        <w:t>.</w:t>
      </w:r>
    </w:p>
    <w:p w14:paraId="045E1868" w14:textId="77777777" w:rsidR="001D222F" w:rsidRDefault="001D222F" w:rsidP="001D222F">
      <w:pPr>
        <w:jc w:val="both"/>
        <w:rPr>
          <w:rFonts w:eastAsiaTheme="minorEastAsia" w:hAnsi="Calibri"/>
          <w:kern w:val="24"/>
        </w:rPr>
      </w:pPr>
      <w:r w:rsidRPr="00BE22DB">
        <w:rPr>
          <w:rFonts w:eastAsiaTheme="minorEastAsia" w:hAnsi="Calibri"/>
          <w:kern w:val="24"/>
        </w:rPr>
        <w:t>McLeod, Saul, “Maslow’s Hierarchy of Needs”, The Simply Psychology.org Website, June 2018 https://www.simplypsychology.org/maslow.html [accessed 14 November 2018]</w:t>
      </w:r>
    </w:p>
    <w:p w14:paraId="28DB10EB" w14:textId="77777777" w:rsidR="001D222F" w:rsidRPr="00BE22DB" w:rsidRDefault="001D222F" w:rsidP="001D222F">
      <w:pPr>
        <w:jc w:val="both"/>
      </w:pPr>
      <w:r w:rsidRPr="0070408A">
        <w:rPr>
          <w:sz w:val="20"/>
          <w:szCs w:val="20"/>
        </w:rPr>
        <w:t>Montagu,</w:t>
      </w:r>
      <w:r>
        <w:rPr>
          <w:sz w:val="20"/>
          <w:szCs w:val="20"/>
        </w:rPr>
        <w:t xml:space="preserve"> Ashley,</w:t>
      </w:r>
      <w:r w:rsidRPr="0070408A">
        <w:rPr>
          <w:sz w:val="20"/>
          <w:szCs w:val="20"/>
        </w:rPr>
        <w:t xml:space="preserve"> Touching: The Human Significance of Skin (New York, Columbia University Press, 1971)</w:t>
      </w:r>
      <w:r>
        <w:rPr>
          <w:sz w:val="20"/>
          <w:szCs w:val="20"/>
        </w:rPr>
        <w:t>.</w:t>
      </w:r>
    </w:p>
    <w:p w14:paraId="7724D79E" w14:textId="77777777" w:rsidR="001D222F" w:rsidRPr="00BE22DB" w:rsidRDefault="001D222F" w:rsidP="001D222F">
      <w:pPr>
        <w:jc w:val="both"/>
      </w:pPr>
      <w:r w:rsidRPr="00BE22DB">
        <w:rPr>
          <w:rFonts w:eastAsiaTheme="minorEastAsia" w:hAnsi="Calibri"/>
          <w:kern w:val="24"/>
        </w:rPr>
        <w:t xml:space="preserve">National Education Union, “Restraint”, </w:t>
      </w:r>
      <w:r w:rsidRPr="00BE22DB">
        <w:rPr>
          <w:rFonts w:eastAsiaTheme="minorEastAsia" w:hAnsi="Calibri"/>
          <w:i/>
          <w:iCs/>
          <w:kern w:val="24"/>
        </w:rPr>
        <w:t xml:space="preserve">atl.org.uk, </w:t>
      </w:r>
      <w:r w:rsidRPr="00BE22DB">
        <w:rPr>
          <w:rFonts w:eastAsiaTheme="minorEastAsia" w:hAnsi="Calibri"/>
          <w:kern w:val="24"/>
        </w:rPr>
        <w:t>2 November 2016 https://www.atl.org.uk/advice-and-resources/rights-and-conditions/restraint [accessed 15 November 2018]</w:t>
      </w:r>
    </w:p>
    <w:p w14:paraId="5B70B6D7" w14:textId="77777777" w:rsidR="001D222F" w:rsidRDefault="001D222F" w:rsidP="001D222F">
      <w:pPr>
        <w:jc w:val="both"/>
        <w:rPr>
          <w:rFonts w:eastAsiaTheme="minorEastAsia" w:hAnsi="Calibri"/>
          <w:kern w:val="24"/>
        </w:rPr>
      </w:pPr>
      <w:r w:rsidRPr="00BE22DB">
        <w:rPr>
          <w:rFonts w:eastAsiaTheme="minorEastAsia" w:hAnsi="Calibri"/>
          <w:kern w:val="24"/>
        </w:rPr>
        <w:t xml:space="preserve">Ofsted, </w:t>
      </w:r>
      <w:r w:rsidRPr="00BE22DB">
        <w:rPr>
          <w:rFonts w:eastAsiaTheme="minorEastAsia" w:hAnsi="Calibri"/>
          <w:i/>
          <w:iCs/>
          <w:kern w:val="24"/>
        </w:rPr>
        <w:t xml:space="preserve">Managing Challenging Behaviour: Better Education and Care, </w:t>
      </w:r>
      <w:r w:rsidRPr="00BE22DB">
        <w:rPr>
          <w:rFonts w:eastAsiaTheme="minorEastAsia" w:hAnsi="Calibri"/>
          <w:kern w:val="24"/>
        </w:rPr>
        <w:t>(London, Ofsted, 2005)</w:t>
      </w:r>
    </w:p>
    <w:p w14:paraId="0E234C6C" w14:textId="77777777" w:rsidR="001D222F" w:rsidRPr="00BE22DB" w:rsidRDefault="001D222F" w:rsidP="001D222F">
      <w:pPr>
        <w:jc w:val="both"/>
      </w:pPr>
      <w:r>
        <w:t>Ofsted</w:t>
      </w:r>
      <w:r w:rsidRPr="005271F3">
        <w:rPr>
          <w:i/>
        </w:rPr>
        <w:t>, The most able students: Are they doing as well as they should in our non-selective secondary schools? No. 130118</w:t>
      </w:r>
      <w:r>
        <w:rPr>
          <w:i/>
        </w:rPr>
        <w:t xml:space="preserve">, </w:t>
      </w:r>
      <w:r>
        <w:t>(London, Ofsted, 2013), P. 5. &lt;</w:t>
      </w:r>
      <w:hyperlink r:id="rId9" w:history="1">
        <w:r w:rsidRPr="003D1FF8">
          <w:rPr>
            <w:rStyle w:val="Hyperlink"/>
          </w:rPr>
          <w:t>https://assets.publishing.service.gov.uk/government/uploads/system/uploads/attachment_data/file/405518/The_most_able_students.pdf</w:t>
        </w:r>
      </w:hyperlink>
      <w:r>
        <w:t>&gt; [Accessed 20 November 2018]</w:t>
      </w:r>
    </w:p>
    <w:p w14:paraId="7B377770" w14:textId="77777777" w:rsidR="001D222F" w:rsidRDefault="001D222F" w:rsidP="001D222F">
      <w:pPr>
        <w:jc w:val="both"/>
        <w:rPr>
          <w:rFonts w:eastAsiaTheme="minorEastAsia" w:hAnsi="Calibri"/>
          <w:kern w:val="24"/>
        </w:rPr>
      </w:pPr>
      <w:r w:rsidRPr="00BE22DB">
        <w:rPr>
          <w:rFonts w:eastAsiaTheme="minorEastAsia" w:hAnsi="Calibri"/>
          <w:kern w:val="24"/>
        </w:rPr>
        <w:t xml:space="preserve">OMRDD, </w:t>
      </w:r>
      <w:r w:rsidRPr="00BE22DB">
        <w:rPr>
          <w:rFonts w:eastAsiaTheme="minorEastAsia" w:hAnsi="Calibri"/>
          <w:i/>
          <w:iCs/>
          <w:kern w:val="24"/>
        </w:rPr>
        <w:t xml:space="preserve">Guidelines for Strategies for Crisis Intervention and Prevention Revised, </w:t>
      </w:r>
      <w:r w:rsidRPr="00BE22DB">
        <w:rPr>
          <w:rFonts w:eastAsiaTheme="minorEastAsia" w:hAnsi="Calibri"/>
          <w:kern w:val="24"/>
        </w:rPr>
        <w:t>(New York, Omrdd, 1998) &lt;https://opwdd.ny.gov/sites/default/files/documents/guidelines_for_scip-r_1998_0.pdf&gt; [Accessed 14 November 2018]</w:t>
      </w:r>
    </w:p>
    <w:p w14:paraId="19EE0A56" w14:textId="77777777" w:rsidR="001D222F" w:rsidRPr="00BE22DB" w:rsidRDefault="001D222F" w:rsidP="001D222F">
      <w:pPr>
        <w:jc w:val="both"/>
      </w:pPr>
      <w:r w:rsidRPr="00344FB6">
        <w:rPr>
          <w:kern w:val="24"/>
          <w:sz w:val="20"/>
          <w:szCs w:val="20"/>
          <w:lang w:val="en-US"/>
        </w:rPr>
        <w:t xml:space="preserve">OWPDD, </w:t>
      </w:r>
      <w:r w:rsidRPr="00344FB6">
        <w:rPr>
          <w:i/>
          <w:iCs/>
          <w:kern w:val="24"/>
          <w:sz w:val="20"/>
          <w:szCs w:val="20"/>
          <w:lang w:val="en-US"/>
        </w:rPr>
        <w:t xml:space="preserve">Agency Name Change and Terminology Updates , </w:t>
      </w:r>
      <w:r w:rsidRPr="00344FB6">
        <w:rPr>
          <w:kern w:val="24"/>
          <w:sz w:val="20"/>
          <w:szCs w:val="20"/>
          <w:lang w:val="en-US"/>
        </w:rPr>
        <w:t xml:space="preserve"> (New York, OPWDD, 2016), </w:t>
      </w:r>
      <w:hyperlink r:id="rId10" w:history="1">
        <w:r w:rsidRPr="00344FB6">
          <w:rPr>
            <w:kern w:val="24"/>
            <w:sz w:val="20"/>
            <w:szCs w:val="20"/>
            <w:u w:val="single"/>
            <w:lang w:val="en-US"/>
          </w:rPr>
          <w:t>https://opwdd.ny.gov/regulations_guidance/opwdd_regulations/agency_name_change_terminology_updates_memo</w:t>
        </w:r>
      </w:hyperlink>
      <w:r w:rsidRPr="00344FB6">
        <w:rPr>
          <w:kern w:val="24"/>
          <w:sz w:val="20"/>
          <w:szCs w:val="20"/>
          <w:lang w:val="en-US"/>
        </w:rPr>
        <w:t xml:space="preserve"> [A</w:t>
      </w:r>
      <w:r>
        <w:rPr>
          <w:rFonts w:eastAsiaTheme="minorEastAsia"/>
          <w:kern w:val="24"/>
          <w:sz w:val="20"/>
          <w:szCs w:val="20"/>
          <w:lang w:val="en-US"/>
        </w:rPr>
        <w:t>ccessed</w:t>
      </w:r>
      <w:r w:rsidRPr="00344FB6">
        <w:rPr>
          <w:kern w:val="24"/>
          <w:sz w:val="20"/>
          <w:szCs w:val="20"/>
          <w:lang w:val="en-US"/>
        </w:rPr>
        <w:t xml:space="preserve"> 14 N</w:t>
      </w:r>
      <w:r>
        <w:rPr>
          <w:rFonts w:eastAsiaTheme="minorEastAsia"/>
          <w:kern w:val="24"/>
          <w:sz w:val="20"/>
          <w:szCs w:val="20"/>
          <w:lang w:val="en-US"/>
        </w:rPr>
        <w:t xml:space="preserve">ovember </w:t>
      </w:r>
      <w:r w:rsidRPr="00344FB6">
        <w:rPr>
          <w:kern w:val="24"/>
          <w:sz w:val="20"/>
          <w:szCs w:val="20"/>
          <w:lang w:val="en-US"/>
        </w:rPr>
        <w:t>2018</w:t>
      </w:r>
      <w:r>
        <w:rPr>
          <w:rFonts w:eastAsiaTheme="minorEastAsia"/>
          <w:kern w:val="24"/>
          <w:sz w:val="20"/>
          <w:szCs w:val="20"/>
          <w:lang w:val="en-US"/>
        </w:rPr>
        <w:t>]</w:t>
      </w:r>
    </w:p>
    <w:p w14:paraId="5C0F4874" w14:textId="77777777" w:rsidR="001D222F" w:rsidRDefault="001D222F" w:rsidP="001D222F">
      <w:pPr>
        <w:jc w:val="both"/>
        <w:rPr>
          <w:rFonts w:eastAsiaTheme="minorEastAsia" w:hAnsi="Calibri"/>
          <w:kern w:val="24"/>
        </w:rPr>
      </w:pPr>
      <w:r w:rsidRPr="00BE22DB">
        <w:rPr>
          <w:rFonts w:eastAsiaTheme="minorEastAsia" w:hAnsi="Calibri"/>
          <w:kern w:val="24"/>
        </w:rPr>
        <w:t xml:space="preserve">Pells, Rachael, “Teachers Who Avoid Touching Children Are Guilty of Child Abuse, Experts Claim”, </w:t>
      </w:r>
      <w:r w:rsidRPr="00BE22DB">
        <w:rPr>
          <w:rFonts w:eastAsiaTheme="minorEastAsia" w:hAnsi="Calibri"/>
          <w:i/>
          <w:iCs/>
          <w:kern w:val="24"/>
        </w:rPr>
        <w:t xml:space="preserve">independent.co.uk, </w:t>
      </w:r>
      <w:r w:rsidRPr="00BE22DB">
        <w:rPr>
          <w:rFonts w:eastAsiaTheme="minorEastAsia" w:hAnsi="Calibri"/>
          <w:kern w:val="24"/>
        </w:rPr>
        <w:t>18 February 2017 https://www.independent.co.uk/news/education/education-news/teachers-who-avoid-touching-children-guilty-of-child-abuse-experts-psychologists-dangerous-a7586926.html [accessed 14 November 2018]</w:t>
      </w:r>
    </w:p>
    <w:p w14:paraId="515B615B" w14:textId="7063B504" w:rsidR="001D222F" w:rsidRDefault="001D222F" w:rsidP="001D222F">
      <w:pPr>
        <w:jc w:val="both"/>
        <w:rPr>
          <w:rFonts w:eastAsiaTheme="minorEastAsia" w:hAnsi="Calibri"/>
          <w:kern w:val="24"/>
        </w:rPr>
      </w:pPr>
      <w:r w:rsidRPr="00BE22DB">
        <w:rPr>
          <w:rFonts w:eastAsiaTheme="minorEastAsia" w:hAnsi="Calibri"/>
          <w:kern w:val="24"/>
        </w:rPr>
        <w:t xml:space="preserve">Turner, Camilla, “Teachers Who Are Too Scared to Give Children A Reassuring Pat </w:t>
      </w:r>
      <w:r w:rsidR="00D70A43" w:rsidRPr="00BE22DB">
        <w:rPr>
          <w:rFonts w:eastAsiaTheme="minorEastAsia" w:hAnsi="Calibri"/>
          <w:kern w:val="24"/>
        </w:rPr>
        <w:t>on</w:t>
      </w:r>
      <w:r w:rsidRPr="00BE22DB">
        <w:rPr>
          <w:rFonts w:eastAsiaTheme="minorEastAsia" w:hAnsi="Calibri"/>
          <w:kern w:val="24"/>
        </w:rPr>
        <w:t xml:space="preserve"> The Shoulder Are Guilty </w:t>
      </w:r>
      <w:r w:rsidR="00D70A43" w:rsidRPr="00BE22DB">
        <w:rPr>
          <w:rFonts w:eastAsiaTheme="minorEastAsia" w:hAnsi="Calibri"/>
          <w:kern w:val="24"/>
        </w:rPr>
        <w:t>of</w:t>
      </w:r>
      <w:r w:rsidRPr="00BE22DB">
        <w:rPr>
          <w:rFonts w:eastAsiaTheme="minorEastAsia" w:hAnsi="Calibri"/>
          <w:kern w:val="24"/>
        </w:rPr>
        <w:t xml:space="preserve"> Child Abuse, Neurologist Warns”, </w:t>
      </w:r>
      <w:r w:rsidRPr="00BE22DB">
        <w:rPr>
          <w:rFonts w:eastAsiaTheme="minorEastAsia" w:hAnsi="Calibri"/>
          <w:i/>
          <w:iCs/>
          <w:kern w:val="24"/>
        </w:rPr>
        <w:t xml:space="preserve">telegraph.co.uk, </w:t>
      </w:r>
      <w:r w:rsidRPr="00BE22DB">
        <w:rPr>
          <w:rFonts w:eastAsiaTheme="minorEastAsia" w:hAnsi="Calibri"/>
          <w:kern w:val="24"/>
        </w:rPr>
        <w:t>17 February 2017 https://www.telegraph.co.uk/education/2017/02/17/teachers-scared-give-children-reassuring-pat-theshoulder-guilty [accessed 14 November 2018]</w:t>
      </w:r>
    </w:p>
    <w:p w14:paraId="39B2CA62" w14:textId="0226B9F6" w:rsidR="001D222F" w:rsidRDefault="001D222F" w:rsidP="001D222F">
      <w:pPr>
        <w:jc w:val="both"/>
        <w:rPr>
          <w:rFonts w:eastAsiaTheme="minorEastAsia" w:hAnsi="Calibri"/>
          <w:kern w:val="24"/>
        </w:rPr>
      </w:pPr>
      <w:r>
        <w:t xml:space="preserve">Ur, Penny, A Course </w:t>
      </w:r>
      <w:r w:rsidR="00D70A43">
        <w:t>in</w:t>
      </w:r>
      <w:r>
        <w:t xml:space="preserve"> Language Teaching: Practice and Theory (London, Cambridge University Press, 2005).</w:t>
      </w:r>
    </w:p>
    <w:p w14:paraId="1B0AE1C7" w14:textId="77777777" w:rsidR="001D222F" w:rsidRPr="00BE22DB" w:rsidRDefault="001D222F" w:rsidP="001D222F">
      <w:r>
        <w:lastRenderedPageBreak/>
        <w:t>West, Sara, ‘</w:t>
      </w:r>
      <w:r w:rsidRPr="007A6B31">
        <w:rPr>
          <w:rFonts w:cs="Arial"/>
          <w:bCs/>
          <w:color w:val="333333"/>
          <w:sz w:val="20"/>
          <w:szCs w:val="20"/>
        </w:rPr>
        <w:t>Strategies for Crisis Intervention and Prevention-Revised as a Current Proposal in Care of Individuals with Intellectual Disabilities and Challenging Behaviours</w:t>
      </w:r>
      <w:r>
        <w:rPr>
          <w:rFonts w:cs="Arial"/>
          <w:bCs/>
          <w:color w:val="333333"/>
        </w:rPr>
        <w:t xml:space="preserve">’, </w:t>
      </w:r>
      <w:r>
        <w:rPr>
          <w:rFonts w:cs="Arial"/>
          <w:bCs/>
          <w:i/>
          <w:color w:val="333333"/>
        </w:rPr>
        <w:t xml:space="preserve">International Journal of Special Education, </w:t>
      </w:r>
      <w:r>
        <w:rPr>
          <w:rFonts w:cs="Arial"/>
          <w:bCs/>
          <w:color w:val="333333"/>
        </w:rPr>
        <w:t>v24.1 (2009).</w:t>
      </w:r>
    </w:p>
    <w:p w14:paraId="297AA31A" w14:textId="77777777" w:rsidR="001D222F" w:rsidRPr="001D222F" w:rsidRDefault="001D222F" w:rsidP="00244249">
      <w:pPr>
        <w:pStyle w:val="NormalWeb"/>
        <w:spacing w:before="0" w:beforeAutospacing="0" w:after="0" w:afterAutospacing="0" w:line="360" w:lineRule="auto"/>
        <w:jc w:val="both"/>
        <w:rPr>
          <w:b/>
          <w:color w:val="000000"/>
          <w:sz w:val="32"/>
          <w:szCs w:val="32"/>
          <w:u w:val="single"/>
        </w:rPr>
      </w:pPr>
    </w:p>
    <w:sectPr w:rsidR="001D222F" w:rsidRPr="001D22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5F00F" w14:textId="77777777" w:rsidR="0026162A" w:rsidRDefault="0026162A" w:rsidP="00263595">
      <w:pPr>
        <w:spacing w:after="0" w:line="240" w:lineRule="auto"/>
      </w:pPr>
      <w:r>
        <w:separator/>
      </w:r>
    </w:p>
  </w:endnote>
  <w:endnote w:type="continuationSeparator" w:id="0">
    <w:p w14:paraId="7E119D25" w14:textId="77777777" w:rsidR="0026162A" w:rsidRDefault="0026162A" w:rsidP="00263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54F18" w14:textId="77777777" w:rsidR="0026162A" w:rsidRDefault="0026162A" w:rsidP="00263595">
      <w:pPr>
        <w:spacing w:after="0" w:line="240" w:lineRule="auto"/>
      </w:pPr>
      <w:r>
        <w:separator/>
      </w:r>
    </w:p>
  </w:footnote>
  <w:footnote w:type="continuationSeparator" w:id="0">
    <w:p w14:paraId="5AC881D6" w14:textId="77777777" w:rsidR="0026162A" w:rsidRDefault="0026162A" w:rsidP="00263595">
      <w:pPr>
        <w:spacing w:after="0" w:line="240" w:lineRule="auto"/>
      </w:pPr>
      <w:r>
        <w:continuationSeparator/>
      </w:r>
    </w:p>
  </w:footnote>
  <w:footnote w:id="1">
    <w:p w14:paraId="4A93587E" w14:textId="381052CA" w:rsidR="00E26BE0" w:rsidRDefault="00E26BE0" w:rsidP="00E26BE0">
      <w:pPr>
        <w:pStyle w:val="NormalWeb"/>
        <w:spacing w:before="0" w:beforeAutospacing="0" w:after="0" w:afterAutospacing="0"/>
      </w:pPr>
      <w:r w:rsidRPr="00E26BE0">
        <w:rPr>
          <w:rStyle w:val="FootnoteReference"/>
        </w:rPr>
        <w:footnoteRef/>
      </w:r>
      <w:r w:rsidRPr="00E26BE0">
        <w:t xml:space="preserve"> </w:t>
      </w:r>
      <w:r w:rsidRPr="00E26BE0">
        <w:rPr>
          <w:rFonts w:asciiTheme="minorHAnsi" w:eastAsiaTheme="minorEastAsia" w:hAnsi="Calibri" w:cstheme="minorBidi"/>
          <w:kern w:val="24"/>
          <w:sz w:val="20"/>
          <w:szCs w:val="20"/>
        </w:rPr>
        <w:t xml:space="preserve">OMRDD, </w:t>
      </w:r>
      <w:r w:rsidRPr="00E26BE0">
        <w:rPr>
          <w:rFonts w:asciiTheme="minorHAnsi" w:eastAsiaTheme="minorEastAsia" w:hAnsi="Calibri" w:cstheme="minorBidi"/>
          <w:i/>
          <w:iCs/>
          <w:kern w:val="24"/>
          <w:sz w:val="20"/>
          <w:szCs w:val="20"/>
        </w:rPr>
        <w:t xml:space="preserve">Guidelines for Strategies for Crisis Intervention and Prevention Revised, </w:t>
      </w:r>
      <w:r w:rsidRPr="00E26BE0">
        <w:rPr>
          <w:rFonts w:asciiTheme="minorHAnsi" w:eastAsiaTheme="minorEastAsia" w:hAnsi="Calibri" w:cstheme="minorBidi"/>
          <w:kern w:val="24"/>
          <w:sz w:val="20"/>
          <w:szCs w:val="20"/>
        </w:rPr>
        <w:t>(New York, OMRDD, 1998), P. 1. &lt;</w:t>
      </w:r>
      <w:hyperlink r:id="rId1" w:history="1">
        <w:r w:rsidRPr="00E26BE0">
          <w:rPr>
            <w:rFonts w:asciiTheme="minorHAnsi" w:eastAsiaTheme="minorEastAsia" w:hAnsi="Calibri" w:cstheme="minorBidi"/>
            <w:kern w:val="24"/>
            <w:sz w:val="20"/>
            <w:szCs w:val="20"/>
            <w:u w:val="single"/>
          </w:rPr>
          <w:t>https://opwdd.ny.gov/sites/default/files/documents/guidelines_for_scip-r_1998_0.pdf</w:t>
        </w:r>
      </w:hyperlink>
      <w:r w:rsidRPr="00E26BE0">
        <w:rPr>
          <w:rFonts w:asciiTheme="minorHAnsi" w:eastAsiaTheme="minorEastAsia" w:hAnsi="Calibri" w:cstheme="minorBidi"/>
          <w:kern w:val="24"/>
          <w:sz w:val="20"/>
          <w:szCs w:val="20"/>
        </w:rPr>
        <w:t>&gt; [A</w:t>
      </w:r>
      <w:r w:rsidR="007A6B31">
        <w:rPr>
          <w:rFonts w:asciiTheme="minorHAnsi" w:eastAsiaTheme="minorEastAsia" w:hAnsi="Calibri" w:cstheme="minorBidi"/>
          <w:kern w:val="24"/>
          <w:sz w:val="20"/>
          <w:szCs w:val="20"/>
        </w:rPr>
        <w:t>ssessed</w:t>
      </w:r>
      <w:r w:rsidRPr="00E26BE0">
        <w:rPr>
          <w:rFonts w:asciiTheme="minorHAnsi" w:eastAsiaTheme="minorEastAsia" w:hAnsi="Calibri" w:cstheme="minorBidi"/>
          <w:kern w:val="24"/>
          <w:sz w:val="20"/>
          <w:szCs w:val="20"/>
        </w:rPr>
        <w:t xml:space="preserve"> 14 N</w:t>
      </w:r>
      <w:r w:rsidR="007A6B31">
        <w:rPr>
          <w:rFonts w:asciiTheme="minorHAnsi" w:eastAsiaTheme="minorEastAsia" w:hAnsi="Calibri" w:cstheme="minorBidi"/>
          <w:kern w:val="24"/>
          <w:sz w:val="20"/>
          <w:szCs w:val="20"/>
        </w:rPr>
        <w:t xml:space="preserve">ovember </w:t>
      </w:r>
      <w:r w:rsidRPr="00E26BE0">
        <w:rPr>
          <w:rFonts w:asciiTheme="minorHAnsi" w:eastAsiaTheme="minorEastAsia" w:hAnsi="Calibri" w:cstheme="minorBidi"/>
          <w:kern w:val="24"/>
          <w:sz w:val="20"/>
          <w:szCs w:val="20"/>
        </w:rPr>
        <w:t>2018]</w:t>
      </w:r>
    </w:p>
  </w:footnote>
  <w:footnote w:id="2">
    <w:p w14:paraId="339B5847" w14:textId="4593EF6D" w:rsidR="00E26BE0" w:rsidRPr="00344FB6" w:rsidRDefault="00E26BE0" w:rsidP="00E26BE0">
      <w:pPr>
        <w:pStyle w:val="NormalWeb"/>
        <w:spacing w:before="0" w:beforeAutospacing="0" w:after="0" w:afterAutospacing="0"/>
        <w:rPr>
          <w:rFonts w:asciiTheme="minorHAnsi" w:hAnsiTheme="minorHAnsi"/>
          <w:sz w:val="20"/>
          <w:szCs w:val="20"/>
        </w:rPr>
      </w:pPr>
      <w:r w:rsidRPr="00344FB6">
        <w:rPr>
          <w:rStyle w:val="FootnoteReference"/>
          <w:rFonts w:asciiTheme="minorHAnsi" w:hAnsiTheme="minorHAnsi"/>
          <w:sz w:val="20"/>
          <w:szCs w:val="20"/>
        </w:rPr>
        <w:footnoteRef/>
      </w:r>
      <w:r w:rsidRPr="00344FB6">
        <w:rPr>
          <w:rFonts w:asciiTheme="minorHAnsi" w:hAnsiTheme="minorHAnsi"/>
          <w:sz w:val="20"/>
          <w:szCs w:val="20"/>
        </w:rPr>
        <w:t xml:space="preserve"> </w:t>
      </w:r>
      <w:bookmarkStart w:id="0" w:name="_Hlk530743112"/>
      <w:r w:rsidR="00344FB6" w:rsidRPr="00344FB6">
        <w:rPr>
          <w:rFonts w:asciiTheme="minorHAnsi" w:eastAsiaTheme="minorEastAsia" w:hAnsiTheme="minorHAnsi" w:cstheme="minorBidi"/>
          <w:kern w:val="24"/>
          <w:sz w:val="20"/>
          <w:szCs w:val="20"/>
          <w:lang w:val="en-US" w:eastAsia="en-US"/>
        </w:rPr>
        <w:t xml:space="preserve">OWPDD, </w:t>
      </w:r>
      <w:r w:rsidR="00344FB6" w:rsidRPr="00344FB6">
        <w:rPr>
          <w:rFonts w:asciiTheme="minorHAnsi" w:eastAsiaTheme="minorEastAsia" w:hAnsiTheme="minorHAnsi" w:cstheme="minorBidi"/>
          <w:i/>
          <w:iCs/>
          <w:kern w:val="24"/>
          <w:sz w:val="20"/>
          <w:szCs w:val="20"/>
          <w:lang w:val="en-US" w:eastAsia="en-US"/>
        </w:rPr>
        <w:t xml:space="preserve">Agency Name Change and Terminology Updates , </w:t>
      </w:r>
      <w:r w:rsidR="00344FB6" w:rsidRPr="00344FB6">
        <w:rPr>
          <w:rFonts w:asciiTheme="minorHAnsi" w:eastAsiaTheme="minorEastAsia" w:hAnsiTheme="minorHAnsi" w:cstheme="minorBidi"/>
          <w:kern w:val="24"/>
          <w:sz w:val="20"/>
          <w:szCs w:val="20"/>
          <w:lang w:val="en-US" w:eastAsia="en-US"/>
        </w:rPr>
        <w:t xml:space="preserve"> (New York, OPWDD, 2016), </w:t>
      </w:r>
      <w:hyperlink r:id="rId2" w:history="1">
        <w:r w:rsidR="00344FB6" w:rsidRPr="00344FB6">
          <w:rPr>
            <w:rFonts w:asciiTheme="minorHAnsi" w:eastAsiaTheme="minorEastAsia" w:hAnsiTheme="minorHAnsi" w:cstheme="minorBidi"/>
            <w:kern w:val="24"/>
            <w:sz w:val="20"/>
            <w:szCs w:val="20"/>
            <w:u w:val="single"/>
            <w:lang w:val="en-US" w:eastAsia="en-US"/>
          </w:rPr>
          <w:t>https://opwdd.ny.gov/regulations_guidance/opwdd_regulations/agency_name_change_terminology_updates_memo</w:t>
        </w:r>
      </w:hyperlink>
      <w:r w:rsidR="00344FB6" w:rsidRPr="00344FB6">
        <w:rPr>
          <w:rFonts w:asciiTheme="minorHAnsi" w:eastAsiaTheme="minorEastAsia" w:hAnsiTheme="minorHAnsi" w:cstheme="minorBidi"/>
          <w:kern w:val="24"/>
          <w:sz w:val="20"/>
          <w:szCs w:val="20"/>
          <w:lang w:val="en-US" w:eastAsia="en-US"/>
        </w:rPr>
        <w:t xml:space="preserve"> [A</w:t>
      </w:r>
      <w:r w:rsidR="00344FB6">
        <w:rPr>
          <w:rFonts w:asciiTheme="minorHAnsi" w:eastAsiaTheme="minorEastAsia" w:hAnsiTheme="minorHAnsi" w:cstheme="minorBidi"/>
          <w:kern w:val="24"/>
          <w:sz w:val="20"/>
          <w:szCs w:val="20"/>
          <w:lang w:val="en-US" w:eastAsia="en-US"/>
        </w:rPr>
        <w:t>ccessed</w:t>
      </w:r>
      <w:r w:rsidR="00344FB6" w:rsidRPr="00344FB6">
        <w:rPr>
          <w:rFonts w:asciiTheme="minorHAnsi" w:eastAsiaTheme="minorEastAsia" w:hAnsiTheme="minorHAnsi" w:cstheme="minorBidi"/>
          <w:kern w:val="24"/>
          <w:sz w:val="20"/>
          <w:szCs w:val="20"/>
          <w:lang w:val="en-US" w:eastAsia="en-US"/>
        </w:rPr>
        <w:t xml:space="preserve"> 14 N</w:t>
      </w:r>
      <w:r w:rsidR="00344FB6">
        <w:rPr>
          <w:rFonts w:asciiTheme="minorHAnsi" w:eastAsiaTheme="minorEastAsia" w:hAnsiTheme="minorHAnsi" w:cstheme="minorBidi"/>
          <w:kern w:val="24"/>
          <w:sz w:val="20"/>
          <w:szCs w:val="20"/>
          <w:lang w:val="en-US" w:eastAsia="en-US"/>
        </w:rPr>
        <w:t xml:space="preserve">ovember </w:t>
      </w:r>
      <w:r w:rsidR="00344FB6" w:rsidRPr="00344FB6">
        <w:rPr>
          <w:rFonts w:asciiTheme="minorHAnsi" w:eastAsiaTheme="minorEastAsia" w:hAnsiTheme="minorHAnsi" w:cstheme="minorBidi"/>
          <w:kern w:val="24"/>
          <w:sz w:val="20"/>
          <w:szCs w:val="20"/>
          <w:lang w:val="en-US" w:eastAsia="en-US"/>
        </w:rPr>
        <w:t>2018</w:t>
      </w:r>
      <w:r w:rsidR="00344FB6">
        <w:rPr>
          <w:rFonts w:asciiTheme="minorHAnsi" w:eastAsiaTheme="minorEastAsia" w:hAnsiTheme="minorHAnsi" w:cstheme="minorBidi"/>
          <w:kern w:val="24"/>
          <w:sz w:val="20"/>
          <w:szCs w:val="20"/>
          <w:lang w:val="en-US" w:eastAsia="en-US"/>
        </w:rPr>
        <w:t>]</w:t>
      </w:r>
      <w:bookmarkEnd w:id="0"/>
    </w:p>
  </w:footnote>
  <w:footnote w:id="3">
    <w:p w14:paraId="1F4509C5" w14:textId="26D27267" w:rsidR="00E26BE0" w:rsidRPr="007A6B31" w:rsidRDefault="00E26BE0">
      <w:pPr>
        <w:pStyle w:val="FootnoteText"/>
      </w:pPr>
      <w:r>
        <w:rPr>
          <w:rStyle w:val="FootnoteReference"/>
        </w:rPr>
        <w:footnoteRef/>
      </w:r>
      <w:r>
        <w:t xml:space="preserve"> </w:t>
      </w:r>
      <w:bookmarkStart w:id="1" w:name="_Hlk530743163"/>
      <w:r>
        <w:t xml:space="preserve">Sara West, </w:t>
      </w:r>
      <w:r w:rsidR="007A6B31">
        <w:t>‘</w:t>
      </w:r>
      <w:r w:rsidR="007A6B31" w:rsidRPr="007A6B31">
        <w:rPr>
          <w:rFonts w:cs="Arial"/>
          <w:bCs/>
          <w:color w:val="333333"/>
        </w:rPr>
        <w:t>Strategies for Crisis Intervention and Prevention-Revised as a Current Proposal in Care of Individuals with Intellectual Disabilities and Challenging Behaviours</w:t>
      </w:r>
      <w:r w:rsidR="007A6B31">
        <w:rPr>
          <w:rFonts w:cs="Arial"/>
          <w:bCs/>
          <w:color w:val="333333"/>
        </w:rPr>
        <w:t xml:space="preserve">’, </w:t>
      </w:r>
      <w:r w:rsidR="007A6B31">
        <w:rPr>
          <w:rFonts w:cs="Arial"/>
          <w:bCs/>
          <w:i/>
          <w:color w:val="333333"/>
        </w:rPr>
        <w:t xml:space="preserve">International Journal of </w:t>
      </w:r>
      <w:r w:rsidR="00D70A43">
        <w:rPr>
          <w:rFonts w:cs="Arial"/>
          <w:bCs/>
          <w:i/>
          <w:color w:val="333333"/>
        </w:rPr>
        <w:t>Special</w:t>
      </w:r>
      <w:r w:rsidR="007A6B31">
        <w:rPr>
          <w:rFonts w:cs="Arial"/>
          <w:bCs/>
          <w:i/>
          <w:color w:val="333333"/>
        </w:rPr>
        <w:t xml:space="preserve"> Education, </w:t>
      </w:r>
      <w:r w:rsidR="007A6B31">
        <w:rPr>
          <w:rFonts w:cs="Arial"/>
          <w:bCs/>
          <w:color w:val="333333"/>
        </w:rPr>
        <w:t xml:space="preserve">v24.1 (2009), p1-7. </w:t>
      </w:r>
      <w:bookmarkEnd w:id="1"/>
    </w:p>
  </w:footnote>
  <w:footnote w:id="4">
    <w:p w14:paraId="1F7181B3" w14:textId="2664F4B4" w:rsidR="00E26BE0" w:rsidRDefault="00E26BE0">
      <w:pPr>
        <w:pStyle w:val="FootnoteText"/>
      </w:pPr>
      <w:r>
        <w:rPr>
          <w:rStyle w:val="FootnoteReference"/>
        </w:rPr>
        <w:footnoteRef/>
      </w:r>
      <w:r>
        <w:t xml:space="preserve"> </w:t>
      </w:r>
      <w:r w:rsidRPr="00E26BE0">
        <w:rPr>
          <w:rFonts w:hAnsi="Calibri"/>
          <w:kern w:val="24"/>
        </w:rPr>
        <w:t xml:space="preserve">OMRDD, </w:t>
      </w:r>
      <w:r w:rsidRPr="00E26BE0">
        <w:rPr>
          <w:rFonts w:hAnsi="Calibri"/>
          <w:i/>
          <w:iCs/>
          <w:kern w:val="24"/>
        </w:rPr>
        <w:t xml:space="preserve">Guidelines for Strategies for Crisis Intervention and Prevention Revised, </w:t>
      </w:r>
      <w:r w:rsidRPr="00E26BE0">
        <w:rPr>
          <w:rFonts w:hAnsi="Calibri"/>
          <w:kern w:val="24"/>
        </w:rPr>
        <w:t>(New York, OMRDD, 1998), P. 1</w:t>
      </w:r>
      <w:r>
        <w:rPr>
          <w:rFonts w:hAnsi="Calibri"/>
          <w:kern w:val="24"/>
        </w:rPr>
        <w:t>0</w:t>
      </w:r>
      <w:r w:rsidRPr="00E26BE0">
        <w:rPr>
          <w:rFonts w:hAnsi="Calibri"/>
          <w:kern w:val="24"/>
        </w:rPr>
        <w:t>. &lt;</w:t>
      </w:r>
      <w:hyperlink r:id="rId3" w:history="1">
        <w:r w:rsidRPr="00E26BE0">
          <w:rPr>
            <w:rFonts w:hAnsi="Calibri"/>
            <w:kern w:val="24"/>
            <w:u w:val="single"/>
          </w:rPr>
          <w:t>https://opwdd.ny.gov/sites/default/files/documents/guidelines_for_scip-r_1998_0.pdf</w:t>
        </w:r>
      </w:hyperlink>
      <w:r w:rsidRPr="00E26BE0">
        <w:rPr>
          <w:rFonts w:hAnsi="Calibri"/>
          <w:kern w:val="24"/>
        </w:rPr>
        <w:t xml:space="preserve">&gt; </w:t>
      </w:r>
      <w:r w:rsidR="007A6B31" w:rsidRPr="00E26BE0">
        <w:rPr>
          <w:rFonts w:hAnsi="Calibri"/>
          <w:kern w:val="24"/>
        </w:rPr>
        <w:t>[A</w:t>
      </w:r>
      <w:r w:rsidR="007A6B31">
        <w:rPr>
          <w:rFonts w:eastAsiaTheme="minorEastAsia" w:hAnsi="Calibri"/>
          <w:kern w:val="24"/>
        </w:rPr>
        <w:t>ssessed</w:t>
      </w:r>
      <w:r w:rsidR="007A6B31" w:rsidRPr="00E26BE0">
        <w:rPr>
          <w:rFonts w:hAnsi="Calibri"/>
          <w:kern w:val="24"/>
        </w:rPr>
        <w:t xml:space="preserve"> 14 N</w:t>
      </w:r>
      <w:r w:rsidR="007A6B31">
        <w:rPr>
          <w:rFonts w:eastAsiaTheme="minorEastAsia" w:hAnsi="Calibri"/>
          <w:kern w:val="24"/>
        </w:rPr>
        <w:t xml:space="preserve">ovember </w:t>
      </w:r>
      <w:r w:rsidR="007A6B31" w:rsidRPr="00E26BE0">
        <w:rPr>
          <w:rFonts w:hAnsi="Calibri"/>
          <w:kern w:val="24"/>
        </w:rPr>
        <w:t>2018]</w:t>
      </w:r>
    </w:p>
  </w:footnote>
  <w:footnote w:id="5">
    <w:p w14:paraId="784AFEA7" w14:textId="0AD0083C" w:rsidR="00A84099" w:rsidRDefault="00A84099" w:rsidP="00E26BE0">
      <w:pPr>
        <w:pStyle w:val="FootnoteText"/>
      </w:pPr>
      <w:r>
        <w:rPr>
          <w:rStyle w:val="FootnoteReference"/>
        </w:rPr>
        <w:footnoteRef/>
      </w:r>
      <w:r>
        <w:t xml:space="preserve"> </w:t>
      </w:r>
      <w:r w:rsidR="007A6B31">
        <w:t>Sara West, ‘</w:t>
      </w:r>
      <w:r w:rsidR="007A6B31" w:rsidRPr="007A6B31">
        <w:rPr>
          <w:rFonts w:cs="Arial"/>
          <w:bCs/>
          <w:color w:val="333333"/>
        </w:rPr>
        <w:t>Strategies for Crisis Intervention and Prevention-Revised as a Current Proposal in Care of Individuals with Intellectual Disabilities and Challenging Behaviours</w:t>
      </w:r>
      <w:r w:rsidR="007A6B31">
        <w:rPr>
          <w:rFonts w:cs="Arial"/>
          <w:bCs/>
          <w:color w:val="333333"/>
        </w:rPr>
        <w:t xml:space="preserve">’, </w:t>
      </w:r>
      <w:r w:rsidR="007A6B31">
        <w:rPr>
          <w:rFonts w:cs="Arial"/>
          <w:bCs/>
          <w:i/>
          <w:color w:val="333333"/>
        </w:rPr>
        <w:t xml:space="preserve">International Journal of </w:t>
      </w:r>
      <w:r w:rsidR="00D70A43">
        <w:rPr>
          <w:rFonts w:cs="Arial"/>
          <w:bCs/>
          <w:i/>
          <w:color w:val="333333"/>
        </w:rPr>
        <w:t>Special</w:t>
      </w:r>
      <w:r w:rsidR="007A6B31">
        <w:rPr>
          <w:rFonts w:cs="Arial"/>
          <w:bCs/>
          <w:i/>
          <w:color w:val="333333"/>
        </w:rPr>
        <w:t xml:space="preserve"> Education, </w:t>
      </w:r>
      <w:r w:rsidR="007A6B31">
        <w:rPr>
          <w:rFonts w:cs="Arial"/>
          <w:bCs/>
          <w:color w:val="333333"/>
        </w:rPr>
        <w:t>v24.1 (2009), p1-7.</w:t>
      </w:r>
    </w:p>
  </w:footnote>
  <w:footnote w:id="6">
    <w:p w14:paraId="23F55EFB" w14:textId="419A0276" w:rsidR="00A84099" w:rsidRPr="0070408A" w:rsidRDefault="00A84099">
      <w:pPr>
        <w:pStyle w:val="FootnoteText"/>
      </w:pPr>
      <w:r w:rsidRPr="0070408A">
        <w:rPr>
          <w:rStyle w:val="FootnoteReference"/>
        </w:rPr>
        <w:footnoteRef/>
      </w:r>
      <w:r w:rsidRPr="0070408A">
        <w:t xml:space="preserve"> </w:t>
      </w:r>
      <w:bookmarkStart w:id="2" w:name="_Hlk530743187"/>
      <w:r w:rsidRPr="0070408A">
        <w:t>Department of Education</w:t>
      </w:r>
      <w:r w:rsidR="007A6B31" w:rsidRPr="0070408A">
        <w:t xml:space="preserve">, </w:t>
      </w:r>
      <w:r w:rsidR="007A6B31" w:rsidRPr="0070408A">
        <w:rPr>
          <w:i/>
        </w:rPr>
        <w:t>Use of reasonable force in schools</w:t>
      </w:r>
      <w:r w:rsidR="007A6B31" w:rsidRPr="0070408A">
        <w:t xml:space="preserve"> (London, Department Of Education, 2013), </w:t>
      </w:r>
      <w:r w:rsidR="0044061D" w:rsidRPr="0070408A">
        <w:t>P</w:t>
      </w:r>
      <w:r w:rsidR="007A6B31" w:rsidRPr="0070408A">
        <w:t>.</w:t>
      </w:r>
      <w:r w:rsidR="0044061D" w:rsidRPr="0070408A">
        <w:t xml:space="preserve"> </w:t>
      </w:r>
      <w:r w:rsidR="007A6B31" w:rsidRPr="0070408A">
        <w:t>5, &lt;</w:t>
      </w:r>
      <w:hyperlink r:id="rId4" w:history="1">
        <w:r w:rsidR="007A6B31" w:rsidRPr="0070408A">
          <w:rPr>
            <w:rStyle w:val="Hyperlink"/>
          </w:rPr>
          <w:t>https://www.gov.uk/government/publications/use-of-reasonable-force-in-schools</w:t>
        </w:r>
      </w:hyperlink>
      <w:r w:rsidR="007A6B31" w:rsidRPr="0070408A">
        <w:t>&gt; [Accessed 20 November 2018]</w:t>
      </w:r>
      <w:bookmarkEnd w:id="2"/>
    </w:p>
  </w:footnote>
  <w:footnote w:id="7">
    <w:p w14:paraId="64EF7BB2" w14:textId="05AE71A2" w:rsidR="00A84099" w:rsidRPr="0070408A" w:rsidRDefault="00A84099" w:rsidP="0044061D">
      <w:pPr>
        <w:pStyle w:val="NormalWeb"/>
        <w:spacing w:before="0" w:beforeAutospacing="0" w:after="0" w:afterAutospacing="0"/>
        <w:rPr>
          <w:rFonts w:asciiTheme="minorHAnsi" w:hAnsiTheme="minorHAnsi"/>
          <w:sz w:val="20"/>
          <w:szCs w:val="20"/>
        </w:rPr>
      </w:pPr>
      <w:r w:rsidRPr="0070408A">
        <w:rPr>
          <w:rStyle w:val="FootnoteReference"/>
          <w:rFonts w:asciiTheme="minorHAnsi" w:hAnsiTheme="minorHAnsi"/>
          <w:sz w:val="20"/>
          <w:szCs w:val="20"/>
        </w:rPr>
        <w:footnoteRef/>
      </w:r>
      <w:r w:rsidR="0044061D" w:rsidRPr="0070408A">
        <w:rPr>
          <w:rFonts w:asciiTheme="minorHAnsi" w:hAnsiTheme="minorHAnsi"/>
          <w:sz w:val="20"/>
          <w:szCs w:val="20"/>
        </w:rPr>
        <w:t xml:space="preserve"> </w:t>
      </w:r>
      <w:r w:rsidR="007A6B31" w:rsidRPr="0070408A">
        <w:rPr>
          <w:rFonts w:asciiTheme="minorHAnsi" w:eastAsiaTheme="minorEastAsia" w:hAnsiTheme="minorHAnsi" w:cstheme="minorBidi"/>
          <w:kern w:val="24"/>
          <w:sz w:val="20"/>
          <w:szCs w:val="20"/>
        </w:rPr>
        <w:t>David</w:t>
      </w:r>
      <w:r w:rsidR="0044061D" w:rsidRPr="0070408A">
        <w:rPr>
          <w:rFonts w:asciiTheme="minorHAnsi" w:eastAsiaTheme="minorEastAsia" w:hAnsiTheme="minorHAnsi" w:cstheme="minorBidi"/>
          <w:kern w:val="24"/>
          <w:sz w:val="20"/>
          <w:szCs w:val="20"/>
        </w:rPr>
        <w:t xml:space="preserve"> Harrison,</w:t>
      </w:r>
      <w:r w:rsidR="007A6B31" w:rsidRPr="0070408A">
        <w:rPr>
          <w:rFonts w:asciiTheme="minorHAnsi" w:eastAsiaTheme="minorEastAsia" w:hAnsiTheme="minorHAnsi" w:cstheme="minorBidi"/>
          <w:kern w:val="24"/>
          <w:sz w:val="20"/>
          <w:szCs w:val="20"/>
        </w:rPr>
        <w:t xml:space="preserve"> “Music Teachers Advised Not </w:t>
      </w:r>
      <w:r w:rsidR="0070408A" w:rsidRPr="0070408A">
        <w:rPr>
          <w:rFonts w:asciiTheme="minorHAnsi" w:eastAsiaTheme="minorEastAsia" w:hAnsiTheme="minorHAnsi" w:cstheme="minorBidi"/>
          <w:kern w:val="24"/>
          <w:sz w:val="20"/>
          <w:szCs w:val="20"/>
        </w:rPr>
        <w:t>to</w:t>
      </w:r>
      <w:r w:rsidR="007A6B31" w:rsidRPr="0070408A">
        <w:rPr>
          <w:rFonts w:asciiTheme="minorHAnsi" w:eastAsiaTheme="minorEastAsia" w:hAnsiTheme="minorHAnsi" w:cstheme="minorBidi"/>
          <w:kern w:val="24"/>
          <w:sz w:val="20"/>
          <w:szCs w:val="20"/>
        </w:rPr>
        <w:t xml:space="preserve"> Touch Children </w:t>
      </w:r>
      <w:r w:rsidR="0070408A" w:rsidRPr="0070408A">
        <w:rPr>
          <w:rFonts w:asciiTheme="minorHAnsi" w:eastAsiaTheme="minorEastAsia" w:hAnsiTheme="minorHAnsi" w:cstheme="minorBidi"/>
          <w:kern w:val="24"/>
          <w:sz w:val="20"/>
          <w:szCs w:val="20"/>
        </w:rPr>
        <w:t>to</w:t>
      </w:r>
      <w:r w:rsidR="007A6B31" w:rsidRPr="0070408A">
        <w:rPr>
          <w:rFonts w:asciiTheme="minorHAnsi" w:eastAsiaTheme="minorEastAsia" w:hAnsiTheme="minorHAnsi" w:cstheme="minorBidi"/>
          <w:kern w:val="24"/>
          <w:sz w:val="20"/>
          <w:szCs w:val="20"/>
        </w:rPr>
        <w:t xml:space="preserve"> Avoid Abuse Claims”, </w:t>
      </w:r>
      <w:r w:rsidR="007A6B31" w:rsidRPr="0070408A">
        <w:rPr>
          <w:rFonts w:asciiTheme="minorHAnsi" w:eastAsiaTheme="minorEastAsia" w:hAnsiTheme="minorHAnsi" w:cstheme="minorBidi"/>
          <w:i/>
          <w:iCs/>
          <w:kern w:val="24"/>
          <w:sz w:val="20"/>
          <w:szCs w:val="20"/>
        </w:rPr>
        <w:t xml:space="preserve">The Telegraph.co.uk, </w:t>
      </w:r>
      <w:r w:rsidR="007A6B31" w:rsidRPr="0070408A">
        <w:rPr>
          <w:rFonts w:asciiTheme="minorHAnsi" w:eastAsiaTheme="minorEastAsia" w:hAnsiTheme="minorHAnsi" w:cstheme="minorBidi"/>
          <w:kern w:val="24"/>
          <w:sz w:val="20"/>
          <w:szCs w:val="20"/>
        </w:rPr>
        <w:t>8 November 2008 https://www.telegraph.co.uk/news/uknews/3407277/Music-teachers-advised-not-to-touch-children-to-avoid-abuse-claims.html [</w:t>
      </w:r>
      <w:r w:rsidR="0044061D" w:rsidRPr="0070408A">
        <w:rPr>
          <w:rFonts w:asciiTheme="minorHAnsi" w:eastAsiaTheme="minorEastAsia" w:hAnsiTheme="minorHAnsi" w:cstheme="minorBidi"/>
          <w:kern w:val="24"/>
          <w:sz w:val="20"/>
          <w:szCs w:val="20"/>
        </w:rPr>
        <w:t>A</w:t>
      </w:r>
      <w:r w:rsidR="007A6B31" w:rsidRPr="0070408A">
        <w:rPr>
          <w:rFonts w:asciiTheme="minorHAnsi" w:eastAsiaTheme="minorEastAsia" w:hAnsiTheme="minorHAnsi" w:cstheme="minorBidi"/>
          <w:kern w:val="24"/>
          <w:sz w:val="20"/>
          <w:szCs w:val="20"/>
        </w:rPr>
        <w:t>ccessed 14 November 2018]</w:t>
      </w:r>
    </w:p>
  </w:footnote>
  <w:footnote w:id="8">
    <w:p w14:paraId="02B81CF7" w14:textId="69C97A56" w:rsidR="00A84099" w:rsidRPr="0070408A" w:rsidRDefault="00A84099" w:rsidP="0044061D">
      <w:pPr>
        <w:pStyle w:val="FootnoteText"/>
      </w:pPr>
      <w:r w:rsidRPr="0070408A">
        <w:rPr>
          <w:rStyle w:val="FootnoteReference"/>
        </w:rPr>
        <w:footnoteRef/>
      </w:r>
      <w:r w:rsidRPr="0070408A">
        <w:t xml:space="preserve"> </w:t>
      </w:r>
      <w:bookmarkStart w:id="3" w:name="_Hlk530743287"/>
      <w:r w:rsidR="0044061D" w:rsidRPr="0070408A">
        <w:t xml:space="preserve">Dave Hewett, ‘Do touch: physical contact and people who have severe, profound and multiple learning difficulties’, </w:t>
      </w:r>
      <w:r w:rsidR="0044061D" w:rsidRPr="0070408A">
        <w:rPr>
          <w:i/>
        </w:rPr>
        <w:t xml:space="preserve">Support </w:t>
      </w:r>
      <w:r w:rsidR="0070408A" w:rsidRPr="0070408A">
        <w:rPr>
          <w:i/>
        </w:rPr>
        <w:t>for</w:t>
      </w:r>
      <w:r w:rsidR="0044061D" w:rsidRPr="0070408A">
        <w:rPr>
          <w:i/>
        </w:rPr>
        <w:t xml:space="preserve"> Learning, </w:t>
      </w:r>
      <w:r w:rsidR="0044061D" w:rsidRPr="0070408A">
        <w:t>v22.3 (2007), PP. 116-123</w:t>
      </w:r>
      <w:bookmarkEnd w:id="3"/>
    </w:p>
  </w:footnote>
  <w:footnote w:id="9">
    <w:p w14:paraId="750D9ACE" w14:textId="1DF6198C" w:rsidR="00A84099" w:rsidRPr="0070408A" w:rsidRDefault="00A84099">
      <w:pPr>
        <w:pStyle w:val="FootnoteText"/>
      </w:pPr>
      <w:r w:rsidRPr="0070408A">
        <w:rPr>
          <w:rStyle w:val="FootnoteReference"/>
        </w:rPr>
        <w:footnoteRef/>
      </w:r>
      <w:r w:rsidRPr="0070408A">
        <w:t xml:space="preserve"> </w:t>
      </w:r>
      <w:r w:rsidR="0044061D" w:rsidRPr="0070408A">
        <w:t xml:space="preserve">Dave Hewett, ‘Do touch: physical contact and people who have severe, profound and multiple learning difficulties’, </w:t>
      </w:r>
      <w:r w:rsidR="0044061D" w:rsidRPr="0070408A">
        <w:rPr>
          <w:i/>
        </w:rPr>
        <w:t xml:space="preserve">Support </w:t>
      </w:r>
      <w:r w:rsidR="0070408A" w:rsidRPr="0070408A">
        <w:rPr>
          <w:i/>
        </w:rPr>
        <w:t>for</w:t>
      </w:r>
      <w:r w:rsidR="0044061D" w:rsidRPr="0070408A">
        <w:rPr>
          <w:i/>
        </w:rPr>
        <w:t xml:space="preserve"> Learning, </w:t>
      </w:r>
      <w:r w:rsidR="0044061D" w:rsidRPr="0070408A">
        <w:t>v22.3 (2007), PP. 116-123</w:t>
      </w:r>
    </w:p>
  </w:footnote>
  <w:footnote w:id="10">
    <w:p w14:paraId="553D62E5" w14:textId="74E84F82" w:rsidR="0070408A" w:rsidRPr="0070408A" w:rsidRDefault="0070408A" w:rsidP="0070408A">
      <w:pPr>
        <w:pStyle w:val="NormalWeb"/>
        <w:spacing w:before="0" w:beforeAutospacing="0" w:after="0" w:afterAutospacing="0"/>
        <w:rPr>
          <w:rFonts w:asciiTheme="minorHAnsi" w:hAnsiTheme="minorHAnsi"/>
          <w:sz w:val="20"/>
          <w:szCs w:val="20"/>
        </w:rPr>
      </w:pPr>
      <w:r w:rsidRPr="0070408A">
        <w:rPr>
          <w:rStyle w:val="FootnoteReference"/>
          <w:rFonts w:asciiTheme="minorHAnsi" w:hAnsiTheme="minorHAnsi"/>
          <w:sz w:val="20"/>
          <w:szCs w:val="20"/>
        </w:rPr>
        <w:footnoteRef/>
      </w:r>
      <w:r w:rsidRPr="0070408A">
        <w:rPr>
          <w:rFonts w:asciiTheme="minorHAnsi" w:hAnsiTheme="minorHAnsi"/>
          <w:sz w:val="20"/>
          <w:szCs w:val="20"/>
        </w:rPr>
        <w:t xml:space="preserve"> </w:t>
      </w:r>
      <w:r w:rsidRPr="0070408A">
        <w:rPr>
          <w:rFonts w:asciiTheme="minorHAnsi" w:eastAsiaTheme="minorEastAsia" w:hAnsiTheme="minorHAnsi" w:cstheme="minorBidi"/>
          <w:kern w:val="24"/>
          <w:sz w:val="20"/>
          <w:szCs w:val="20"/>
        </w:rPr>
        <w:t xml:space="preserve">Department of Education, “School Discipline: New Guidance </w:t>
      </w:r>
      <w:r w:rsidRPr="0070408A">
        <w:rPr>
          <w:rFonts w:asciiTheme="minorHAnsi" w:eastAsiaTheme="minorEastAsia" w:hAnsiTheme="minorHAnsi" w:cstheme="minorBidi"/>
          <w:kern w:val="24"/>
          <w:sz w:val="20"/>
          <w:szCs w:val="20"/>
        </w:rPr>
        <w:t>for</w:t>
      </w:r>
      <w:r w:rsidRPr="0070408A">
        <w:rPr>
          <w:rFonts w:asciiTheme="minorHAnsi" w:eastAsiaTheme="minorEastAsia" w:hAnsiTheme="minorHAnsi" w:cstheme="minorBidi"/>
          <w:kern w:val="24"/>
          <w:sz w:val="20"/>
          <w:szCs w:val="20"/>
        </w:rPr>
        <w:t xml:space="preserve"> Teachers”, </w:t>
      </w:r>
      <w:r w:rsidRPr="0070408A">
        <w:rPr>
          <w:rFonts w:asciiTheme="minorHAnsi" w:eastAsiaTheme="minorEastAsia" w:hAnsiTheme="minorHAnsi" w:cstheme="minorBidi"/>
          <w:i/>
          <w:iCs/>
          <w:kern w:val="24"/>
          <w:sz w:val="20"/>
          <w:szCs w:val="20"/>
        </w:rPr>
        <w:t xml:space="preserve">gov.uk, </w:t>
      </w:r>
      <w:r w:rsidRPr="0070408A">
        <w:rPr>
          <w:rFonts w:asciiTheme="minorHAnsi" w:eastAsiaTheme="minorEastAsia" w:hAnsiTheme="minorHAnsi" w:cstheme="minorBidi"/>
          <w:kern w:val="24"/>
          <w:sz w:val="20"/>
          <w:szCs w:val="20"/>
        </w:rPr>
        <w:t>11 July 2011 https://www.gov.uk/government/news/school-discipline-new-guidance-for-teachers [Accessed 13 November 2018]</w:t>
      </w:r>
    </w:p>
  </w:footnote>
  <w:footnote w:id="11">
    <w:p w14:paraId="7DAC628F" w14:textId="563669DB" w:rsidR="0070408A" w:rsidRPr="0070408A" w:rsidRDefault="0070408A" w:rsidP="0070408A">
      <w:pPr>
        <w:pStyle w:val="NormalWeb"/>
        <w:spacing w:before="0" w:beforeAutospacing="0" w:after="0" w:afterAutospacing="0"/>
        <w:rPr>
          <w:rFonts w:asciiTheme="minorHAnsi" w:hAnsiTheme="minorHAnsi"/>
          <w:sz w:val="20"/>
          <w:szCs w:val="20"/>
        </w:rPr>
      </w:pPr>
      <w:r w:rsidRPr="0070408A">
        <w:rPr>
          <w:rStyle w:val="FootnoteReference"/>
          <w:rFonts w:asciiTheme="minorHAnsi" w:hAnsiTheme="minorHAnsi"/>
          <w:sz w:val="20"/>
          <w:szCs w:val="20"/>
        </w:rPr>
        <w:footnoteRef/>
      </w:r>
      <w:r w:rsidRPr="0070408A">
        <w:rPr>
          <w:rFonts w:asciiTheme="minorHAnsi" w:hAnsiTheme="minorHAnsi"/>
          <w:sz w:val="20"/>
          <w:szCs w:val="20"/>
        </w:rPr>
        <w:t xml:space="preserve"> </w:t>
      </w:r>
      <w:r w:rsidRPr="0070408A">
        <w:rPr>
          <w:rFonts w:asciiTheme="minorHAnsi" w:eastAsiaTheme="minorEastAsia" w:hAnsiTheme="minorHAnsi" w:cstheme="minorBidi"/>
          <w:kern w:val="24"/>
          <w:sz w:val="20"/>
          <w:szCs w:val="20"/>
        </w:rPr>
        <w:t xml:space="preserve">Rachael Pells “Teachers Who Avoid Touching Children Are Guilty of Child Abuse, Experts Claim”, </w:t>
      </w:r>
      <w:r w:rsidRPr="0070408A">
        <w:rPr>
          <w:rFonts w:asciiTheme="minorHAnsi" w:eastAsiaTheme="minorEastAsia" w:hAnsiTheme="minorHAnsi" w:cstheme="minorBidi"/>
          <w:i/>
          <w:iCs/>
          <w:kern w:val="24"/>
          <w:sz w:val="20"/>
          <w:szCs w:val="20"/>
        </w:rPr>
        <w:t xml:space="preserve">independent.co.uk, </w:t>
      </w:r>
      <w:r w:rsidRPr="0070408A">
        <w:rPr>
          <w:rFonts w:asciiTheme="minorHAnsi" w:eastAsiaTheme="minorEastAsia" w:hAnsiTheme="minorHAnsi" w:cstheme="minorBidi"/>
          <w:kern w:val="24"/>
          <w:sz w:val="20"/>
          <w:szCs w:val="20"/>
        </w:rPr>
        <w:t>18 February 2017 https://www.independent.co.uk/news/education/education-news/teachers-who-avoid-touching-children-guilty-of-child-abuse-experts-psychologists-dangerous-a7586926.html [accessed 14 November 2018]</w:t>
      </w:r>
    </w:p>
  </w:footnote>
  <w:footnote w:id="12">
    <w:p w14:paraId="1F966E5D" w14:textId="2EC2EC1F" w:rsidR="00A84099" w:rsidRDefault="00A84099">
      <w:pPr>
        <w:pStyle w:val="FootnoteText"/>
      </w:pPr>
      <w:r w:rsidRPr="0070408A">
        <w:rPr>
          <w:rStyle w:val="FootnoteReference"/>
        </w:rPr>
        <w:footnoteRef/>
      </w:r>
      <w:r w:rsidRPr="0070408A">
        <w:t xml:space="preserve"> </w:t>
      </w:r>
      <w:bookmarkStart w:id="4" w:name="_Hlk530743327"/>
      <w:r w:rsidRPr="0070408A">
        <w:t xml:space="preserve">Ashley Montagu, </w:t>
      </w:r>
      <w:r w:rsidR="0044061D" w:rsidRPr="0070408A">
        <w:t>Touching: The Human Significance of Skin (New York, Columbia University Press, 1971), P.14.</w:t>
      </w:r>
      <w:bookmarkEnd w:id="4"/>
    </w:p>
  </w:footnote>
  <w:footnote w:id="13">
    <w:p w14:paraId="310E8E30" w14:textId="3B9F5394" w:rsidR="00A84099" w:rsidRPr="0070408A" w:rsidRDefault="00A84099" w:rsidP="0070408A">
      <w:pPr>
        <w:pStyle w:val="NormalWeb"/>
        <w:spacing w:before="0" w:beforeAutospacing="0" w:after="0" w:afterAutospacing="0"/>
        <w:rPr>
          <w:rFonts w:asciiTheme="minorHAnsi" w:hAnsiTheme="minorHAnsi"/>
          <w:sz w:val="20"/>
          <w:szCs w:val="20"/>
        </w:rPr>
      </w:pPr>
      <w:r w:rsidRPr="0070408A">
        <w:rPr>
          <w:rStyle w:val="FootnoteReference"/>
          <w:rFonts w:asciiTheme="minorHAnsi" w:hAnsiTheme="minorHAnsi"/>
          <w:sz w:val="20"/>
          <w:szCs w:val="20"/>
        </w:rPr>
        <w:footnoteRef/>
      </w:r>
      <w:r w:rsidRPr="0070408A">
        <w:rPr>
          <w:rFonts w:asciiTheme="minorHAnsi" w:hAnsiTheme="minorHAnsi"/>
          <w:sz w:val="20"/>
          <w:szCs w:val="20"/>
        </w:rPr>
        <w:t xml:space="preserve"> </w:t>
      </w:r>
      <w:r w:rsidR="0070408A" w:rsidRPr="0070408A">
        <w:rPr>
          <w:rFonts w:asciiTheme="minorHAnsi" w:eastAsiaTheme="minorEastAsia" w:hAnsiTheme="minorHAnsi" w:cstheme="minorBidi"/>
          <w:kern w:val="24"/>
          <w:sz w:val="20"/>
          <w:szCs w:val="20"/>
        </w:rPr>
        <w:t>Saul</w:t>
      </w:r>
      <w:r w:rsidR="0070408A">
        <w:rPr>
          <w:rFonts w:asciiTheme="minorHAnsi" w:eastAsiaTheme="minorEastAsia" w:hAnsiTheme="minorHAnsi" w:cstheme="minorBidi"/>
          <w:kern w:val="24"/>
          <w:sz w:val="20"/>
          <w:szCs w:val="20"/>
        </w:rPr>
        <w:t xml:space="preserve"> McLeod</w:t>
      </w:r>
      <w:r w:rsidR="0070408A" w:rsidRPr="0070408A">
        <w:rPr>
          <w:rFonts w:asciiTheme="minorHAnsi" w:eastAsiaTheme="minorEastAsia" w:hAnsiTheme="minorHAnsi" w:cstheme="minorBidi"/>
          <w:kern w:val="24"/>
          <w:sz w:val="20"/>
          <w:szCs w:val="20"/>
        </w:rPr>
        <w:t>, “Maslow’s Hierarchy of Needs”, The Simply Psychology.org Website, June 2018 https://www.simplypsychology.org/maslow.html [accessed 14 November 2018]</w:t>
      </w:r>
    </w:p>
  </w:footnote>
  <w:footnote w:id="14">
    <w:p w14:paraId="030AD310" w14:textId="6652A30F" w:rsidR="0070408A" w:rsidRPr="0070408A" w:rsidRDefault="0070408A" w:rsidP="0070408A">
      <w:pPr>
        <w:pStyle w:val="NormalWeb"/>
        <w:spacing w:before="0" w:beforeAutospacing="0" w:after="0" w:afterAutospacing="0"/>
        <w:rPr>
          <w:rFonts w:asciiTheme="minorHAnsi" w:hAnsiTheme="minorHAnsi"/>
          <w:sz w:val="20"/>
          <w:szCs w:val="20"/>
        </w:rPr>
      </w:pPr>
      <w:r w:rsidRPr="0070408A">
        <w:rPr>
          <w:rStyle w:val="FootnoteReference"/>
          <w:rFonts w:asciiTheme="minorHAnsi" w:hAnsiTheme="minorHAnsi"/>
          <w:sz w:val="20"/>
          <w:szCs w:val="20"/>
        </w:rPr>
        <w:footnoteRef/>
      </w:r>
      <w:r w:rsidRPr="0070408A">
        <w:rPr>
          <w:rFonts w:asciiTheme="minorHAnsi" w:hAnsiTheme="minorHAnsi"/>
          <w:sz w:val="20"/>
          <w:szCs w:val="20"/>
        </w:rPr>
        <w:t xml:space="preserve"> </w:t>
      </w:r>
      <w:r w:rsidRPr="0070408A">
        <w:rPr>
          <w:rFonts w:asciiTheme="minorHAnsi" w:eastAsiaTheme="minorEastAsia" w:hAnsiTheme="minorHAnsi" w:cstheme="minorBidi"/>
          <w:kern w:val="24"/>
          <w:sz w:val="20"/>
          <w:szCs w:val="20"/>
        </w:rPr>
        <w:t>Saul</w:t>
      </w:r>
      <w:r>
        <w:rPr>
          <w:rFonts w:asciiTheme="minorHAnsi" w:eastAsiaTheme="minorEastAsia" w:hAnsiTheme="minorHAnsi" w:cstheme="minorBidi"/>
          <w:kern w:val="24"/>
          <w:sz w:val="20"/>
          <w:szCs w:val="20"/>
        </w:rPr>
        <w:t xml:space="preserve"> McLeod</w:t>
      </w:r>
      <w:r w:rsidRPr="0070408A">
        <w:rPr>
          <w:rFonts w:asciiTheme="minorHAnsi" w:eastAsiaTheme="minorEastAsia" w:hAnsiTheme="minorHAnsi" w:cstheme="minorBidi"/>
          <w:kern w:val="24"/>
          <w:sz w:val="20"/>
          <w:szCs w:val="20"/>
        </w:rPr>
        <w:t>, “Maslow’s Hierarchy of Needs”, The Simply Psychology.org Website, June 2018 https://www.simplypsychology.org/maslow.html [accessed 14 November 2018]</w:t>
      </w:r>
    </w:p>
  </w:footnote>
  <w:footnote w:id="15">
    <w:p w14:paraId="432AED55" w14:textId="603ABA95" w:rsidR="00A84099" w:rsidRDefault="00A84099">
      <w:pPr>
        <w:pStyle w:val="FootnoteText"/>
      </w:pPr>
      <w:r>
        <w:rPr>
          <w:rStyle w:val="FootnoteReference"/>
        </w:rPr>
        <w:footnoteRef/>
      </w:r>
      <w:r>
        <w:t xml:space="preserve"> </w:t>
      </w:r>
      <w:bookmarkStart w:id="6" w:name="_Hlk530743391"/>
      <w:r>
        <w:t>Penny Ur</w:t>
      </w:r>
      <w:r w:rsidR="0070408A">
        <w:t>, A Course In Language Teaching: Practice and Theory (London, Cambridge University Press, 2005), P. 273</w:t>
      </w:r>
      <w:bookmarkEnd w:id="6"/>
    </w:p>
  </w:footnote>
  <w:footnote w:id="16">
    <w:p w14:paraId="6AF54616" w14:textId="382EE0E8" w:rsidR="00A84099" w:rsidRDefault="00A84099">
      <w:pPr>
        <w:pStyle w:val="FootnoteText"/>
      </w:pPr>
      <w:r>
        <w:rPr>
          <w:rStyle w:val="FootnoteReference"/>
        </w:rPr>
        <w:footnoteRef/>
      </w:r>
      <w:r>
        <w:t xml:space="preserve"> </w:t>
      </w:r>
      <w:r w:rsidR="0070408A">
        <w:t>Penny Ur, A Course In Language Teaching: Practice and Theory (London, Cambridge University Press, 2005), P. 273</w:t>
      </w:r>
    </w:p>
  </w:footnote>
  <w:footnote w:id="17">
    <w:p w14:paraId="24C927AF" w14:textId="5580E864" w:rsidR="00A84099" w:rsidRPr="005271F3" w:rsidRDefault="00A84099">
      <w:pPr>
        <w:pStyle w:val="FootnoteText"/>
      </w:pPr>
      <w:r>
        <w:rPr>
          <w:rStyle w:val="FootnoteReference"/>
        </w:rPr>
        <w:footnoteRef/>
      </w:r>
      <w:r>
        <w:t xml:space="preserve"> </w:t>
      </w:r>
      <w:bookmarkStart w:id="7" w:name="_Hlk530743429"/>
      <w:r>
        <w:t>Ofsted</w:t>
      </w:r>
      <w:r w:rsidRPr="005271F3">
        <w:rPr>
          <w:i/>
        </w:rPr>
        <w:t>,</w:t>
      </w:r>
      <w:r w:rsidR="0070408A" w:rsidRPr="005271F3">
        <w:rPr>
          <w:i/>
        </w:rPr>
        <w:t xml:space="preserve"> </w:t>
      </w:r>
      <w:r w:rsidR="005271F3" w:rsidRPr="005271F3">
        <w:rPr>
          <w:i/>
        </w:rPr>
        <w:t>The</w:t>
      </w:r>
      <w:r w:rsidR="0070408A" w:rsidRPr="005271F3">
        <w:rPr>
          <w:i/>
        </w:rPr>
        <w:t xml:space="preserve"> most able students: Are they doing as well as they should in our non-selective secondary schools?</w:t>
      </w:r>
      <w:r w:rsidR="005271F3" w:rsidRPr="005271F3">
        <w:rPr>
          <w:i/>
        </w:rPr>
        <w:t xml:space="preserve"> No. 130118</w:t>
      </w:r>
      <w:r w:rsidR="005271F3">
        <w:rPr>
          <w:i/>
        </w:rPr>
        <w:t xml:space="preserve">, </w:t>
      </w:r>
      <w:r w:rsidR="005271F3">
        <w:t>(London, Ofsted, 2013), P. 5. &lt;</w:t>
      </w:r>
      <w:hyperlink r:id="rId5" w:history="1">
        <w:r w:rsidR="005271F3" w:rsidRPr="003D1FF8">
          <w:rPr>
            <w:rStyle w:val="Hyperlink"/>
          </w:rPr>
          <w:t>https://assets.publishing.service.gov.uk/government/uploads/system/uploads/attachment_data/file/405518/The_most_able_students.pdf</w:t>
        </w:r>
      </w:hyperlink>
      <w:r w:rsidR="005271F3">
        <w:t>&gt; [Accessed 20 November 2018]</w:t>
      </w:r>
      <w:bookmarkEnd w:id="7"/>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43DD9"/>
    <w:multiLevelType w:val="hybridMultilevel"/>
    <w:tmpl w:val="6DAE3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03A9C"/>
    <w:multiLevelType w:val="hybridMultilevel"/>
    <w:tmpl w:val="CCE40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9D094E"/>
    <w:multiLevelType w:val="hybridMultilevel"/>
    <w:tmpl w:val="40764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0DC"/>
    <w:rsid w:val="00003693"/>
    <w:rsid w:val="00021D1B"/>
    <w:rsid w:val="001D222F"/>
    <w:rsid w:val="00244249"/>
    <w:rsid w:val="0026162A"/>
    <w:rsid w:val="00263595"/>
    <w:rsid w:val="002E2FFE"/>
    <w:rsid w:val="00344FB6"/>
    <w:rsid w:val="00362122"/>
    <w:rsid w:val="003A1EB8"/>
    <w:rsid w:val="0040402F"/>
    <w:rsid w:val="0044061D"/>
    <w:rsid w:val="00461005"/>
    <w:rsid w:val="00491392"/>
    <w:rsid w:val="00526515"/>
    <w:rsid w:val="005271F3"/>
    <w:rsid w:val="006942C4"/>
    <w:rsid w:val="006A335E"/>
    <w:rsid w:val="0070408A"/>
    <w:rsid w:val="00712F1A"/>
    <w:rsid w:val="007A6B31"/>
    <w:rsid w:val="007C1B94"/>
    <w:rsid w:val="007E6C86"/>
    <w:rsid w:val="0087204E"/>
    <w:rsid w:val="00994A1E"/>
    <w:rsid w:val="00A036A4"/>
    <w:rsid w:val="00A20084"/>
    <w:rsid w:val="00A84099"/>
    <w:rsid w:val="00AA413F"/>
    <w:rsid w:val="00B25A03"/>
    <w:rsid w:val="00B46C70"/>
    <w:rsid w:val="00C00914"/>
    <w:rsid w:val="00C12AAF"/>
    <w:rsid w:val="00CB4CBF"/>
    <w:rsid w:val="00CB7E5D"/>
    <w:rsid w:val="00CD3A90"/>
    <w:rsid w:val="00CE1045"/>
    <w:rsid w:val="00D114CB"/>
    <w:rsid w:val="00D24971"/>
    <w:rsid w:val="00D50AFD"/>
    <w:rsid w:val="00D70A43"/>
    <w:rsid w:val="00DA4AD0"/>
    <w:rsid w:val="00E26BE0"/>
    <w:rsid w:val="00E60FBE"/>
    <w:rsid w:val="00EA40DC"/>
    <w:rsid w:val="00ED163A"/>
    <w:rsid w:val="00EE239E"/>
    <w:rsid w:val="00EE6AA3"/>
    <w:rsid w:val="00FA1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08509"/>
  <w15:chartTrackingRefBased/>
  <w15:docId w15:val="{8E621FF5-D6CC-4E85-9092-381BD6085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40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635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3595"/>
    <w:rPr>
      <w:sz w:val="20"/>
      <w:szCs w:val="20"/>
    </w:rPr>
  </w:style>
  <w:style w:type="character" w:styleId="FootnoteReference">
    <w:name w:val="footnote reference"/>
    <w:basedOn w:val="DefaultParagraphFont"/>
    <w:uiPriority w:val="99"/>
    <w:semiHidden/>
    <w:unhideWhenUsed/>
    <w:rsid w:val="00263595"/>
    <w:rPr>
      <w:vertAlign w:val="superscript"/>
    </w:rPr>
  </w:style>
  <w:style w:type="character" w:styleId="Hyperlink">
    <w:name w:val="Hyperlink"/>
    <w:basedOn w:val="DefaultParagraphFont"/>
    <w:uiPriority w:val="99"/>
    <w:unhideWhenUsed/>
    <w:rsid w:val="00C00914"/>
    <w:rPr>
      <w:color w:val="0563C1" w:themeColor="hyperlink"/>
      <w:u w:val="single"/>
    </w:rPr>
  </w:style>
  <w:style w:type="character" w:styleId="UnresolvedMention">
    <w:name w:val="Unresolved Mention"/>
    <w:basedOn w:val="DefaultParagraphFont"/>
    <w:uiPriority w:val="99"/>
    <w:semiHidden/>
    <w:unhideWhenUsed/>
    <w:rsid w:val="00C009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74099">
      <w:bodyDiv w:val="1"/>
      <w:marLeft w:val="0"/>
      <w:marRight w:val="0"/>
      <w:marTop w:val="0"/>
      <w:marBottom w:val="0"/>
      <w:divBdr>
        <w:top w:val="none" w:sz="0" w:space="0" w:color="auto"/>
        <w:left w:val="none" w:sz="0" w:space="0" w:color="auto"/>
        <w:bottom w:val="none" w:sz="0" w:space="0" w:color="auto"/>
        <w:right w:val="none" w:sz="0" w:space="0" w:color="auto"/>
      </w:divBdr>
    </w:div>
    <w:div w:id="408384446">
      <w:bodyDiv w:val="1"/>
      <w:marLeft w:val="0"/>
      <w:marRight w:val="0"/>
      <w:marTop w:val="0"/>
      <w:marBottom w:val="0"/>
      <w:divBdr>
        <w:top w:val="none" w:sz="0" w:space="0" w:color="auto"/>
        <w:left w:val="none" w:sz="0" w:space="0" w:color="auto"/>
        <w:bottom w:val="none" w:sz="0" w:space="0" w:color="auto"/>
        <w:right w:val="none" w:sz="0" w:space="0" w:color="auto"/>
      </w:divBdr>
    </w:div>
    <w:div w:id="476724583">
      <w:bodyDiv w:val="1"/>
      <w:marLeft w:val="0"/>
      <w:marRight w:val="0"/>
      <w:marTop w:val="0"/>
      <w:marBottom w:val="0"/>
      <w:divBdr>
        <w:top w:val="none" w:sz="0" w:space="0" w:color="auto"/>
        <w:left w:val="none" w:sz="0" w:space="0" w:color="auto"/>
        <w:bottom w:val="none" w:sz="0" w:space="0" w:color="auto"/>
        <w:right w:val="none" w:sz="0" w:space="0" w:color="auto"/>
      </w:divBdr>
    </w:div>
    <w:div w:id="1034892175">
      <w:bodyDiv w:val="1"/>
      <w:marLeft w:val="0"/>
      <w:marRight w:val="0"/>
      <w:marTop w:val="0"/>
      <w:marBottom w:val="0"/>
      <w:divBdr>
        <w:top w:val="none" w:sz="0" w:space="0" w:color="auto"/>
        <w:left w:val="none" w:sz="0" w:space="0" w:color="auto"/>
        <w:bottom w:val="none" w:sz="0" w:space="0" w:color="auto"/>
        <w:right w:val="none" w:sz="0" w:space="0" w:color="auto"/>
      </w:divBdr>
    </w:div>
    <w:div w:id="1335037911">
      <w:bodyDiv w:val="1"/>
      <w:marLeft w:val="0"/>
      <w:marRight w:val="0"/>
      <w:marTop w:val="0"/>
      <w:marBottom w:val="0"/>
      <w:divBdr>
        <w:top w:val="none" w:sz="0" w:space="0" w:color="auto"/>
        <w:left w:val="none" w:sz="0" w:space="0" w:color="auto"/>
        <w:bottom w:val="none" w:sz="0" w:space="0" w:color="auto"/>
        <w:right w:val="none" w:sz="0" w:space="0" w:color="auto"/>
      </w:divBdr>
    </w:div>
    <w:div w:id="1492912152">
      <w:bodyDiv w:val="1"/>
      <w:marLeft w:val="0"/>
      <w:marRight w:val="0"/>
      <w:marTop w:val="0"/>
      <w:marBottom w:val="0"/>
      <w:divBdr>
        <w:top w:val="none" w:sz="0" w:space="0" w:color="auto"/>
        <w:left w:val="none" w:sz="0" w:space="0" w:color="auto"/>
        <w:bottom w:val="none" w:sz="0" w:space="0" w:color="auto"/>
        <w:right w:val="none" w:sz="0" w:space="0" w:color="auto"/>
      </w:divBdr>
    </w:div>
    <w:div w:id="163036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use-of-reasonable-force-in-schoo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opwdd.ny.gov/regulations_guidance/opwdd_regulations/agency_name_change_terminology_updates_memo"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405518/The_most_able_students.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opwdd.ny.gov/sites/default/files/documents/guidelines_for_scip-r_1998_0.pdf" TargetMode="External"/><Relationship Id="rId2" Type="http://schemas.openxmlformats.org/officeDocument/2006/relationships/hyperlink" Target="https://opwdd.ny.gov/regulations_guidance/opwdd_regulations/agency_name_change_terminology_updates_memo" TargetMode="External"/><Relationship Id="rId1" Type="http://schemas.openxmlformats.org/officeDocument/2006/relationships/hyperlink" Target="https://opwdd.ny.gov/sites/default/files/documents/guidelines_for_scip-r_1998_0.pdf" TargetMode="External"/><Relationship Id="rId5" Type="http://schemas.openxmlformats.org/officeDocument/2006/relationships/hyperlink" Target="https://assets.publishing.service.gov.uk/government/uploads/system/uploads/attachment_data/file/405518/The_most_able_students.pdf" TargetMode="External"/><Relationship Id="rId4" Type="http://schemas.openxmlformats.org/officeDocument/2006/relationships/hyperlink" Target="https://www.gov.uk/government/publications/use-of-reasonable-force-in-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BA803-6F9C-4B34-8703-AD3FA3529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8</Pages>
  <Words>2332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19</cp:revision>
  <dcterms:created xsi:type="dcterms:W3CDTF">2018-11-23T08:47:00Z</dcterms:created>
  <dcterms:modified xsi:type="dcterms:W3CDTF">2018-11-23T13:37:00Z</dcterms:modified>
</cp:coreProperties>
</file>