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CAED8" w14:textId="77777777" w:rsidR="00353C94" w:rsidRDefault="00353C94" w:rsidP="00353C94">
      <w:pPr>
        <w:spacing w:line="360" w:lineRule="auto"/>
        <w:jc w:val="both"/>
        <w:rPr>
          <w:rFonts w:ascii="Arial" w:hAnsi="Arial" w:cs="Arial"/>
          <w:b/>
          <w:bCs/>
          <w:sz w:val="24"/>
          <w:szCs w:val="24"/>
          <w:u w:val="single"/>
        </w:rPr>
      </w:pPr>
      <w:r>
        <w:rPr>
          <w:rFonts w:ascii="Arial" w:hAnsi="Arial" w:cs="Arial"/>
          <w:b/>
          <w:bCs/>
          <w:sz w:val="24"/>
          <w:szCs w:val="24"/>
          <w:u w:val="single"/>
        </w:rPr>
        <w:t>Section 1</w:t>
      </w:r>
    </w:p>
    <w:p w14:paraId="1E7C3D28"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CQI (2022) suggests quality is continuously improving a service stakeholders receive, ensuring the organisation is fit for purpose with processes and systems in place being effective. Foundation Years (no date) agree suggesting that quality improvement is cyclical, with a continuous process of planning, implementing, </w:t>
      </w:r>
      <w:proofErr w:type="gramStart"/>
      <w:r>
        <w:rPr>
          <w:rFonts w:ascii="Arial" w:hAnsi="Arial" w:cs="Arial"/>
          <w:sz w:val="24"/>
          <w:szCs w:val="24"/>
        </w:rPr>
        <w:t>reviewing</w:t>
      </w:r>
      <w:proofErr w:type="gramEnd"/>
      <w:r>
        <w:rPr>
          <w:rFonts w:ascii="Arial" w:hAnsi="Arial" w:cs="Arial"/>
          <w:sz w:val="24"/>
          <w:szCs w:val="24"/>
        </w:rPr>
        <w:t xml:space="preserve"> and analysing being integral in achieving quality provision. Furthermore, CQI (2022) suggest that managing quality not only improves service and outcomes for ‘customers’ but also protects organisations from risk whilst building a positive reputation and boosting efficiency. </w:t>
      </w:r>
    </w:p>
    <w:p w14:paraId="1F42F337" w14:textId="77777777" w:rsidR="00353C94" w:rsidRDefault="00353C94" w:rsidP="00353C94">
      <w:pPr>
        <w:spacing w:line="360" w:lineRule="auto"/>
        <w:jc w:val="both"/>
        <w:rPr>
          <w:rFonts w:ascii="Arial" w:hAnsi="Arial" w:cs="Arial"/>
          <w:sz w:val="24"/>
          <w:szCs w:val="24"/>
        </w:rPr>
      </w:pPr>
    </w:p>
    <w:p w14:paraId="66793AA1"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Tayler (2015) suggests that experiences in the early years lay the foundation for children’s wellbeing, learning and health into adult life.  In addition, </w:t>
      </w:r>
      <w:proofErr w:type="spellStart"/>
      <w:r>
        <w:rPr>
          <w:rFonts w:ascii="Arial" w:hAnsi="Arial" w:cs="Arial"/>
          <w:sz w:val="24"/>
          <w:szCs w:val="24"/>
        </w:rPr>
        <w:t>Centers</w:t>
      </w:r>
      <w:proofErr w:type="spellEnd"/>
      <w:r>
        <w:rPr>
          <w:rFonts w:ascii="Arial" w:hAnsi="Arial" w:cs="Arial"/>
          <w:sz w:val="24"/>
          <w:szCs w:val="24"/>
        </w:rPr>
        <w:t xml:space="preserve"> for Disease Control and Prevention (CDC) (2021) suggest the brain, whilst continuing to develop into adulthood, develops most in the first eight years of a child’s life shaping future health, learning and life success. Furthermore, Siraj-Blatchford, </w:t>
      </w:r>
      <w:r>
        <w:rPr>
          <w:rFonts w:ascii="Arial" w:hAnsi="Arial" w:cs="Arial"/>
          <w:i/>
          <w:iCs/>
          <w:sz w:val="24"/>
          <w:szCs w:val="24"/>
        </w:rPr>
        <w:t xml:space="preserve">et.al. </w:t>
      </w:r>
      <w:r>
        <w:rPr>
          <w:rFonts w:ascii="Arial" w:hAnsi="Arial" w:cs="Arial"/>
          <w:sz w:val="24"/>
          <w:szCs w:val="24"/>
        </w:rPr>
        <w:t xml:space="preserve">(2008) suggests quality childcare experiences in early years benefit children from disadvantaged backgrounds significantly, enabling equality of opportunity to be realised and the cycle of social exclusion and disadvantage to be broken. With research such as this indicating the importance and impact of early years experiences, it is imperative that children receive high quality care and education from the earliest possible stage. </w:t>
      </w:r>
    </w:p>
    <w:p w14:paraId="53CB0E6D" w14:textId="77777777" w:rsidR="00353C94" w:rsidRDefault="00353C94" w:rsidP="00353C94">
      <w:pPr>
        <w:spacing w:line="360" w:lineRule="auto"/>
        <w:jc w:val="both"/>
        <w:rPr>
          <w:rFonts w:ascii="Arial" w:hAnsi="Arial" w:cs="Arial"/>
          <w:sz w:val="24"/>
          <w:szCs w:val="24"/>
        </w:rPr>
      </w:pPr>
    </w:p>
    <w:p w14:paraId="2FF54091"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When considering quality in early years care and education, Foundation Years (no date) suggests a workforce rich with attributes such as strong working partnerships with parents and good pedological understanding are central to success. Welsh Government (2012) and Welsh Government (2016) outline the importance of working in partnership with parents to ensure parents are fully informed as well as enabling practitioners to meet the individual needs of each child. Furthermore, within the Additional Learning Needs Code for Wales 2021, Welsh Government (2021) recognises the need for parents to be central in decision making processes regarding children to ensure rights are respected whilst working collaboratively with professionals. In addition, Leadership for Inclusion in the Early Years (LINC) (2020) argues that early </w:t>
      </w:r>
      <w:proofErr w:type="gramStart"/>
      <w:r>
        <w:rPr>
          <w:rFonts w:ascii="Arial" w:hAnsi="Arial" w:cs="Arial"/>
          <w:sz w:val="24"/>
          <w:szCs w:val="24"/>
        </w:rPr>
        <w:t>years</w:t>
      </w:r>
      <w:proofErr w:type="gramEnd"/>
      <w:r>
        <w:rPr>
          <w:rFonts w:ascii="Arial" w:hAnsi="Arial" w:cs="Arial"/>
          <w:sz w:val="24"/>
          <w:szCs w:val="24"/>
        </w:rPr>
        <w:t xml:space="preserve"> settings that view parents as true partners encompass the </w:t>
      </w:r>
      <w:r>
        <w:rPr>
          <w:rFonts w:ascii="Arial" w:hAnsi="Arial" w:cs="Arial"/>
          <w:sz w:val="24"/>
          <w:szCs w:val="24"/>
        </w:rPr>
        <w:lastRenderedPageBreak/>
        <w:t xml:space="preserve">whole-child approach, therefore are able to provide better outcomes for children due to parental involvement from an early age. </w:t>
      </w:r>
    </w:p>
    <w:p w14:paraId="6EBAD3C3" w14:textId="77777777" w:rsidR="00353C94" w:rsidRDefault="00353C94" w:rsidP="00353C94">
      <w:pPr>
        <w:spacing w:line="360" w:lineRule="auto"/>
        <w:jc w:val="both"/>
        <w:rPr>
          <w:rFonts w:ascii="Arial" w:hAnsi="Arial" w:cs="Arial"/>
          <w:sz w:val="24"/>
          <w:szCs w:val="24"/>
        </w:rPr>
      </w:pPr>
    </w:p>
    <w:p w14:paraId="105ADEEC"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Welsh Government (2014) suggest that quality is linked with early years practitioners being highly qualified and well trained with an understanding of how children develop. Siraj (2014) agrees suggesting training that demonstrates clear links between theory and practice supports practitioners in facilitating quality learning and play experiences for children. In addition, Siraj-Blatchford, </w:t>
      </w:r>
      <w:r>
        <w:rPr>
          <w:rFonts w:ascii="Arial" w:hAnsi="Arial" w:cs="Arial"/>
          <w:i/>
          <w:iCs/>
          <w:sz w:val="24"/>
          <w:szCs w:val="24"/>
        </w:rPr>
        <w:t xml:space="preserve">et.al. </w:t>
      </w:r>
      <w:r>
        <w:rPr>
          <w:rFonts w:ascii="Arial" w:hAnsi="Arial" w:cs="Arial"/>
          <w:sz w:val="24"/>
          <w:szCs w:val="24"/>
        </w:rPr>
        <w:t xml:space="preserve">(2008) suggest, in early years settings where practitioners are trained in and understand pedological content, children demonstrate better future outcomes and progress. Furthermore, Siraj-Blatchford, </w:t>
      </w:r>
      <w:r>
        <w:rPr>
          <w:rFonts w:ascii="Arial" w:hAnsi="Arial" w:cs="Arial"/>
          <w:i/>
          <w:iCs/>
          <w:sz w:val="24"/>
          <w:szCs w:val="24"/>
        </w:rPr>
        <w:t xml:space="preserve">et.al. </w:t>
      </w:r>
      <w:r>
        <w:rPr>
          <w:rFonts w:ascii="Arial" w:hAnsi="Arial" w:cs="Arial"/>
          <w:sz w:val="24"/>
          <w:szCs w:val="24"/>
        </w:rPr>
        <w:t>(2008) argue that childcare provision that is facilitated by practitioners qualified to a graduate level, particularly the leader or manager, enhances the quality of the provision and outcomes for children. OECD (2018) agrees suggesting practitioners being highly trained and knowledgeable result in higher quality interactions taking place between staff and children.</w:t>
      </w:r>
    </w:p>
    <w:p w14:paraId="0926B99D" w14:textId="77777777" w:rsidR="00353C94" w:rsidRDefault="00353C94" w:rsidP="00353C94">
      <w:pPr>
        <w:spacing w:line="360" w:lineRule="auto"/>
        <w:jc w:val="both"/>
        <w:rPr>
          <w:rFonts w:ascii="Arial" w:hAnsi="Arial" w:cs="Arial"/>
          <w:sz w:val="24"/>
          <w:szCs w:val="24"/>
        </w:rPr>
      </w:pPr>
    </w:p>
    <w:p w14:paraId="2DAB6027"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A further factor attributed to quality in early years care and education is a high-quality environment.  Both indoor and outdoor environments that are accessible, safe, stimulating and provide sufficient space for exploration enable children to thrive and develop, in contrast to poor facilities that can have an adverse effect on a child’s development (Welsh Government, 2014). </w:t>
      </w:r>
      <w:proofErr w:type="spellStart"/>
      <w:r>
        <w:rPr>
          <w:rFonts w:ascii="Arial" w:hAnsi="Arial" w:cs="Arial"/>
          <w:sz w:val="24"/>
          <w:szCs w:val="24"/>
        </w:rPr>
        <w:t>Bottrill</w:t>
      </w:r>
      <w:proofErr w:type="spellEnd"/>
      <w:r>
        <w:rPr>
          <w:rFonts w:ascii="Arial" w:hAnsi="Arial" w:cs="Arial"/>
          <w:sz w:val="24"/>
          <w:szCs w:val="24"/>
        </w:rPr>
        <w:t xml:space="preserve"> (2018) agrees suggesting environments should be enriched with collaborative play opportunities that encourage creativity and curiosity in children. In addition, Early Years Matters (2022) suggest rich, quality environments have a direct effect on children’s learning and development, therefore should be a priority to invest time in to ensure children feel confident to explore and learn in early years settings in turn enhancing future outcomes. </w:t>
      </w:r>
    </w:p>
    <w:p w14:paraId="229480C7" w14:textId="77777777" w:rsidR="00353C94" w:rsidRDefault="00353C94" w:rsidP="00353C94">
      <w:pPr>
        <w:spacing w:line="360" w:lineRule="auto"/>
        <w:jc w:val="both"/>
        <w:rPr>
          <w:rFonts w:ascii="Arial" w:hAnsi="Arial" w:cs="Arial"/>
          <w:sz w:val="24"/>
          <w:szCs w:val="24"/>
        </w:rPr>
      </w:pPr>
    </w:p>
    <w:p w14:paraId="361D0625"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However, whilst there are many factors attributed to quality in early years and education, Moss (2016) argues that quality is a subjective term, relying on individual or societal values and beliefs to define it, as opposed to a more objective, concrete definition or criteria. Furthermore, Moss (2016) suggests that quality in early years </w:t>
      </w:r>
      <w:r>
        <w:rPr>
          <w:rFonts w:ascii="Arial" w:hAnsi="Arial" w:cs="Arial"/>
          <w:sz w:val="24"/>
          <w:szCs w:val="24"/>
        </w:rPr>
        <w:lastRenderedPageBreak/>
        <w:t>settings is measured against a criterion of what is typically expected and deemed appropriate by society and experts in the field, with settings conforming to this being viewed as quality provision.</w:t>
      </w:r>
    </w:p>
    <w:p w14:paraId="12818798" w14:textId="77777777" w:rsidR="00353C94" w:rsidRDefault="00353C94" w:rsidP="00353C94">
      <w:pPr>
        <w:spacing w:line="360" w:lineRule="auto"/>
        <w:jc w:val="both"/>
        <w:rPr>
          <w:rFonts w:ascii="Arial" w:hAnsi="Arial" w:cs="Arial"/>
          <w:sz w:val="24"/>
          <w:szCs w:val="24"/>
        </w:rPr>
      </w:pPr>
    </w:p>
    <w:p w14:paraId="0E3B9702" w14:textId="77777777" w:rsidR="00353C94" w:rsidRDefault="00353C94" w:rsidP="00353C94">
      <w:pPr>
        <w:spacing w:line="360" w:lineRule="auto"/>
        <w:jc w:val="both"/>
        <w:rPr>
          <w:rFonts w:ascii="Arial" w:hAnsi="Arial" w:cs="Arial"/>
          <w:b/>
          <w:bCs/>
          <w:sz w:val="24"/>
          <w:szCs w:val="24"/>
          <w:u w:val="single"/>
        </w:rPr>
      </w:pPr>
      <w:r>
        <w:rPr>
          <w:rFonts w:ascii="Arial" w:hAnsi="Arial" w:cs="Arial"/>
          <w:b/>
          <w:bCs/>
          <w:sz w:val="24"/>
          <w:szCs w:val="24"/>
          <w:u w:val="single"/>
        </w:rPr>
        <w:t>Section 2</w:t>
      </w:r>
    </w:p>
    <w:p w14:paraId="1F1CD177"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Gillis (2019) suggests quality assurance is a tool or process used to determine whether a service or provision meets and maintains specified standards. ASQ (2022) agree suggesting quality assurance provides confidence to stakeholders, both internal and external, that a service strives for and achieves quality standards. Within early years care and education, there are many </w:t>
      </w:r>
      <w:proofErr w:type="gramStart"/>
      <w:r>
        <w:rPr>
          <w:rFonts w:ascii="Arial" w:hAnsi="Arial" w:cs="Arial"/>
          <w:sz w:val="24"/>
          <w:szCs w:val="24"/>
        </w:rPr>
        <w:t>quality</w:t>
      </w:r>
      <w:proofErr w:type="gramEnd"/>
      <w:r>
        <w:rPr>
          <w:rFonts w:ascii="Arial" w:hAnsi="Arial" w:cs="Arial"/>
          <w:sz w:val="24"/>
          <w:szCs w:val="24"/>
        </w:rPr>
        <w:t xml:space="preserve"> assurance schemes that are designed to encourage services to strive for and maintain high quality experiences for children accessing provision, promoting reflection and evaluation of practices (Childcare Partnerships, no date). Furthermore, Foundation Years (no date) suggest quality assurance schemes provide recognition for services that action real change and progress against a set criterion, with people in leadership positions having a duty to implement a system for self-evaluation, to identify and prioritise areas of strength and improvement. </w:t>
      </w:r>
    </w:p>
    <w:p w14:paraId="2F9C7C60" w14:textId="77777777" w:rsidR="00353C94" w:rsidRDefault="00353C94" w:rsidP="00353C94">
      <w:pPr>
        <w:spacing w:line="360" w:lineRule="auto"/>
        <w:jc w:val="both"/>
        <w:rPr>
          <w:rFonts w:ascii="Arial" w:hAnsi="Arial" w:cs="Arial"/>
          <w:sz w:val="24"/>
          <w:szCs w:val="24"/>
        </w:rPr>
      </w:pPr>
    </w:p>
    <w:p w14:paraId="215C46EB"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The Quality for All (</w:t>
      </w:r>
      <w:proofErr w:type="spellStart"/>
      <w:r>
        <w:rPr>
          <w:rFonts w:ascii="Arial" w:hAnsi="Arial" w:cs="Arial"/>
          <w:sz w:val="24"/>
          <w:szCs w:val="24"/>
        </w:rPr>
        <w:t>QfA</w:t>
      </w:r>
      <w:proofErr w:type="spellEnd"/>
      <w:r>
        <w:rPr>
          <w:rFonts w:ascii="Arial" w:hAnsi="Arial" w:cs="Arial"/>
          <w:sz w:val="24"/>
          <w:szCs w:val="24"/>
        </w:rPr>
        <w:t xml:space="preserve">) Award is a quality assurance scheme specifically designed for early years childcare provision. The award aims to exceed expected standards set out by Care Inspectorate Wales (CIW) in the National Minimum Standards to highlight and recognise the contributions made by early years practitioners to the service (Early Years Wales, 2020). Smalltalk (2017) agrees suggesting childcare providers </w:t>
      </w:r>
      <w:proofErr w:type="gramStart"/>
      <w:r>
        <w:rPr>
          <w:rFonts w:ascii="Arial" w:hAnsi="Arial" w:cs="Arial"/>
          <w:sz w:val="24"/>
          <w:szCs w:val="24"/>
        </w:rPr>
        <w:t>are able to</w:t>
      </w:r>
      <w:proofErr w:type="gramEnd"/>
      <w:r>
        <w:rPr>
          <w:rFonts w:ascii="Arial" w:hAnsi="Arial" w:cs="Arial"/>
          <w:sz w:val="24"/>
          <w:szCs w:val="24"/>
        </w:rPr>
        <w:t xml:space="preserve"> showcase strengths within the service in additionality to the National Minimum Standards. Furthermore, Early Years Wales (2020) suggests that childcare providers </w:t>
      </w:r>
      <w:proofErr w:type="gramStart"/>
      <w:r>
        <w:rPr>
          <w:rFonts w:ascii="Arial" w:hAnsi="Arial" w:cs="Arial"/>
          <w:sz w:val="24"/>
          <w:szCs w:val="24"/>
        </w:rPr>
        <w:t>are able to</w:t>
      </w:r>
      <w:proofErr w:type="gramEnd"/>
      <w:r>
        <w:rPr>
          <w:rFonts w:ascii="Arial" w:hAnsi="Arial" w:cs="Arial"/>
          <w:sz w:val="24"/>
          <w:szCs w:val="24"/>
        </w:rPr>
        <w:t xml:space="preserve"> use the formal accreditation achieved as part of the </w:t>
      </w:r>
      <w:proofErr w:type="spellStart"/>
      <w:r>
        <w:rPr>
          <w:rFonts w:ascii="Arial" w:hAnsi="Arial" w:cs="Arial"/>
          <w:sz w:val="24"/>
          <w:szCs w:val="24"/>
        </w:rPr>
        <w:t>QfA</w:t>
      </w:r>
      <w:proofErr w:type="spellEnd"/>
      <w:r>
        <w:rPr>
          <w:rFonts w:ascii="Arial" w:hAnsi="Arial" w:cs="Arial"/>
          <w:sz w:val="24"/>
          <w:szCs w:val="24"/>
        </w:rPr>
        <w:t xml:space="preserve"> award to promote the standard of the service to stakeholders and potential future families, thus enabling families to make informed choices about the childcare provider as well as supporting the reputation and longevity of the childcare service. </w:t>
      </w:r>
    </w:p>
    <w:p w14:paraId="6C196941"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As suggested by Hoare (no date), the Sustained Shared Thinking and Emotional Wellbeing (SSTEW) scale for </w:t>
      </w:r>
      <w:proofErr w:type="gramStart"/>
      <w:r>
        <w:rPr>
          <w:rFonts w:ascii="Arial" w:hAnsi="Arial" w:cs="Arial"/>
          <w:sz w:val="24"/>
          <w:szCs w:val="24"/>
        </w:rPr>
        <w:t>two to five year olds</w:t>
      </w:r>
      <w:proofErr w:type="gramEnd"/>
      <w:r>
        <w:rPr>
          <w:rFonts w:ascii="Arial" w:hAnsi="Arial" w:cs="Arial"/>
          <w:sz w:val="24"/>
          <w:szCs w:val="24"/>
        </w:rPr>
        <w:t xml:space="preserve"> is a tool that can be used for quality </w:t>
      </w:r>
      <w:r>
        <w:rPr>
          <w:rFonts w:ascii="Arial" w:hAnsi="Arial" w:cs="Arial"/>
          <w:sz w:val="24"/>
          <w:szCs w:val="24"/>
        </w:rPr>
        <w:lastRenderedPageBreak/>
        <w:t xml:space="preserve">assurance within early years settings as it focusses in on setting pedagogy and the role of the adult in facilitating and supporting learning and development. Kingston and Siraj (2015) suggest that Sustained Shared Thinking (SST) can only be achieved when emotional wellbeing is also supported for children, therefore argue that positive relationships and responsiveness of adults must also be measured to ensure quality. Furthermore, Kingston and Siraj (2015) suggest the SSTEW scale specifically considers the quality of interactions between adults and children as well as the responsiveness of adults within those interactions to intentionally support learning and development. As suggested by NSPCC Learning (2021), a </w:t>
      </w:r>
      <w:proofErr w:type="gramStart"/>
      <w:r>
        <w:rPr>
          <w:rFonts w:ascii="Arial" w:hAnsi="Arial" w:cs="Arial"/>
          <w:sz w:val="24"/>
          <w:szCs w:val="24"/>
        </w:rPr>
        <w:t>caregivers</w:t>
      </w:r>
      <w:proofErr w:type="gramEnd"/>
      <w:r>
        <w:rPr>
          <w:rFonts w:ascii="Arial" w:hAnsi="Arial" w:cs="Arial"/>
          <w:sz w:val="24"/>
          <w:szCs w:val="24"/>
        </w:rPr>
        <w:t xml:space="preserve"> responsiveness to a young child needs supports the development of secure attachment which in turn builds self-esteem and the confidence to explore, learn and develop as stated in Bowlby’s Attachment theory (1969). In addition, </w:t>
      </w:r>
      <w:proofErr w:type="spellStart"/>
      <w:r>
        <w:rPr>
          <w:rFonts w:ascii="Arial" w:hAnsi="Arial" w:cs="Arial"/>
          <w:sz w:val="24"/>
          <w:szCs w:val="24"/>
        </w:rPr>
        <w:t>Vygostky’s</w:t>
      </w:r>
      <w:proofErr w:type="spellEnd"/>
      <w:r>
        <w:rPr>
          <w:rFonts w:ascii="Arial" w:hAnsi="Arial" w:cs="Arial"/>
          <w:sz w:val="24"/>
          <w:szCs w:val="24"/>
        </w:rPr>
        <w:t xml:space="preserve"> theory (1978) of the more knowledgeable other is supported through SST, as suggested by McLeod (2019), whereby children learn through social interactions with others of higher skill and knowledge. As the SSTEW scale measures the quality of SST and emotional wellbeing, the quality assurance tool is underpinned and supported by relevant theory. </w:t>
      </w:r>
    </w:p>
    <w:p w14:paraId="25E7D22F" w14:textId="77777777" w:rsidR="00353C94" w:rsidRDefault="00353C94" w:rsidP="00353C94">
      <w:pPr>
        <w:spacing w:line="360" w:lineRule="auto"/>
        <w:jc w:val="both"/>
        <w:rPr>
          <w:rFonts w:ascii="Arial" w:hAnsi="Arial" w:cs="Arial"/>
          <w:sz w:val="24"/>
          <w:szCs w:val="24"/>
        </w:rPr>
      </w:pPr>
    </w:p>
    <w:p w14:paraId="49771A62" w14:textId="77777777" w:rsidR="00353C94" w:rsidRDefault="00353C94" w:rsidP="00353C94">
      <w:pPr>
        <w:spacing w:line="360" w:lineRule="auto"/>
        <w:jc w:val="both"/>
        <w:rPr>
          <w:rFonts w:ascii="Arial" w:hAnsi="Arial" w:cs="Arial"/>
          <w:sz w:val="24"/>
          <w:szCs w:val="24"/>
        </w:rPr>
      </w:pPr>
      <w:proofErr w:type="spellStart"/>
      <w:r>
        <w:rPr>
          <w:rFonts w:ascii="Arial" w:hAnsi="Arial" w:cs="Arial"/>
          <w:sz w:val="24"/>
          <w:szCs w:val="24"/>
        </w:rPr>
        <w:t>Cheqdin</w:t>
      </w:r>
      <w:proofErr w:type="spellEnd"/>
      <w:r>
        <w:rPr>
          <w:rFonts w:ascii="Arial" w:hAnsi="Arial" w:cs="Arial"/>
          <w:sz w:val="24"/>
          <w:szCs w:val="24"/>
        </w:rPr>
        <w:t xml:space="preserve"> (2019) defines Sustained Shared Thinking (SST) as an interaction between two or more people, typically an adult and child in early years settings, whereby problem solving, evaluation of activities, extension of a narrative or clarification of a concept takes place collaboratively which in turn develops understanding. In addition, Brodie (2022) suggests that whilst concepts are understood and problems solved within the practice of SST, deeper level learning also takes place which stays with children to enable a transfer of skills in other situations as knowledge is embedded when thinking is extended. Siraj-Blatchford and </w:t>
      </w:r>
      <w:proofErr w:type="spellStart"/>
      <w:r>
        <w:rPr>
          <w:rFonts w:ascii="Arial" w:hAnsi="Arial" w:cs="Arial"/>
          <w:sz w:val="24"/>
          <w:szCs w:val="24"/>
        </w:rPr>
        <w:t>Asani</w:t>
      </w:r>
      <w:proofErr w:type="spellEnd"/>
      <w:r>
        <w:rPr>
          <w:rFonts w:ascii="Arial" w:hAnsi="Arial" w:cs="Arial"/>
          <w:sz w:val="24"/>
          <w:szCs w:val="24"/>
        </w:rPr>
        <w:t xml:space="preserve"> (2015) agree suggesting that the role of SST as an adopted practice within early years settings has proven to enhance future outcomes for young children therefore, quality assuring against such practice using the SSTEW scale is beneficial to inform positive change to improve the quality-of-service children receive. However, Brodie (2015) suggests, whilst sustained shared thinking in practice is proven to be advantageous, it is challenging to measure in terms of quality as these interactions are brief in nature with young children. In addition, Kingston and Siraj (2015) suggest that the reliability of observations undertaken within the SSTEW scale are pertinent to it being a successful evaluation </w:t>
      </w:r>
      <w:r>
        <w:rPr>
          <w:rFonts w:ascii="Arial" w:hAnsi="Arial" w:cs="Arial"/>
          <w:sz w:val="24"/>
          <w:szCs w:val="24"/>
        </w:rPr>
        <w:lastRenderedPageBreak/>
        <w:t xml:space="preserve">tool. However, Mahtani, Spencer, Brassey and Heneghan (2018) argue that should a leader within the setting undertake the assessment the potential of observer bias is present whereby discrepancies in findings and recordings due to a conflict of interest can influence outcomes and </w:t>
      </w:r>
      <w:proofErr w:type="gramStart"/>
      <w:r>
        <w:rPr>
          <w:rFonts w:ascii="Arial" w:hAnsi="Arial" w:cs="Arial"/>
          <w:sz w:val="24"/>
          <w:szCs w:val="24"/>
        </w:rPr>
        <w:t>future plans</w:t>
      </w:r>
      <w:proofErr w:type="gramEnd"/>
      <w:r>
        <w:rPr>
          <w:rFonts w:ascii="Arial" w:hAnsi="Arial" w:cs="Arial"/>
          <w:sz w:val="24"/>
          <w:szCs w:val="24"/>
        </w:rPr>
        <w:t xml:space="preserve">. Therefore Jukes (2021) argues that when considering quality assurance tools, a set criterion with clear objectives, </w:t>
      </w:r>
      <w:proofErr w:type="gramStart"/>
      <w:r>
        <w:rPr>
          <w:rFonts w:ascii="Arial" w:hAnsi="Arial" w:cs="Arial"/>
          <w:sz w:val="24"/>
          <w:szCs w:val="24"/>
        </w:rPr>
        <w:t>purpose</w:t>
      </w:r>
      <w:proofErr w:type="gramEnd"/>
      <w:r>
        <w:rPr>
          <w:rFonts w:ascii="Arial" w:hAnsi="Arial" w:cs="Arial"/>
          <w:sz w:val="24"/>
          <w:szCs w:val="24"/>
        </w:rPr>
        <w:t xml:space="preserve"> and measures, such as that in the </w:t>
      </w:r>
      <w:proofErr w:type="spellStart"/>
      <w:r>
        <w:rPr>
          <w:rFonts w:ascii="Arial" w:hAnsi="Arial" w:cs="Arial"/>
          <w:sz w:val="24"/>
          <w:szCs w:val="24"/>
        </w:rPr>
        <w:t>QfA</w:t>
      </w:r>
      <w:proofErr w:type="spellEnd"/>
      <w:r>
        <w:rPr>
          <w:rFonts w:ascii="Arial" w:hAnsi="Arial" w:cs="Arial"/>
          <w:sz w:val="24"/>
          <w:szCs w:val="24"/>
        </w:rPr>
        <w:t xml:space="preserve"> award, is most beneficial and reliable to action positive future change. </w:t>
      </w:r>
    </w:p>
    <w:p w14:paraId="793BFC1D" w14:textId="77777777" w:rsidR="00353C94" w:rsidRDefault="00353C94" w:rsidP="00353C94">
      <w:pPr>
        <w:spacing w:line="360" w:lineRule="auto"/>
        <w:jc w:val="both"/>
        <w:rPr>
          <w:rFonts w:ascii="Arial" w:hAnsi="Arial" w:cs="Arial"/>
          <w:sz w:val="24"/>
          <w:szCs w:val="24"/>
        </w:rPr>
      </w:pPr>
    </w:p>
    <w:p w14:paraId="0D43CE90"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An advantage of using the SSTEW scale as a quality assurance tool is that it’s focus is ‘practice pure’, however can be used in conjunction with other quality assurance tools such as ITERS and ECERS as suggested by Kingston and Siraj (2015), therefore offers flexibility in how much and what areas settings choose to quality assure and assess. In contrast, the </w:t>
      </w:r>
      <w:proofErr w:type="spellStart"/>
      <w:r>
        <w:rPr>
          <w:rFonts w:ascii="Arial" w:hAnsi="Arial" w:cs="Arial"/>
          <w:sz w:val="24"/>
          <w:szCs w:val="24"/>
        </w:rPr>
        <w:t>QfA</w:t>
      </w:r>
      <w:proofErr w:type="spellEnd"/>
      <w:r>
        <w:rPr>
          <w:rFonts w:ascii="Arial" w:hAnsi="Arial" w:cs="Arial"/>
          <w:sz w:val="24"/>
          <w:szCs w:val="24"/>
        </w:rPr>
        <w:t xml:space="preserve"> award looks at a much broader overview of the early years setting in terms of quality and improvement. Whilst </w:t>
      </w:r>
      <w:proofErr w:type="spellStart"/>
      <w:r>
        <w:rPr>
          <w:rFonts w:ascii="Arial" w:hAnsi="Arial" w:cs="Arial"/>
          <w:sz w:val="24"/>
          <w:szCs w:val="24"/>
        </w:rPr>
        <w:t>Kanbanize</w:t>
      </w:r>
      <w:proofErr w:type="spellEnd"/>
      <w:r>
        <w:rPr>
          <w:rFonts w:ascii="Arial" w:hAnsi="Arial" w:cs="Arial"/>
          <w:sz w:val="24"/>
          <w:szCs w:val="24"/>
        </w:rPr>
        <w:t xml:space="preserve"> (2022) argues that there is always a place for quality assurance and improvement across a wider service, </w:t>
      </w:r>
      <w:proofErr w:type="spellStart"/>
      <w:r>
        <w:rPr>
          <w:rFonts w:ascii="Arial" w:hAnsi="Arial" w:cs="Arial"/>
          <w:sz w:val="24"/>
          <w:szCs w:val="24"/>
        </w:rPr>
        <w:t>Contorer</w:t>
      </w:r>
      <w:proofErr w:type="spellEnd"/>
      <w:r>
        <w:rPr>
          <w:rFonts w:ascii="Arial" w:hAnsi="Arial" w:cs="Arial"/>
          <w:sz w:val="24"/>
          <w:szCs w:val="24"/>
        </w:rPr>
        <w:t xml:space="preserve"> (2018) argues that quality assurance should be about the correct amount of tracking and not be excessive to avoid losing sight of the priorities of a service. Furthermore, Kingston and Siraj (2015) suggest that improvements identified within the SSTEW scale are related to practice and continuous professional development which typically take longer to implement in comparison to other quality assurance tools, which may identify a need for more equipment or resources within the environment that can be sourced with relative ease. Kingston and Siraj (2015) continue </w:t>
      </w:r>
      <w:proofErr w:type="gramStart"/>
      <w:r>
        <w:rPr>
          <w:rFonts w:ascii="Arial" w:hAnsi="Arial" w:cs="Arial"/>
          <w:sz w:val="24"/>
          <w:szCs w:val="24"/>
        </w:rPr>
        <w:t>that external professionals and agencies</w:t>
      </w:r>
      <w:proofErr w:type="gramEnd"/>
      <w:r>
        <w:rPr>
          <w:rFonts w:ascii="Arial" w:hAnsi="Arial" w:cs="Arial"/>
          <w:sz w:val="24"/>
          <w:szCs w:val="24"/>
        </w:rPr>
        <w:t xml:space="preserve"> should form part of continuous professional development to ensure the ideal impact for changes to practice. However, Siraj (2014) highlights that, whilst training needs can be identified as part of quality assurance, appropriate training is not necessarily accessible or up to a good enough standard within the early </w:t>
      </w:r>
      <w:proofErr w:type="gramStart"/>
      <w:r>
        <w:rPr>
          <w:rFonts w:ascii="Arial" w:hAnsi="Arial" w:cs="Arial"/>
          <w:sz w:val="24"/>
          <w:szCs w:val="24"/>
        </w:rPr>
        <w:t>years</w:t>
      </w:r>
      <w:proofErr w:type="gramEnd"/>
      <w:r>
        <w:rPr>
          <w:rFonts w:ascii="Arial" w:hAnsi="Arial" w:cs="Arial"/>
          <w:sz w:val="24"/>
          <w:szCs w:val="24"/>
        </w:rPr>
        <w:t xml:space="preserve"> workforce, thus prohibiting improvements to be implemented into practice. </w:t>
      </w:r>
    </w:p>
    <w:p w14:paraId="7D581EAF" w14:textId="77777777" w:rsidR="00353C94" w:rsidRDefault="00353C94" w:rsidP="00353C94">
      <w:pPr>
        <w:spacing w:line="360" w:lineRule="auto"/>
        <w:jc w:val="both"/>
        <w:rPr>
          <w:rFonts w:ascii="Arial" w:hAnsi="Arial" w:cs="Arial"/>
          <w:sz w:val="24"/>
          <w:szCs w:val="24"/>
        </w:rPr>
      </w:pPr>
    </w:p>
    <w:p w14:paraId="389E1E81"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Whilst it is apparent that there are advantages and disadvantages to both the SSTEW scale and </w:t>
      </w:r>
      <w:proofErr w:type="spellStart"/>
      <w:r>
        <w:rPr>
          <w:rFonts w:ascii="Arial" w:hAnsi="Arial" w:cs="Arial"/>
          <w:sz w:val="24"/>
          <w:szCs w:val="24"/>
        </w:rPr>
        <w:t>QfA</w:t>
      </w:r>
      <w:proofErr w:type="spellEnd"/>
      <w:r>
        <w:rPr>
          <w:rFonts w:ascii="Arial" w:hAnsi="Arial" w:cs="Arial"/>
          <w:sz w:val="24"/>
          <w:szCs w:val="24"/>
        </w:rPr>
        <w:t xml:space="preserve"> award as quality assurance tools, it is also evident that quality assurance plays a beneficial role in determining the success and quality of a childcare </w:t>
      </w:r>
      <w:r>
        <w:rPr>
          <w:rFonts w:ascii="Arial" w:hAnsi="Arial" w:cs="Arial"/>
          <w:sz w:val="24"/>
          <w:szCs w:val="24"/>
        </w:rPr>
        <w:lastRenderedPageBreak/>
        <w:t xml:space="preserve">service to ensure children have high quality experiences that impact on future outcomes into adulthood (Welsh Government, 2014). </w:t>
      </w:r>
    </w:p>
    <w:p w14:paraId="25050951" w14:textId="77777777" w:rsidR="00353C94" w:rsidRDefault="00353C94" w:rsidP="00353C94">
      <w:pPr>
        <w:spacing w:line="360" w:lineRule="auto"/>
        <w:jc w:val="both"/>
        <w:rPr>
          <w:rFonts w:ascii="Arial" w:hAnsi="Arial" w:cs="Arial"/>
          <w:sz w:val="24"/>
          <w:szCs w:val="24"/>
        </w:rPr>
      </w:pPr>
    </w:p>
    <w:p w14:paraId="4D4322B8" w14:textId="77777777" w:rsidR="00353C94" w:rsidRDefault="00353C94" w:rsidP="00353C94">
      <w:pPr>
        <w:spacing w:line="360" w:lineRule="auto"/>
        <w:jc w:val="both"/>
        <w:rPr>
          <w:rFonts w:ascii="Arial" w:hAnsi="Arial" w:cs="Arial"/>
          <w:b/>
          <w:bCs/>
          <w:sz w:val="24"/>
          <w:szCs w:val="24"/>
          <w:u w:val="single"/>
        </w:rPr>
      </w:pPr>
      <w:r>
        <w:rPr>
          <w:rFonts w:ascii="Arial" w:hAnsi="Arial" w:cs="Arial"/>
          <w:b/>
          <w:bCs/>
          <w:sz w:val="24"/>
          <w:szCs w:val="24"/>
          <w:u w:val="single"/>
        </w:rPr>
        <w:t>Section 3</w:t>
      </w:r>
    </w:p>
    <w:p w14:paraId="2397D2D3"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Throughout the course of this module, I have taken opportunities to reflect on my own practice to identify strengths and areas for development. I believe that being a reflective </w:t>
      </w:r>
      <w:proofErr w:type="gramStart"/>
      <w:r>
        <w:rPr>
          <w:rFonts w:ascii="Arial" w:hAnsi="Arial" w:cs="Arial"/>
          <w:sz w:val="24"/>
          <w:szCs w:val="24"/>
        </w:rPr>
        <w:t>practitioner in itself, lends</w:t>
      </w:r>
      <w:proofErr w:type="gramEnd"/>
      <w:r>
        <w:rPr>
          <w:rFonts w:ascii="Arial" w:hAnsi="Arial" w:cs="Arial"/>
          <w:sz w:val="24"/>
          <w:szCs w:val="24"/>
        </w:rPr>
        <w:t xml:space="preserve"> its hand to providing a quality service as it provides opportunities to build upon current good practice and transfer skills into areas identified for improvement. Using a continual cycle of reflection such as Gibb’s reflective cycle, as suggested by The University of Edinburgh (2022), provides opportunity to structure learning from an experience to apply in future situations. </w:t>
      </w:r>
    </w:p>
    <w:p w14:paraId="127FA44C"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Within my setting we have previously been quality assured against the SSTEW scale. This identified areas for development under the Supporting Learning and Critical Thinking scale within our practice. Whilst we accessed training as a team to support and develop this further, on reflection, I don’t feel I fully embraced that opportunity as I could have. At the time I felt some of the language being used to implement that into practice was at too high of a level in terms of many of the children’s receptive and expressive language skills who accessed the setting. In addition, I felt the priorities of the setting needed to focus more on the level of need of the group such as the enhancing vocabulary using the first one hundred words and developing basic play skills. Whilst this could have remained a priority, some of the practice could have also been implemented to support and challenge the children in a different area. I feel now, that because that opportunity was not fully embraced at the time, it </w:t>
      </w:r>
      <w:proofErr w:type="gramStart"/>
      <w:r>
        <w:rPr>
          <w:rFonts w:ascii="Arial" w:hAnsi="Arial" w:cs="Arial"/>
          <w:sz w:val="24"/>
          <w:szCs w:val="24"/>
        </w:rPr>
        <w:t>was something that was</w:t>
      </w:r>
      <w:proofErr w:type="gramEnd"/>
      <w:r>
        <w:rPr>
          <w:rFonts w:ascii="Arial" w:hAnsi="Arial" w:cs="Arial"/>
          <w:sz w:val="24"/>
          <w:szCs w:val="24"/>
        </w:rPr>
        <w:t xml:space="preserve"> missing from the setting for longer than was necessary. In addition, as I was the manager at the time, the team looked to me for guidance regarding this which resulted in them not following something they may have been passionate about, that would have upskilled them and could have been implemented with ease for the children. This </w:t>
      </w:r>
      <w:proofErr w:type="gramStart"/>
      <w:r>
        <w:rPr>
          <w:rFonts w:ascii="Arial" w:hAnsi="Arial" w:cs="Arial"/>
          <w:sz w:val="24"/>
          <w:szCs w:val="24"/>
        </w:rPr>
        <w:t>was something that was</w:t>
      </w:r>
      <w:proofErr w:type="gramEnd"/>
      <w:r>
        <w:rPr>
          <w:rFonts w:ascii="Arial" w:hAnsi="Arial" w:cs="Arial"/>
          <w:sz w:val="24"/>
          <w:szCs w:val="24"/>
        </w:rPr>
        <w:t xml:space="preserve"> successfully implemented at a later date, however this required ‘top-up’ training for all staff which was not time or cost effective. Moving forward, I will ensure I consider training opportunities for both the short- and long-term goals of the setting and encourage staff to develop their own practice and challenge the children in our care.</w:t>
      </w:r>
    </w:p>
    <w:p w14:paraId="45CEC190" w14:textId="77777777" w:rsidR="00353C94" w:rsidRDefault="00353C94" w:rsidP="00353C94">
      <w:pPr>
        <w:spacing w:line="360" w:lineRule="auto"/>
        <w:jc w:val="both"/>
        <w:rPr>
          <w:rFonts w:ascii="Arial" w:hAnsi="Arial" w:cs="Arial"/>
          <w:sz w:val="24"/>
          <w:szCs w:val="24"/>
        </w:rPr>
      </w:pPr>
    </w:p>
    <w:p w14:paraId="27E495DE" w14:textId="77777777" w:rsidR="00353C94" w:rsidRDefault="00353C94" w:rsidP="00353C94">
      <w:pPr>
        <w:spacing w:line="360" w:lineRule="auto"/>
        <w:jc w:val="both"/>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Quality of Care</w:t>
      </w:r>
      <w:proofErr w:type="gramEnd"/>
      <w:r>
        <w:rPr>
          <w:rFonts w:ascii="Arial" w:hAnsi="Arial" w:cs="Arial"/>
          <w:sz w:val="24"/>
          <w:szCs w:val="24"/>
        </w:rPr>
        <w:t xml:space="preserve"> report and Quality for All award is something I have a working knowledge of. As these tools look at a wide range of topics, they are quite time consuming to complete. It is also difficult to look back over a year and remember everything that has been achieved when working in such a busy, fast-paced environment. On reflection, I feel these documents should be used as a working document and be discussed half-termly or termly with the team. This will enable the team to share good practice, acknowledge achievements </w:t>
      </w:r>
      <w:proofErr w:type="gramStart"/>
      <w:r>
        <w:rPr>
          <w:rFonts w:ascii="Arial" w:hAnsi="Arial" w:cs="Arial"/>
          <w:sz w:val="24"/>
          <w:szCs w:val="24"/>
        </w:rPr>
        <w:t>and also</w:t>
      </w:r>
      <w:proofErr w:type="gramEnd"/>
      <w:r>
        <w:rPr>
          <w:rFonts w:ascii="Arial" w:hAnsi="Arial" w:cs="Arial"/>
          <w:sz w:val="24"/>
          <w:szCs w:val="24"/>
        </w:rPr>
        <w:t xml:space="preserve"> focus in on the settings aims for the upcoming year on a more regular basis. I feel this will enable us as a team to ‘keep on track’ with what we want to achieve collectively moving forward but is also a positive exercise in terms of staff morale and support staff to feel valued and that their achievements are recognised. In addition, I feel from researching the links between quality provision and training, I want to encourage staff to access further education such as CCLD Level 5 or this degree as well as access further training pertinent to our roles. </w:t>
      </w:r>
    </w:p>
    <w:p w14:paraId="0756365A" w14:textId="77777777" w:rsidR="00353C94" w:rsidRDefault="00353C94" w:rsidP="00353C94">
      <w:pPr>
        <w:spacing w:line="360" w:lineRule="auto"/>
        <w:jc w:val="both"/>
        <w:rPr>
          <w:rFonts w:ascii="Arial" w:hAnsi="Arial" w:cs="Arial"/>
          <w:sz w:val="24"/>
          <w:szCs w:val="24"/>
        </w:rPr>
      </w:pPr>
    </w:p>
    <w:p w14:paraId="116FBFDD" w14:textId="77777777" w:rsidR="00353C94" w:rsidRDefault="00353C94" w:rsidP="00353C94">
      <w:pPr>
        <w:spacing w:line="360" w:lineRule="auto"/>
        <w:jc w:val="both"/>
        <w:rPr>
          <w:rFonts w:ascii="Arial" w:hAnsi="Arial" w:cs="Arial"/>
          <w:sz w:val="24"/>
          <w:szCs w:val="24"/>
        </w:rPr>
      </w:pPr>
    </w:p>
    <w:p w14:paraId="3C12382F" w14:textId="77777777" w:rsidR="00353C94" w:rsidRDefault="00353C94"/>
    <w:sectPr w:rsidR="00353C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94"/>
    <w:rsid w:val="00353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9DC42"/>
  <w15:chartTrackingRefBased/>
  <w15:docId w15:val="{1DC6C426-FB72-42EE-8661-AE6ADA876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C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3C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2312</Words>
  <Characters>13180</Characters>
  <Application>Microsoft Office Word</Application>
  <DocSecurity>0</DocSecurity>
  <Lines>109</Lines>
  <Paragraphs>30</Paragraphs>
  <ScaleCrop>false</ScaleCrop>
  <Company>Swansea Council</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1</cp:revision>
  <dcterms:created xsi:type="dcterms:W3CDTF">2022-02-19T12:39:00Z</dcterms:created>
  <dcterms:modified xsi:type="dcterms:W3CDTF">2022-02-19T16:14:00Z</dcterms:modified>
</cp:coreProperties>
</file>