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41958"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209D2687"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47DBCF8D" w14:textId="77777777" w:rsidR="00287950" w:rsidRPr="00B93B7B" w:rsidRDefault="00287950" w:rsidP="00287950">
      <w:pPr>
        <w:spacing w:before="240" w:line="360" w:lineRule="auto"/>
        <w:jc w:val="center"/>
        <w:rPr>
          <w:rFonts w:asciiTheme="majorBidi" w:hAnsiTheme="majorBidi" w:cstheme="majorBidi"/>
          <w:sz w:val="24"/>
          <w:szCs w:val="24"/>
          <w:lang w:val="en-GB"/>
        </w:rPr>
      </w:pPr>
      <w:r w:rsidRPr="0053232D">
        <w:rPr>
          <w:rFonts w:asciiTheme="majorBidi" w:hAnsiTheme="majorBidi" w:cstheme="majorBidi"/>
          <w:noProof/>
          <w:sz w:val="24"/>
          <w:szCs w:val="24"/>
          <w:lang w:val="en-GB"/>
        </w:rPr>
        <w:drawing>
          <wp:inline distT="0" distB="0" distL="0" distR="0" wp14:anchorId="5F5B42E4" wp14:editId="4B2217D8">
            <wp:extent cx="2641600" cy="1219200"/>
            <wp:effectExtent l="0" t="0" r="0" b="0"/>
            <wp:docPr id="150596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63225" name=""/>
                    <pic:cNvPicPr/>
                  </pic:nvPicPr>
                  <pic:blipFill>
                    <a:blip r:embed="rId5"/>
                    <a:stretch>
                      <a:fillRect/>
                    </a:stretch>
                  </pic:blipFill>
                  <pic:spPr>
                    <a:xfrm>
                      <a:off x="0" y="0"/>
                      <a:ext cx="2641600" cy="1219200"/>
                    </a:xfrm>
                    <a:prstGeom prst="rect">
                      <a:avLst/>
                    </a:prstGeom>
                  </pic:spPr>
                </pic:pic>
              </a:graphicData>
            </a:graphic>
          </wp:inline>
        </w:drawing>
      </w:r>
    </w:p>
    <w:p w14:paraId="56B62B23" w14:textId="77777777" w:rsidR="00287950" w:rsidRPr="00B93B7B" w:rsidRDefault="00287950" w:rsidP="00287950">
      <w:pPr>
        <w:tabs>
          <w:tab w:val="left" w:pos="3526"/>
        </w:tabs>
        <w:spacing w:before="24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ab/>
      </w:r>
    </w:p>
    <w:tbl>
      <w:tblPr>
        <w:tblStyle w:val="TableGrid"/>
        <w:tblW w:w="0" w:type="auto"/>
        <w:tblLook w:val="04A0" w:firstRow="1" w:lastRow="0" w:firstColumn="1" w:lastColumn="0" w:noHBand="0" w:noVBand="1"/>
      </w:tblPr>
      <w:tblGrid>
        <w:gridCol w:w="2547"/>
        <w:gridCol w:w="6469"/>
      </w:tblGrid>
      <w:tr w:rsidR="00287950" w14:paraId="12486A02" w14:textId="77777777" w:rsidTr="00633414">
        <w:tc>
          <w:tcPr>
            <w:tcW w:w="2547" w:type="dxa"/>
            <w:shd w:val="clear" w:color="auto" w:fill="D9E2F3" w:themeFill="accent1" w:themeFillTint="33"/>
          </w:tcPr>
          <w:p w14:paraId="25A1D288"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sidRPr="00687696">
              <w:rPr>
                <w:rFonts w:asciiTheme="majorBidi" w:hAnsiTheme="majorBidi" w:cstheme="majorBidi"/>
                <w:b/>
                <w:bCs/>
                <w:sz w:val="24"/>
                <w:szCs w:val="24"/>
                <w:lang w:val="en-GB"/>
              </w:rPr>
              <w:t xml:space="preserve">Module Name </w:t>
            </w:r>
          </w:p>
        </w:tc>
        <w:tc>
          <w:tcPr>
            <w:tcW w:w="6469" w:type="dxa"/>
          </w:tcPr>
          <w:p w14:paraId="4C1665B3" w14:textId="77777777" w:rsidR="00287950" w:rsidRDefault="00287950" w:rsidP="00633414">
            <w:pPr>
              <w:spacing w:before="240" w:line="360" w:lineRule="auto"/>
              <w:jc w:val="both"/>
              <w:rPr>
                <w:rFonts w:asciiTheme="majorBidi" w:hAnsiTheme="majorBidi" w:cstheme="majorBidi"/>
                <w:sz w:val="24"/>
                <w:szCs w:val="24"/>
                <w:lang w:val="en-GB"/>
              </w:rPr>
            </w:pPr>
            <w:r w:rsidRPr="00687696">
              <w:rPr>
                <w:rFonts w:asciiTheme="majorBidi" w:hAnsiTheme="majorBidi" w:cstheme="majorBidi"/>
                <w:sz w:val="24"/>
                <w:szCs w:val="24"/>
                <w:lang w:val="en-GB"/>
              </w:rPr>
              <w:t>Financial Management</w:t>
            </w:r>
          </w:p>
        </w:tc>
      </w:tr>
      <w:tr w:rsidR="00287950" w14:paraId="173141DD" w14:textId="77777777" w:rsidTr="00633414">
        <w:tc>
          <w:tcPr>
            <w:tcW w:w="2547" w:type="dxa"/>
            <w:shd w:val="clear" w:color="auto" w:fill="D9E2F3" w:themeFill="accent1" w:themeFillTint="33"/>
          </w:tcPr>
          <w:p w14:paraId="7F178A5E"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sidRPr="00687696">
              <w:rPr>
                <w:rFonts w:asciiTheme="majorBidi" w:hAnsiTheme="majorBidi" w:cstheme="majorBidi"/>
                <w:b/>
                <w:bCs/>
                <w:sz w:val="24"/>
                <w:szCs w:val="24"/>
                <w:lang w:val="en-GB"/>
              </w:rPr>
              <w:t>Module Code</w:t>
            </w:r>
          </w:p>
        </w:tc>
        <w:tc>
          <w:tcPr>
            <w:tcW w:w="6469" w:type="dxa"/>
          </w:tcPr>
          <w:p w14:paraId="45242877" w14:textId="77777777" w:rsidR="00287950" w:rsidRDefault="00287950" w:rsidP="00633414">
            <w:pPr>
              <w:spacing w:before="240" w:line="360" w:lineRule="auto"/>
              <w:jc w:val="both"/>
              <w:rPr>
                <w:rFonts w:asciiTheme="majorBidi" w:hAnsiTheme="majorBidi" w:cstheme="majorBidi"/>
                <w:sz w:val="24"/>
                <w:szCs w:val="24"/>
                <w:lang w:val="en-GB"/>
              </w:rPr>
            </w:pPr>
            <w:r w:rsidRPr="00687696">
              <w:rPr>
                <w:rFonts w:asciiTheme="majorBidi" w:hAnsiTheme="majorBidi" w:cstheme="majorBidi"/>
                <w:sz w:val="24"/>
                <w:szCs w:val="24"/>
                <w:lang w:val="en-GB"/>
              </w:rPr>
              <w:t>LCMB7002</w:t>
            </w:r>
          </w:p>
        </w:tc>
      </w:tr>
      <w:tr w:rsidR="00287950" w14:paraId="53EC7C26" w14:textId="77777777" w:rsidTr="00633414">
        <w:tc>
          <w:tcPr>
            <w:tcW w:w="2547" w:type="dxa"/>
            <w:shd w:val="clear" w:color="auto" w:fill="D9E2F3" w:themeFill="accent1" w:themeFillTint="33"/>
          </w:tcPr>
          <w:p w14:paraId="57B86C96"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sidRPr="00687696">
              <w:rPr>
                <w:rFonts w:asciiTheme="majorBidi" w:hAnsiTheme="majorBidi" w:cstheme="majorBidi"/>
                <w:b/>
                <w:bCs/>
                <w:sz w:val="24"/>
                <w:szCs w:val="24"/>
                <w:lang w:val="en-GB"/>
              </w:rPr>
              <w:t>Student Name</w:t>
            </w:r>
          </w:p>
        </w:tc>
        <w:tc>
          <w:tcPr>
            <w:tcW w:w="6469" w:type="dxa"/>
          </w:tcPr>
          <w:p w14:paraId="592AA443" w14:textId="77777777" w:rsidR="00287950" w:rsidRDefault="00287950" w:rsidP="00633414">
            <w:pPr>
              <w:spacing w:before="24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Mohammed Faisal Mohammed Samir </w:t>
            </w:r>
            <w:proofErr w:type="spellStart"/>
            <w:r>
              <w:rPr>
                <w:rFonts w:asciiTheme="majorBidi" w:hAnsiTheme="majorBidi" w:cstheme="majorBidi"/>
                <w:sz w:val="24"/>
                <w:szCs w:val="24"/>
                <w:lang w:val="en-GB"/>
              </w:rPr>
              <w:t>Masania</w:t>
            </w:r>
            <w:proofErr w:type="spellEnd"/>
          </w:p>
        </w:tc>
      </w:tr>
      <w:tr w:rsidR="00287950" w14:paraId="1C661F3F" w14:textId="77777777" w:rsidTr="00633414">
        <w:tc>
          <w:tcPr>
            <w:tcW w:w="2547" w:type="dxa"/>
            <w:shd w:val="clear" w:color="auto" w:fill="D9E2F3" w:themeFill="accent1" w:themeFillTint="33"/>
          </w:tcPr>
          <w:p w14:paraId="3263A788"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sidRPr="00687696">
              <w:rPr>
                <w:rFonts w:asciiTheme="majorBidi" w:hAnsiTheme="majorBidi" w:cstheme="majorBidi"/>
                <w:b/>
                <w:bCs/>
                <w:sz w:val="24"/>
                <w:szCs w:val="24"/>
                <w:lang w:val="en-GB"/>
              </w:rPr>
              <w:t>Student ID</w:t>
            </w:r>
          </w:p>
        </w:tc>
        <w:tc>
          <w:tcPr>
            <w:tcW w:w="6469" w:type="dxa"/>
          </w:tcPr>
          <w:p w14:paraId="341ECB32" w14:textId="77777777" w:rsidR="00287950" w:rsidRDefault="00287950" w:rsidP="00633414">
            <w:pPr>
              <w:spacing w:before="24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2327573</w:t>
            </w:r>
          </w:p>
        </w:tc>
      </w:tr>
      <w:tr w:rsidR="00287950" w14:paraId="12C1ECED" w14:textId="77777777" w:rsidTr="00633414">
        <w:tc>
          <w:tcPr>
            <w:tcW w:w="2547" w:type="dxa"/>
            <w:shd w:val="clear" w:color="auto" w:fill="D9E2F3" w:themeFill="accent1" w:themeFillTint="33"/>
          </w:tcPr>
          <w:p w14:paraId="14C984D0"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sidRPr="00687696">
              <w:rPr>
                <w:rFonts w:asciiTheme="majorBidi" w:hAnsiTheme="majorBidi" w:cstheme="majorBidi"/>
                <w:b/>
                <w:bCs/>
                <w:sz w:val="24"/>
                <w:szCs w:val="24"/>
                <w:lang w:val="en-GB"/>
              </w:rPr>
              <w:t>Assignment Title</w:t>
            </w:r>
          </w:p>
        </w:tc>
        <w:tc>
          <w:tcPr>
            <w:tcW w:w="6469" w:type="dxa"/>
          </w:tcPr>
          <w:p w14:paraId="11F8D9A3" w14:textId="77777777" w:rsidR="00287950" w:rsidRDefault="00287950" w:rsidP="00633414">
            <w:pPr>
              <w:spacing w:before="240" w:line="360" w:lineRule="auto"/>
              <w:jc w:val="both"/>
              <w:rPr>
                <w:rFonts w:asciiTheme="majorBidi" w:hAnsiTheme="majorBidi" w:cstheme="majorBidi"/>
                <w:sz w:val="24"/>
                <w:szCs w:val="24"/>
                <w:lang w:val="en-GB"/>
              </w:rPr>
            </w:pPr>
            <w:r w:rsidRPr="009B66DC">
              <w:rPr>
                <w:rFonts w:asciiTheme="majorBidi" w:hAnsiTheme="majorBidi" w:cstheme="majorBidi"/>
                <w:sz w:val="24"/>
                <w:szCs w:val="24"/>
                <w:lang w:val="en-GB"/>
              </w:rPr>
              <w:t xml:space="preserve">Financial </w:t>
            </w:r>
            <w:r>
              <w:rPr>
                <w:rFonts w:asciiTheme="majorBidi" w:hAnsiTheme="majorBidi" w:cstheme="majorBidi"/>
                <w:sz w:val="24"/>
                <w:szCs w:val="24"/>
                <w:lang w:val="en-GB"/>
              </w:rPr>
              <w:t>P</w:t>
            </w:r>
            <w:r w:rsidRPr="009B66DC">
              <w:rPr>
                <w:rFonts w:asciiTheme="majorBidi" w:hAnsiTheme="majorBidi" w:cstheme="majorBidi"/>
                <w:sz w:val="24"/>
                <w:szCs w:val="24"/>
                <w:lang w:val="en-GB"/>
              </w:rPr>
              <w:t xml:space="preserve">erformance </w:t>
            </w:r>
            <w:r>
              <w:rPr>
                <w:rFonts w:asciiTheme="majorBidi" w:hAnsiTheme="majorBidi" w:cstheme="majorBidi"/>
                <w:sz w:val="24"/>
                <w:szCs w:val="24"/>
                <w:lang w:val="en-GB"/>
              </w:rPr>
              <w:t>R</w:t>
            </w:r>
            <w:r w:rsidRPr="009B66DC">
              <w:rPr>
                <w:rFonts w:asciiTheme="majorBidi" w:hAnsiTheme="majorBidi" w:cstheme="majorBidi"/>
                <w:sz w:val="24"/>
                <w:szCs w:val="24"/>
                <w:lang w:val="en-GB"/>
              </w:rPr>
              <w:t>eview</w:t>
            </w:r>
            <w:r>
              <w:rPr>
                <w:rFonts w:asciiTheme="majorBidi" w:hAnsiTheme="majorBidi" w:cstheme="majorBidi"/>
                <w:sz w:val="24"/>
                <w:szCs w:val="24"/>
                <w:lang w:val="en-GB"/>
              </w:rPr>
              <w:t xml:space="preserve"> of </w:t>
            </w:r>
            <w:r w:rsidRPr="00A01271">
              <w:rPr>
                <w:rFonts w:asciiTheme="majorBidi" w:hAnsiTheme="majorBidi" w:cstheme="majorBidi"/>
                <w:sz w:val="24"/>
                <w:szCs w:val="24"/>
                <w:lang w:val="en-GB"/>
              </w:rPr>
              <w:t>Unilever Plc</w:t>
            </w:r>
          </w:p>
        </w:tc>
      </w:tr>
      <w:tr w:rsidR="00287950" w14:paraId="06EBA856" w14:textId="77777777" w:rsidTr="00633414">
        <w:tc>
          <w:tcPr>
            <w:tcW w:w="2547" w:type="dxa"/>
            <w:shd w:val="clear" w:color="auto" w:fill="D9E2F3" w:themeFill="accent1" w:themeFillTint="33"/>
          </w:tcPr>
          <w:p w14:paraId="34AB081B" w14:textId="77777777" w:rsidR="00287950" w:rsidRPr="00687696" w:rsidRDefault="00287950" w:rsidP="00633414">
            <w:pPr>
              <w:spacing w:before="240" w:line="360" w:lineRule="auto"/>
              <w:jc w:val="both"/>
              <w:rPr>
                <w:rFonts w:asciiTheme="majorBidi" w:hAnsiTheme="majorBidi" w:cstheme="majorBidi"/>
                <w:b/>
                <w:bCs/>
                <w:sz w:val="24"/>
                <w:szCs w:val="24"/>
                <w:lang w:val="en-GB"/>
              </w:rPr>
            </w:pPr>
            <w:r>
              <w:rPr>
                <w:rFonts w:asciiTheme="majorBidi" w:hAnsiTheme="majorBidi" w:cstheme="majorBidi"/>
                <w:b/>
                <w:bCs/>
                <w:sz w:val="24"/>
                <w:szCs w:val="24"/>
                <w:lang w:val="en-GB"/>
              </w:rPr>
              <w:t>Submission Date</w:t>
            </w:r>
          </w:p>
        </w:tc>
        <w:tc>
          <w:tcPr>
            <w:tcW w:w="6469" w:type="dxa"/>
          </w:tcPr>
          <w:p w14:paraId="2062BCA4" w14:textId="77777777" w:rsidR="00287950" w:rsidRPr="009B66DC" w:rsidRDefault="00287950" w:rsidP="00633414">
            <w:pPr>
              <w:spacing w:before="24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 xml:space="preserve">21 August 2024 </w:t>
            </w:r>
          </w:p>
        </w:tc>
      </w:tr>
    </w:tbl>
    <w:p w14:paraId="19A5AD08"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03EBD1D1" w14:textId="77777777" w:rsidR="00287950" w:rsidRPr="00B93B7B" w:rsidRDefault="00287950" w:rsidP="00287950">
      <w:pPr>
        <w:spacing w:before="240" w:line="360" w:lineRule="auto"/>
        <w:rPr>
          <w:rFonts w:asciiTheme="majorBidi" w:hAnsiTheme="majorBidi" w:cstheme="majorBidi"/>
          <w:sz w:val="24"/>
          <w:szCs w:val="24"/>
          <w:lang w:val="en-GB"/>
        </w:rPr>
      </w:pPr>
      <w:r w:rsidRPr="00B93B7B">
        <w:rPr>
          <w:rFonts w:asciiTheme="majorBidi" w:hAnsiTheme="majorBidi" w:cstheme="majorBidi"/>
          <w:sz w:val="24"/>
          <w:szCs w:val="24"/>
          <w:lang w:val="en-GB"/>
        </w:rPr>
        <w:br w:type="page"/>
      </w:r>
    </w:p>
    <w:sdt>
      <w:sdtPr>
        <w:rPr>
          <w:rFonts w:asciiTheme="majorBidi" w:eastAsiaTheme="minorHAnsi" w:hAnsiTheme="majorBidi" w:cstheme="minorBidi"/>
          <w:b/>
          <w:bCs/>
          <w:color w:val="auto"/>
          <w:kern w:val="2"/>
          <w:sz w:val="36"/>
          <w:szCs w:val="36"/>
          <w:lang w:val="en-GB"/>
          <w14:ligatures w14:val="standardContextual"/>
        </w:rPr>
        <w:id w:val="-1132796205"/>
        <w:docPartObj>
          <w:docPartGallery w:val="Table of Contents"/>
          <w:docPartUnique/>
        </w:docPartObj>
      </w:sdtPr>
      <w:sdtEndPr>
        <w:rPr>
          <w:noProof/>
          <w:sz w:val="22"/>
          <w:szCs w:val="22"/>
        </w:rPr>
      </w:sdtEndPr>
      <w:sdtContent>
        <w:p w14:paraId="08DD0477" w14:textId="77777777" w:rsidR="00287950" w:rsidRPr="00B93B7B" w:rsidRDefault="00287950" w:rsidP="00287950">
          <w:pPr>
            <w:pStyle w:val="TOCHeading"/>
            <w:spacing w:after="160" w:line="360" w:lineRule="auto"/>
            <w:jc w:val="center"/>
            <w:rPr>
              <w:rFonts w:asciiTheme="majorBidi" w:hAnsiTheme="majorBidi"/>
              <w:b/>
              <w:bCs/>
              <w:color w:val="auto"/>
              <w:sz w:val="28"/>
              <w:szCs w:val="28"/>
              <w:lang w:val="en-GB"/>
            </w:rPr>
          </w:pPr>
          <w:r w:rsidRPr="00B93B7B">
            <w:rPr>
              <w:rFonts w:asciiTheme="majorBidi" w:hAnsiTheme="majorBidi"/>
              <w:b/>
              <w:bCs/>
              <w:color w:val="auto"/>
              <w:sz w:val="28"/>
              <w:szCs w:val="28"/>
              <w:lang w:val="en-GB"/>
            </w:rPr>
            <w:t>Table of Contents</w:t>
          </w:r>
        </w:p>
        <w:p w14:paraId="2200EBED" w14:textId="77777777" w:rsidR="00287950" w:rsidRPr="00B93B7B" w:rsidRDefault="00287950" w:rsidP="00287950">
          <w:pPr>
            <w:pStyle w:val="TOC1"/>
            <w:tabs>
              <w:tab w:val="right" w:leader="dot" w:pos="9016"/>
            </w:tabs>
            <w:spacing w:before="240" w:after="160" w:line="360" w:lineRule="auto"/>
            <w:jc w:val="center"/>
            <w:rPr>
              <w:rFonts w:asciiTheme="majorBidi" w:hAnsiTheme="majorBidi" w:cstheme="majorBidi"/>
              <w:noProof/>
              <w:sz w:val="24"/>
              <w:szCs w:val="24"/>
              <w:lang w:val="en-GB"/>
            </w:rPr>
          </w:pPr>
          <w:r w:rsidRPr="00B93B7B">
            <w:rPr>
              <w:rFonts w:asciiTheme="majorBidi" w:hAnsiTheme="majorBidi" w:cstheme="majorBidi"/>
              <w:sz w:val="24"/>
              <w:szCs w:val="24"/>
              <w:lang w:val="en-GB"/>
            </w:rPr>
            <w:fldChar w:fldCharType="begin"/>
          </w:r>
          <w:r w:rsidRPr="00B93B7B">
            <w:rPr>
              <w:rFonts w:asciiTheme="majorBidi" w:hAnsiTheme="majorBidi" w:cstheme="majorBidi"/>
              <w:sz w:val="24"/>
              <w:szCs w:val="24"/>
              <w:lang w:val="en-GB"/>
            </w:rPr>
            <w:instrText xml:space="preserve"> TOC \o "1-3" \h \z \u </w:instrText>
          </w:r>
          <w:r w:rsidRPr="00B93B7B">
            <w:rPr>
              <w:rFonts w:asciiTheme="majorBidi" w:hAnsiTheme="majorBidi" w:cstheme="majorBidi"/>
              <w:sz w:val="24"/>
              <w:szCs w:val="24"/>
              <w:lang w:val="en-GB"/>
            </w:rPr>
            <w:fldChar w:fldCharType="separate"/>
          </w:r>
          <w:hyperlink w:anchor="_Toc172407284" w:history="1">
            <w:r w:rsidRPr="00B93B7B">
              <w:rPr>
                <w:rStyle w:val="Hyperlink"/>
                <w:rFonts w:asciiTheme="majorBidi" w:hAnsiTheme="majorBidi" w:cstheme="majorBidi"/>
                <w:noProof/>
                <w:color w:val="auto"/>
                <w:sz w:val="24"/>
                <w:szCs w:val="24"/>
                <w:lang w:val="en-GB"/>
              </w:rPr>
              <w:t>Part A). Introduction</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_Toc172407284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3</w:t>
            </w:r>
            <w:r w:rsidRPr="00B93B7B">
              <w:rPr>
                <w:rFonts w:asciiTheme="majorBidi" w:hAnsiTheme="majorBidi" w:cstheme="majorBidi"/>
                <w:noProof/>
                <w:webHidden/>
                <w:sz w:val="24"/>
                <w:szCs w:val="24"/>
                <w:lang w:val="en-GB"/>
              </w:rPr>
              <w:fldChar w:fldCharType="end"/>
            </w:r>
          </w:hyperlink>
        </w:p>
        <w:p w14:paraId="18679A66"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85" w:history="1">
            <w:r w:rsidRPr="00B93B7B">
              <w:rPr>
                <w:rStyle w:val="Hyperlink"/>
                <w:rFonts w:asciiTheme="majorBidi" w:hAnsiTheme="majorBidi" w:cstheme="majorBidi"/>
                <w:noProof/>
                <w:color w:val="auto"/>
                <w:sz w:val="24"/>
                <w:szCs w:val="24"/>
                <w:lang w:val="en-GB"/>
              </w:rPr>
              <w:t>Introduction</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_Toc172407285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3</w:t>
            </w:r>
            <w:r w:rsidRPr="00B93B7B">
              <w:rPr>
                <w:rFonts w:asciiTheme="majorBidi" w:hAnsiTheme="majorBidi" w:cstheme="majorBidi"/>
                <w:noProof/>
                <w:webHidden/>
                <w:sz w:val="24"/>
                <w:szCs w:val="24"/>
                <w:lang w:val="en-GB"/>
              </w:rPr>
              <w:fldChar w:fldCharType="end"/>
            </w:r>
          </w:hyperlink>
        </w:p>
        <w:p w14:paraId="599AF07A"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86" w:history="1">
            <w:r w:rsidRPr="00B93B7B">
              <w:rPr>
                <w:rStyle w:val="Hyperlink"/>
                <w:rFonts w:asciiTheme="majorBidi" w:hAnsiTheme="majorBidi" w:cstheme="majorBidi"/>
                <w:noProof/>
                <w:color w:val="auto"/>
                <w:sz w:val="24"/>
                <w:szCs w:val="24"/>
                <w:lang w:val="en-GB"/>
              </w:rPr>
              <w:t>Company background</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_Toc172407286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3</w:t>
            </w:r>
            <w:r w:rsidRPr="00B93B7B">
              <w:rPr>
                <w:rFonts w:asciiTheme="majorBidi" w:hAnsiTheme="majorBidi" w:cstheme="majorBidi"/>
                <w:noProof/>
                <w:webHidden/>
                <w:sz w:val="24"/>
                <w:szCs w:val="24"/>
                <w:lang w:val="en-GB"/>
              </w:rPr>
              <w:fldChar w:fldCharType="end"/>
            </w:r>
          </w:hyperlink>
        </w:p>
        <w:p w14:paraId="280865B8" w14:textId="77777777" w:rsidR="00287950" w:rsidRPr="00B93B7B" w:rsidRDefault="00287950" w:rsidP="00287950">
          <w:pPr>
            <w:pStyle w:val="TOC1"/>
            <w:tabs>
              <w:tab w:val="right" w:leader="dot" w:pos="9016"/>
            </w:tabs>
            <w:spacing w:before="240" w:after="160" w:line="360" w:lineRule="auto"/>
            <w:jc w:val="center"/>
            <w:rPr>
              <w:rFonts w:asciiTheme="majorBidi" w:hAnsiTheme="majorBidi" w:cstheme="majorBidi"/>
              <w:noProof/>
              <w:sz w:val="24"/>
              <w:szCs w:val="24"/>
              <w:lang w:val="en-GB"/>
            </w:rPr>
          </w:pPr>
          <w:hyperlink w:anchor="_Toc172407287" w:history="1">
            <w:r w:rsidRPr="00B93B7B">
              <w:rPr>
                <w:rStyle w:val="Hyperlink"/>
                <w:rFonts w:asciiTheme="majorBidi" w:hAnsiTheme="majorBidi" w:cstheme="majorBidi"/>
                <w:noProof/>
                <w:color w:val="auto"/>
                <w:sz w:val="24"/>
                <w:szCs w:val="24"/>
                <w:lang w:val="en-GB"/>
              </w:rPr>
              <w:t>Part B). Financial performance review</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_Toc172407287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5</w:t>
            </w:r>
            <w:r w:rsidRPr="00B93B7B">
              <w:rPr>
                <w:rFonts w:asciiTheme="majorBidi" w:hAnsiTheme="majorBidi" w:cstheme="majorBidi"/>
                <w:noProof/>
                <w:webHidden/>
                <w:sz w:val="24"/>
                <w:szCs w:val="24"/>
                <w:lang w:val="en-GB"/>
              </w:rPr>
              <w:fldChar w:fldCharType="end"/>
            </w:r>
          </w:hyperlink>
        </w:p>
        <w:p w14:paraId="6532FECF"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88" w:history="1">
            <w:r w:rsidRPr="00B93B7B">
              <w:rPr>
                <w:rStyle w:val="Hyperlink"/>
                <w:rFonts w:asciiTheme="majorBidi" w:hAnsiTheme="majorBidi" w:cstheme="majorBidi"/>
                <w:noProof/>
                <w:color w:val="auto"/>
                <w:sz w:val="24"/>
                <w:szCs w:val="24"/>
                <w:lang w:val="en-GB"/>
              </w:rPr>
              <w:t>Calculation of financial ratios</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_Toc172407288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5</w:t>
            </w:r>
            <w:r w:rsidRPr="00B93B7B">
              <w:rPr>
                <w:rFonts w:asciiTheme="majorBidi" w:hAnsiTheme="majorBidi" w:cstheme="majorBidi"/>
                <w:noProof/>
                <w:webHidden/>
                <w:sz w:val="24"/>
                <w:szCs w:val="24"/>
                <w:lang w:val="en-GB"/>
              </w:rPr>
              <w:fldChar w:fldCharType="end"/>
            </w:r>
          </w:hyperlink>
        </w:p>
        <w:p w14:paraId="70664987"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89" w:history="1">
            <w:r w:rsidRPr="00B93B7B">
              <w:rPr>
                <w:rStyle w:val="Hyperlink"/>
                <w:rFonts w:asciiTheme="majorBidi" w:hAnsiTheme="majorBidi" w:cstheme="majorBidi"/>
                <w:noProof/>
                <w:color w:val="auto"/>
                <w:sz w:val="24"/>
                <w:szCs w:val="24"/>
                <w:lang w:val="en-GB"/>
              </w:rPr>
              <w:t>Evaluation of financial ratios</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_Toc172407289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7</w:t>
            </w:r>
            <w:r w:rsidRPr="00B93B7B">
              <w:rPr>
                <w:rFonts w:asciiTheme="majorBidi" w:hAnsiTheme="majorBidi" w:cstheme="majorBidi"/>
                <w:noProof/>
                <w:webHidden/>
                <w:sz w:val="24"/>
                <w:szCs w:val="24"/>
                <w:lang w:val="en-GB"/>
              </w:rPr>
              <w:fldChar w:fldCharType="end"/>
            </w:r>
          </w:hyperlink>
        </w:p>
        <w:p w14:paraId="1F1FA353"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90" w:history="1">
            <w:r w:rsidRPr="00B93B7B">
              <w:rPr>
                <w:rStyle w:val="Hyperlink"/>
                <w:rFonts w:asciiTheme="majorBidi" w:hAnsiTheme="majorBidi" w:cstheme="majorBidi"/>
                <w:noProof/>
                <w:color w:val="auto"/>
                <w:sz w:val="24"/>
                <w:szCs w:val="24"/>
                <w:lang w:val="en-GB"/>
              </w:rPr>
              <w:t>Comparison with major competitors/industry</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_Toc172407290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12</w:t>
            </w:r>
            <w:r w:rsidRPr="00B93B7B">
              <w:rPr>
                <w:rFonts w:asciiTheme="majorBidi" w:hAnsiTheme="majorBidi" w:cstheme="majorBidi"/>
                <w:noProof/>
                <w:webHidden/>
                <w:sz w:val="24"/>
                <w:szCs w:val="24"/>
                <w:lang w:val="en-GB"/>
              </w:rPr>
              <w:fldChar w:fldCharType="end"/>
            </w:r>
          </w:hyperlink>
        </w:p>
        <w:p w14:paraId="1BC9748E"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91" w:history="1">
            <w:r w:rsidRPr="00B93B7B">
              <w:rPr>
                <w:rStyle w:val="Hyperlink"/>
                <w:rFonts w:asciiTheme="majorBidi" w:hAnsiTheme="majorBidi" w:cstheme="majorBidi"/>
                <w:noProof/>
                <w:color w:val="auto"/>
                <w:sz w:val="24"/>
                <w:szCs w:val="24"/>
                <w:lang w:val="en-GB"/>
              </w:rPr>
              <w:t>Recommendation for improving financial management</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_Toc172407291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14</w:t>
            </w:r>
            <w:r w:rsidRPr="00B93B7B">
              <w:rPr>
                <w:rFonts w:asciiTheme="majorBidi" w:hAnsiTheme="majorBidi" w:cstheme="majorBidi"/>
                <w:noProof/>
                <w:webHidden/>
                <w:sz w:val="24"/>
                <w:szCs w:val="24"/>
                <w:lang w:val="en-GB"/>
              </w:rPr>
              <w:fldChar w:fldCharType="end"/>
            </w:r>
          </w:hyperlink>
        </w:p>
        <w:p w14:paraId="1A89376A" w14:textId="77777777" w:rsidR="00287950" w:rsidRPr="00B93B7B" w:rsidRDefault="00287950" w:rsidP="00287950">
          <w:pPr>
            <w:pStyle w:val="TOC1"/>
            <w:tabs>
              <w:tab w:val="right" w:leader="dot" w:pos="9016"/>
            </w:tabs>
            <w:spacing w:before="240" w:after="160" w:line="360" w:lineRule="auto"/>
            <w:jc w:val="center"/>
            <w:rPr>
              <w:rFonts w:asciiTheme="majorBidi" w:hAnsiTheme="majorBidi" w:cstheme="majorBidi"/>
              <w:noProof/>
              <w:sz w:val="24"/>
              <w:szCs w:val="24"/>
              <w:lang w:val="en-GB"/>
            </w:rPr>
          </w:pPr>
          <w:hyperlink w:anchor="_Toc172407292" w:history="1">
            <w:r w:rsidRPr="00B93B7B">
              <w:rPr>
                <w:rStyle w:val="Hyperlink"/>
                <w:rFonts w:asciiTheme="majorBidi" w:hAnsiTheme="majorBidi" w:cstheme="majorBidi"/>
                <w:noProof/>
                <w:color w:val="auto"/>
                <w:sz w:val="24"/>
                <w:szCs w:val="24"/>
                <w:lang w:val="en-GB"/>
              </w:rPr>
              <w:t>Part C). Investment appraisal</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_Toc172407292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15</w:t>
            </w:r>
            <w:r w:rsidRPr="00B93B7B">
              <w:rPr>
                <w:rFonts w:asciiTheme="majorBidi" w:hAnsiTheme="majorBidi" w:cstheme="majorBidi"/>
                <w:noProof/>
                <w:webHidden/>
                <w:sz w:val="24"/>
                <w:szCs w:val="24"/>
                <w:lang w:val="en-GB"/>
              </w:rPr>
              <w:fldChar w:fldCharType="end"/>
            </w:r>
          </w:hyperlink>
        </w:p>
        <w:p w14:paraId="1D1FB075"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93" w:history="1">
            <w:r w:rsidRPr="00B93B7B">
              <w:rPr>
                <w:rStyle w:val="Hyperlink"/>
                <w:rFonts w:asciiTheme="majorBidi" w:hAnsiTheme="majorBidi" w:cstheme="majorBidi"/>
                <w:noProof/>
                <w:color w:val="auto"/>
                <w:sz w:val="24"/>
                <w:szCs w:val="24"/>
                <w:lang w:val="en-GB"/>
              </w:rPr>
              <w:t>1. Calculation of investment appraisal techniques</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_Toc172407293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15</w:t>
            </w:r>
            <w:r w:rsidRPr="00B93B7B">
              <w:rPr>
                <w:rFonts w:asciiTheme="majorBidi" w:hAnsiTheme="majorBidi" w:cstheme="majorBidi"/>
                <w:noProof/>
                <w:webHidden/>
                <w:sz w:val="24"/>
                <w:szCs w:val="24"/>
                <w:lang w:val="en-GB"/>
              </w:rPr>
              <w:fldChar w:fldCharType="end"/>
            </w:r>
          </w:hyperlink>
        </w:p>
        <w:p w14:paraId="63C12EE6" w14:textId="77777777" w:rsidR="00287950" w:rsidRPr="00B93B7B" w:rsidRDefault="00287950" w:rsidP="00287950">
          <w:pPr>
            <w:pStyle w:val="TOC2"/>
            <w:tabs>
              <w:tab w:val="right" w:leader="dot" w:pos="9016"/>
            </w:tabs>
            <w:spacing w:before="240" w:after="160" w:line="360" w:lineRule="auto"/>
            <w:jc w:val="center"/>
            <w:rPr>
              <w:rFonts w:asciiTheme="majorBidi" w:hAnsiTheme="majorBidi" w:cstheme="majorBidi"/>
              <w:noProof/>
              <w:sz w:val="24"/>
              <w:szCs w:val="24"/>
              <w:lang w:val="en-GB"/>
            </w:rPr>
          </w:pPr>
          <w:hyperlink w:anchor="_Toc172407294" w:history="1">
            <w:r w:rsidRPr="00B93B7B">
              <w:rPr>
                <w:rStyle w:val="Hyperlink"/>
                <w:rFonts w:asciiTheme="majorBidi" w:hAnsiTheme="majorBidi" w:cstheme="majorBidi"/>
                <w:noProof/>
                <w:color w:val="auto"/>
                <w:sz w:val="24"/>
                <w:szCs w:val="24"/>
                <w:lang w:val="en-GB"/>
              </w:rPr>
              <w:t>2. Discussion of benefits, shortcomings, and non-financial factors</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_Toc172407294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19</w:t>
            </w:r>
            <w:r w:rsidRPr="00B93B7B">
              <w:rPr>
                <w:rFonts w:asciiTheme="majorBidi" w:hAnsiTheme="majorBidi" w:cstheme="majorBidi"/>
                <w:noProof/>
                <w:webHidden/>
                <w:sz w:val="24"/>
                <w:szCs w:val="24"/>
                <w:lang w:val="en-GB"/>
              </w:rPr>
              <w:fldChar w:fldCharType="end"/>
            </w:r>
          </w:hyperlink>
        </w:p>
        <w:p w14:paraId="053128D1" w14:textId="77777777" w:rsidR="00287950" w:rsidRPr="00B93B7B" w:rsidRDefault="00287950" w:rsidP="00287950">
          <w:pPr>
            <w:pStyle w:val="TOC1"/>
            <w:tabs>
              <w:tab w:val="right" w:leader="dot" w:pos="9016"/>
            </w:tabs>
            <w:spacing w:before="240" w:after="160" w:line="360" w:lineRule="auto"/>
            <w:jc w:val="center"/>
            <w:rPr>
              <w:rFonts w:asciiTheme="majorBidi" w:hAnsiTheme="majorBidi" w:cstheme="majorBidi"/>
              <w:noProof/>
              <w:sz w:val="24"/>
              <w:szCs w:val="24"/>
              <w:lang w:val="en-GB"/>
            </w:rPr>
          </w:pPr>
          <w:hyperlink w:anchor="_Toc172407295" w:history="1">
            <w:r w:rsidRPr="00B93B7B">
              <w:rPr>
                <w:rStyle w:val="Hyperlink"/>
                <w:rFonts w:asciiTheme="majorBidi" w:hAnsiTheme="majorBidi" w:cstheme="majorBidi"/>
                <w:noProof/>
                <w:color w:val="auto"/>
                <w:sz w:val="24"/>
                <w:szCs w:val="24"/>
                <w:lang w:val="en-GB"/>
              </w:rPr>
              <w:t>Conclusion</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_Toc172407295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20</w:t>
            </w:r>
            <w:r w:rsidRPr="00B93B7B">
              <w:rPr>
                <w:rFonts w:asciiTheme="majorBidi" w:hAnsiTheme="majorBidi" w:cstheme="majorBidi"/>
                <w:noProof/>
                <w:webHidden/>
                <w:sz w:val="24"/>
                <w:szCs w:val="24"/>
                <w:lang w:val="en-GB"/>
              </w:rPr>
              <w:fldChar w:fldCharType="end"/>
            </w:r>
          </w:hyperlink>
        </w:p>
        <w:p w14:paraId="49F785AF" w14:textId="77777777" w:rsidR="00287950" w:rsidRPr="00B93B7B" w:rsidRDefault="00287950" w:rsidP="00287950">
          <w:pPr>
            <w:pStyle w:val="TOC1"/>
            <w:tabs>
              <w:tab w:val="right" w:leader="dot" w:pos="9016"/>
            </w:tabs>
            <w:spacing w:before="240" w:after="160" w:line="360" w:lineRule="auto"/>
            <w:jc w:val="center"/>
            <w:rPr>
              <w:rFonts w:asciiTheme="majorBidi" w:hAnsiTheme="majorBidi" w:cstheme="majorBidi"/>
              <w:noProof/>
              <w:sz w:val="24"/>
              <w:szCs w:val="24"/>
              <w:lang w:val="en-GB"/>
            </w:rPr>
          </w:pPr>
          <w:hyperlink w:anchor="_Toc172407296" w:history="1">
            <w:r w:rsidRPr="00B93B7B">
              <w:rPr>
                <w:rStyle w:val="Hyperlink"/>
                <w:rFonts w:asciiTheme="majorBidi" w:hAnsiTheme="majorBidi" w:cstheme="majorBidi"/>
                <w:noProof/>
                <w:color w:val="auto"/>
                <w:sz w:val="24"/>
                <w:szCs w:val="24"/>
                <w:lang w:val="en-GB"/>
              </w:rPr>
              <w:t>References</w:t>
            </w:r>
            <w:r w:rsidRPr="00B93B7B">
              <w:rPr>
                <w:rFonts w:asciiTheme="majorBidi" w:hAnsiTheme="majorBidi" w:cstheme="majorBidi"/>
                <w:noProof/>
                <w:webHidden/>
                <w:sz w:val="24"/>
                <w:szCs w:val="24"/>
                <w:lang w:val="en-GB"/>
              </w:rPr>
              <w:tab/>
            </w:r>
            <w:r w:rsidRPr="00B93B7B">
              <w:rPr>
                <w:rFonts w:asciiTheme="majorBidi" w:hAnsiTheme="majorBidi" w:cstheme="majorBidi"/>
                <w:noProof/>
                <w:webHidden/>
                <w:sz w:val="24"/>
                <w:szCs w:val="24"/>
                <w:lang w:val="en-GB"/>
              </w:rPr>
              <w:fldChar w:fldCharType="begin"/>
            </w:r>
            <w:r w:rsidRPr="00B93B7B">
              <w:rPr>
                <w:rFonts w:asciiTheme="majorBidi" w:hAnsiTheme="majorBidi" w:cstheme="majorBidi"/>
                <w:noProof/>
                <w:webHidden/>
                <w:sz w:val="24"/>
                <w:szCs w:val="24"/>
                <w:lang w:val="en-GB"/>
              </w:rPr>
              <w:instrText xml:space="preserve"> PAGEREF _Toc172407296 \h </w:instrText>
            </w:r>
            <w:r w:rsidRPr="00B93B7B">
              <w:rPr>
                <w:rFonts w:asciiTheme="majorBidi" w:hAnsiTheme="majorBidi" w:cstheme="majorBidi"/>
                <w:noProof/>
                <w:webHidden/>
                <w:sz w:val="24"/>
                <w:szCs w:val="24"/>
                <w:lang w:val="en-GB"/>
              </w:rPr>
            </w:r>
            <w:r w:rsidRPr="00B93B7B">
              <w:rPr>
                <w:rFonts w:asciiTheme="majorBidi" w:hAnsiTheme="majorBidi" w:cstheme="majorBidi"/>
                <w:noProof/>
                <w:webHidden/>
                <w:sz w:val="24"/>
                <w:szCs w:val="24"/>
                <w:lang w:val="en-GB"/>
              </w:rPr>
              <w:fldChar w:fldCharType="separate"/>
            </w:r>
            <w:r w:rsidRPr="00B93B7B">
              <w:rPr>
                <w:rFonts w:asciiTheme="majorBidi" w:hAnsiTheme="majorBidi" w:cstheme="majorBidi"/>
                <w:noProof/>
                <w:webHidden/>
                <w:sz w:val="24"/>
                <w:szCs w:val="24"/>
                <w:lang w:val="en-GB"/>
              </w:rPr>
              <w:t>22</w:t>
            </w:r>
            <w:r w:rsidRPr="00B93B7B">
              <w:rPr>
                <w:rFonts w:asciiTheme="majorBidi" w:hAnsiTheme="majorBidi" w:cstheme="majorBidi"/>
                <w:noProof/>
                <w:webHidden/>
                <w:sz w:val="24"/>
                <w:szCs w:val="24"/>
                <w:lang w:val="en-GB"/>
              </w:rPr>
              <w:fldChar w:fldCharType="end"/>
            </w:r>
          </w:hyperlink>
        </w:p>
        <w:p w14:paraId="37D06769" w14:textId="77777777" w:rsidR="00287950" w:rsidRPr="00B93B7B" w:rsidRDefault="00287950" w:rsidP="00287950">
          <w:pPr>
            <w:spacing w:before="240" w:line="360" w:lineRule="auto"/>
            <w:jc w:val="center"/>
            <w:rPr>
              <w:rFonts w:asciiTheme="majorBidi" w:hAnsiTheme="majorBidi" w:cstheme="majorBidi"/>
              <w:lang w:val="en-GB"/>
            </w:rPr>
          </w:pPr>
          <w:r w:rsidRPr="00B93B7B">
            <w:rPr>
              <w:rFonts w:asciiTheme="majorBidi" w:hAnsiTheme="majorBidi" w:cstheme="majorBidi"/>
              <w:b/>
              <w:bCs/>
              <w:noProof/>
              <w:sz w:val="24"/>
              <w:szCs w:val="24"/>
              <w:lang w:val="en-GB"/>
            </w:rPr>
            <w:fldChar w:fldCharType="end"/>
          </w:r>
        </w:p>
      </w:sdtContent>
    </w:sdt>
    <w:p w14:paraId="511C0302"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3AAC31BA" w14:textId="77777777" w:rsidR="00287950" w:rsidRPr="00B93B7B" w:rsidRDefault="00287950" w:rsidP="00287950">
      <w:pPr>
        <w:spacing w:before="240" w:line="360" w:lineRule="auto"/>
        <w:rPr>
          <w:rFonts w:asciiTheme="majorBidi" w:hAnsiTheme="majorBidi" w:cstheme="majorBidi"/>
          <w:b/>
          <w:bCs/>
          <w:sz w:val="24"/>
          <w:szCs w:val="24"/>
          <w:lang w:val="en-GB"/>
        </w:rPr>
      </w:pPr>
      <w:r w:rsidRPr="00B93B7B">
        <w:rPr>
          <w:rFonts w:asciiTheme="majorBidi" w:hAnsiTheme="majorBidi" w:cstheme="majorBidi"/>
          <w:b/>
          <w:bCs/>
          <w:sz w:val="24"/>
          <w:szCs w:val="24"/>
          <w:lang w:val="en-GB"/>
        </w:rPr>
        <w:br w:type="page"/>
      </w:r>
    </w:p>
    <w:p w14:paraId="7AFC89C7" w14:textId="77777777" w:rsidR="00287950" w:rsidRPr="00A01271" w:rsidRDefault="00287950" w:rsidP="00287950">
      <w:pPr>
        <w:pStyle w:val="Heading1"/>
        <w:spacing w:before="240" w:after="160"/>
        <w:rPr>
          <w:lang w:val="en-GB"/>
        </w:rPr>
      </w:pPr>
      <w:bookmarkStart w:id="0" w:name="_Toc172407284"/>
      <w:r w:rsidRPr="00A01271">
        <w:rPr>
          <w:lang w:val="en-GB"/>
        </w:rPr>
        <w:lastRenderedPageBreak/>
        <w:t>Part A). Introduction</w:t>
      </w:r>
      <w:bookmarkEnd w:id="0"/>
      <w:r w:rsidRPr="00A01271">
        <w:rPr>
          <w:lang w:val="en-GB"/>
        </w:rPr>
        <w:t>  </w:t>
      </w:r>
    </w:p>
    <w:p w14:paraId="453E95FF" w14:textId="77777777" w:rsidR="00287950" w:rsidRPr="00A01271" w:rsidRDefault="00287950" w:rsidP="00287950">
      <w:pPr>
        <w:pStyle w:val="Heading2"/>
        <w:spacing w:before="240" w:after="160"/>
        <w:rPr>
          <w:rFonts w:asciiTheme="majorBidi" w:hAnsiTheme="majorBidi"/>
          <w:lang w:val="en-GB"/>
        </w:rPr>
      </w:pPr>
      <w:bookmarkStart w:id="1" w:name="_Toc172407285"/>
      <w:r w:rsidRPr="00A01271">
        <w:rPr>
          <w:rFonts w:asciiTheme="majorBidi" w:hAnsiTheme="majorBidi"/>
          <w:lang w:val="en-GB"/>
        </w:rPr>
        <w:t>Introduction</w:t>
      </w:r>
      <w:bookmarkEnd w:id="1"/>
      <w:r w:rsidRPr="00A01271">
        <w:rPr>
          <w:rFonts w:asciiTheme="majorBidi" w:hAnsiTheme="majorBidi"/>
          <w:lang w:val="en-GB"/>
        </w:rPr>
        <w:t> </w:t>
      </w:r>
    </w:p>
    <w:p w14:paraId="0D0D3779"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Financial management is the key branch of accounting in which the financial managers are responsible for protecting, controlling, monitoring, and reporting the financial resources. The primary aim of the report is to evaluate the financial performance and position attained by a publicly listed company in the UK, which is also covered in the LSE (London Stock Exchange). The primary company selected for the report is Unilever Plc, which is one of the giants in the UK consumer goods industry and operates its business in other countries as well. The financial performance of Unilever will be judged in the report using financial ratios for the last five years. Moreover, a range of new investment opportunities will also be highlighted in the report which will shed light on the future cash flows from the opportunities, which will be assessed using the techniques of project investment appraisal.  </w:t>
      </w:r>
    </w:p>
    <w:p w14:paraId="4F15DCA5" w14:textId="77777777" w:rsidR="00287950" w:rsidRPr="00A01271" w:rsidRDefault="00287950" w:rsidP="00287950">
      <w:pPr>
        <w:pStyle w:val="Heading2"/>
        <w:spacing w:before="240" w:after="160"/>
        <w:rPr>
          <w:rFonts w:asciiTheme="majorBidi" w:hAnsiTheme="majorBidi"/>
          <w:lang w:val="en-GB"/>
        </w:rPr>
      </w:pPr>
      <w:bookmarkStart w:id="2" w:name="_Toc172407286"/>
      <w:r w:rsidRPr="00A01271">
        <w:rPr>
          <w:rFonts w:asciiTheme="majorBidi" w:hAnsiTheme="majorBidi"/>
          <w:lang w:val="en-GB"/>
        </w:rPr>
        <w:t>Company background</w:t>
      </w:r>
      <w:bookmarkEnd w:id="2"/>
      <w:r w:rsidRPr="00A01271">
        <w:rPr>
          <w:rFonts w:asciiTheme="majorBidi" w:hAnsiTheme="majorBidi"/>
          <w:lang w:val="en-GB"/>
        </w:rPr>
        <w:t xml:space="preserve"> </w:t>
      </w:r>
    </w:p>
    <w:p w14:paraId="14BE8EEB"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Unilever Plc is a multinational FMCG (fast-moving consumer goods) company with its headquarters in London that is engaged in producing and distributing consumer goods for its customers. The company was initially founded in 1929 and the establishers of the organization were “Anton Jurgens, William Hulme Lever, and Samuel van den Bergh” (Unilever.com, 2023). Moreover, the establishment of Unilever was made with the merger of two firms which are </w:t>
      </w:r>
      <w:r w:rsidRPr="00A01271">
        <w:rPr>
          <w:rFonts w:asciiTheme="majorBidi" w:hAnsiTheme="majorBidi" w:cstheme="majorBidi"/>
          <w:i/>
          <w:iCs/>
          <w:sz w:val="24"/>
          <w:szCs w:val="24"/>
          <w:lang w:val="en-GB"/>
        </w:rPr>
        <w:t xml:space="preserve">“Lever Brothers and Margarine </w:t>
      </w:r>
      <w:proofErr w:type="spellStart"/>
      <w:r w:rsidRPr="00A01271">
        <w:rPr>
          <w:rFonts w:asciiTheme="majorBidi" w:hAnsiTheme="majorBidi" w:cstheme="majorBidi"/>
          <w:i/>
          <w:iCs/>
          <w:sz w:val="24"/>
          <w:szCs w:val="24"/>
          <w:lang w:val="en-GB"/>
        </w:rPr>
        <w:t>Unie</w:t>
      </w:r>
      <w:proofErr w:type="spellEnd"/>
      <w:r w:rsidRPr="00A01271">
        <w:rPr>
          <w:rFonts w:asciiTheme="majorBidi" w:hAnsiTheme="majorBidi" w:cstheme="majorBidi"/>
          <w:i/>
          <w:iCs/>
          <w:sz w:val="24"/>
          <w:szCs w:val="24"/>
          <w:lang w:val="en-GB"/>
        </w:rPr>
        <w:t>”</w:t>
      </w:r>
      <w:r w:rsidRPr="00A01271">
        <w:rPr>
          <w:rFonts w:asciiTheme="majorBidi" w:hAnsiTheme="majorBidi" w:cstheme="majorBidi"/>
          <w:sz w:val="24"/>
          <w:szCs w:val="24"/>
          <w:lang w:val="en-GB"/>
        </w:rPr>
        <w:t xml:space="preserve">. The primary business model followed by Unilever Plc is a “category-focused operating model”, which maintains the five business divisions of the firm which are </w:t>
      </w:r>
      <w:r w:rsidRPr="00A01271">
        <w:rPr>
          <w:rFonts w:asciiTheme="majorBidi" w:hAnsiTheme="majorBidi" w:cstheme="majorBidi"/>
          <w:i/>
          <w:iCs/>
          <w:sz w:val="24"/>
          <w:szCs w:val="24"/>
          <w:lang w:val="en-GB"/>
        </w:rPr>
        <w:t>“Beauty &amp; Wellbeing, Personal Care, Home Care, Nutrition, Ice Cream”</w:t>
      </w:r>
      <w:r w:rsidRPr="00A01271">
        <w:rPr>
          <w:rFonts w:asciiTheme="majorBidi" w:hAnsiTheme="majorBidi" w:cstheme="majorBidi"/>
          <w:sz w:val="24"/>
          <w:szCs w:val="24"/>
          <w:lang w:val="en-GB"/>
        </w:rPr>
        <w:t xml:space="preserve">. It can also be said that Unilever Plc operates its business in a highly dynamic and competitive market of the UK and over 190 countries of the world (Unilever.com, 2023). Moreover, in the global consumer goods industry, Unilever has faced high competition with some of their key competitors like </w:t>
      </w:r>
      <w:r w:rsidRPr="00A01271">
        <w:rPr>
          <w:rFonts w:asciiTheme="majorBidi" w:hAnsiTheme="majorBidi" w:cstheme="majorBidi"/>
          <w:i/>
          <w:iCs/>
          <w:sz w:val="24"/>
          <w:szCs w:val="24"/>
          <w:lang w:val="en-GB"/>
        </w:rPr>
        <w:t>“P&amp;G, Nestle, Colgate-Palmolive, L’oreal, Reckitt Benckiser, PepsiCo, Kraft Heinz, Johnson &amp; Jonhson”</w:t>
      </w:r>
      <w:r w:rsidRPr="00A01271">
        <w:rPr>
          <w:rFonts w:asciiTheme="majorBidi" w:hAnsiTheme="majorBidi" w:cstheme="majorBidi"/>
          <w:sz w:val="24"/>
          <w:szCs w:val="24"/>
          <w:lang w:val="en-GB"/>
        </w:rPr>
        <w:t xml:space="preserve">. </w:t>
      </w:r>
    </w:p>
    <w:p w14:paraId="6D7D9334"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In addition, Unilever Plc has experienced significant changes in the past years due to changes in the position of directors. For instance, Hein Schumacher was appointed as the new CEO in July 2023 due to the retirement of Alan Jope, Ruby Lu joined the business in 2021 as </w:t>
      </w:r>
      <w:proofErr w:type="gramStart"/>
      <w:r w:rsidRPr="00A01271">
        <w:rPr>
          <w:rFonts w:asciiTheme="majorBidi" w:hAnsiTheme="majorBidi" w:cstheme="majorBidi"/>
          <w:sz w:val="24"/>
          <w:szCs w:val="24"/>
          <w:lang w:val="en-GB"/>
        </w:rPr>
        <w:t>Non-executive</w:t>
      </w:r>
      <w:proofErr w:type="gramEnd"/>
      <w:r w:rsidRPr="00A01271">
        <w:rPr>
          <w:rFonts w:asciiTheme="majorBidi" w:hAnsiTheme="majorBidi" w:cstheme="majorBidi"/>
          <w:sz w:val="24"/>
          <w:szCs w:val="24"/>
          <w:lang w:val="en-GB"/>
        </w:rPr>
        <w:t xml:space="preserve"> director, Nelson Peltz was also appointed as Non-executive director in 2022, and </w:t>
      </w:r>
      <w:proofErr w:type="spellStart"/>
      <w:r w:rsidRPr="00A01271">
        <w:rPr>
          <w:rFonts w:asciiTheme="majorBidi" w:hAnsiTheme="majorBidi" w:cstheme="majorBidi"/>
          <w:sz w:val="24"/>
          <w:szCs w:val="24"/>
          <w:lang w:val="en-GB"/>
        </w:rPr>
        <w:lastRenderedPageBreak/>
        <w:t>Saniv</w:t>
      </w:r>
      <w:proofErr w:type="spellEnd"/>
      <w:r w:rsidRPr="00A01271">
        <w:rPr>
          <w:rFonts w:asciiTheme="majorBidi" w:hAnsiTheme="majorBidi" w:cstheme="majorBidi"/>
          <w:sz w:val="24"/>
          <w:szCs w:val="24"/>
          <w:lang w:val="en-GB"/>
        </w:rPr>
        <w:t xml:space="preserve"> Mehta was stepped down as the MD and CEO of HUL one of the parts of Unilever in India (Unilever.com, 2023). Further, the net income of Unilever has changed significantly due to the director's position change, which was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b/>
          <w:bCs/>
          <w:i/>
          <w:iCs/>
          <w:sz w:val="24"/>
          <w:szCs w:val="24"/>
          <w:lang w:val="en-GB"/>
        </w:rPr>
        <w:t xml:space="preserve">7140,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b/>
          <w:bCs/>
          <w:i/>
          <w:iCs/>
          <w:sz w:val="24"/>
          <w:szCs w:val="24"/>
          <w:lang w:val="en-GB"/>
        </w:rPr>
        <w:t xml:space="preserve">8269,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b/>
          <w:bCs/>
          <w:i/>
          <w:iCs/>
          <w:sz w:val="24"/>
          <w:szCs w:val="24"/>
          <w:lang w:val="en-GB"/>
        </w:rPr>
        <w:t xml:space="preserve">6621,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b/>
          <w:bCs/>
          <w:i/>
          <w:iCs/>
          <w:sz w:val="24"/>
          <w:szCs w:val="24"/>
          <w:lang w:val="en-GB"/>
        </w:rPr>
        <w:t xml:space="preserve">6073, and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b/>
          <w:bCs/>
          <w:i/>
          <w:iCs/>
          <w:sz w:val="24"/>
          <w:szCs w:val="24"/>
          <w:lang w:val="en-GB"/>
        </w:rPr>
        <w:t>6026</w:t>
      </w:r>
      <w:r w:rsidRPr="00A01271">
        <w:rPr>
          <w:rFonts w:asciiTheme="majorBidi" w:hAnsiTheme="majorBidi" w:cstheme="majorBidi"/>
          <w:sz w:val="24"/>
          <w:szCs w:val="24"/>
          <w:lang w:val="en-GB"/>
        </w:rPr>
        <w:t xml:space="preserve"> in 2023, 2022, 2021, 2020, and 2019. However, Unilever has faced significant legal issues in the past years, which were </w:t>
      </w:r>
      <w:r w:rsidRPr="00A01271">
        <w:rPr>
          <w:rFonts w:asciiTheme="majorBidi" w:hAnsiTheme="majorBidi" w:cstheme="majorBidi"/>
          <w:i/>
          <w:iCs/>
          <w:sz w:val="24"/>
          <w:szCs w:val="24"/>
          <w:lang w:val="en-GB"/>
        </w:rPr>
        <w:t xml:space="preserve">“Human rights violation, </w:t>
      </w:r>
      <w:proofErr w:type="gramStart"/>
      <w:r w:rsidRPr="00A01271">
        <w:rPr>
          <w:rFonts w:asciiTheme="majorBidi" w:hAnsiTheme="majorBidi" w:cstheme="majorBidi"/>
          <w:i/>
          <w:iCs/>
          <w:sz w:val="24"/>
          <w:szCs w:val="24"/>
          <w:lang w:val="en-GB"/>
        </w:rPr>
        <w:t>Workers</w:t>
      </w:r>
      <w:proofErr w:type="gramEnd"/>
      <w:r w:rsidRPr="00A01271">
        <w:rPr>
          <w:rFonts w:asciiTheme="majorBidi" w:hAnsiTheme="majorBidi" w:cstheme="majorBidi"/>
          <w:i/>
          <w:iCs/>
          <w:sz w:val="24"/>
          <w:szCs w:val="24"/>
          <w:lang w:val="en-GB"/>
        </w:rPr>
        <w:t xml:space="preserve"> safety &amp; strikes, Toxic &amp; environmental waste, and political controversies”</w:t>
      </w:r>
      <w:r w:rsidRPr="00A01271">
        <w:rPr>
          <w:rFonts w:asciiTheme="majorBidi" w:hAnsiTheme="majorBidi" w:cstheme="majorBidi"/>
          <w:sz w:val="24"/>
          <w:szCs w:val="24"/>
          <w:lang w:val="en-GB"/>
        </w:rPr>
        <w:t xml:space="preserve">. Apart from that, some of the key mergers &amp; acquisitions of Unilever to strengthen their brands were </w:t>
      </w:r>
      <w:r w:rsidRPr="00A01271">
        <w:rPr>
          <w:rFonts w:asciiTheme="majorBidi" w:hAnsiTheme="majorBidi" w:cstheme="majorBidi"/>
          <w:i/>
          <w:iCs/>
          <w:sz w:val="24"/>
          <w:szCs w:val="24"/>
          <w:lang w:val="en-GB"/>
        </w:rPr>
        <w:t xml:space="preserve">“Lenoir (2019), Ola Hogar (2019), Ren Skincare (2015), etc.” </w:t>
      </w:r>
      <w:r w:rsidRPr="00A01271">
        <w:rPr>
          <w:rFonts w:asciiTheme="majorBidi" w:hAnsiTheme="majorBidi" w:cstheme="majorBidi"/>
          <w:sz w:val="24"/>
          <w:szCs w:val="24"/>
          <w:lang w:val="en-GB"/>
        </w:rPr>
        <w:t xml:space="preserve">(Unilever.com, 2023). Several strategic changes of Unilever have also been noticed in past years which were </w:t>
      </w:r>
      <w:r w:rsidRPr="00A01271">
        <w:rPr>
          <w:rFonts w:asciiTheme="majorBidi" w:hAnsiTheme="majorBidi" w:cstheme="majorBidi"/>
          <w:i/>
          <w:iCs/>
          <w:sz w:val="24"/>
          <w:szCs w:val="24"/>
          <w:lang w:val="en-GB"/>
        </w:rPr>
        <w:t>“Portfolio simplification, Leadership changes, Digital transformation, Sustainable initiatives, and High focus on health and wellness”</w:t>
      </w:r>
      <w:r w:rsidRPr="00A01271">
        <w:rPr>
          <w:rFonts w:asciiTheme="majorBidi" w:hAnsiTheme="majorBidi" w:cstheme="majorBidi"/>
          <w:sz w:val="24"/>
          <w:szCs w:val="24"/>
          <w:lang w:val="en-GB"/>
        </w:rPr>
        <w:t xml:space="preserve">. </w:t>
      </w:r>
    </w:p>
    <w:p w14:paraId="058516D3"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noProof/>
          <w:sz w:val="24"/>
          <w:szCs w:val="24"/>
          <w:lang w:val="en-GB"/>
        </w:rPr>
        <w:drawing>
          <wp:inline distT="0" distB="0" distL="0" distR="0" wp14:anchorId="75F98C56" wp14:editId="0189BB67">
            <wp:extent cx="5731510" cy="3689350"/>
            <wp:effectExtent l="0" t="0" r="2540" b="6350"/>
            <wp:docPr id="44608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086209" name=""/>
                    <pic:cNvPicPr/>
                  </pic:nvPicPr>
                  <pic:blipFill>
                    <a:blip r:embed="rId6"/>
                    <a:stretch>
                      <a:fillRect/>
                    </a:stretch>
                  </pic:blipFill>
                  <pic:spPr>
                    <a:xfrm>
                      <a:off x="0" y="0"/>
                      <a:ext cx="5731510" cy="3689350"/>
                    </a:xfrm>
                    <a:prstGeom prst="rect">
                      <a:avLst/>
                    </a:prstGeom>
                  </pic:spPr>
                </pic:pic>
              </a:graphicData>
            </a:graphic>
          </wp:inline>
        </w:drawing>
      </w:r>
    </w:p>
    <w:p w14:paraId="5DC9438A"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Figure 1: Revenue graph</w:t>
      </w:r>
    </w:p>
    <w:p w14:paraId="0D30E964"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Statista.com, 2023)</w:t>
      </w:r>
    </w:p>
    <w:p w14:paraId="28765628" w14:textId="77777777" w:rsidR="00287950" w:rsidRPr="00A01271" w:rsidRDefault="00287950" w:rsidP="00287950">
      <w:pPr>
        <w:spacing w:before="240" w:line="360" w:lineRule="auto"/>
        <w:jc w:val="both"/>
        <w:rPr>
          <w:rFonts w:asciiTheme="majorBidi" w:hAnsiTheme="majorBidi" w:cstheme="majorBidi"/>
          <w:b/>
          <w:bCs/>
          <w:sz w:val="24"/>
          <w:szCs w:val="24"/>
          <w:lang w:val="en-GB"/>
        </w:rPr>
      </w:pPr>
      <w:r w:rsidRPr="00A01271">
        <w:rPr>
          <w:rFonts w:asciiTheme="majorBidi" w:hAnsiTheme="majorBidi" w:cstheme="majorBidi"/>
          <w:b/>
          <w:bCs/>
          <w:sz w:val="24"/>
          <w:szCs w:val="24"/>
          <w:lang w:val="en-GB"/>
        </w:rPr>
        <w:br w:type="page"/>
      </w:r>
    </w:p>
    <w:p w14:paraId="5ED3F22E" w14:textId="77777777" w:rsidR="00287950" w:rsidRPr="00A01271" w:rsidRDefault="00287950" w:rsidP="00287950">
      <w:pPr>
        <w:pStyle w:val="Heading1"/>
        <w:spacing w:before="240" w:after="160"/>
        <w:rPr>
          <w:lang w:val="en-GB"/>
        </w:rPr>
      </w:pPr>
      <w:bookmarkStart w:id="3" w:name="_Toc172407287"/>
      <w:r w:rsidRPr="00A01271">
        <w:rPr>
          <w:lang w:val="en-GB"/>
        </w:rPr>
        <w:lastRenderedPageBreak/>
        <w:t>Part B). Financial performance review</w:t>
      </w:r>
      <w:bookmarkEnd w:id="3"/>
      <w:r w:rsidRPr="00A01271">
        <w:rPr>
          <w:lang w:val="en-GB"/>
        </w:rPr>
        <w:t> </w:t>
      </w:r>
    </w:p>
    <w:p w14:paraId="03FEAAA7"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Financial performance analysis is the key accounting process to analyse the past performance and financial health attained by a business during the year. The report is all about the assessment of the financial performance of Unilever for the last five years from 2019 to 2023. Hence, the financial ratio is the key accounting tool to judge the financial performance and financial position of the business (</w:t>
      </w:r>
      <w:proofErr w:type="spellStart"/>
      <w:r w:rsidRPr="00A01271">
        <w:rPr>
          <w:rFonts w:asciiTheme="majorBidi" w:hAnsiTheme="majorBidi" w:cstheme="majorBidi"/>
          <w:sz w:val="24"/>
          <w:szCs w:val="24"/>
          <w:lang w:val="en-GB"/>
        </w:rPr>
        <w:t>Fridson</w:t>
      </w:r>
      <w:proofErr w:type="spellEnd"/>
      <w:r w:rsidRPr="00A01271">
        <w:rPr>
          <w:rFonts w:asciiTheme="majorBidi" w:hAnsiTheme="majorBidi" w:cstheme="majorBidi"/>
          <w:sz w:val="24"/>
          <w:szCs w:val="24"/>
          <w:lang w:val="en-GB"/>
        </w:rPr>
        <w:t xml:space="preserve"> and Alvarez, 2022). Financial ratios can be defined as an accounting matrix to showcase the relationship among financial data of past years of the firm. The primary importance of financial ratios is to highlight the overall performance of the business by providing different ratio classes. For instance, </w:t>
      </w:r>
      <w:r w:rsidRPr="00A01271">
        <w:rPr>
          <w:rFonts w:asciiTheme="majorBidi" w:hAnsiTheme="majorBidi" w:cstheme="majorBidi"/>
          <w:b/>
          <w:bCs/>
          <w:i/>
          <w:iCs/>
          <w:sz w:val="24"/>
          <w:szCs w:val="24"/>
          <w:lang w:val="en-GB"/>
        </w:rPr>
        <w:t>profitability, liquidity, efficiency, and gearing ratios</w:t>
      </w:r>
      <w:r w:rsidRPr="00A01271">
        <w:rPr>
          <w:rFonts w:asciiTheme="majorBidi" w:hAnsiTheme="majorBidi" w:cstheme="majorBidi"/>
          <w:sz w:val="24"/>
          <w:szCs w:val="24"/>
          <w:lang w:val="en-GB"/>
        </w:rPr>
        <w:t xml:space="preserve"> are part of financial ratios which highlight the overall earnings, debt payment ability, efficacy in operations, and risk position of the business (Palepu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The computation has been made for the last five years starting from 2019 to 2023, which has been crucial to showcase the relationship among financial values of the past five years and generate financial outcomes. Hence, the computations of financial ratios along with separate illustrations of all ratio classes have been highlighted below to create an understanding of Unilever’s performance over the last five years (2019-2023).    </w:t>
      </w:r>
    </w:p>
    <w:p w14:paraId="5BE57746" w14:textId="77777777" w:rsidR="00287950" w:rsidRPr="00A01271" w:rsidRDefault="00287950" w:rsidP="00287950">
      <w:pPr>
        <w:pStyle w:val="Heading2"/>
        <w:spacing w:before="240" w:after="160"/>
        <w:rPr>
          <w:rFonts w:asciiTheme="majorBidi" w:hAnsiTheme="majorBidi"/>
          <w:lang w:val="en-GB"/>
        </w:rPr>
      </w:pPr>
      <w:bookmarkStart w:id="4" w:name="_Toc172407288"/>
      <w:r w:rsidRPr="00A01271">
        <w:rPr>
          <w:rFonts w:asciiTheme="majorBidi" w:hAnsiTheme="majorBidi"/>
          <w:lang w:val="en-GB"/>
        </w:rPr>
        <w:t>Calculation of financial ratios</w:t>
      </w:r>
      <w:bookmarkEnd w:id="4"/>
      <w:r w:rsidRPr="00A01271">
        <w:rPr>
          <w:rFonts w:asciiTheme="majorBidi" w:hAnsiTheme="majorBidi"/>
          <w:lang w:val="en-GB"/>
        </w:rPr>
        <w:t> </w:t>
      </w:r>
    </w:p>
    <w:tbl>
      <w:tblPr>
        <w:tblW w:w="5000" w:type="pct"/>
        <w:tblLook w:val="04A0" w:firstRow="1" w:lastRow="0" w:firstColumn="1" w:lastColumn="0" w:noHBand="0" w:noVBand="1"/>
      </w:tblPr>
      <w:tblGrid>
        <w:gridCol w:w="1654"/>
        <w:gridCol w:w="995"/>
        <w:gridCol w:w="995"/>
        <w:gridCol w:w="840"/>
        <w:gridCol w:w="840"/>
        <w:gridCol w:w="878"/>
        <w:gridCol w:w="1459"/>
        <w:gridCol w:w="1355"/>
      </w:tblGrid>
      <w:tr w:rsidR="00287950" w:rsidRPr="00A01271" w14:paraId="42647408" w14:textId="77777777" w:rsidTr="00633414">
        <w:trPr>
          <w:trHeight w:val="450"/>
        </w:trPr>
        <w:tc>
          <w:tcPr>
            <w:tcW w:w="5000" w:type="pct"/>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D9186"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FINANCIAL RATIOS </w:t>
            </w:r>
          </w:p>
        </w:tc>
      </w:tr>
      <w:tr w:rsidR="00287950" w:rsidRPr="00A01271" w14:paraId="5BEADCEB" w14:textId="77777777" w:rsidTr="00633414">
        <w:trPr>
          <w:trHeight w:val="450"/>
        </w:trPr>
        <w:tc>
          <w:tcPr>
            <w:tcW w:w="5000" w:type="pct"/>
            <w:gridSpan w:val="8"/>
            <w:vMerge/>
            <w:tcBorders>
              <w:top w:val="single" w:sz="4" w:space="0" w:color="auto"/>
              <w:left w:val="single" w:sz="4" w:space="0" w:color="auto"/>
              <w:bottom w:val="single" w:sz="4" w:space="0" w:color="auto"/>
              <w:right w:val="single" w:sz="4" w:space="0" w:color="auto"/>
            </w:tcBorders>
            <w:vAlign w:val="center"/>
            <w:hideMark/>
          </w:tcPr>
          <w:p w14:paraId="22C43325"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2597DF71" w14:textId="77777777" w:rsidTr="00633414">
        <w:trPr>
          <w:trHeight w:val="312"/>
        </w:trPr>
        <w:tc>
          <w:tcPr>
            <w:tcW w:w="92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2A1257"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Ratios</w:t>
            </w:r>
          </w:p>
        </w:tc>
        <w:tc>
          <w:tcPr>
            <w:tcW w:w="4080" w:type="pct"/>
            <w:gridSpan w:val="7"/>
            <w:tcBorders>
              <w:top w:val="single" w:sz="4" w:space="0" w:color="auto"/>
              <w:left w:val="nil"/>
              <w:bottom w:val="single" w:sz="4" w:space="0" w:color="auto"/>
              <w:right w:val="single" w:sz="4" w:space="0" w:color="auto"/>
            </w:tcBorders>
            <w:shd w:val="clear" w:color="auto" w:fill="auto"/>
            <w:noWrap/>
            <w:vAlign w:val="center"/>
            <w:hideMark/>
          </w:tcPr>
          <w:p w14:paraId="550E6DD1"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UNILEVER PLC </w:t>
            </w:r>
          </w:p>
        </w:tc>
      </w:tr>
      <w:tr w:rsidR="00287950" w:rsidRPr="00A01271" w14:paraId="35BAC21B" w14:textId="77777777" w:rsidTr="00633414">
        <w:trPr>
          <w:trHeight w:val="312"/>
        </w:trPr>
        <w:tc>
          <w:tcPr>
            <w:tcW w:w="920" w:type="pct"/>
            <w:vMerge/>
            <w:tcBorders>
              <w:top w:val="nil"/>
              <w:left w:val="single" w:sz="4" w:space="0" w:color="auto"/>
              <w:bottom w:val="single" w:sz="4" w:space="0" w:color="auto"/>
              <w:right w:val="single" w:sz="4" w:space="0" w:color="auto"/>
            </w:tcBorders>
            <w:vAlign w:val="center"/>
            <w:hideMark/>
          </w:tcPr>
          <w:p w14:paraId="4E63B6D6"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c>
          <w:tcPr>
            <w:tcW w:w="554" w:type="pct"/>
            <w:tcBorders>
              <w:top w:val="nil"/>
              <w:left w:val="nil"/>
              <w:bottom w:val="single" w:sz="4" w:space="0" w:color="auto"/>
              <w:right w:val="single" w:sz="4" w:space="0" w:color="auto"/>
            </w:tcBorders>
            <w:shd w:val="clear" w:color="auto" w:fill="auto"/>
            <w:noWrap/>
            <w:vAlign w:val="center"/>
            <w:hideMark/>
          </w:tcPr>
          <w:p w14:paraId="6269FFD7"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2023</w:t>
            </w:r>
          </w:p>
        </w:tc>
        <w:tc>
          <w:tcPr>
            <w:tcW w:w="554" w:type="pct"/>
            <w:tcBorders>
              <w:top w:val="nil"/>
              <w:left w:val="nil"/>
              <w:bottom w:val="single" w:sz="4" w:space="0" w:color="auto"/>
              <w:right w:val="single" w:sz="4" w:space="0" w:color="auto"/>
            </w:tcBorders>
            <w:shd w:val="clear" w:color="auto" w:fill="auto"/>
            <w:noWrap/>
            <w:vAlign w:val="center"/>
            <w:hideMark/>
          </w:tcPr>
          <w:p w14:paraId="1788BB9E"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2022</w:t>
            </w:r>
          </w:p>
        </w:tc>
        <w:tc>
          <w:tcPr>
            <w:tcW w:w="468" w:type="pct"/>
            <w:tcBorders>
              <w:top w:val="nil"/>
              <w:left w:val="nil"/>
              <w:bottom w:val="single" w:sz="4" w:space="0" w:color="auto"/>
              <w:right w:val="single" w:sz="4" w:space="0" w:color="auto"/>
            </w:tcBorders>
            <w:shd w:val="clear" w:color="auto" w:fill="auto"/>
            <w:noWrap/>
            <w:vAlign w:val="center"/>
            <w:hideMark/>
          </w:tcPr>
          <w:p w14:paraId="73924E13"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2021</w:t>
            </w:r>
          </w:p>
        </w:tc>
        <w:tc>
          <w:tcPr>
            <w:tcW w:w="468" w:type="pct"/>
            <w:tcBorders>
              <w:top w:val="nil"/>
              <w:left w:val="nil"/>
              <w:bottom w:val="single" w:sz="4" w:space="0" w:color="auto"/>
              <w:right w:val="single" w:sz="4" w:space="0" w:color="auto"/>
            </w:tcBorders>
            <w:shd w:val="clear" w:color="auto" w:fill="auto"/>
            <w:noWrap/>
            <w:vAlign w:val="center"/>
            <w:hideMark/>
          </w:tcPr>
          <w:p w14:paraId="4ECA1926"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2020</w:t>
            </w:r>
          </w:p>
        </w:tc>
        <w:tc>
          <w:tcPr>
            <w:tcW w:w="489" w:type="pct"/>
            <w:tcBorders>
              <w:top w:val="nil"/>
              <w:left w:val="nil"/>
              <w:bottom w:val="single" w:sz="4" w:space="0" w:color="auto"/>
              <w:right w:val="single" w:sz="4" w:space="0" w:color="auto"/>
            </w:tcBorders>
            <w:shd w:val="clear" w:color="auto" w:fill="auto"/>
            <w:noWrap/>
            <w:vAlign w:val="center"/>
            <w:hideMark/>
          </w:tcPr>
          <w:p w14:paraId="3A33B686"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2019</w:t>
            </w:r>
          </w:p>
        </w:tc>
        <w:tc>
          <w:tcPr>
            <w:tcW w:w="793" w:type="pct"/>
            <w:tcBorders>
              <w:top w:val="nil"/>
              <w:left w:val="nil"/>
              <w:bottom w:val="single" w:sz="4" w:space="0" w:color="auto"/>
              <w:right w:val="single" w:sz="4" w:space="0" w:color="auto"/>
            </w:tcBorders>
            <w:shd w:val="clear" w:color="auto" w:fill="auto"/>
            <w:noWrap/>
            <w:vAlign w:val="center"/>
            <w:hideMark/>
          </w:tcPr>
          <w:p w14:paraId="6CEE05D9"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Company Average</w:t>
            </w:r>
          </w:p>
        </w:tc>
        <w:tc>
          <w:tcPr>
            <w:tcW w:w="755" w:type="pct"/>
            <w:tcBorders>
              <w:top w:val="nil"/>
              <w:left w:val="nil"/>
              <w:bottom w:val="single" w:sz="4" w:space="0" w:color="auto"/>
              <w:right w:val="single" w:sz="4" w:space="0" w:color="auto"/>
            </w:tcBorders>
            <w:shd w:val="clear" w:color="auto" w:fill="auto"/>
            <w:noWrap/>
            <w:vAlign w:val="center"/>
            <w:hideMark/>
          </w:tcPr>
          <w:p w14:paraId="02634781"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Industry average</w:t>
            </w:r>
          </w:p>
        </w:tc>
      </w:tr>
      <w:tr w:rsidR="00287950" w:rsidRPr="00A01271" w14:paraId="75AFABFC"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58B56006"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Profitability ratios</w:t>
            </w:r>
          </w:p>
        </w:tc>
        <w:tc>
          <w:tcPr>
            <w:tcW w:w="554" w:type="pct"/>
            <w:tcBorders>
              <w:top w:val="nil"/>
              <w:left w:val="nil"/>
              <w:bottom w:val="single" w:sz="4" w:space="0" w:color="auto"/>
              <w:right w:val="single" w:sz="4" w:space="0" w:color="auto"/>
            </w:tcBorders>
            <w:shd w:val="clear" w:color="auto" w:fill="auto"/>
            <w:noWrap/>
            <w:vAlign w:val="center"/>
            <w:hideMark/>
          </w:tcPr>
          <w:p w14:paraId="4131AB5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554" w:type="pct"/>
            <w:tcBorders>
              <w:top w:val="nil"/>
              <w:left w:val="nil"/>
              <w:bottom w:val="single" w:sz="4" w:space="0" w:color="auto"/>
              <w:right w:val="single" w:sz="4" w:space="0" w:color="auto"/>
            </w:tcBorders>
            <w:shd w:val="clear" w:color="auto" w:fill="auto"/>
            <w:noWrap/>
            <w:vAlign w:val="center"/>
            <w:hideMark/>
          </w:tcPr>
          <w:p w14:paraId="2986BDF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3132574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734B925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89" w:type="pct"/>
            <w:tcBorders>
              <w:top w:val="nil"/>
              <w:left w:val="nil"/>
              <w:bottom w:val="single" w:sz="4" w:space="0" w:color="auto"/>
              <w:right w:val="single" w:sz="4" w:space="0" w:color="auto"/>
            </w:tcBorders>
            <w:shd w:val="clear" w:color="auto" w:fill="auto"/>
            <w:noWrap/>
            <w:vAlign w:val="center"/>
            <w:hideMark/>
          </w:tcPr>
          <w:p w14:paraId="3538FE8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93" w:type="pct"/>
            <w:tcBorders>
              <w:top w:val="nil"/>
              <w:left w:val="nil"/>
              <w:bottom w:val="single" w:sz="4" w:space="0" w:color="auto"/>
              <w:right w:val="single" w:sz="4" w:space="0" w:color="auto"/>
            </w:tcBorders>
            <w:shd w:val="clear" w:color="auto" w:fill="auto"/>
            <w:noWrap/>
            <w:vAlign w:val="center"/>
            <w:hideMark/>
          </w:tcPr>
          <w:p w14:paraId="66883CA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55" w:type="pct"/>
            <w:tcBorders>
              <w:top w:val="nil"/>
              <w:left w:val="nil"/>
              <w:bottom w:val="single" w:sz="4" w:space="0" w:color="auto"/>
              <w:right w:val="single" w:sz="4" w:space="0" w:color="auto"/>
            </w:tcBorders>
            <w:shd w:val="clear" w:color="auto" w:fill="auto"/>
            <w:noWrap/>
            <w:vAlign w:val="center"/>
            <w:hideMark/>
          </w:tcPr>
          <w:p w14:paraId="138BCFC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r>
      <w:tr w:rsidR="00287950" w:rsidRPr="00A01271" w14:paraId="7BF7F337"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6F65CB72"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Gross profit ratio</w:t>
            </w:r>
          </w:p>
        </w:tc>
        <w:tc>
          <w:tcPr>
            <w:tcW w:w="554" w:type="pct"/>
            <w:tcBorders>
              <w:top w:val="nil"/>
              <w:left w:val="nil"/>
              <w:bottom w:val="single" w:sz="4" w:space="0" w:color="auto"/>
              <w:right w:val="single" w:sz="4" w:space="0" w:color="auto"/>
            </w:tcBorders>
            <w:shd w:val="clear" w:color="auto" w:fill="auto"/>
            <w:noWrap/>
            <w:vAlign w:val="center"/>
            <w:hideMark/>
          </w:tcPr>
          <w:p w14:paraId="2F3AB9A5"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16.37</w:t>
            </w:r>
          </w:p>
        </w:tc>
        <w:tc>
          <w:tcPr>
            <w:tcW w:w="554" w:type="pct"/>
            <w:tcBorders>
              <w:top w:val="nil"/>
              <w:left w:val="nil"/>
              <w:bottom w:val="single" w:sz="4" w:space="0" w:color="auto"/>
              <w:right w:val="single" w:sz="4" w:space="0" w:color="auto"/>
            </w:tcBorders>
            <w:shd w:val="clear" w:color="auto" w:fill="auto"/>
            <w:noWrap/>
            <w:vAlign w:val="center"/>
            <w:hideMark/>
          </w:tcPr>
          <w:p w14:paraId="7AF0B1B3"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17.90</w:t>
            </w:r>
          </w:p>
        </w:tc>
        <w:tc>
          <w:tcPr>
            <w:tcW w:w="468" w:type="pct"/>
            <w:tcBorders>
              <w:top w:val="nil"/>
              <w:left w:val="nil"/>
              <w:bottom w:val="single" w:sz="4" w:space="0" w:color="auto"/>
              <w:right w:val="single" w:sz="4" w:space="0" w:color="auto"/>
            </w:tcBorders>
            <w:shd w:val="clear" w:color="auto" w:fill="auto"/>
            <w:noWrap/>
            <w:vAlign w:val="center"/>
            <w:hideMark/>
          </w:tcPr>
          <w:p w14:paraId="7EDE1A2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16.59</w:t>
            </w:r>
          </w:p>
        </w:tc>
        <w:tc>
          <w:tcPr>
            <w:tcW w:w="468" w:type="pct"/>
            <w:tcBorders>
              <w:top w:val="nil"/>
              <w:left w:val="nil"/>
              <w:bottom w:val="single" w:sz="4" w:space="0" w:color="auto"/>
              <w:right w:val="single" w:sz="4" w:space="0" w:color="auto"/>
            </w:tcBorders>
            <w:shd w:val="clear" w:color="auto" w:fill="auto"/>
            <w:noWrap/>
            <w:vAlign w:val="center"/>
            <w:hideMark/>
          </w:tcPr>
          <w:p w14:paraId="299E73BB"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16.37</w:t>
            </w:r>
          </w:p>
        </w:tc>
        <w:tc>
          <w:tcPr>
            <w:tcW w:w="489" w:type="pct"/>
            <w:tcBorders>
              <w:top w:val="nil"/>
              <w:left w:val="nil"/>
              <w:bottom w:val="single" w:sz="4" w:space="0" w:color="auto"/>
              <w:right w:val="single" w:sz="4" w:space="0" w:color="auto"/>
            </w:tcBorders>
            <w:shd w:val="clear" w:color="auto" w:fill="auto"/>
            <w:noWrap/>
            <w:vAlign w:val="center"/>
            <w:hideMark/>
          </w:tcPr>
          <w:p w14:paraId="3ECAA8DF"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16.75</w:t>
            </w:r>
          </w:p>
        </w:tc>
        <w:tc>
          <w:tcPr>
            <w:tcW w:w="793" w:type="pct"/>
            <w:tcBorders>
              <w:top w:val="nil"/>
              <w:left w:val="nil"/>
              <w:bottom w:val="single" w:sz="4" w:space="0" w:color="auto"/>
              <w:right w:val="single" w:sz="4" w:space="0" w:color="auto"/>
            </w:tcBorders>
            <w:shd w:val="clear" w:color="auto" w:fill="auto"/>
            <w:noWrap/>
            <w:vAlign w:val="center"/>
            <w:hideMark/>
          </w:tcPr>
          <w:p w14:paraId="7FBD47FA"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16.80</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B7F414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5.70</w:t>
            </w:r>
          </w:p>
        </w:tc>
      </w:tr>
      <w:tr w:rsidR="00287950" w:rsidRPr="00A01271" w14:paraId="040023DF"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23A8E8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 xml:space="preserve">Gross profit  </w:t>
            </w:r>
          </w:p>
        </w:tc>
        <w:tc>
          <w:tcPr>
            <w:tcW w:w="554" w:type="pct"/>
            <w:tcBorders>
              <w:top w:val="nil"/>
              <w:left w:val="nil"/>
              <w:bottom w:val="single" w:sz="4" w:space="0" w:color="auto"/>
              <w:right w:val="single" w:sz="4" w:space="0" w:color="auto"/>
            </w:tcBorders>
            <w:shd w:val="clear" w:color="auto" w:fill="auto"/>
            <w:noWrap/>
            <w:vAlign w:val="center"/>
            <w:hideMark/>
          </w:tcPr>
          <w:p w14:paraId="4B7B7D9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9,758 </w:t>
            </w:r>
          </w:p>
        </w:tc>
        <w:tc>
          <w:tcPr>
            <w:tcW w:w="554" w:type="pct"/>
            <w:tcBorders>
              <w:top w:val="nil"/>
              <w:left w:val="nil"/>
              <w:bottom w:val="single" w:sz="4" w:space="0" w:color="auto"/>
              <w:right w:val="single" w:sz="4" w:space="0" w:color="auto"/>
            </w:tcBorders>
            <w:shd w:val="clear" w:color="auto" w:fill="auto"/>
            <w:noWrap/>
            <w:vAlign w:val="center"/>
            <w:hideMark/>
          </w:tcPr>
          <w:p w14:paraId="5B8D862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10,755 </w:t>
            </w:r>
          </w:p>
        </w:tc>
        <w:tc>
          <w:tcPr>
            <w:tcW w:w="468" w:type="pct"/>
            <w:tcBorders>
              <w:top w:val="nil"/>
              <w:left w:val="nil"/>
              <w:bottom w:val="single" w:sz="4" w:space="0" w:color="auto"/>
              <w:right w:val="single" w:sz="4" w:space="0" w:color="auto"/>
            </w:tcBorders>
            <w:shd w:val="clear" w:color="auto" w:fill="auto"/>
            <w:noWrap/>
            <w:vAlign w:val="center"/>
            <w:hideMark/>
          </w:tcPr>
          <w:p w14:paraId="5F6196B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8,702 </w:t>
            </w:r>
          </w:p>
        </w:tc>
        <w:tc>
          <w:tcPr>
            <w:tcW w:w="468" w:type="pct"/>
            <w:tcBorders>
              <w:top w:val="nil"/>
              <w:left w:val="nil"/>
              <w:bottom w:val="single" w:sz="4" w:space="0" w:color="auto"/>
              <w:right w:val="single" w:sz="4" w:space="0" w:color="auto"/>
            </w:tcBorders>
            <w:shd w:val="clear" w:color="auto" w:fill="auto"/>
            <w:noWrap/>
            <w:vAlign w:val="center"/>
            <w:hideMark/>
          </w:tcPr>
          <w:p w14:paraId="3DE0861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8,303 </w:t>
            </w:r>
          </w:p>
        </w:tc>
        <w:tc>
          <w:tcPr>
            <w:tcW w:w="489" w:type="pct"/>
            <w:tcBorders>
              <w:top w:val="nil"/>
              <w:left w:val="nil"/>
              <w:bottom w:val="single" w:sz="4" w:space="0" w:color="auto"/>
              <w:right w:val="single" w:sz="4" w:space="0" w:color="auto"/>
            </w:tcBorders>
            <w:shd w:val="clear" w:color="auto" w:fill="auto"/>
            <w:noWrap/>
            <w:vAlign w:val="center"/>
            <w:hideMark/>
          </w:tcPr>
          <w:p w14:paraId="6984C10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8,708 </w:t>
            </w:r>
          </w:p>
        </w:tc>
        <w:tc>
          <w:tcPr>
            <w:tcW w:w="793" w:type="pct"/>
            <w:tcBorders>
              <w:top w:val="nil"/>
              <w:left w:val="nil"/>
              <w:bottom w:val="single" w:sz="4" w:space="0" w:color="auto"/>
              <w:right w:val="single" w:sz="4" w:space="0" w:color="auto"/>
            </w:tcBorders>
            <w:shd w:val="clear" w:color="auto" w:fill="auto"/>
            <w:noWrap/>
            <w:vAlign w:val="center"/>
            <w:hideMark/>
          </w:tcPr>
          <w:p w14:paraId="24EDE48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9,245 </w:t>
            </w:r>
          </w:p>
        </w:tc>
        <w:tc>
          <w:tcPr>
            <w:tcW w:w="755" w:type="pct"/>
            <w:vMerge/>
            <w:tcBorders>
              <w:top w:val="nil"/>
              <w:left w:val="single" w:sz="4" w:space="0" w:color="auto"/>
              <w:bottom w:val="single" w:sz="4" w:space="0" w:color="000000"/>
              <w:right w:val="single" w:sz="4" w:space="0" w:color="auto"/>
            </w:tcBorders>
            <w:vAlign w:val="center"/>
            <w:hideMark/>
          </w:tcPr>
          <w:p w14:paraId="55644D8E"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094A1642"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146CC8F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Sales </w:t>
            </w:r>
          </w:p>
        </w:tc>
        <w:tc>
          <w:tcPr>
            <w:tcW w:w="554" w:type="pct"/>
            <w:tcBorders>
              <w:top w:val="nil"/>
              <w:left w:val="nil"/>
              <w:bottom w:val="single" w:sz="4" w:space="0" w:color="auto"/>
              <w:right w:val="single" w:sz="4" w:space="0" w:color="auto"/>
            </w:tcBorders>
            <w:shd w:val="clear" w:color="auto" w:fill="auto"/>
            <w:noWrap/>
            <w:vAlign w:val="center"/>
            <w:hideMark/>
          </w:tcPr>
          <w:p w14:paraId="2C66E3A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59,604 </w:t>
            </w:r>
          </w:p>
        </w:tc>
        <w:tc>
          <w:tcPr>
            <w:tcW w:w="554" w:type="pct"/>
            <w:tcBorders>
              <w:top w:val="nil"/>
              <w:left w:val="nil"/>
              <w:bottom w:val="single" w:sz="4" w:space="0" w:color="auto"/>
              <w:right w:val="single" w:sz="4" w:space="0" w:color="auto"/>
            </w:tcBorders>
            <w:shd w:val="clear" w:color="auto" w:fill="auto"/>
            <w:noWrap/>
            <w:vAlign w:val="center"/>
            <w:hideMark/>
          </w:tcPr>
          <w:p w14:paraId="0239614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60,073 </w:t>
            </w:r>
          </w:p>
        </w:tc>
        <w:tc>
          <w:tcPr>
            <w:tcW w:w="468" w:type="pct"/>
            <w:tcBorders>
              <w:top w:val="nil"/>
              <w:left w:val="nil"/>
              <w:bottom w:val="single" w:sz="4" w:space="0" w:color="auto"/>
              <w:right w:val="single" w:sz="4" w:space="0" w:color="auto"/>
            </w:tcBorders>
            <w:shd w:val="clear" w:color="auto" w:fill="auto"/>
            <w:noWrap/>
            <w:vAlign w:val="center"/>
            <w:hideMark/>
          </w:tcPr>
          <w:p w14:paraId="6E55BD2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52,444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6A47662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50,724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5025D76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51,980 </w:t>
            </w:r>
          </w:p>
        </w:tc>
        <w:tc>
          <w:tcPr>
            <w:tcW w:w="793" w:type="pct"/>
            <w:tcBorders>
              <w:top w:val="nil"/>
              <w:left w:val="nil"/>
              <w:bottom w:val="single" w:sz="4" w:space="0" w:color="auto"/>
              <w:right w:val="single" w:sz="4" w:space="0" w:color="auto"/>
            </w:tcBorders>
            <w:shd w:val="clear" w:color="auto" w:fill="auto"/>
            <w:noWrap/>
            <w:vAlign w:val="center"/>
            <w:hideMark/>
          </w:tcPr>
          <w:p w14:paraId="56C66FD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54,965 </w:t>
            </w:r>
          </w:p>
        </w:tc>
        <w:tc>
          <w:tcPr>
            <w:tcW w:w="755" w:type="pct"/>
            <w:vMerge/>
            <w:tcBorders>
              <w:top w:val="nil"/>
              <w:left w:val="single" w:sz="4" w:space="0" w:color="auto"/>
              <w:bottom w:val="single" w:sz="4" w:space="0" w:color="000000"/>
              <w:right w:val="single" w:sz="4" w:space="0" w:color="auto"/>
            </w:tcBorders>
            <w:vAlign w:val="center"/>
            <w:hideMark/>
          </w:tcPr>
          <w:p w14:paraId="15BCDBD4"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31ADF144"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A4484F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(GP/</w:t>
            </w:r>
            <w:proofErr w:type="gramStart"/>
            <w:r w:rsidRPr="00A01271">
              <w:rPr>
                <w:rFonts w:asciiTheme="majorBidi" w:eastAsia="Times New Roman" w:hAnsiTheme="majorBidi" w:cstheme="majorBidi"/>
                <w:kern w:val="0"/>
                <w:sz w:val="24"/>
                <w:szCs w:val="24"/>
                <w:lang w:val="en-GB" w:eastAsia="en-IN"/>
                <w14:ligatures w14:val="none"/>
              </w:rPr>
              <w:t>Sales)*</w:t>
            </w:r>
            <w:proofErr w:type="gramEnd"/>
            <w:r w:rsidRPr="00A01271">
              <w:rPr>
                <w:rFonts w:asciiTheme="majorBidi" w:eastAsia="Times New Roman" w:hAnsiTheme="majorBidi" w:cstheme="majorBidi"/>
                <w:kern w:val="0"/>
                <w:sz w:val="24"/>
                <w:szCs w:val="24"/>
                <w:lang w:val="en-GB" w:eastAsia="en-IN"/>
                <w14:ligatures w14:val="none"/>
              </w:rPr>
              <w:t>100</w:t>
            </w:r>
          </w:p>
        </w:tc>
      </w:tr>
      <w:tr w:rsidR="00287950" w:rsidRPr="00A01271" w14:paraId="49891094"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90D892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Net profit ratio</w:t>
            </w:r>
          </w:p>
        </w:tc>
        <w:tc>
          <w:tcPr>
            <w:tcW w:w="554" w:type="pct"/>
            <w:tcBorders>
              <w:top w:val="nil"/>
              <w:left w:val="nil"/>
              <w:bottom w:val="single" w:sz="4" w:space="0" w:color="auto"/>
              <w:right w:val="single" w:sz="4" w:space="0" w:color="auto"/>
            </w:tcBorders>
            <w:shd w:val="clear" w:color="auto" w:fill="auto"/>
            <w:noWrap/>
            <w:vAlign w:val="center"/>
            <w:hideMark/>
          </w:tcPr>
          <w:p w14:paraId="17539A0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11.98</w:t>
            </w:r>
          </w:p>
        </w:tc>
        <w:tc>
          <w:tcPr>
            <w:tcW w:w="554" w:type="pct"/>
            <w:tcBorders>
              <w:top w:val="nil"/>
              <w:left w:val="nil"/>
              <w:bottom w:val="single" w:sz="4" w:space="0" w:color="auto"/>
              <w:right w:val="single" w:sz="4" w:space="0" w:color="auto"/>
            </w:tcBorders>
            <w:shd w:val="clear" w:color="auto" w:fill="auto"/>
            <w:noWrap/>
            <w:vAlign w:val="center"/>
            <w:hideMark/>
          </w:tcPr>
          <w:p w14:paraId="7D47BD26"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13.76</w:t>
            </w:r>
          </w:p>
        </w:tc>
        <w:tc>
          <w:tcPr>
            <w:tcW w:w="468" w:type="pct"/>
            <w:tcBorders>
              <w:top w:val="nil"/>
              <w:left w:val="nil"/>
              <w:bottom w:val="single" w:sz="4" w:space="0" w:color="auto"/>
              <w:right w:val="single" w:sz="4" w:space="0" w:color="auto"/>
            </w:tcBorders>
            <w:shd w:val="clear" w:color="auto" w:fill="auto"/>
            <w:noWrap/>
            <w:vAlign w:val="center"/>
            <w:hideMark/>
          </w:tcPr>
          <w:p w14:paraId="4430622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12.62</w:t>
            </w:r>
          </w:p>
        </w:tc>
        <w:tc>
          <w:tcPr>
            <w:tcW w:w="468" w:type="pct"/>
            <w:tcBorders>
              <w:top w:val="nil"/>
              <w:left w:val="nil"/>
              <w:bottom w:val="single" w:sz="4" w:space="0" w:color="auto"/>
              <w:right w:val="single" w:sz="4" w:space="0" w:color="auto"/>
            </w:tcBorders>
            <w:shd w:val="clear" w:color="auto" w:fill="auto"/>
            <w:noWrap/>
            <w:vAlign w:val="center"/>
            <w:hideMark/>
          </w:tcPr>
          <w:p w14:paraId="0F314144"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11.97</w:t>
            </w:r>
          </w:p>
        </w:tc>
        <w:tc>
          <w:tcPr>
            <w:tcW w:w="489" w:type="pct"/>
            <w:tcBorders>
              <w:top w:val="nil"/>
              <w:left w:val="nil"/>
              <w:bottom w:val="single" w:sz="4" w:space="0" w:color="auto"/>
              <w:right w:val="single" w:sz="4" w:space="0" w:color="auto"/>
            </w:tcBorders>
            <w:shd w:val="clear" w:color="auto" w:fill="auto"/>
            <w:noWrap/>
            <w:vAlign w:val="center"/>
            <w:hideMark/>
          </w:tcPr>
          <w:p w14:paraId="6FA186CC"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11.59</w:t>
            </w:r>
          </w:p>
        </w:tc>
        <w:tc>
          <w:tcPr>
            <w:tcW w:w="793" w:type="pct"/>
            <w:tcBorders>
              <w:top w:val="nil"/>
              <w:left w:val="nil"/>
              <w:bottom w:val="single" w:sz="4" w:space="0" w:color="auto"/>
              <w:right w:val="single" w:sz="4" w:space="0" w:color="auto"/>
            </w:tcBorders>
            <w:shd w:val="clear" w:color="auto" w:fill="auto"/>
            <w:noWrap/>
            <w:vAlign w:val="center"/>
            <w:hideMark/>
          </w:tcPr>
          <w:p w14:paraId="22BD29AF"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12.39</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DF4F5D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4.10</w:t>
            </w:r>
          </w:p>
        </w:tc>
      </w:tr>
      <w:tr w:rsidR="00287950" w:rsidRPr="00A01271" w14:paraId="6FC13640"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2A4DC9D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Net profit  </w:t>
            </w:r>
          </w:p>
        </w:tc>
        <w:tc>
          <w:tcPr>
            <w:tcW w:w="554" w:type="pct"/>
            <w:tcBorders>
              <w:top w:val="nil"/>
              <w:left w:val="nil"/>
              <w:bottom w:val="single" w:sz="4" w:space="0" w:color="auto"/>
              <w:right w:val="single" w:sz="4" w:space="0" w:color="auto"/>
            </w:tcBorders>
            <w:shd w:val="clear" w:color="auto" w:fill="auto"/>
            <w:noWrap/>
            <w:vAlign w:val="center"/>
            <w:hideMark/>
          </w:tcPr>
          <w:p w14:paraId="05443EC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7,140 </w:t>
            </w:r>
          </w:p>
        </w:tc>
        <w:tc>
          <w:tcPr>
            <w:tcW w:w="554" w:type="pct"/>
            <w:tcBorders>
              <w:top w:val="nil"/>
              <w:left w:val="nil"/>
              <w:bottom w:val="single" w:sz="4" w:space="0" w:color="auto"/>
              <w:right w:val="single" w:sz="4" w:space="0" w:color="auto"/>
            </w:tcBorders>
            <w:shd w:val="clear" w:color="auto" w:fill="auto"/>
            <w:noWrap/>
            <w:vAlign w:val="center"/>
            <w:hideMark/>
          </w:tcPr>
          <w:p w14:paraId="262928B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8,269 </w:t>
            </w:r>
          </w:p>
        </w:tc>
        <w:tc>
          <w:tcPr>
            <w:tcW w:w="468" w:type="pct"/>
            <w:tcBorders>
              <w:top w:val="nil"/>
              <w:left w:val="nil"/>
              <w:bottom w:val="single" w:sz="4" w:space="0" w:color="auto"/>
              <w:right w:val="single" w:sz="4" w:space="0" w:color="auto"/>
            </w:tcBorders>
            <w:shd w:val="clear" w:color="auto" w:fill="auto"/>
            <w:noWrap/>
            <w:vAlign w:val="center"/>
            <w:hideMark/>
          </w:tcPr>
          <w:p w14:paraId="140AE45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6,621 </w:t>
            </w:r>
          </w:p>
        </w:tc>
        <w:tc>
          <w:tcPr>
            <w:tcW w:w="468" w:type="pct"/>
            <w:tcBorders>
              <w:top w:val="nil"/>
              <w:left w:val="nil"/>
              <w:bottom w:val="single" w:sz="4" w:space="0" w:color="auto"/>
              <w:right w:val="single" w:sz="4" w:space="0" w:color="auto"/>
            </w:tcBorders>
            <w:shd w:val="clear" w:color="auto" w:fill="auto"/>
            <w:noWrap/>
            <w:vAlign w:val="center"/>
            <w:hideMark/>
          </w:tcPr>
          <w:p w14:paraId="00E5E55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6,073 </w:t>
            </w:r>
          </w:p>
        </w:tc>
        <w:tc>
          <w:tcPr>
            <w:tcW w:w="489" w:type="pct"/>
            <w:tcBorders>
              <w:top w:val="nil"/>
              <w:left w:val="nil"/>
              <w:bottom w:val="single" w:sz="4" w:space="0" w:color="auto"/>
              <w:right w:val="single" w:sz="4" w:space="0" w:color="auto"/>
            </w:tcBorders>
            <w:shd w:val="clear" w:color="auto" w:fill="auto"/>
            <w:noWrap/>
            <w:vAlign w:val="center"/>
            <w:hideMark/>
          </w:tcPr>
          <w:p w14:paraId="0E9C4CB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6,026 </w:t>
            </w:r>
          </w:p>
        </w:tc>
        <w:tc>
          <w:tcPr>
            <w:tcW w:w="793" w:type="pct"/>
            <w:tcBorders>
              <w:top w:val="nil"/>
              <w:left w:val="nil"/>
              <w:bottom w:val="single" w:sz="4" w:space="0" w:color="auto"/>
              <w:right w:val="single" w:sz="4" w:space="0" w:color="auto"/>
            </w:tcBorders>
            <w:shd w:val="clear" w:color="auto" w:fill="auto"/>
            <w:noWrap/>
            <w:vAlign w:val="center"/>
            <w:hideMark/>
          </w:tcPr>
          <w:p w14:paraId="1D37E9F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6,826 </w:t>
            </w:r>
          </w:p>
        </w:tc>
        <w:tc>
          <w:tcPr>
            <w:tcW w:w="755" w:type="pct"/>
            <w:vMerge/>
            <w:tcBorders>
              <w:top w:val="nil"/>
              <w:left w:val="single" w:sz="4" w:space="0" w:color="auto"/>
              <w:bottom w:val="single" w:sz="4" w:space="0" w:color="000000"/>
              <w:right w:val="single" w:sz="4" w:space="0" w:color="auto"/>
            </w:tcBorders>
            <w:vAlign w:val="center"/>
            <w:hideMark/>
          </w:tcPr>
          <w:p w14:paraId="051773C6"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56F3F1D6"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624B2A1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Sales </w:t>
            </w:r>
          </w:p>
        </w:tc>
        <w:tc>
          <w:tcPr>
            <w:tcW w:w="554" w:type="pct"/>
            <w:tcBorders>
              <w:top w:val="nil"/>
              <w:left w:val="nil"/>
              <w:bottom w:val="single" w:sz="4" w:space="0" w:color="auto"/>
              <w:right w:val="single" w:sz="4" w:space="0" w:color="auto"/>
            </w:tcBorders>
            <w:shd w:val="clear" w:color="auto" w:fill="auto"/>
            <w:noWrap/>
            <w:vAlign w:val="center"/>
            <w:hideMark/>
          </w:tcPr>
          <w:p w14:paraId="789AF87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59,604 </w:t>
            </w:r>
          </w:p>
        </w:tc>
        <w:tc>
          <w:tcPr>
            <w:tcW w:w="554" w:type="pct"/>
            <w:tcBorders>
              <w:top w:val="nil"/>
              <w:left w:val="nil"/>
              <w:bottom w:val="single" w:sz="4" w:space="0" w:color="auto"/>
              <w:right w:val="single" w:sz="4" w:space="0" w:color="auto"/>
            </w:tcBorders>
            <w:shd w:val="clear" w:color="auto" w:fill="auto"/>
            <w:noWrap/>
            <w:vAlign w:val="center"/>
            <w:hideMark/>
          </w:tcPr>
          <w:p w14:paraId="6C39EE7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60,073 </w:t>
            </w:r>
          </w:p>
        </w:tc>
        <w:tc>
          <w:tcPr>
            <w:tcW w:w="468" w:type="pct"/>
            <w:tcBorders>
              <w:top w:val="nil"/>
              <w:left w:val="nil"/>
              <w:bottom w:val="single" w:sz="4" w:space="0" w:color="auto"/>
              <w:right w:val="single" w:sz="4" w:space="0" w:color="auto"/>
            </w:tcBorders>
            <w:shd w:val="clear" w:color="auto" w:fill="auto"/>
            <w:noWrap/>
            <w:vAlign w:val="center"/>
            <w:hideMark/>
          </w:tcPr>
          <w:p w14:paraId="057DA51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52,444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4033522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50,724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0BE454A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51,980 </w:t>
            </w:r>
          </w:p>
        </w:tc>
        <w:tc>
          <w:tcPr>
            <w:tcW w:w="793" w:type="pct"/>
            <w:tcBorders>
              <w:top w:val="nil"/>
              <w:left w:val="nil"/>
              <w:bottom w:val="single" w:sz="4" w:space="0" w:color="auto"/>
              <w:right w:val="single" w:sz="4" w:space="0" w:color="auto"/>
            </w:tcBorders>
            <w:shd w:val="clear" w:color="auto" w:fill="auto"/>
            <w:noWrap/>
            <w:vAlign w:val="center"/>
            <w:hideMark/>
          </w:tcPr>
          <w:p w14:paraId="518F548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54,965 </w:t>
            </w:r>
          </w:p>
        </w:tc>
        <w:tc>
          <w:tcPr>
            <w:tcW w:w="755" w:type="pct"/>
            <w:vMerge/>
            <w:tcBorders>
              <w:top w:val="nil"/>
              <w:left w:val="single" w:sz="4" w:space="0" w:color="auto"/>
              <w:bottom w:val="single" w:sz="4" w:space="0" w:color="000000"/>
              <w:right w:val="single" w:sz="4" w:space="0" w:color="auto"/>
            </w:tcBorders>
            <w:vAlign w:val="center"/>
            <w:hideMark/>
          </w:tcPr>
          <w:p w14:paraId="02AA365B"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5438E461"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791821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(NP/</w:t>
            </w:r>
            <w:proofErr w:type="gramStart"/>
            <w:r w:rsidRPr="00A01271">
              <w:rPr>
                <w:rFonts w:asciiTheme="majorBidi" w:eastAsia="Times New Roman" w:hAnsiTheme="majorBidi" w:cstheme="majorBidi"/>
                <w:kern w:val="0"/>
                <w:sz w:val="24"/>
                <w:szCs w:val="24"/>
                <w:lang w:val="en-GB" w:eastAsia="en-IN"/>
                <w14:ligatures w14:val="none"/>
              </w:rPr>
              <w:t>Sales)*</w:t>
            </w:r>
            <w:proofErr w:type="gramEnd"/>
            <w:r w:rsidRPr="00A01271">
              <w:rPr>
                <w:rFonts w:asciiTheme="majorBidi" w:eastAsia="Times New Roman" w:hAnsiTheme="majorBidi" w:cstheme="majorBidi"/>
                <w:kern w:val="0"/>
                <w:sz w:val="24"/>
                <w:szCs w:val="24"/>
                <w:lang w:val="en-GB" w:eastAsia="en-IN"/>
                <w14:ligatures w14:val="none"/>
              </w:rPr>
              <w:t>100</w:t>
            </w:r>
          </w:p>
        </w:tc>
      </w:tr>
      <w:tr w:rsidR="00287950" w:rsidRPr="00A01271" w14:paraId="7B4A8CAD"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259E3B46"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Liquidity ratios</w:t>
            </w:r>
          </w:p>
        </w:tc>
        <w:tc>
          <w:tcPr>
            <w:tcW w:w="554" w:type="pct"/>
            <w:tcBorders>
              <w:top w:val="nil"/>
              <w:left w:val="nil"/>
              <w:bottom w:val="single" w:sz="4" w:space="0" w:color="auto"/>
              <w:right w:val="single" w:sz="4" w:space="0" w:color="auto"/>
            </w:tcBorders>
            <w:shd w:val="clear" w:color="auto" w:fill="auto"/>
            <w:noWrap/>
            <w:vAlign w:val="center"/>
            <w:hideMark/>
          </w:tcPr>
          <w:p w14:paraId="4254C4B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554" w:type="pct"/>
            <w:tcBorders>
              <w:top w:val="nil"/>
              <w:left w:val="nil"/>
              <w:bottom w:val="single" w:sz="4" w:space="0" w:color="auto"/>
              <w:right w:val="single" w:sz="4" w:space="0" w:color="auto"/>
            </w:tcBorders>
            <w:shd w:val="clear" w:color="auto" w:fill="auto"/>
            <w:noWrap/>
            <w:vAlign w:val="center"/>
            <w:hideMark/>
          </w:tcPr>
          <w:p w14:paraId="490AB97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3B797A5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3E576EB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89" w:type="pct"/>
            <w:tcBorders>
              <w:top w:val="nil"/>
              <w:left w:val="nil"/>
              <w:bottom w:val="single" w:sz="4" w:space="0" w:color="auto"/>
              <w:right w:val="single" w:sz="4" w:space="0" w:color="auto"/>
            </w:tcBorders>
            <w:shd w:val="clear" w:color="auto" w:fill="auto"/>
            <w:noWrap/>
            <w:vAlign w:val="center"/>
            <w:hideMark/>
          </w:tcPr>
          <w:p w14:paraId="3B3E454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93" w:type="pct"/>
            <w:tcBorders>
              <w:top w:val="nil"/>
              <w:left w:val="nil"/>
              <w:bottom w:val="single" w:sz="4" w:space="0" w:color="auto"/>
              <w:right w:val="single" w:sz="4" w:space="0" w:color="auto"/>
            </w:tcBorders>
            <w:shd w:val="clear" w:color="auto" w:fill="auto"/>
            <w:noWrap/>
            <w:vAlign w:val="center"/>
            <w:hideMark/>
          </w:tcPr>
          <w:p w14:paraId="5EF4B1D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55" w:type="pct"/>
            <w:tcBorders>
              <w:top w:val="nil"/>
              <w:left w:val="nil"/>
              <w:bottom w:val="single" w:sz="4" w:space="0" w:color="auto"/>
              <w:right w:val="single" w:sz="4" w:space="0" w:color="auto"/>
            </w:tcBorders>
            <w:shd w:val="clear" w:color="auto" w:fill="auto"/>
            <w:noWrap/>
            <w:vAlign w:val="center"/>
            <w:hideMark/>
          </w:tcPr>
          <w:p w14:paraId="6C57B1B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r>
      <w:tr w:rsidR="00287950" w:rsidRPr="00A01271" w14:paraId="2C6D74C2"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603D423"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Current ratio</w:t>
            </w:r>
          </w:p>
        </w:tc>
        <w:tc>
          <w:tcPr>
            <w:tcW w:w="554" w:type="pct"/>
            <w:tcBorders>
              <w:top w:val="nil"/>
              <w:left w:val="nil"/>
              <w:bottom w:val="single" w:sz="4" w:space="0" w:color="auto"/>
              <w:right w:val="single" w:sz="4" w:space="0" w:color="auto"/>
            </w:tcBorders>
            <w:shd w:val="clear" w:color="auto" w:fill="auto"/>
            <w:noWrap/>
            <w:vAlign w:val="center"/>
            <w:hideMark/>
          </w:tcPr>
          <w:p w14:paraId="0BEE3655"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0.76</w:t>
            </w:r>
          </w:p>
        </w:tc>
        <w:tc>
          <w:tcPr>
            <w:tcW w:w="554" w:type="pct"/>
            <w:tcBorders>
              <w:top w:val="nil"/>
              <w:left w:val="nil"/>
              <w:bottom w:val="single" w:sz="4" w:space="0" w:color="auto"/>
              <w:right w:val="single" w:sz="4" w:space="0" w:color="auto"/>
            </w:tcBorders>
            <w:shd w:val="clear" w:color="auto" w:fill="auto"/>
            <w:noWrap/>
            <w:vAlign w:val="center"/>
            <w:hideMark/>
          </w:tcPr>
          <w:p w14:paraId="4CA718D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0.75</w:t>
            </w:r>
          </w:p>
        </w:tc>
        <w:tc>
          <w:tcPr>
            <w:tcW w:w="468" w:type="pct"/>
            <w:tcBorders>
              <w:top w:val="nil"/>
              <w:left w:val="nil"/>
              <w:bottom w:val="single" w:sz="4" w:space="0" w:color="auto"/>
              <w:right w:val="single" w:sz="4" w:space="0" w:color="auto"/>
            </w:tcBorders>
            <w:shd w:val="clear" w:color="auto" w:fill="auto"/>
            <w:noWrap/>
            <w:vAlign w:val="center"/>
            <w:hideMark/>
          </w:tcPr>
          <w:p w14:paraId="4170F8A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0.70</w:t>
            </w:r>
          </w:p>
        </w:tc>
        <w:tc>
          <w:tcPr>
            <w:tcW w:w="468" w:type="pct"/>
            <w:tcBorders>
              <w:top w:val="nil"/>
              <w:left w:val="nil"/>
              <w:bottom w:val="single" w:sz="4" w:space="0" w:color="auto"/>
              <w:right w:val="single" w:sz="4" w:space="0" w:color="auto"/>
            </w:tcBorders>
            <w:shd w:val="clear" w:color="auto" w:fill="auto"/>
            <w:noWrap/>
            <w:vAlign w:val="center"/>
            <w:hideMark/>
          </w:tcPr>
          <w:p w14:paraId="25FEEA05"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0.78</w:t>
            </w:r>
          </w:p>
        </w:tc>
        <w:tc>
          <w:tcPr>
            <w:tcW w:w="489" w:type="pct"/>
            <w:tcBorders>
              <w:top w:val="nil"/>
              <w:left w:val="nil"/>
              <w:bottom w:val="single" w:sz="4" w:space="0" w:color="auto"/>
              <w:right w:val="single" w:sz="4" w:space="0" w:color="auto"/>
            </w:tcBorders>
            <w:shd w:val="clear" w:color="auto" w:fill="auto"/>
            <w:noWrap/>
            <w:vAlign w:val="center"/>
            <w:hideMark/>
          </w:tcPr>
          <w:p w14:paraId="3F6477C4"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0.78</w:t>
            </w:r>
          </w:p>
        </w:tc>
        <w:tc>
          <w:tcPr>
            <w:tcW w:w="793" w:type="pct"/>
            <w:tcBorders>
              <w:top w:val="nil"/>
              <w:left w:val="nil"/>
              <w:bottom w:val="single" w:sz="4" w:space="0" w:color="auto"/>
              <w:right w:val="single" w:sz="4" w:space="0" w:color="auto"/>
            </w:tcBorders>
            <w:shd w:val="clear" w:color="auto" w:fill="auto"/>
            <w:noWrap/>
            <w:vAlign w:val="center"/>
            <w:hideMark/>
          </w:tcPr>
          <w:p w14:paraId="0C536BA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0.76</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755AA26"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1.47</w:t>
            </w:r>
          </w:p>
        </w:tc>
      </w:tr>
      <w:tr w:rsidR="00287950" w:rsidRPr="00A01271" w14:paraId="1A01267B"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E25012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Current assets (CA)</w:t>
            </w:r>
          </w:p>
        </w:tc>
        <w:tc>
          <w:tcPr>
            <w:tcW w:w="554" w:type="pct"/>
            <w:tcBorders>
              <w:top w:val="nil"/>
              <w:left w:val="nil"/>
              <w:bottom w:val="single" w:sz="4" w:space="0" w:color="auto"/>
              <w:right w:val="single" w:sz="4" w:space="0" w:color="auto"/>
            </w:tcBorders>
            <w:shd w:val="clear" w:color="auto" w:fill="auto"/>
            <w:noWrap/>
            <w:vAlign w:val="center"/>
            <w:hideMark/>
          </w:tcPr>
          <w:p w14:paraId="6CAB1F3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17,902 </w:t>
            </w:r>
          </w:p>
        </w:tc>
        <w:tc>
          <w:tcPr>
            <w:tcW w:w="554" w:type="pct"/>
            <w:tcBorders>
              <w:top w:val="nil"/>
              <w:left w:val="nil"/>
              <w:bottom w:val="single" w:sz="4" w:space="0" w:color="auto"/>
              <w:right w:val="single" w:sz="4" w:space="0" w:color="auto"/>
            </w:tcBorders>
            <w:shd w:val="clear" w:color="auto" w:fill="auto"/>
            <w:noWrap/>
            <w:vAlign w:val="center"/>
            <w:hideMark/>
          </w:tcPr>
          <w:p w14:paraId="7BD99B8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19,157 </w:t>
            </w:r>
          </w:p>
        </w:tc>
        <w:tc>
          <w:tcPr>
            <w:tcW w:w="468" w:type="pct"/>
            <w:tcBorders>
              <w:top w:val="nil"/>
              <w:left w:val="nil"/>
              <w:bottom w:val="single" w:sz="4" w:space="0" w:color="auto"/>
              <w:right w:val="single" w:sz="4" w:space="0" w:color="auto"/>
            </w:tcBorders>
            <w:shd w:val="clear" w:color="auto" w:fill="auto"/>
            <w:noWrap/>
            <w:vAlign w:val="center"/>
            <w:hideMark/>
          </w:tcPr>
          <w:p w14:paraId="66318C4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17,401</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15E0273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16,157</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534E0AA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16,430 </w:t>
            </w:r>
          </w:p>
        </w:tc>
        <w:tc>
          <w:tcPr>
            <w:tcW w:w="793" w:type="pct"/>
            <w:tcBorders>
              <w:top w:val="nil"/>
              <w:left w:val="nil"/>
              <w:bottom w:val="single" w:sz="4" w:space="0" w:color="auto"/>
              <w:right w:val="single" w:sz="4" w:space="0" w:color="auto"/>
            </w:tcBorders>
            <w:shd w:val="clear" w:color="auto" w:fill="auto"/>
            <w:noWrap/>
            <w:vAlign w:val="center"/>
            <w:hideMark/>
          </w:tcPr>
          <w:p w14:paraId="73FB8B0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17,409 </w:t>
            </w:r>
          </w:p>
        </w:tc>
        <w:tc>
          <w:tcPr>
            <w:tcW w:w="755" w:type="pct"/>
            <w:vMerge/>
            <w:tcBorders>
              <w:top w:val="nil"/>
              <w:left w:val="single" w:sz="4" w:space="0" w:color="auto"/>
              <w:bottom w:val="single" w:sz="4" w:space="0" w:color="000000"/>
              <w:right w:val="single" w:sz="4" w:space="0" w:color="auto"/>
            </w:tcBorders>
            <w:vAlign w:val="center"/>
            <w:hideMark/>
          </w:tcPr>
          <w:p w14:paraId="14123829"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08B15634"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392E0F4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Current liabilities (CL)</w:t>
            </w:r>
          </w:p>
        </w:tc>
        <w:tc>
          <w:tcPr>
            <w:tcW w:w="554" w:type="pct"/>
            <w:tcBorders>
              <w:top w:val="nil"/>
              <w:left w:val="nil"/>
              <w:bottom w:val="single" w:sz="4" w:space="0" w:color="auto"/>
              <w:right w:val="single" w:sz="4" w:space="0" w:color="auto"/>
            </w:tcBorders>
            <w:shd w:val="clear" w:color="auto" w:fill="auto"/>
            <w:noWrap/>
            <w:vAlign w:val="center"/>
            <w:hideMark/>
          </w:tcPr>
          <w:p w14:paraId="370C10E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23,507 </w:t>
            </w:r>
          </w:p>
        </w:tc>
        <w:tc>
          <w:tcPr>
            <w:tcW w:w="554" w:type="pct"/>
            <w:tcBorders>
              <w:top w:val="nil"/>
              <w:left w:val="nil"/>
              <w:bottom w:val="single" w:sz="4" w:space="0" w:color="auto"/>
              <w:right w:val="single" w:sz="4" w:space="0" w:color="auto"/>
            </w:tcBorders>
            <w:shd w:val="clear" w:color="auto" w:fill="auto"/>
            <w:noWrap/>
            <w:vAlign w:val="center"/>
            <w:hideMark/>
          </w:tcPr>
          <w:p w14:paraId="64F10AB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25,427 </w:t>
            </w:r>
          </w:p>
        </w:tc>
        <w:tc>
          <w:tcPr>
            <w:tcW w:w="468" w:type="pct"/>
            <w:tcBorders>
              <w:top w:val="nil"/>
              <w:left w:val="nil"/>
              <w:bottom w:val="single" w:sz="4" w:space="0" w:color="auto"/>
              <w:right w:val="single" w:sz="4" w:space="0" w:color="auto"/>
            </w:tcBorders>
            <w:shd w:val="clear" w:color="auto" w:fill="auto"/>
            <w:noWrap/>
            <w:vAlign w:val="center"/>
            <w:hideMark/>
          </w:tcPr>
          <w:p w14:paraId="0E33F88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24,778</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7AD3014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20,592</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0BE5DD2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20,978 </w:t>
            </w:r>
          </w:p>
        </w:tc>
        <w:tc>
          <w:tcPr>
            <w:tcW w:w="793" w:type="pct"/>
            <w:tcBorders>
              <w:top w:val="nil"/>
              <w:left w:val="nil"/>
              <w:bottom w:val="single" w:sz="4" w:space="0" w:color="auto"/>
              <w:right w:val="single" w:sz="4" w:space="0" w:color="auto"/>
            </w:tcBorders>
            <w:shd w:val="clear" w:color="auto" w:fill="auto"/>
            <w:noWrap/>
            <w:vAlign w:val="center"/>
            <w:hideMark/>
          </w:tcPr>
          <w:p w14:paraId="0C614C6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23,056 </w:t>
            </w:r>
          </w:p>
        </w:tc>
        <w:tc>
          <w:tcPr>
            <w:tcW w:w="755" w:type="pct"/>
            <w:vMerge/>
            <w:tcBorders>
              <w:top w:val="nil"/>
              <w:left w:val="single" w:sz="4" w:space="0" w:color="auto"/>
              <w:bottom w:val="single" w:sz="4" w:space="0" w:color="000000"/>
              <w:right w:val="single" w:sz="4" w:space="0" w:color="auto"/>
            </w:tcBorders>
            <w:vAlign w:val="center"/>
            <w:hideMark/>
          </w:tcPr>
          <w:p w14:paraId="0BBDBABB"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65A7D792"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44BA3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(CA/CL)</w:t>
            </w:r>
          </w:p>
        </w:tc>
      </w:tr>
      <w:tr w:rsidR="00287950" w:rsidRPr="00A01271" w14:paraId="51B5725E"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305D9D9"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Cash ratio</w:t>
            </w:r>
          </w:p>
        </w:tc>
        <w:tc>
          <w:tcPr>
            <w:tcW w:w="554" w:type="pct"/>
            <w:tcBorders>
              <w:top w:val="nil"/>
              <w:left w:val="nil"/>
              <w:bottom w:val="single" w:sz="4" w:space="0" w:color="auto"/>
              <w:right w:val="single" w:sz="4" w:space="0" w:color="auto"/>
            </w:tcBorders>
            <w:shd w:val="clear" w:color="auto" w:fill="auto"/>
            <w:noWrap/>
            <w:vAlign w:val="center"/>
            <w:hideMark/>
          </w:tcPr>
          <w:p w14:paraId="4283438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0.18</w:t>
            </w:r>
          </w:p>
        </w:tc>
        <w:tc>
          <w:tcPr>
            <w:tcW w:w="554" w:type="pct"/>
            <w:tcBorders>
              <w:top w:val="nil"/>
              <w:left w:val="nil"/>
              <w:bottom w:val="single" w:sz="4" w:space="0" w:color="auto"/>
              <w:right w:val="single" w:sz="4" w:space="0" w:color="auto"/>
            </w:tcBorders>
            <w:shd w:val="clear" w:color="auto" w:fill="auto"/>
            <w:noWrap/>
            <w:vAlign w:val="center"/>
            <w:hideMark/>
          </w:tcPr>
          <w:p w14:paraId="40C383D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0.17</w:t>
            </w:r>
          </w:p>
        </w:tc>
        <w:tc>
          <w:tcPr>
            <w:tcW w:w="468" w:type="pct"/>
            <w:tcBorders>
              <w:top w:val="nil"/>
              <w:left w:val="nil"/>
              <w:bottom w:val="single" w:sz="4" w:space="0" w:color="auto"/>
              <w:right w:val="single" w:sz="4" w:space="0" w:color="auto"/>
            </w:tcBorders>
            <w:shd w:val="clear" w:color="auto" w:fill="auto"/>
            <w:noWrap/>
            <w:vAlign w:val="center"/>
            <w:hideMark/>
          </w:tcPr>
          <w:p w14:paraId="27A4AB9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0.14</w:t>
            </w:r>
          </w:p>
        </w:tc>
        <w:tc>
          <w:tcPr>
            <w:tcW w:w="468" w:type="pct"/>
            <w:tcBorders>
              <w:top w:val="nil"/>
              <w:left w:val="nil"/>
              <w:bottom w:val="single" w:sz="4" w:space="0" w:color="auto"/>
              <w:right w:val="single" w:sz="4" w:space="0" w:color="auto"/>
            </w:tcBorders>
            <w:shd w:val="clear" w:color="auto" w:fill="auto"/>
            <w:noWrap/>
            <w:vAlign w:val="center"/>
            <w:hideMark/>
          </w:tcPr>
          <w:p w14:paraId="735872D5"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0.27</w:t>
            </w:r>
          </w:p>
        </w:tc>
        <w:tc>
          <w:tcPr>
            <w:tcW w:w="489" w:type="pct"/>
            <w:tcBorders>
              <w:top w:val="nil"/>
              <w:left w:val="nil"/>
              <w:bottom w:val="single" w:sz="4" w:space="0" w:color="auto"/>
              <w:right w:val="single" w:sz="4" w:space="0" w:color="auto"/>
            </w:tcBorders>
            <w:shd w:val="clear" w:color="auto" w:fill="auto"/>
            <w:noWrap/>
            <w:vAlign w:val="center"/>
            <w:hideMark/>
          </w:tcPr>
          <w:p w14:paraId="233A5C8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0.20</w:t>
            </w:r>
          </w:p>
        </w:tc>
        <w:tc>
          <w:tcPr>
            <w:tcW w:w="793" w:type="pct"/>
            <w:tcBorders>
              <w:top w:val="nil"/>
              <w:left w:val="nil"/>
              <w:bottom w:val="single" w:sz="4" w:space="0" w:color="auto"/>
              <w:right w:val="single" w:sz="4" w:space="0" w:color="auto"/>
            </w:tcBorders>
            <w:shd w:val="clear" w:color="auto" w:fill="auto"/>
            <w:noWrap/>
            <w:vAlign w:val="center"/>
            <w:hideMark/>
          </w:tcPr>
          <w:p w14:paraId="10FD5AC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0.19</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29037B1"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0.31</w:t>
            </w:r>
          </w:p>
        </w:tc>
      </w:tr>
      <w:tr w:rsidR="00287950" w:rsidRPr="00A01271" w14:paraId="7E1FA7FF"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38F15DA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Cash</w:t>
            </w:r>
          </w:p>
        </w:tc>
        <w:tc>
          <w:tcPr>
            <w:tcW w:w="554" w:type="pct"/>
            <w:tcBorders>
              <w:top w:val="nil"/>
              <w:left w:val="nil"/>
              <w:bottom w:val="single" w:sz="4" w:space="0" w:color="auto"/>
              <w:right w:val="single" w:sz="4" w:space="0" w:color="auto"/>
            </w:tcBorders>
            <w:shd w:val="clear" w:color="auto" w:fill="auto"/>
            <w:noWrap/>
            <w:vAlign w:val="center"/>
            <w:hideMark/>
          </w:tcPr>
          <w:p w14:paraId="1EA2EA3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4,159 </w:t>
            </w:r>
          </w:p>
        </w:tc>
        <w:tc>
          <w:tcPr>
            <w:tcW w:w="554" w:type="pct"/>
            <w:tcBorders>
              <w:top w:val="nil"/>
              <w:left w:val="nil"/>
              <w:bottom w:val="single" w:sz="4" w:space="0" w:color="auto"/>
              <w:right w:val="single" w:sz="4" w:space="0" w:color="auto"/>
            </w:tcBorders>
            <w:shd w:val="clear" w:color="auto" w:fill="auto"/>
            <w:noWrap/>
            <w:vAlign w:val="center"/>
            <w:hideMark/>
          </w:tcPr>
          <w:p w14:paraId="6B01422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4,326 </w:t>
            </w:r>
          </w:p>
        </w:tc>
        <w:tc>
          <w:tcPr>
            <w:tcW w:w="468" w:type="pct"/>
            <w:tcBorders>
              <w:top w:val="nil"/>
              <w:left w:val="nil"/>
              <w:bottom w:val="single" w:sz="4" w:space="0" w:color="auto"/>
              <w:right w:val="single" w:sz="4" w:space="0" w:color="auto"/>
            </w:tcBorders>
            <w:shd w:val="clear" w:color="auto" w:fill="auto"/>
            <w:noWrap/>
            <w:vAlign w:val="center"/>
            <w:hideMark/>
          </w:tcPr>
          <w:p w14:paraId="2A53FF7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3,415 </w:t>
            </w:r>
          </w:p>
        </w:tc>
        <w:tc>
          <w:tcPr>
            <w:tcW w:w="468" w:type="pct"/>
            <w:tcBorders>
              <w:top w:val="nil"/>
              <w:left w:val="nil"/>
              <w:bottom w:val="single" w:sz="4" w:space="0" w:color="auto"/>
              <w:right w:val="single" w:sz="4" w:space="0" w:color="auto"/>
            </w:tcBorders>
            <w:shd w:val="clear" w:color="auto" w:fill="auto"/>
            <w:noWrap/>
            <w:vAlign w:val="center"/>
            <w:hideMark/>
          </w:tcPr>
          <w:p w14:paraId="737CCA6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5,548 </w:t>
            </w:r>
          </w:p>
        </w:tc>
        <w:tc>
          <w:tcPr>
            <w:tcW w:w="489" w:type="pct"/>
            <w:tcBorders>
              <w:top w:val="nil"/>
              <w:left w:val="nil"/>
              <w:bottom w:val="single" w:sz="4" w:space="0" w:color="auto"/>
              <w:right w:val="single" w:sz="4" w:space="0" w:color="auto"/>
            </w:tcBorders>
            <w:shd w:val="clear" w:color="auto" w:fill="auto"/>
            <w:noWrap/>
            <w:vAlign w:val="center"/>
            <w:hideMark/>
          </w:tcPr>
          <w:p w14:paraId="156DBE8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4,185 </w:t>
            </w:r>
          </w:p>
        </w:tc>
        <w:tc>
          <w:tcPr>
            <w:tcW w:w="793" w:type="pct"/>
            <w:tcBorders>
              <w:top w:val="nil"/>
              <w:left w:val="nil"/>
              <w:bottom w:val="single" w:sz="4" w:space="0" w:color="auto"/>
              <w:right w:val="single" w:sz="4" w:space="0" w:color="auto"/>
            </w:tcBorders>
            <w:shd w:val="clear" w:color="auto" w:fill="auto"/>
            <w:noWrap/>
            <w:vAlign w:val="center"/>
            <w:hideMark/>
          </w:tcPr>
          <w:p w14:paraId="2E32936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4,327 </w:t>
            </w:r>
          </w:p>
        </w:tc>
        <w:tc>
          <w:tcPr>
            <w:tcW w:w="755" w:type="pct"/>
            <w:vMerge/>
            <w:tcBorders>
              <w:top w:val="nil"/>
              <w:left w:val="single" w:sz="4" w:space="0" w:color="auto"/>
              <w:bottom w:val="single" w:sz="4" w:space="0" w:color="000000"/>
              <w:right w:val="single" w:sz="4" w:space="0" w:color="auto"/>
            </w:tcBorders>
            <w:vAlign w:val="center"/>
            <w:hideMark/>
          </w:tcPr>
          <w:p w14:paraId="654E0B98"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037C98EE"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1F7CE36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Current liabilities (CL)</w:t>
            </w:r>
          </w:p>
        </w:tc>
        <w:tc>
          <w:tcPr>
            <w:tcW w:w="554" w:type="pct"/>
            <w:tcBorders>
              <w:top w:val="nil"/>
              <w:left w:val="nil"/>
              <w:bottom w:val="single" w:sz="4" w:space="0" w:color="auto"/>
              <w:right w:val="single" w:sz="4" w:space="0" w:color="auto"/>
            </w:tcBorders>
            <w:shd w:val="clear" w:color="auto" w:fill="auto"/>
            <w:noWrap/>
            <w:vAlign w:val="center"/>
            <w:hideMark/>
          </w:tcPr>
          <w:p w14:paraId="152D241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23,507 </w:t>
            </w:r>
          </w:p>
        </w:tc>
        <w:tc>
          <w:tcPr>
            <w:tcW w:w="554" w:type="pct"/>
            <w:tcBorders>
              <w:top w:val="nil"/>
              <w:left w:val="nil"/>
              <w:bottom w:val="single" w:sz="4" w:space="0" w:color="auto"/>
              <w:right w:val="single" w:sz="4" w:space="0" w:color="auto"/>
            </w:tcBorders>
            <w:shd w:val="clear" w:color="auto" w:fill="auto"/>
            <w:noWrap/>
            <w:vAlign w:val="center"/>
            <w:hideMark/>
          </w:tcPr>
          <w:p w14:paraId="7FCD496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25,427 </w:t>
            </w:r>
          </w:p>
        </w:tc>
        <w:tc>
          <w:tcPr>
            <w:tcW w:w="468" w:type="pct"/>
            <w:tcBorders>
              <w:top w:val="nil"/>
              <w:left w:val="nil"/>
              <w:bottom w:val="single" w:sz="4" w:space="0" w:color="auto"/>
              <w:right w:val="single" w:sz="4" w:space="0" w:color="auto"/>
            </w:tcBorders>
            <w:shd w:val="clear" w:color="auto" w:fill="auto"/>
            <w:noWrap/>
            <w:vAlign w:val="center"/>
            <w:hideMark/>
          </w:tcPr>
          <w:p w14:paraId="0185311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24,778</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6DB7DB0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20,592</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415B49F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20,978 </w:t>
            </w:r>
          </w:p>
        </w:tc>
        <w:tc>
          <w:tcPr>
            <w:tcW w:w="793" w:type="pct"/>
            <w:tcBorders>
              <w:top w:val="nil"/>
              <w:left w:val="nil"/>
              <w:bottom w:val="single" w:sz="4" w:space="0" w:color="auto"/>
              <w:right w:val="single" w:sz="4" w:space="0" w:color="auto"/>
            </w:tcBorders>
            <w:shd w:val="clear" w:color="auto" w:fill="auto"/>
            <w:noWrap/>
            <w:vAlign w:val="center"/>
            <w:hideMark/>
          </w:tcPr>
          <w:p w14:paraId="6630FEE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23,056 </w:t>
            </w:r>
          </w:p>
        </w:tc>
        <w:tc>
          <w:tcPr>
            <w:tcW w:w="755" w:type="pct"/>
            <w:vMerge/>
            <w:tcBorders>
              <w:top w:val="nil"/>
              <w:left w:val="single" w:sz="4" w:space="0" w:color="auto"/>
              <w:bottom w:val="single" w:sz="4" w:space="0" w:color="000000"/>
              <w:right w:val="single" w:sz="4" w:space="0" w:color="auto"/>
            </w:tcBorders>
            <w:vAlign w:val="center"/>
            <w:hideMark/>
          </w:tcPr>
          <w:p w14:paraId="00B038B8"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48EFA8A0"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E038AC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(Cash/CL)</w:t>
            </w:r>
          </w:p>
        </w:tc>
      </w:tr>
      <w:tr w:rsidR="00287950" w:rsidRPr="00A01271" w14:paraId="76B6325D"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2D24E2C9"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Gearing ratios</w:t>
            </w:r>
          </w:p>
        </w:tc>
        <w:tc>
          <w:tcPr>
            <w:tcW w:w="554" w:type="pct"/>
            <w:tcBorders>
              <w:top w:val="nil"/>
              <w:left w:val="nil"/>
              <w:bottom w:val="single" w:sz="4" w:space="0" w:color="auto"/>
              <w:right w:val="single" w:sz="4" w:space="0" w:color="auto"/>
            </w:tcBorders>
            <w:shd w:val="clear" w:color="auto" w:fill="auto"/>
            <w:noWrap/>
            <w:vAlign w:val="center"/>
            <w:hideMark/>
          </w:tcPr>
          <w:p w14:paraId="7B1CF8A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554" w:type="pct"/>
            <w:tcBorders>
              <w:top w:val="nil"/>
              <w:left w:val="nil"/>
              <w:bottom w:val="single" w:sz="4" w:space="0" w:color="auto"/>
              <w:right w:val="single" w:sz="4" w:space="0" w:color="auto"/>
            </w:tcBorders>
            <w:shd w:val="clear" w:color="auto" w:fill="auto"/>
            <w:noWrap/>
            <w:vAlign w:val="center"/>
            <w:hideMark/>
          </w:tcPr>
          <w:p w14:paraId="217B40D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107401E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4D78D2E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89" w:type="pct"/>
            <w:tcBorders>
              <w:top w:val="nil"/>
              <w:left w:val="nil"/>
              <w:bottom w:val="single" w:sz="4" w:space="0" w:color="auto"/>
              <w:right w:val="single" w:sz="4" w:space="0" w:color="auto"/>
            </w:tcBorders>
            <w:shd w:val="clear" w:color="auto" w:fill="auto"/>
            <w:noWrap/>
            <w:vAlign w:val="center"/>
            <w:hideMark/>
          </w:tcPr>
          <w:p w14:paraId="2F40C52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93" w:type="pct"/>
            <w:tcBorders>
              <w:top w:val="nil"/>
              <w:left w:val="nil"/>
              <w:bottom w:val="single" w:sz="4" w:space="0" w:color="auto"/>
              <w:right w:val="single" w:sz="4" w:space="0" w:color="auto"/>
            </w:tcBorders>
            <w:shd w:val="clear" w:color="auto" w:fill="auto"/>
            <w:noWrap/>
            <w:vAlign w:val="center"/>
            <w:hideMark/>
          </w:tcPr>
          <w:p w14:paraId="62D8816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55" w:type="pct"/>
            <w:tcBorders>
              <w:top w:val="nil"/>
              <w:left w:val="nil"/>
              <w:bottom w:val="single" w:sz="4" w:space="0" w:color="auto"/>
              <w:right w:val="single" w:sz="4" w:space="0" w:color="auto"/>
            </w:tcBorders>
            <w:shd w:val="clear" w:color="auto" w:fill="auto"/>
            <w:noWrap/>
            <w:vAlign w:val="center"/>
            <w:hideMark/>
          </w:tcPr>
          <w:p w14:paraId="26E9E9A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r>
      <w:tr w:rsidR="00287950" w:rsidRPr="00A01271" w14:paraId="2CEF0ED9"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46B7138B"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Gearing ratio</w:t>
            </w:r>
          </w:p>
        </w:tc>
        <w:tc>
          <w:tcPr>
            <w:tcW w:w="554" w:type="pct"/>
            <w:tcBorders>
              <w:top w:val="nil"/>
              <w:left w:val="nil"/>
              <w:bottom w:val="single" w:sz="4" w:space="0" w:color="auto"/>
              <w:right w:val="single" w:sz="4" w:space="0" w:color="auto"/>
            </w:tcBorders>
            <w:shd w:val="clear" w:color="auto" w:fill="auto"/>
            <w:noWrap/>
            <w:vAlign w:val="center"/>
            <w:hideMark/>
          </w:tcPr>
          <w:p w14:paraId="78759BC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2.62</w:t>
            </w:r>
          </w:p>
        </w:tc>
        <w:tc>
          <w:tcPr>
            <w:tcW w:w="554" w:type="pct"/>
            <w:tcBorders>
              <w:top w:val="nil"/>
              <w:left w:val="nil"/>
              <w:bottom w:val="single" w:sz="4" w:space="0" w:color="auto"/>
              <w:right w:val="single" w:sz="4" w:space="0" w:color="auto"/>
            </w:tcBorders>
            <w:shd w:val="clear" w:color="auto" w:fill="auto"/>
            <w:noWrap/>
            <w:vAlign w:val="center"/>
            <w:hideMark/>
          </w:tcPr>
          <w:p w14:paraId="52E60ACB"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2.59</w:t>
            </w:r>
          </w:p>
        </w:tc>
        <w:tc>
          <w:tcPr>
            <w:tcW w:w="468" w:type="pct"/>
            <w:tcBorders>
              <w:top w:val="nil"/>
              <w:left w:val="nil"/>
              <w:bottom w:val="single" w:sz="4" w:space="0" w:color="auto"/>
              <w:right w:val="single" w:sz="4" w:space="0" w:color="auto"/>
            </w:tcBorders>
            <w:shd w:val="clear" w:color="auto" w:fill="auto"/>
            <w:noWrap/>
            <w:vAlign w:val="center"/>
            <w:hideMark/>
          </w:tcPr>
          <w:p w14:paraId="5E38DDF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2.80</w:t>
            </w:r>
          </w:p>
        </w:tc>
        <w:tc>
          <w:tcPr>
            <w:tcW w:w="468" w:type="pct"/>
            <w:tcBorders>
              <w:top w:val="nil"/>
              <w:left w:val="nil"/>
              <w:bottom w:val="single" w:sz="4" w:space="0" w:color="auto"/>
              <w:right w:val="single" w:sz="4" w:space="0" w:color="auto"/>
            </w:tcBorders>
            <w:shd w:val="clear" w:color="auto" w:fill="auto"/>
            <w:noWrap/>
            <w:vAlign w:val="center"/>
            <w:hideMark/>
          </w:tcPr>
          <w:p w14:paraId="46A947B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2.83</w:t>
            </w:r>
          </w:p>
        </w:tc>
        <w:tc>
          <w:tcPr>
            <w:tcW w:w="489" w:type="pct"/>
            <w:tcBorders>
              <w:top w:val="nil"/>
              <w:left w:val="nil"/>
              <w:bottom w:val="single" w:sz="4" w:space="0" w:color="auto"/>
              <w:right w:val="single" w:sz="4" w:space="0" w:color="auto"/>
            </w:tcBorders>
            <w:shd w:val="clear" w:color="auto" w:fill="auto"/>
            <w:noWrap/>
            <w:vAlign w:val="center"/>
            <w:hideMark/>
          </w:tcPr>
          <w:p w14:paraId="67312DA4"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3.67</w:t>
            </w:r>
          </w:p>
        </w:tc>
        <w:tc>
          <w:tcPr>
            <w:tcW w:w="793" w:type="pct"/>
            <w:tcBorders>
              <w:top w:val="nil"/>
              <w:left w:val="nil"/>
              <w:bottom w:val="single" w:sz="4" w:space="0" w:color="auto"/>
              <w:right w:val="single" w:sz="4" w:space="0" w:color="auto"/>
            </w:tcBorders>
            <w:shd w:val="clear" w:color="auto" w:fill="auto"/>
            <w:noWrap/>
            <w:vAlign w:val="center"/>
            <w:hideMark/>
          </w:tcPr>
          <w:p w14:paraId="64B0D793"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2.90</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F4B0AE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0.55</w:t>
            </w:r>
          </w:p>
        </w:tc>
      </w:tr>
      <w:tr w:rsidR="00287950" w:rsidRPr="00A01271" w14:paraId="4313CDF9"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6A19724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Total debt</w:t>
            </w:r>
          </w:p>
        </w:tc>
        <w:tc>
          <w:tcPr>
            <w:tcW w:w="554" w:type="pct"/>
            <w:tcBorders>
              <w:top w:val="nil"/>
              <w:left w:val="nil"/>
              <w:bottom w:val="single" w:sz="4" w:space="0" w:color="auto"/>
              <w:right w:val="single" w:sz="4" w:space="0" w:color="auto"/>
            </w:tcBorders>
            <w:shd w:val="clear" w:color="auto" w:fill="auto"/>
            <w:noWrap/>
            <w:vAlign w:val="center"/>
            <w:hideMark/>
          </w:tcPr>
          <w:p w14:paraId="6D41C04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54,502 </w:t>
            </w:r>
          </w:p>
        </w:tc>
        <w:tc>
          <w:tcPr>
            <w:tcW w:w="554" w:type="pct"/>
            <w:tcBorders>
              <w:top w:val="nil"/>
              <w:left w:val="nil"/>
              <w:bottom w:val="single" w:sz="4" w:space="0" w:color="auto"/>
              <w:right w:val="single" w:sz="4" w:space="0" w:color="auto"/>
            </w:tcBorders>
            <w:shd w:val="clear" w:color="auto" w:fill="auto"/>
            <w:noWrap/>
            <w:vAlign w:val="center"/>
            <w:hideMark/>
          </w:tcPr>
          <w:p w14:paraId="0E7AE76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56,120 </w:t>
            </w:r>
          </w:p>
        </w:tc>
        <w:tc>
          <w:tcPr>
            <w:tcW w:w="468" w:type="pct"/>
            <w:tcBorders>
              <w:top w:val="nil"/>
              <w:left w:val="nil"/>
              <w:bottom w:val="single" w:sz="4" w:space="0" w:color="auto"/>
              <w:right w:val="single" w:sz="4" w:space="0" w:color="auto"/>
            </w:tcBorders>
            <w:shd w:val="clear" w:color="auto" w:fill="auto"/>
            <w:noWrap/>
            <w:vAlign w:val="center"/>
            <w:hideMark/>
          </w:tcPr>
          <w:p w14:paraId="1C0CDC8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55,349</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3475B72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50,004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2301552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50,920 </w:t>
            </w:r>
          </w:p>
        </w:tc>
        <w:tc>
          <w:tcPr>
            <w:tcW w:w="793" w:type="pct"/>
            <w:tcBorders>
              <w:top w:val="nil"/>
              <w:left w:val="nil"/>
              <w:bottom w:val="single" w:sz="4" w:space="0" w:color="auto"/>
              <w:right w:val="single" w:sz="4" w:space="0" w:color="auto"/>
            </w:tcBorders>
            <w:shd w:val="clear" w:color="auto" w:fill="auto"/>
            <w:noWrap/>
            <w:vAlign w:val="center"/>
            <w:hideMark/>
          </w:tcPr>
          <w:p w14:paraId="052B784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53,379 </w:t>
            </w:r>
          </w:p>
        </w:tc>
        <w:tc>
          <w:tcPr>
            <w:tcW w:w="755" w:type="pct"/>
            <w:vMerge/>
            <w:tcBorders>
              <w:top w:val="nil"/>
              <w:left w:val="single" w:sz="4" w:space="0" w:color="auto"/>
              <w:bottom w:val="single" w:sz="4" w:space="0" w:color="000000"/>
              <w:right w:val="single" w:sz="4" w:space="0" w:color="auto"/>
            </w:tcBorders>
            <w:vAlign w:val="center"/>
            <w:hideMark/>
          </w:tcPr>
          <w:p w14:paraId="6FB30D58"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1A825E97"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69D19D9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Total equity</w:t>
            </w:r>
          </w:p>
        </w:tc>
        <w:tc>
          <w:tcPr>
            <w:tcW w:w="554" w:type="pct"/>
            <w:tcBorders>
              <w:top w:val="nil"/>
              <w:left w:val="nil"/>
              <w:bottom w:val="single" w:sz="4" w:space="0" w:color="auto"/>
              <w:right w:val="single" w:sz="4" w:space="0" w:color="auto"/>
            </w:tcBorders>
            <w:shd w:val="clear" w:color="auto" w:fill="auto"/>
            <w:noWrap/>
            <w:vAlign w:val="center"/>
            <w:hideMark/>
          </w:tcPr>
          <w:p w14:paraId="2997F61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20,764 </w:t>
            </w:r>
          </w:p>
        </w:tc>
        <w:tc>
          <w:tcPr>
            <w:tcW w:w="554" w:type="pct"/>
            <w:tcBorders>
              <w:top w:val="nil"/>
              <w:left w:val="nil"/>
              <w:bottom w:val="single" w:sz="4" w:space="0" w:color="auto"/>
              <w:right w:val="single" w:sz="4" w:space="0" w:color="auto"/>
            </w:tcBorders>
            <w:shd w:val="clear" w:color="auto" w:fill="auto"/>
            <w:noWrap/>
            <w:vAlign w:val="center"/>
            <w:hideMark/>
          </w:tcPr>
          <w:p w14:paraId="45C96FD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21,701 </w:t>
            </w:r>
          </w:p>
        </w:tc>
        <w:tc>
          <w:tcPr>
            <w:tcW w:w="468" w:type="pct"/>
            <w:tcBorders>
              <w:top w:val="nil"/>
              <w:left w:val="nil"/>
              <w:bottom w:val="single" w:sz="4" w:space="0" w:color="auto"/>
              <w:right w:val="single" w:sz="4" w:space="0" w:color="auto"/>
            </w:tcBorders>
            <w:shd w:val="clear" w:color="auto" w:fill="auto"/>
            <w:noWrap/>
            <w:vAlign w:val="center"/>
            <w:hideMark/>
          </w:tcPr>
          <w:p w14:paraId="5BD4FCA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19,746</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14EE43B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17,655</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13A8157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13,886 </w:t>
            </w:r>
          </w:p>
        </w:tc>
        <w:tc>
          <w:tcPr>
            <w:tcW w:w="793" w:type="pct"/>
            <w:tcBorders>
              <w:top w:val="nil"/>
              <w:left w:val="nil"/>
              <w:bottom w:val="single" w:sz="4" w:space="0" w:color="auto"/>
              <w:right w:val="single" w:sz="4" w:space="0" w:color="auto"/>
            </w:tcBorders>
            <w:shd w:val="clear" w:color="auto" w:fill="auto"/>
            <w:noWrap/>
            <w:vAlign w:val="center"/>
            <w:hideMark/>
          </w:tcPr>
          <w:p w14:paraId="324CAEE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18,750 </w:t>
            </w:r>
          </w:p>
        </w:tc>
        <w:tc>
          <w:tcPr>
            <w:tcW w:w="755" w:type="pct"/>
            <w:vMerge/>
            <w:tcBorders>
              <w:top w:val="nil"/>
              <w:left w:val="single" w:sz="4" w:space="0" w:color="auto"/>
              <w:bottom w:val="single" w:sz="4" w:space="0" w:color="000000"/>
              <w:right w:val="single" w:sz="4" w:space="0" w:color="auto"/>
            </w:tcBorders>
            <w:vAlign w:val="center"/>
            <w:hideMark/>
          </w:tcPr>
          <w:p w14:paraId="42DFB07C"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6781FC8A"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737CA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(Debt/Equity)</w:t>
            </w:r>
          </w:p>
        </w:tc>
      </w:tr>
      <w:tr w:rsidR="00287950" w:rsidRPr="00A01271" w14:paraId="7EC63434"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00C22D3A"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lastRenderedPageBreak/>
              <w:t>Debt ratio</w:t>
            </w:r>
          </w:p>
        </w:tc>
        <w:tc>
          <w:tcPr>
            <w:tcW w:w="554" w:type="pct"/>
            <w:tcBorders>
              <w:top w:val="nil"/>
              <w:left w:val="nil"/>
              <w:bottom w:val="single" w:sz="4" w:space="0" w:color="auto"/>
              <w:right w:val="single" w:sz="4" w:space="0" w:color="auto"/>
            </w:tcBorders>
            <w:shd w:val="clear" w:color="auto" w:fill="auto"/>
            <w:noWrap/>
            <w:vAlign w:val="center"/>
            <w:hideMark/>
          </w:tcPr>
          <w:p w14:paraId="344DBD8C"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0.72</w:t>
            </w:r>
          </w:p>
        </w:tc>
        <w:tc>
          <w:tcPr>
            <w:tcW w:w="554" w:type="pct"/>
            <w:tcBorders>
              <w:top w:val="nil"/>
              <w:left w:val="nil"/>
              <w:bottom w:val="single" w:sz="4" w:space="0" w:color="auto"/>
              <w:right w:val="single" w:sz="4" w:space="0" w:color="auto"/>
            </w:tcBorders>
            <w:shd w:val="clear" w:color="auto" w:fill="auto"/>
            <w:noWrap/>
            <w:vAlign w:val="center"/>
            <w:hideMark/>
          </w:tcPr>
          <w:p w14:paraId="256D7589"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0.72</w:t>
            </w:r>
          </w:p>
        </w:tc>
        <w:tc>
          <w:tcPr>
            <w:tcW w:w="468" w:type="pct"/>
            <w:tcBorders>
              <w:top w:val="nil"/>
              <w:left w:val="nil"/>
              <w:bottom w:val="single" w:sz="4" w:space="0" w:color="auto"/>
              <w:right w:val="single" w:sz="4" w:space="0" w:color="auto"/>
            </w:tcBorders>
            <w:shd w:val="clear" w:color="auto" w:fill="auto"/>
            <w:noWrap/>
            <w:vAlign w:val="center"/>
            <w:hideMark/>
          </w:tcPr>
          <w:p w14:paraId="7342C74B"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0.74</w:t>
            </w:r>
          </w:p>
        </w:tc>
        <w:tc>
          <w:tcPr>
            <w:tcW w:w="468" w:type="pct"/>
            <w:tcBorders>
              <w:top w:val="nil"/>
              <w:left w:val="nil"/>
              <w:bottom w:val="single" w:sz="4" w:space="0" w:color="auto"/>
              <w:right w:val="single" w:sz="4" w:space="0" w:color="auto"/>
            </w:tcBorders>
            <w:shd w:val="clear" w:color="auto" w:fill="auto"/>
            <w:noWrap/>
            <w:vAlign w:val="center"/>
            <w:hideMark/>
          </w:tcPr>
          <w:p w14:paraId="63E48B7B"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0.74</w:t>
            </w:r>
          </w:p>
        </w:tc>
        <w:tc>
          <w:tcPr>
            <w:tcW w:w="489" w:type="pct"/>
            <w:tcBorders>
              <w:top w:val="nil"/>
              <w:left w:val="nil"/>
              <w:bottom w:val="single" w:sz="4" w:space="0" w:color="auto"/>
              <w:right w:val="single" w:sz="4" w:space="0" w:color="auto"/>
            </w:tcBorders>
            <w:shd w:val="clear" w:color="auto" w:fill="auto"/>
            <w:noWrap/>
            <w:vAlign w:val="center"/>
            <w:hideMark/>
          </w:tcPr>
          <w:p w14:paraId="51C7E04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0.79</w:t>
            </w:r>
          </w:p>
        </w:tc>
        <w:tc>
          <w:tcPr>
            <w:tcW w:w="793" w:type="pct"/>
            <w:tcBorders>
              <w:top w:val="nil"/>
              <w:left w:val="nil"/>
              <w:bottom w:val="single" w:sz="4" w:space="0" w:color="auto"/>
              <w:right w:val="single" w:sz="4" w:space="0" w:color="auto"/>
            </w:tcBorders>
            <w:shd w:val="clear" w:color="auto" w:fill="auto"/>
            <w:noWrap/>
            <w:vAlign w:val="center"/>
            <w:hideMark/>
          </w:tcPr>
          <w:p w14:paraId="7BF2C6AC"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0.74</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BBCA301"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0.55</w:t>
            </w:r>
          </w:p>
        </w:tc>
      </w:tr>
      <w:tr w:rsidR="00287950" w:rsidRPr="00A01271" w14:paraId="1BB18FE6"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14CD9CB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Total debt</w:t>
            </w:r>
          </w:p>
        </w:tc>
        <w:tc>
          <w:tcPr>
            <w:tcW w:w="554" w:type="pct"/>
            <w:tcBorders>
              <w:top w:val="nil"/>
              <w:left w:val="nil"/>
              <w:bottom w:val="single" w:sz="4" w:space="0" w:color="auto"/>
              <w:right w:val="single" w:sz="4" w:space="0" w:color="auto"/>
            </w:tcBorders>
            <w:shd w:val="clear" w:color="auto" w:fill="auto"/>
            <w:noWrap/>
            <w:vAlign w:val="center"/>
            <w:hideMark/>
          </w:tcPr>
          <w:p w14:paraId="2F02BD3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54,502 </w:t>
            </w:r>
          </w:p>
        </w:tc>
        <w:tc>
          <w:tcPr>
            <w:tcW w:w="554" w:type="pct"/>
            <w:tcBorders>
              <w:top w:val="nil"/>
              <w:left w:val="nil"/>
              <w:bottom w:val="single" w:sz="4" w:space="0" w:color="auto"/>
              <w:right w:val="single" w:sz="4" w:space="0" w:color="auto"/>
            </w:tcBorders>
            <w:shd w:val="clear" w:color="auto" w:fill="auto"/>
            <w:noWrap/>
            <w:vAlign w:val="center"/>
            <w:hideMark/>
          </w:tcPr>
          <w:p w14:paraId="1722274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56,120 </w:t>
            </w:r>
          </w:p>
        </w:tc>
        <w:tc>
          <w:tcPr>
            <w:tcW w:w="468" w:type="pct"/>
            <w:tcBorders>
              <w:top w:val="nil"/>
              <w:left w:val="nil"/>
              <w:bottom w:val="single" w:sz="4" w:space="0" w:color="auto"/>
              <w:right w:val="single" w:sz="4" w:space="0" w:color="auto"/>
            </w:tcBorders>
            <w:shd w:val="clear" w:color="auto" w:fill="auto"/>
            <w:noWrap/>
            <w:vAlign w:val="center"/>
            <w:hideMark/>
          </w:tcPr>
          <w:p w14:paraId="1448792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55,349</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3B5D6C4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50,004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0A1054E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50,920 </w:t>
            </w:r>
          </w:p>
        </w:tc>
        <w:tc>
          <w:tcPr>
            <w:tcW w:w="793" w:type="pct"/>
            <w:tcBorders>
              <w:top w:val="nil"/>
              <w:left w:val="nil"/>
              <w:bottom w:val="single" w:sz="4" w:space="0" w:color="auto"/>
              <w:right w:val="single" w:sz="4" w:space="0" w:color="auto"/>
            </w:tcBorders>
            <w:shd w:val="clear" w:color="auto" w:fill="auto"/>
            <w:noWrap/>
            <w:vAlign w:val="center"/>
            <w:hideMark/>
          </w:tcPr>
          <w:p w14:paraId="2F95419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53,379 </w:t>
            </w:r>
          </w:p>
        </w:tc>
        <w:tc>
          <w:tcPr>
            <w:tcW w:w="755" w:type="pct"/>
            <w:vMerge/>
            <w:tcBorders>
              <w:top w:val="nil"/>
              <w:left w:val="single" w:sz="4" w:space="0" w:color="auto"/>
              <w:bottom w:val="single" w:sz="4" w:space="0" w:color="000000"/>
              <w:right w:val="single" w:sz="4" w:space="0" w:color="auto"/>
            </w:tcBorders>
            <w:vAlign w:val="center"/>
            <w:hideMark/>
          </w:tcPr>
          <w:p w14:paraId="0C00F487"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083EC2DA"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05EA2E8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Total Assets</w:t>
            </w:r>
          </w:p>
        </w:tc>
        <w:tc>
          <w:tcPr>
            <w:tcW w:w="554" w:type="pct"/>
            <w:tcBorders>
              <w:top w:val="nil"/>
              <w:left w:val="nil"/>
              <w:bottom w:val="single" w:sz="4" w:space="0" w:color="auto"/>
              <w:right w:val="single" w:sz="4" w:space="0" w:color="auto"/>
            </w:tcBorders>
            <w:shd w:val="clear" w:color="auto" w:fill="auto"/>
            <w:noWrap/>
            <w:vAlign w:val="center"/>
            <w:hideMark/>
          </w:tcPr>
          <w:p w14:paraId="04074E2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75,266 </w:t>
            </w:r>
          </w:p>
        </w:tc>
        <w:tc>
          <w:tcPr>
            <w:tcW w:w="554" w:type="pct"/>
            <w:tcBorders>
              <w:top w:val="nil"/>
              <w:left w:val="nil"/>
              <w:bottom w:val="single" w:sz="4" w:space="0" w:color="auto"/>
              <w:right w:val="single" w:sz="4" w:space="0" w:color="auto"/>
            </w:tcBorders>
            <w:shd w:val="clear" w:color="auto" w:fill="auto"/>
            <w:noWrap/>
            <w:vAlign w:val="center"/>
            <w:hideMark/>
          </w:tcPr>
          <w:p w14:paraId="274D091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77,821 </w:t>
            </w:r>
          </w:p>
        </w:tc>
        <w:tc>
          <w:tcPr>
            <w:tcW w:w="468" w:type="pct"/>
            <w:tcBorders>
              <w:top w:val="nil"/>
              <w:left w:val="nil"/>
              <w:bottom w:val="single" w:sz="4" w:space="0" w:color="auto"/>
              <w:right w:val="single" w:sz="4" w:space="0" w:color="auto"/>
            </w:tcBorders>
            <w:shd w:val="clear" w:color="auto" w:fill="auto"/>
            <w:noWrap/>
            <w:vAlign w:val="center"/>
            <w:hideMark/>
          </w:tcPr>
          <w:p w14:paraId="5162FE5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75,095</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5DC5206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67,659</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6E7921D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64,806 </w:t>
            </w:r>
          </w:p>
        </w:tc>
        <w:tc>
          <w:tcPr>
            <w:tcW w:w="793" w:type="pct"/>
            <w:tcBorders>
              <w:top w:val="nil"/>
              <w:left w:val="nil"/>
              <w:bottom w:val="single" w:sz="4" w:space="0" w:color="auto"/>
              <w:right w:val="single" w:sz="4" w:space="0" w:color="auto"/>
            </w:tcBorders>
            <w:shd w:val="clear" w:color="auto" w:fill="auto"/>
            <w:noWrap/>
            <w:vAlign w:val="center"/>
            <w:hideMark/>
          </w:tcPr>
          <w:p w14:paraId="3813990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72,129 </w:t>
            </w:r>
          </w:p>
        </w:tc>
        <w:tc>
          <w:tcPr>
            <w:tcW w:w="755" w:type="pct"/>
            <w:vMerge/>
            <w:tcBorders>
              <w:top w:val="nil"/>
              <w:left w:val="single" w:sz="4" w:space="0" w:color="auto"/>
              <w:bottom w:val="single" w:sz="4" w:space="0" w:color="000000"/>
              <w:right w:val="single" w:sz="4" w:space="0" w:color="auto"/>
            </w:tcBorders>
            <w:vAlign w:val="center"/>
            <w:hideMark/>
          </w:tcPr>
          <w:p w14:paraId="62E1B738"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445801AC"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C5E11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(Debt/assets)</w:t>
            </w:r>
          </w:p>
        </w:tc>
      </w:tr>
      <w:tr w:rsidR="00287950" w:rsidRPr="00A01271" w14:paraId="5BF189D8"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7F44FBD2"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Efficiency ratios</w:t>
            </w:r>
          </w:p>
        </w:tc>
        <w:tc>
          <w:tcPr>
            <w:tcW w:w="554" w:type="pct"/>
            <w:tcBorders>
              <w:top w:val="nil"/>
              <w:left w:val="nil"/>
              <w:bottom w:val="single" w:sz="4" w:space="0" w:color="auto"/>
              <w:right w:val="single" w:sz="4" w:space="0" w:color="auto"/>
            </w:tcBorders>
            <w:shd w:val="clear" w:color="auto" w:fill="auto"/>
            <w:noWrap/>
            <w:vAlign w:val="center"/>
            <w:hideMark/>
          </w:tcPr>
          <w:p w14:paraId="147DAD6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554" w:type="pct"/>
            <w:tcBorders>
              <w:top w:val="nil"/>
              <w:left w:val="nil"/>
              <w:bottom w:val="single" w:sz="4" w:space="0" w:color="auto"/>
              <w:right w:val="single" w:sz="4" w:space="0" w:color="auto"/>
            </w:tcBorders>
            <w:shd w:val="clear" w:color="auto" w:fill="auto"/>
            <w:noWrap/>
            <w:vAlign w:val="center"/>
            <w:hideMark/>
          </w:tcPr>
          <w:p w14:paraId="3472746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25E781E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68" w:type="pct"/>
            <w:tcBorders>
              <w:top w:val="nil"/>
              <w:left w:val="nil"/>
              <w:bottom w:val="single" w:sz="4" w:space="0" w:color="auto"/>
              <w:right w:val="single" w:sz="4" w:space="0" w:color="auto"/>
            </w:tcBorders>
            <w:shd w:val="clear" w:color="auto" w:fill="auto"/>
            <w:noWrap/>
            <w:vAlign w:val="center"/>
            <w:hideMark/>
          </w:tcPr>
          <w:p w14:paraId="3D6F84D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489" w:type="pct"/>
            <w:tcBorders>
              <w:top w:val="nil"/>
              <w:left w:val="nil"/>
              <w:bottom w:val="single" w:sz="4" w:space="0" w:color="auto"/>
              <w:right w:val="single" w:sz="4" w:space="0" w:color="auto"/>
            </w:tcBorders>
            <w:shd w:val="clear" w:color="auto" w:fill="auto"/>
            <w:noWrap/>
            <w:vAlign w:val="center"/>
            <w:hideMark/>
          </w:tcPr>
          <w:p w14:paraId="7A48D51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93" w:type="pct"/>
            <w:tcBorders>
              <w:top w:val="nil"/>
              <w:left w:val="nil"/>
              <w:bottom w:val="single" w:sz="4" w:space="0" w:color="auto"/>
              <w:right w:val="single" w:sz="4" w:space="0" w:color="auto"/>
            </w:tcBorders>
            <w:shd w:val="clear" w:color="auto" w:fill="auto"/>
            <w:noWrap/>
            <w:vAlign w:val="center"/>
            <w:hideMark/>
          </w:tcPr>
          <w:p w14:paraId="5724E10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755" w:type="pct"/>
            <w:tcBorders>
              <w:top w:val="nil"/>
              <w:left w:val="nil"/>
              <w:bottom w:val="single" w:sz="4" w:space="0" w:color="auto"/>
              <w:right w:val="single" w:sz="4" w:space="0" w:color="auto"/>
            </w:tcBorders>
            <w:shd w:val="clear" w:color="auto" w:fill="auto"/>
            <w:noWrap/>
            <w:vAlign w:val="center"/>
            <w:hideMark/>
          </w:tcPr>
          <w:p w14:paraId="3CD895A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r>
      <w:tr w:rsidR="00287950" w:rsidRPr="00A01271" w14:paraId="0520C834"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5C42186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Collection period </w:t>
            </w:r>
          </w:p>
        </w:tc>
        <w:tc>
          <w:tcPr>
            <w:tcW w:w="554" w:type="pct"/>
            <w:tcBorders>
              <w:top w:val="nil"/>
              <w:left w:val="nil"/>
              <w:bottom w:val="single" w:sz="4" w:space="0" w:color="auto"/>
              <w:right w:val="single" w:sz="4" w:space="0" w:color="auto"/>
            </w:tcBorders>
            <w:shd w:val="clear" w:color="auto" w:fill="auto"/>
            <w:noWrap/>
            <w:vAlign w:val="center"/>
            <w:hideMark/>
          </w:tcPr>
          <w:p w14:paraId="6EB0228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35.36</w:t>
            </w:r>
          </w:p>
        </w:tc>
        <w:tc>
          <w:tcPr>
            <w:tcW w:w="554" w:type="pct"/>
            <w:tcBorders>
              <w:top w:val="nil"/>
              <w:left w:val="nil"/>
              <w:bottom w:val="single" w:sz="4" w:space="0" w:color="auto"/>
              <w:right w:val="single" w:sz="4" w:space="0" w:color="auto"/>
            </w:tcBorders>
            <w:shd w:val="clear" w:color="auto" w:fill="auto"/>
            <w:noWrap/>
            <w:vAlign w:val="center"/>
            <w:hideMark/>
          </w:tcPr>
          <w:p w14:paraId="762A7F51"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42.87</w:t>
            </w:r>
          </w:p>
        </w:tc>
        <w:tc>
          <w:tcPr>
            <w:tcW w:w="468" w:type="pct"/>
            <w:tcBorders>
              <w:top w:val="nil"/>
              <w:left w:val="nil"/>
              <w:bottom w:val="single" w:sz="4" w:space="0" w:color="auto"/>
              <w:right w:val="single" w:sz="4" w:space="0" w:color="auto"/>
            </w:tcBorders>
            <w:shd w:val="clear" w:color="auto" w:fill="auto"/>
            <w:noWrap/>
            <w:vAlign w:val="center"/>
            <w:hideMark/>
          </w:tcPr>
          <w:p w14:paraId="57634F9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37.74</w:t>
            </w:r>
          </w:p>
        </w:tc>
        <w:tc>
          <w:tcPr>
            <w:tcW w:w="468" w:type="pct"/>
            <w:tcBorders>
              <w:top w:val="nil"/>
              <w:left w:val="nil"/>
              <w:bottom w:val="single" w:sz="4" w:space="0" w:color="auto"/>
              <w:right w:val="single" w:sz="4" w:space="0" w:color="auto"/>
            </w:tcBorders>
            <w:shd w:val="clear" w:color="auto" w:fill="auto"/>
            <w:noWrap/>
            <w:vAlign w:val="center"/>
            <w:hideMark/>
          </w:tcPr>
          <w:p w14:paraId="17F250B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35.54</w:t>
            </w:r>
          </w:p>
        </w:tc>
        <w:tc>
          <w:tcPr>
            <w:tcW w:w="489" w:type="pct"/>
            <w:tcBorders>
              <w:top w:val="nil"/>
              <w:left w:val="nil"/>
              <w:bottom w:val="single" w:sz="4" w:space="0" w:color="auto"/>
              <w:right w:val="single" w:sz="4" w:space="0" w:color="auto"/>
            </w:tcBorders>
            <w:shd w:val="clear" w:color="auto" w:fill="auto"/>
            <w:noWrap/>
            <w:vAlign w:val="center"/>
            <w:hideMark/>
          </w:tcPr>
          <w:p w14:paraId="460F6109"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47.01</w:t>
            </w:r>
          </w:p>
        </w:tc>
        <w:tc>
          <w:tcPr>
            <w:tcW w:w="793" w:type="pct"/>
            <w:tcBorders>
              <w:top w:val="nil"/>
              <w:left w:val="nil"/>
              <w:bottom w:val="single" w:sz="4" w:space="0" w:color="auto"/>
              <w:right w:val="single" w:sz="4" w:space="0" w:color="auto"/>
            </w:tcBorders>
            <w:shd w:val="clear" w:color="auto" w:fill="auto"/>
            <w:noWrap/>
            <w:vAlign w:val="center"/>
            <w:hideMark/>
          </w:tcPr>
          <w:p w14:paraId="570A66F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39.70</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51D039F"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45.00</w:t>
            </w:r>
          </w:p>
        </w:tc>
      </w:tr>
      <w:tr w:rsidR="00287950" w:rsidRPr="00A01271" w14:paraId="7B748494"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55AD136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Receivables </w:t>
            </w:r>
          </w:p>
        </w:tc>
        <w:tc>
          <w:tcPr>
            <w:tcW w:w="554" w:type="pct"/>
            <w:tcBorders>
              <w:top w:val="nil"/>
              <w:left w:val="nil"/>
              <w:bottom w:val="single" w:sz="4" w:space="0" w:color="auto"/>
              <w:right w:val="single" w:sz="4" w:space="0" w:color="auto"/>
            </w:tcBorders>
            <w:shd w:val="clear" w:color="auto" w:fill="auto"/>
            <w:noWrap/>
            <w:vAlign w:val="center"/>
            <w:hideMark/>
          </w:tcPr>
          <w:p w14:paraId="6BCE768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5,775 </w:t>
            </w:r>
          </w:p>
        </w:tc>
        <w:tc>
          <w:tcPr>
            <w:tcW w:w="554" w:type="pct"/>
            <w:tcBorders>
              <w:top w:val="nil"/>
              <w:left w:val="nil"/>
              <w:bottom w:val="single" w:sz="4" w:space="0" w:color="auto"/>
              <w:right w:val="single" w:sz="4" w:space="0" w:color="auto"/>
            </w:tcBorders>
            <w:shd w:val="clear" w:color="auto" w:fill="auto"/>
            <w:noWrap/>
            <w:vAlign w:val="center"/>
            <w:hideMark/>
          </w:tcPr>
          <w:p w14:paraId="6AA66C5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7,056 </w:t>
            </w:r>
          </w:p>
        </w:tc>
        <w:tc>
          <w:tcPr>
            <w:tcW w:w="468" w:type="pct"/>
            <w:tcBorders>
              <w:top w:val="nil"/>
              <w:left w:val="nil"/>
              <w:bottom w:val="single" w:sz="4" w:space="0" w:color="auto"/>
              <w:right w:val="single" w:sz="4" w:space="0" w:color="auto"/>
            </w:tcBorders>
            <w:shd w:val="clear" w:color="auto" w:fill="auto"/>
            <w:noWrap/>
            <w:vAlign w:val="center"/>
            <w:hideMark/>
          </w:tcPr>
          <w:p w14:paraId="0D97282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5,422 </w:t>
            </w:r>
          </w:p>
        </w:tc>
        <w:tc>
          <w:tcPr>
            <w:tcW w:w="468" w:type="pct"/>
            <w:tcBorders>
              <w:top w:val="nil"/>
              <w:left w:val="nil"/>
              <w:bottom w:val="single" w:sz="4" w:space="0" w:color="auto"/>
              <w:right w:val="single" w:sz="4" w:space="0" w:color="auto"/>
            </w:tcBorders>
            <w:shd w:val="clear" w:color="auto" w:fill="auto"/>
            <w:noWrap/>
            <w:vAlign w:val="center"/>
            <w:hideMark/>
          </w:tcPr>
          <w:p w14:paraId="7AEB9B1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4,939 </w:t>
            </w:r>
          </w:p>
        </w:tc>
        <w:tc>
          <w:tcPr>
            <w:tcW w:w="489" w:type="pct"/>
            <w:tcBorders>
              <w:top w:val="nil"/>
              <w:left w:val="nil"/>
              <w:bottom w:val="single" w:sz="4" w:space="0" w:color="auto"/>
              <w:right w:val="single" w:sz="4" w:space="0" w:color="auto"/>
            </w:tcBorders>
            <w:shd w:val="clear" w:color="auto" w:fill="auto"/>
            <w:noWrap/>
            <w:vAlign w:val="center"/>
            <w:hideMark/>
          </w:tcPr>
          <w:p w14:paraId="3BA962B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6,695 </w:t>
            </w:r>
          </w:p>
        </w:tc>
        <w:tc>
          <w:tcPr>
            <w:tcW w:w="793" w:type="pct"/>
            <w:tcBorders>
              <w:top w:val="nil"/>
              <w:left w:val="nil"/>
              <w:bottom w:val="single" w:sz="4" w:space="0" w:color="auto"/>
              <w:right w:val="single" w:sz="4" w:space="0" w:color="auto"/>
            </w:tcBorders>
            <w:shd w:val="clear" w:color="auto" w:fill="auto"/>
            <w:noWrap/>
            <w:vAlign w:val="center"/>
            <w:hideMark/>
          </w:tcPr>
          <w:p w14:paraId="6C3C406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5,977 </w:t>
            </w:r>
          </w:p>
        </w:tc>
        <w:tc>
          <w:tcPr>
            <w:tcW w:w="755" w:type="pct"/>
            <w:vMerge/>
            <w:tcBorders>
              <w:top w:val="nil"/>
              <w:left w:val="single" w:sz="4" w:space="0" w:color="auto"/>
              <w:bottom w:val="single" w:sz="4" w:space="0" w:color="000000"/>
              <w:right w:val="single" w:sz="4" w:space="0" w:color="auto"/>
            </w:tcBorders>
            <w:vAlign w:val="center"/>
            <w:hideMark/>
          </w:tcPr>
          <w:p w14:paraId="5E804F71"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77123412"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400F1C8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Revenue </w:t>
            </w:r>
          </w:p>
        </w:tc>
        <w:tc>
          <w:tcPr>
            <w:tcW w:w="554" w:type="pct"/>
            <w:tcBorders>
              <w:top w:val="nil"/>
              <w:left w:val="nil"/>
              <w:bottom w:val="single" w:sz="4" w:space="0" w:color="auto"/>
              <w:right w:val="single" w:sz="4" w:space="0" w:color="auto"/>
            </w:tcBorders>
            <w:shd w:val="clear" w:color="auto" w:fill="auto"/>
            <w:noWrap/>
            <w:vAlign w:val="center"/>
            <w:hideMark/>
          </w:tcPr>
          <w:p w14:paraId="1EC5225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59,604 </w:t>
            </w:r>
          </w:p>
        </w:tc>
        <w:tc>
          <w:tcPr>
            <w:tcW w:w="554" w:type="pct"/>
            <w:tcBorders>
              <w:top w:val="nil"/>
              <w:left w:val="nil"/>
              <w:bottom w:val="single" w:sz="4" w:space="0" w:color="auto"/>
              <w:right w:val="single" w:sz="4" w:space="0" w:color="auto"/>
            </w:tcBorders>
            <w:shd w:val="clear" w:color="auto" w:fill="auto"/>
            <w:noWrap/>
            <w:vAlign w:val="center"/>
            <w:hideMark/>
          </w:tcPr>
          <w:p w14:paraId="0BC3DE5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60,073 </w:t>
            </w:r>
          </w:p>
        </w:tc>
        <w:tc>
          <w:tcPr>
            <w:tcW w:w="468" w:type="pct"/>
            <w:tcBorders>
              <w:top w:val="nil"/>
              <w:left w:val="nil"/>
              <w:bottom w:val="single" w:sz="4" w:space="0" w:color="auto"/>
              <w:right w:val="single" w:sz="4" w:space="0" w:color="auto"/>
            </w:tcBorders>
            <w:shd w:val="clear" w:color="auto" w:fill="auto"/>
            <w:noWrap/>
            <w:vAlign w:val="center"/>
            <w:hideMark/>
          </w:tcPr>
          <w:p w14:paraId="74349A6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52,444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211508A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50,724</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3EF9222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51,980 </w:t>
            </w:r>
          </w:p>
        </w:tc>
        <w:tc>
          <w:tcPr>
            <w:tcW w:w="793" w:type="pct"/>
            <w:tcBorders>
              <w:top w:val="nil"/>
              <w:left w:val="nil"/>
              <w:bottom w:val="single" w:sz="4" w:space="0" w:color="auto"/>
              <w:right w:val="single" w:sz="4" w:space="0" w:color="auto"/>
            </w:tcBorders>
            <w:shd w:val="clear" w:color="auto" w:fill="auto"/>
            <w:noWrap/>
            <w:vAlign w:val="center"/>
            <w:hideMark/>
          </w:tcPr>
          <w:p w14:paraId="76A0940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54,965 </w:t>
            </w:r>
          </w:p>
        </w:tc>
        <w:tc>
          <w:tcPr>
            <w:tcW w:w="755" w:type="pct"/>
            <w:vMerge/>
            <w:tcBorders>
              <w:top w:val="nil"/>
              <w:left w:val="single" w:sz="4" w:space="0" w:color="auto"/>
              <w:bottom w:val="single" w:sz="4" w:space="0" w:color="000000"/>
              <w:right w:val="single" w:sz="4" w:space="0" w:color="auto"/>
            </w:tcBorders>
            <w:vAlign w:val="center"/>
            <w:hideMark/>
          </w:tcPr>
          <w:p w14:paraId="095AAFAD"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7BB042F2"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064878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(Receivables/</w:t>
            </w:r>
            <w:proofErr w:type="gramStart"/>
            <w:r w:rsidRPr="00A01271">
              <w:rPr>
                <w:rFonts w:asciiTheme="majorBidi" w:eastAsia="Times New Roman" w:hAnsiTheme="majorBidi" w:cstheme="majorBidi"/>
                <w:kern w:val="0"/>
                <w:sz w:val="24"/>
                <w:szCs w:val="24"/>
                <w:lang w:val="en-GB" w:eastAsia="en-IN"/>
                <w14:ligatures w14:val="none"/>
              </w:rPr>
              <w:t>Revenue)*</w:t>
            </w:r>
            <w:proofErr w:type="gramEnd"/>
            <w:r w:rsidRPr="00A01271">
              <w:rPr>
                <w:rFonts w:asciiTheme="majorBidi" w:eastAsia="Times New Roman" w:hAnsiTheme="majorBidi" w:cstheme="majorBidi"/>
                <w:kern w:val="0"/>
                <w:sz w:val="24"/>
                <w:szCs w:val="24"/>
                <w:lang w:val="en-GB" w:eastAsia="en-IN"/>
                <w14:ligatures w14:val="none"/>
              </w:rPr>
              <w:t>365</w:t>
            </w:r>
          </w:p>
        </w:tc>
      </w:tr>
      <w:tr w:rsidR="00287950" w:rsidRPr="00A01271" w14:paraId="64333E5D" w14:textId="77777777" w:rsidTr="00633414">
        <w:trPr>
          <w:trHeight w:val="324"/>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3405364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Payment period </w:t>
            </w:r>
          </w:p>
        </w:tc>
        <w:tc>
          <w:tcPr>
            <w:tcW w:w="554" w:type="pct"/>
            <w:tcBorders>
              <w:top w:val="nil"/>
              <w:left w:val="nil"/>
              <w:bottom w:val="single" w:sz="4" w:space="0" w:color="auto"/>
              <w:right w:val="single" w:sz="4" w:space="0" w:color="auto"/>
            </w:tcBorders>
            <w:shd w:val="clear" w:color="auto" w:fill="auto"/>
            <w:noWrap/>
            <w:vAlign w:val="center"/>
            <w:hideMark/>
          </w:tcPr>
          <w:p w14:paraId="46FF044D"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123.44</w:t>
            </w:r>
          </w:p>
        </w:tc>
        <w:tc>
          <w:tcPr>
            <w:tcW w:w="554" w:type="pct"/>
            <w:tcBorders>
              <w:top w:val="nil"/>
              <w:left w:val="nil"/>
              <w:bottom w:val="single" w:sz="4" w:space="0" w:color="auto"/>
              <w:right w:val="single" w:sz="4" w:space="0" w:color="auto"/>
            </w:tcBorders>
            <w:shd w:val="clear" w:color="auto" w:fill="auto"/>
            <w:noWrap/>
            <w:vAlign w:val="center"/>
            <w:hideMark/>
          </w:tcPr>
          <w:p w14:paraId="4054C9A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133.39</w:t>
            </w:r>
          </w:p>
        </w:tc>
        <w:tc>
          <w:tcPr>
            <w:tcW w:w="468" w:type="pct"/>
            <w:tcBorders>
              <w:top w:val="nil"/>
              <w:left w:val="nil"/>
              <w:bottom w:val="single" w:sz="4" w:space="0" w:color="auto"/>
              <w:right w:val="single" w:sz="4" w:space="0" w:color="auto"/>
            </w:tcBorders>
            <w:shd w:val="clear" w:color="auto" w:fill="auto"/>
            <w:noWrap/>
            <w:vAlign w:val="center"/>
            <w:hideMark/>
          </w:tcPr>
          <w:p w14:paraId="0FC8D0A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124.01</w:t>
            </w:r>
          </w:p>
        </w:tc>
        <w:tc>
          <w:tcPr>
            <w:tcW w:w="468" w:type="pct"/>
            <w:tcBorders>
              <w:top w:val="nil"/>
              <w:left w:val="nil"/>
              <w:bottom w:val="single" w:sz="4" w:space="0" w:color="auto"/>
              <w:right w:val="single" w:sz="4" w:space="0" w:color="auto"/>
            </w:tcBorders>
            <w:shd w:val="clear" w:color="auto" w:fill="auto"/>
            <w:noWrap/>
            <w:vAlign w:val="center"/>
            <w:hideMark/>
          </w:tcPr>
          <w:p w14:paraId="25FA61DA"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121.59</w:t>
            </w:r>
          </w:p>
        </w:tc>
        <w:tc>
          <w:tcPr>
            <w:tcW w:w="489" w:type="pct"/>
            <w:tcBorders>
              <w:top w:val="nil"/>
              <w:left w:val="nil"/>
              <w:bottom w:val="single" w:sz="4" w:space="0" w:color="auto"/>
              <w:right w:val="single" w:sz="4" w:space="0" w:color="auto"/>
            </w:tcBorders>
            <w:shd w:val="clear" w:color="auto" w:fill="auto"/>
            <w:noWrap/>
            <w:vAlign w:val="center"/>
            <w:hideMark/>
          </w:tcPr>
          <w:p w14:paraId="1188BC5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124.57</w:t>
            </w:r>
          </w:p>
        </w:tc>
        <w:tc>
          <w:tcPr>
            <w:tcW w:w="793" w:type="pct"/>
            <w:tcBorders>
              <w:top w:val="nil"/>
              <w:left w:val="nil"/>
              <w:bottom w:val="single" w:sz="4" w:space="0" w:color="auto"/>
              <w:right w:val="single" w:sz="4" w:space="0" w:color="auto"/>
            </w:tcBorders>
            <w:shd w:val="clear" w:color="auto" w:fill="auto"/>
            <w:noWrap/>
            <w:vAlign w:val="center"/>
            <w:hideMark/>
          </w:tcPr>
          <w:p w14:paraId="45AE2EC5"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125.40</w:t>
            </w:r>
          </w:p>
        </w:tc>
        <w:tc>
          <w:tcPr>
            <w:tcW w:w="75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6451B40"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60.00</w:t>
            </w:r>
          </w:p>
        </w:tc>
      </w:tr>
      <w:tr w:rsidR="00287950" w:rsidRPr="00A01271" w14:paraId="41AFE8F9"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1CEC670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 xml:space="preserve">Payables </w:t>
            </w:r>
          </w:p>
        </w:tc>
        <w:tc>
          <w:tcPr>
            <w:tcW w:w="554" w:type="pct"/>
            <w:tcBorders>
              <w:top w:val="nil"/>
              <w:left w:val="nil"/>
              <w:bottom w:val="single" w:sz="4" w:space="0" w:color="auto"/>
              <w:right w:val="single" w:sz="4" w:space="0" w:color="auto"/>
            </w:tcBorders>
            <w:shd w:val="clear" w:color="auto" w:fill="auto"/>
            <w:noWrap/>
            <w:vAlign w:val="center"/>
            <w:hideMark/>
          </w:tcPr>
          <w:p w14:paraId="3438567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16,857 </w:t>
            </w:r>
          </w:p>
        </w:tc>
        <w:tc>
          <w:tcPr>
            <w:tcW w:w="554" w:type="pct"/>
            <w:tcBorders>
              <w:top w:val="nil"/>
              <w:left w:val="nil"/>
              <w:bottom w:val="single" w:sz="4" w:space="0" w:color="auto"/>
              <w:right w:val="single" w:sz="4" w:space="0" w:color="auto"/>
            </w:tcBorders>
            <w:shd w:val="clear" w:color="auto" w:fill="auto"/>
            <w:noWrap/>
            <w:vAlign w:val="center"/>
            <w:hideMark/>
          </w:tcPr>
          <w:p w14:paraId="70593F6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18,023 </w:t>
            </w:r>
          </w:p>
        </w:tc>
        <w:tc>
          <w:tcPr>
            <w:tcW w:w="468" w:type="pct"/>
            <w:tcBorders>
              <w:top w:val="nil"/>
              <w:left w:val="nil"/>
              <w:bottom w:val="single" w:sz="4" w:space="0" w:color="auto"/>
              <w:right w:val="single" w:sz="4" w:space="0" w:color="auto"/>
            </w:tcBorders>
            <w:shd w:val="clear" w:color="auto" w:fill="auto"/>
            <w:noWrap/>
            <w:vAlign w:val="center"/>
            <w:hideMark/>
          </w:tcPr>
          <w:p w14:paraId="2AE188F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14,861</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29512B7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14,132</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29FCB6F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14,768 </w:t>
            </w:r>
          </w:p>
        </w:tc>
        <w:tc>
          <w:tcPr>
            <w:tcW w:w="793" w:type="pct"/>
            <w:tcBorders>
              <w:top w:val="nil"/>
              <w:left w:val="nil"/>
              <w:bottom w:val="single" w:sz="4" w:space="0" w:color="auto"/>
              <w:right w:val="single" w:sz="4" w:space="0" w:color="auto"/>
            </w:tcBorders>
            <w:shd w:val="clear" w:color="auto" w:fill="auto"/>
            <w:noWrap/>
            <w:vAlign w:val="center"/>
            <w:hideMark/>
          </w:tcPr>
          <w:p w14:paraId="5F02FF0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15,728 </w:t>
            </w:r>
          </w:p>
        </w:tc>
        <w:tc>
          <w:tcPr>
            <w:tcW w:w="755" w:type="pct"/>
            <w:vMerge/>
            <w:tcBorders>
              <w:top w:val="nil"/>
              <w:left w:val="single" w:sz="4" w:space="0" w:color="auto"/>
              <w:bottom w:val="single" w:sz="4" w:space="0" w:color="000000"/>
              <w:right w:val="single" w:sz="4" w:space="0" w:color="auto"/>
            </w:tcBorders>
            <w:vAlign w:val="center"/>
            <w:hideMark/>
          </w:tcPr>
          <w:p w14:paraId="10FFD58B"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56ABD86C" w14:textId="77777777" w:rsidTr="00633414">
        <w:trPr>
          <w:trHeight w:val="312"/>
        </w:trPr>
        <w:tc>
          <w:tcPr>
            <w:tcW w:w="920" w:type="pct"/>
            <w:tcBorders>
              <w:top w:val="nil"/>
              <w:left w:val="single" w:sz="4" w:space="0" w:color="auto"/>
              <w:bottom w:val="single" w:sz="4" w:space="0" w:color="auto"/>
              <w:right w:val="single" w:sz="4" w:space="0" w:color="auto"/>
            </w:tcBorders>
            <w:shd w:val="clear" w:color="auto" w:fill="auto"/>
            <w:noWrap/>
            <w:vAlign w:val="center"/>
            <w:hideMark/>
          </w:tcPr>
          <w:p w14:paraId="14896A2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Cost of sales (COS) </w:t>
            </w:r>
          </w:p>
        </w:tc>
        <w:tc>
          <w:tcPr>
            <w:tcW w:w="554" w:type="pct"/>
            <w:tcBorders>
              <w:top w:val="nil"/>
              <w:left w:val="nil"/>
              <w:bottom w:val="single" w:sz="4" w:space="0" w:color="auto"/>
              <w:right w:val="single" w:sz="4" w:space="0" w:color="auto"/>
            </w:tcBorders>
            <w:shd w:val="clear" w:color="auto" w:fill="auto"/>
            <w:noWrap/>
            <w:vAlign w:val="center"/>
            <w:hideMark/>
          </w:tcPr>
          <w:p w14:paraId="76B94D6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49,846 </w:t>
            </w:r>
          </w:p>
        </w:tc>
        <w:tc>
          <w:tcPr>
            <w:tcW w:w="554" w:type="pct"/>
            <w:tcBorders>
              <w:top w:val="nil"/>
              <w:left w:val="nil"/>
              <w:bottom w:val="single" w:sz="4" w:space="0" w:color="auto"/>
              <w:right w:val="single" w:sz="4" w:space="0" w:color="auto"/>
            </w:tcBorders>
            <w:shd w:val="clear" w:color="auto" w:fill="auto"/>
            <w:noWrap/>
            <w:vAlign w:val="center"/>
            <w:hideMark/>
          </w:tcPr>
          <w:p w14:paraId="3DDA507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49,318 </w:t>
            </w:r>
          </w:p>
        </w:tc>
        <w:tc>
          <w:tcPr>
            <w:tcW w:w="468" w:type="pct"/>
            <w:tcBorders>
              <w:top w:val="nil"/>
              <w:left w:val="nil"/>
              <w:bottom w:val="single" w:sz="4" w:space="0" w:color="auto"/>
              <w:right w:val="single" w:sz="4" w:space="0" w:color="auto"/>
            </w:tcBorders>
            <w:shd w:val="clear" w:color="auto" w:fill="auto"/>
            <w:noWrap/>
            <w:vAlign w:val="center"/>
            <w:hideMark/>
          </w:tcPr>
          <w:p w14:paraId="7B4DB0F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43,742</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68" w:type="pct"/>
            <w:tcBorders>
              <w:top w:val="nil"/>
              <w:left w:val="nil"/>
              <w:bottom w:val="single" w:sz="4" w:space="0" w:color="auto"/>
              <w:right w:val="single" w:sz="4" w:space="0" w:color="auto"/>
            </w:tcBorders>
            <w:shd w:val="clear" w:color="auto" w:fill="auto"/>
            <w:noWrap/>
            <w:vAlign w:val="center"/>
            <w:hideMark/>
          </w:tcPr>
          <w:p w14:paraId="6E8B7F8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42,421</w:t>
            </w:r>
            <w:proofErr w:type="gramEnd"/>
            <w:r w:rsidRPr="00A01271">
              <w:rPr>
                <w:rFonts w:asciiTheme="majorBidi" w:eastAsia="Times New Roman" w:hAnsiTheme="majorBidi" w:cstheme="majorBidi"/>
                <w:kern w:val="0"/>
                <w:sz w:val="24"/>
                <w:szCs w:val="24"/>
                <w:lang w:val="en-GB" w:eastAsia="en-IN"/>
                <w14:ligatures w14:val="none"/>
              </w:rPr>
              <w:t xml:space="preserve"> </w:t>
            </w:r>
          </w:p>
        </w:tc>
        <w:tc>
          <w:tcPr>
            <w:tcW w:w="489" w:type="pct"/>
            <w:tcBorders>
              <w:top w:val="nil"/>
              <w:left w:val="nil"/>
              <w:bottom w:val="single" w:sz="4" w:space="0" w:color="auto"/>
              <w:right w:val="single" w:sz="4" w:space="0" w:color="auto"/>
            </w:tcBorders>
            <w:shd w:val="clear" w:color="auto" w:fill="auto"/>
            <w:noWrap/>
            <w:vAlign w:val="center"/>
            <w:hideMark/>
          </w:tcPr>
          <w:p w14:paraId="78A818B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43,272 </w:t>
            </w:r>
          </w:p>
        </w:tc>
        <w:tc>
          <w:tcPr>
            <w:tcW w:w="793" w:type="pct"/>
            <w:tcBorders>
              <w:top w:val="nil"/>
              <w:left w:val="nil"/>
              <w:bottom w:val="single" w:sz="4" w:space="0" w:color="auto"/>
              <w:right w:val="single" w:sz="4" w:space="0" w:color="auto"/>
            </w:tcBorders>
            <w:shd w:val="clear" w:color="auto" w:fill="auto"/>
            <w:noWrap/>
            <w:vAlign w:val="center"/>
            <w:hideMark/>
          </w:tcPr>
          <w:p w14:paraId="63C8E0A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45,720 </w:t>
            </w:r>
          </w:p>
        </w:tc>
        <w:tc>
          <w:tcPr>
            <w:tcW w:w="755" w:type="pct"/>
            <w:vMerge/>
            <w:tcBorders>
              <w:top w:val="nil"/>
              <w:left w:val="single" w:sz="4" w:space="0" w:color="auto"/>
              <w:bottom w:val="single" w:sz="4" w:space="0" w:color="000000"/>
              <w:right w:val="single" w:sz="4" w:space="0" w:color="auto"/>
            </w:tcBorders>
            <w:vAlign w:val="center"/>
            <w:hideMark/>
          </w:tcPr>
          <w:p w14:paraId="2C5F14C0"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5B7E17B9" w14:textId="77777777" w:rsidTr="00633414">
        <w:trPr>
          <w:trHeight w:val="312"/>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9A9CC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Formula (Receivables/</w:t>
            </w:r>
            <w:proofErr w:type="gramStart"/>
            <w:r w:rsidRPr="00A01271">
              <w:rPr>
                <w:rFonts w:asciiTheme="majorBidi" w:eastAsia="Times New Roman" w:hAnsiTheme="majorBidi" w:cstheme="majorBidi"/>
                <w:kern w:val="0"/>
                <w:sz w:val="24"/>
                <w:szCs w:val="24"/>
                <w:lang w:val="en-GB" w:eastAsia="en-IN"/>
                <w14:ligatures w14:val="none"/>
              </w:rPr>
              <w:t>COS)*</w:t>
            </w:r>
            <w:proofErr w:type="gramEnd"/>
            <w:r w:rsidRPr="00A01271">
              <w:rPr>
                <w:rFonts w:asciiTheme="majorBidi" w:eastAsia="Times New Roman" w:hAnsiTheme="majorBidi" w:cstheme="majorBidi"/>
                <w:kern w:val="0"/>
                <w:sz w:val="24"/>
                <w:szCs w:val="24"/>
                <w:lang w:val="en-GB" w:eastAsia="en-IN"/>
                <w14:ligatures w14:val="none"/>
              </w:rPr>
              <w:t>365</w:t>
            </w:r>
          </w:p>
        </w:tc>
      </w:tr>
    </w:tbl>
    <w:p w14:paraId="0F60F757"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Table 1: Financial ratios</w:t>
      </w:r>
    </w:p>
    <w:p w14:paraId="15FD83FF"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Annualreports.com, 2023)</w:t>
      </w:r>
    </w:p>
    <w:p w14:paraId="39BD9ABD" w14:textId="77777777" w:rsidR="00287950" w:rsidRPr="00A01271" w:rsidRDefault="00287950" w:rsidP="00287950">
      <w:pPr>
        <w:pStyle w:val="Heading2"/>
        <w:spacing w:before="240" w:after="160"/>
        <w:rPr>
          <w:rFonts w:asciiTheme="majorBidi" w:hAnsiTheme="majorBidi"/>
          <w:lang w:val="en-GB"/>
        </w:rPr>
      </w:pPr>
      <w:bookmarkStart w:id="5" w:name="_Toc172407289"/>
      <w:r w:rsidRPr="00A01271">
        <w:rPr>
          <w:rFonts w:asciiTheme="majorBidi" w:hAnsiTheme="majorBidi"/>
          <w:lang w:val="en-GB"/>
        </w:rPr>
        <w:t>Evaluation of financial ratios</w:t>
      </w:r>
      <w:bookmarkEnd w:id="5"/>
      <w:r w:rsidRPr="00A01271">
        <w:rPr>
          <w:rFonts w:asciiTheme="majorBidi" w:hAnsiTheme="majorBidi"/>
          <w:lang w:val="en-GB"/>
        </w:rPr>
        <w:t> </w:t>
      </w:r>
    </w:p>
    <w:p w14:paraId="39E61AFA" w14:textId="77777777" w:rsidR="00287950" w:rsidRPr="00A01271" w:rsidRDefault="00287950" w:rsidP="00287950">
      <w:pPr>
        <w:spacing w:before="240" w:line="360" w:lineRule="auto"/>
        <w:jc w:val="both"/>
        <w:rPr>
          <w:rFonts w:asciiTheme="majorBidi" w:hAnsiTheme="majorBidi" w:cstheme="majorBidi"/>
          <w:b/>
          <w:bCs/>
          <w:sz w:val="24"/>
          <w:szCs w:val="24"/>
          <w:lang w:val="en-GB"/>
        </w:rPr>
      </w:pPr>
      <w:r w:rsidRPr="00A01271">
        <w:rPr>
          <w:rFonts w:asciiTheme="majorBidi" w:hAnsiTheme="majorBidi" w:cstheme="majorBidi"/>
          <w:b/>
          <w:bCs/>
          <w:sz w:val="24"/>
          <w:szCs w:val="24"/>
          <w:lang w:val="en-GB"/>
        </w:rPr>
        <w:t xml:space="preserve">Profitability ratio analysis </w:t>
      </w:r>
    </w:p>
    <w:p w14:paraId="4BA5CC40"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noProof/>
          <w:lang w:val="en-GB"/>
        </w:rPr>
        <w:drawing>
          <wp:inline distT="0" distB="0" distL="0" distR="0" wp14:anchorId="1BE71126" wp14:editId="0A899129">
            <wp:extent cx="5731510" cy="3321685"/>
            <wp:effectExtent l="0" t="0" r="2540" b="12065"/>
            <wp:docPr id="69327285" name="Chart 1">
              <a:extLst xmlns:a="http://schemas.openxmlformats.org/drawingml/2006/main">
                <a:ext uri="{FF2B5EF4-FFF2-40B4-BE49-F238E27FC236}">
                  <a16:creationId xmlns:a16="http://schemas.microsoft.com/office/drawing/2014/main" id="{D23E8347-4A25-04C7-13A5-995E1841CD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2998E84"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Figure 1: Profitability ratios</w:t>
      </w:r>
    </w:p>
    <w:p w14:paraId="47FD1A92"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Annualreports.com, 2023)</w:t>
      </w:r>
    </w:p>
    <w:p w14:paraId="53F12ADB"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lastRenderedPageBreak/>
        <w:t xml:space="preserve">Profitability ratios can be defined as a bunch of accounting ratios that show the profitability position and performance attained by the firm over the years (Bustani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The ratios of profitability have played a crucial role in the report to highlight the earnings and revenue generated by Unilever Plc in the past five years. The primary role of the profitability ratios is to highlight whether Unilever has attained high earnings in proportion to revenue or not in the past five years. The ratio of profitability is associated with gross profit and net profit ratios, which reflect the performance of the firm in the creation of gross and net earnings in proportion to revenue (Husain and </w:t>
      </w:r>
      <w:proofErr w:type="spellStart"/>
      <w:r w:rsidRPr="00A01271">
        <w:rPr>
          <w:rFonts w:asciiTheme="majorBidi" w:hAnsiTheme="majorBidi" w:cstheme="majorBidi"/>
          <w:sz w:val="24"/>
          <w:szCs w:val="24"/>
          <w:lang w:val="en-GB"/>
        </w:rPr>
        <w:t>Sunardi</w:t>
      </w:r>
      <w:proofErr w:type="spellEnd"/>
      <w:r w:rsidRPr="00A01271">
        <w:rPr>
          <w:rFonts w:asciiTheme="majorBidi" w:hAnsiTheme="majorBidi" w:cstheme="majorBidi"/>
          <w:sz w:val="24"/>
          <w:szCs w:val="24"/>
          <w:lang w:val="en-GB"/>
        </w:rPr>
        <w:t xml:space="preserve">, 2020). The formula of GP/NP ratios from which the outcome has been generated is </w:t>
      </w:r>
      <w:r w:rsidRPr="00A01271">
        <w:rPr>
          <w:rFonts w:asciiTheme="majorBidi" w:hAnsiTheme="majorBidi" w:cstheme="majorBidi"/>
          <w:i/>
          <w:iCs/>
          <w:sz w:val="24"/>
          <w:szCs w:val="24"/>
          <w:lang w:val="en-GB"/>
        </w:rPr>
        <w:t>“gross/net earnings divided by revenue of the year”</w:t>
      </w:r>
      <w:r w:rsidRPr="00A01271">
        <w:rPr>
          <w:rFonts w:asciiTheme="majorBidi" w:hAnsiTheme="majorBidi" w:cstheme="majorBidi"/>
          <w:sz w:val="24"/>
          <w:szCs w:val="24"/>
          <w:lang w:val="en-GB"/>
        </w:rPr>
        <w:t xml:space="preserve">. Therefore, the GP and NP ratios of Unilever Plc were (16.37, 1.98), (17.90, 3.76), (16.59, 2.62), (16.37, 1.97), and (16.75, 11.59) in 2023, 2022, 2021, 2020, and 2019. </w:t>
      </w:r>
    </w:p>
    <w:p w14:paraId="6605E8E6"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However, from the above financial outcomes, it has been found that the profitability position of Unilever has declined significantly in 2023 in comparison to 2022. The lower value of earnings in 2023 in proportion to revenue is one of the causes of the lower profitability position of the business (Jihadi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Another possible reason for lower profit may be the higher expenditures, which cause a reduction in profit and lead to a lower performance in 2023 than in 2022. Therefore, the firm should enhance the profitability proportion in the future years since a lack of profitability might face significant financial instability or challenges. A possible solution for profitability enhancement is that the management should control the level of expenditures by preparing an accurate and transparent budget, which will lead to lower expenses and higher income that will contribute to high profitability performance (Rolinda </w:t>
      </w:r>
      <w:r w:rsidRPr="00A01271">
        <w:rPr>
          <w:rFonts w:asciiTheme="majorBidi" w:hAnsiTheme="majorBidi" w:cstheme="majorBidi"/>
          <w:i/>
          <w:iCs/>
          <w:sz w:val="24"/>
          <w:szCs w:val="24"/>
          <w:lang w:val="en-GB"/>
        </w:rPr>
        <w:t xml:space="preserve">et al. </w:t>
      </w:r>
      <w:r w:rsidRPr="00A01271">
        <w:rPr>
          <w:rFonts w:asciiTheme="majorBidi" w:hAnsiTheme="majorBidi" w:cstheme="majorBidi"/>
          <w:sz w:val="24"/>
          <w:szCs w:val="24"/>
          <w:lang w:val="en-GB"/>
        </w:rPr>
        <w:t>2022). </w:t>
      </w:r>
    </w:p>
    <w:p w14:paraId="0BC4BB7D" w14:textId="77777777" w:rsidR="00287950" w:rsidRPr="00A01271" w:rsidRDefault="00287950" w:rsidP="00287950">
      <w:pPr>
        <w:spacing w:before="240" w:line="360" w:lineRule="auto"/>
        <w:jc w:val="both"/>
        <w:rPr>
          <w:rFonts w:asciiTheme="majorBidi" w:hAnsiTheme="majorBidi" w:cstheme="majorBidi"/>
          <w:b/>
          <w:bCs/>
          <w:sz w:val="24"/>
          <w:szCs w:val="24"/>
          <w:lang w:val="en-GB"/>
        </w:rPr>
      </w:pPr>
      <w:r w:rsidRPr="00A01271">
        <w:rPr>
          <w:rFonts w:asciiTheme="majorBidi" w:hAnsiTheme="majorBidi" w:cstheme="majorBidi"/>
          <w:b/>
          <w:bCs/>
          <w:sz w:val="24"/>
          <w:szCs w:val="24"/>
          <w:lang w:val="en-GB"/>
        </w:rPr>
        <w:t xml:space="preserve">Liquidity ratio analysis </w:t>
      </w:r>
    </w:p>
    <w:p w14:paraId="15596E86"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noProof/>
          <w:lang w:val="en-GB"/>
        </w:rPr>
        <w:lastRenderedPageBreak/>
        <w:drawing>
          <wp:inline distT="0" distB="0" distL="0" distR="0" wp14:anchorId="5A929345" wp14:editId="44289732">
            <wp:extent cx="5731510" cy="3321685"/>
            <wp:effectExtent l="0" t="0" r="2540" b="12065"/>
            <wp:docPr id="1869508794" name="Chart 1">
              <a:extLst xmlns:a="http://schemas.openxmlformats.org/drawingml/2006/main">
                <a:ext uri="{FF2B5EF4-FFF2-40B4-BE49-F238E27FC236}">
                  <a16:creationId xmlns:a16="http://schemas.microsoft.com/office/drawing/2014/main" id="{AD580A2E-7F84-4949-9794-FD326525C4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2F1C26E"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Figure 2: Liquidity ratios</w:t>
      </w:r>
    </w:p>
    <w:p w14:paraId="2FBCAED5"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Annualreports.com, 2023)</w:t>
      </w:r>
    </w:p>
    <w:p w14:paraId="748BF60C"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Liquidity ratios are the group of financial ratios that showcase the ability of the business to pay off all the short-term obligations and maintain the liquid assets (</w:t>
      </w:r>
      <w:proofErr w:type="spellStart"/>
      <w:r w:rsidRPr="00A01271">
        <w:rPr>
          <w:rFonts w:asciiTheme="majorBidi" w:hAnsiTheme="majorBidi" w:cstheme="majorBidi"/>
          <w:sz w:val="24"/>
          <w:szCs w:val="24"/>
          <w:lang w:val="en-GB"/>
        </w:rPr>
        <w:t>Ichsan</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The group of liquidity ratios have been crucial to judging the current requirement of liquidity to meet the recurring expenditures of the business. The liquidity ratios have also been helpful in managing the capabilities of the firm to pay the expenses using the current assets during the year. However, a lack of ability to meet the recurring expenses causes a lack of trust in the business whether they will be able to manage the financial performance or not. Hence, the liquidity ratios included the computation of current and cash ratios, both of which showcase the liquidity performance of the business for the last five years (</w:t>
      </w:r>
      <w:proofErr w:type="spellStart"/>
      <w:r w:rsidRPr="00A01271">
        <w:rPr>
          <w:rFonts w:asciiTheme="majorBidi" w:hAnsiTheme="majorBidi" w:cstheme="majorBidi"/>
          <w:sz w:val="24"/>
          <w:szCs w:val="24"/>
          <w:lang w:val="en-GB"/>
        </w:rPr>
        <w:t>Nariswari</w:t>
      </w:r>
      <w:proofErr w:type="spellEnd"/>
      <w:r w:rsidRPr="00A01271">
        <w:rPr>
          <w:rFonts w:asciiTheme="majorBidi" w:hAnsiTheme="majorBidi" w:cstheme="majorBidi"/>
          <w:sz w:val="24"/>
          <w:szCs w:val="24"/>
          <w:lang w:val="en-GB"/>
        </w:rPr>
        <w:t xml:space="preserve"> and Nugraha, 2020). The formula from which the aforementioned ratios have been computed is </w:t>
      </w:r>
      <w:r w:rsidRPr="00A01271">
        <w:rPr>
          <w:rFonts w:asciiTheme="majorBidi" w:hAnsiTheme="majorBidi" w:cstheme="majorBidi"/>
          <w:b/>
          <w:bCs/>
          <w:i/>
          <w:iCs/>
          <w:sz w:val="24"/>
          <w:szCs w:val="24"/>
          <w:lang w:val="en-GB"/>
        </w:rPr>
        <w:t>“current assets/cash divided by the current liabilities of the year”</w:t>
      </w:r>
      <w:r w:rsidRPr="00A01271">
        <w:rPr>
          <w:rFonts w:asciiTheme="majorBidi" w:hAnsiTheme="majorBidi" w:cstheme="majorBidi"/>
          <w:sz w:val="24"/>
          <w:szCs w:val="24"/>
          <w:lang w:val="en-GB"/>
        </w:rPr>
        <w:t xml:space="preserve">. </w:t>
      </w:r>
    </w:p>
    <w:p w14:paraId="386B0DF1"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Therefore, the current and cash ratios of Unilever Plc were (0.76, 0.75, 0.70, 0.78, 0.78) and (0.18, 0.17, 0.14, 0.27, 0.20) in 2023, 2022, 2021, 2020, and 2019. However, the financial outcomes are not satisfactory from the point of view of Unilever since they are a multinational firm and having such outcomes is an indication of financial concerns for their business (Olayinka, 2022). This is because both ratios in the last five years have been lower than 1, </w:t>
      </w:r>
      <w:r w:rsidRPr="00A01271">
        <w:rPr>
          <w:rFonts w:asciiTheme="majorBidi" w:hAnsiTheme="majorBidi" w:cstheme="majorBidi"/>
          <w:sz w:val="24"/>
          <w:szCs w:val="24"/>
          <w:lang w:val="en-GB"/>
        </w:rPr>
        <w:lastRenderedPageBreak/>
        <w:t>which is the symbol that the firm is associated with lower current assets than current liabilities. From the ratios, it is understood that the debt payment ability of Unilever is weak since they are not able to pay off all their obligations in the same year, which might cause financial instability in the future years. Therefore, going forward the management of Unilever should control the obligations in proportion to their liquidity availability in the business (</w:t>
      </w:r>
      <w:proofErr w:type="spellStart"/>
      <w:r w:rsidRPr="00A01271">
        <w:rPr>
          <w:rFonts w:asciiTheme="majorBidi" w:hAnsiTheme="majorBidi" w:cstheme="majorBidi"/>
          <w:sz w:val="24"/>
          <w:szCs w:val="24"/>
          <w:lang w:val="en-GB"/>
        </w:rPr>
        <w:t>Awalakki</w:t>
      </w:r>
      <w:proofErr w:type="spellEnd"/>
      <w:r w:rsidRPr="00A01271">
        <w:rPr>
          <w:rFonts w:asciiTheme="majorBidi" w:hAnsiTheme="majorBidi" w:cstheme="majorBidi"/>
          <w:sz w:val="24"/>
          <w:szCs w:val="24"/>
          <w:lang w:val="en-GB"/>
        </w:rPr>
        <w:t xml:space="preserve"> and HN, 2021). This can be done by reducing the recurring expenditures and focusing on increasing the liquid assets of the </w:t>
      </w:r>
      <w:proofErr w:type="gramStart"/>
      <w:r w:rsidRPr="00A01271">
        <w:rPr>
          <w:rFonts w:asciiTheme="majorBidi" w:hAnsiTheme="majorBidi" w:cstheme="majorBidi"/>
          <w:sz w:val="24"/>
          <w:szCs w:val="24"/>
          <w:lang w:val="en-GB"/>
        </w:rPr>
        <w:t>business like</w:t>
      </w:r>
      <w:proofErr w:type="gramEnd"/>
      <w:r w:rsidRPr="00A01271">
        <w:rPr>
          <w:rFonts w:asciiTheme="majorBidi" w:hAnsiTheme="majorBidi" w:cstheme="majorBidi"/>
          <w:sz w:val="24"/>
          <w:szCs w:val="24"/>
          <w:lang w:val="en-GB"/>
        </w:rPr>
        <w:t xml:space="preserve"> cash and cash equivalent.</w:t>
      </w:r>
    </w:p>
    <w:p w14:paraId="7E029975" w14:textId="77777777" w:rsidR="00287950" w:rsidRPr="00A01271" w:rsidRDefault="00287950" w:rsidP="00287950">
      <w:pPr>
        <w:spacing w:before="240" w:line="360" w:lineRule="auto"/>
        <w:jc w:val="both"/>
        <w:rPr>
          <w:rFonts w:asciiTheme="majorBidi" w:hAnsiTheme="majorBidi" w:cstheme="majorBidi"/>
          <w:b/>
          <w:bCs/>
          <w:sz w:val="24"/>
          <w:szCs w:val="24"/>
          <w:lang w:val="en-GB"/>
        </w:rPr>
      </w:pPr>
      <w:r w:rsidRPr="00A01271">
        <w:rPr>
          <w:rFonts w:asciiTheme="majorBidi" w:hAnsiTheme="majorBidi" w:cstheme="majorBidi"/>
          <w:b/>
          <w:bCs/>
          <w:sz w:val="24"/>
          <w:szCs w:val="24"/>
          <w:lang w:val="en-GB"/>
        </w:rPr>
        <w:t xml:space="preserve">Gearing ratio analysis </w:t>
      </w:r>
    </w:p>
    <w:p w14:paraId="44C62593"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noProof/>
          <w:lang w:val="en-GB"/>
        </w:rPr>
        <w:drawing>
          <wp:inline distT="0" distB="0" distL="0" distR="0" wp14:anchorId="643D2224" wp14:editId="1853BC23">
            <wp:extent cx="5731510" cy="3321685"/>
            <wp:effectExtent l="0" t="0" r="2540" b="12065"/>
            <wp:docPr id="1379476866" name="Chart 1">
              <a:extLst xmlns:a="http://schemas.openxmlformats.org/drawingml/2006/main">
                <a:ext uri="{FF2B5EF4-FFF2-40B4-BE49-F238E27FC236}">
                  <a16:creationId xmlns:a16="http://schemas.microsoft.com/office/drawing/2014/main" id="{79652D47-E036-43F0-AC90-14625717E2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9C4CDA"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Figure 3: Gearing ratios</w:t>
      </w:r>
    </w:p>
    <w:p w14:paraId="073CEF83"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Annualreports.com, 2023)</w:t>
      </w:r>
    </w:p>
    <w:p w14:paraId="47BD1D6D"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Gearing ratios are the key financial ratios, which are computed to assess the risk availability in Unilever’s business by judging the equity and debt capital (Isa-</w:t>
      </w:r>
      <w:proofErr w:type="spellStart"/>
      <w:r w:rsidRPr="00A01271">
        <w:rPr>
          <w:rFonts w:asciiTheme="majorBidi" w:hAnsiTheme="majorBidi" w:cstheme="majorBidi"/>
          <w:sz w:val="24"/>
          <w:szCs w:val="24"/>
          <w:lang w:val="en-GB"/>
        </w:rPr>
        <w:t>Olatinwo</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2022). The prime significance of the gearing ratio is also to judge the leverage of the firm and to identify whether an optimal capital structure is formed by the management or not. Based on the estimation of gearing ratios, the management can control the level of debt in proportion to equity and it will be helpful in managing the financial risks. Two types of gearing ratios are included in the computation, which are gearing ratio and debt ratio, both ratios are helpful to assess whether Unilever has formed an optimal capital structure to manage the financial debts and equity of </w:t>
      </w:r>
      <w:r w:rsidRPr="00A01271">
        <w:rPr>
          <w:rFonts w:asciiTheme="majorBidi" w:hAnsiTheme="majorBidi" w:cstheme="majorBidi"/>
          <w:sz w:val="24"/>
          <w:szCs w:val="24"/>
          <w:lang w:val="en-GB"/>
        </w:rPr>
        <w:lastRenderedPageBreak/>
        <w:t>the firm (</w:t>
      </w:r>
      <w:proofErr w:type="spellStart"/>
      <w:r w:rsidRPr="00A01271">
        <w:rPr>
          <w:rFonts w:asciiTheme="majorBidi" w:hAnsiTheme="majorBidi" w:cstheme="majorBidi"/>
          <w:sz w:val="24"/>
          <w:szCs w:val="24"/>
          <w:lang w:val="en-GB"/>
        </w:rPr>
        <w:t>Azwari</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2022). The formula of gearing and debt ratios from which the ratios have been computed is </w:t>
      </w:r>
      <w:r w:rsidRPr="00A01271">
        <w:rPr>
          <w:rFonts w:asciiTheme="majorBidi" w:hAnsiTheme="majorBidi" w:cstheme="majorBidi"/>
          <w:b/>
          <w:bCs/>
          <w:i/>
          <w:iCs/>
          <w:sz w:val="24"/>
          <w:szCs w:val="24"/>
          <w:lang w:val="en-GB"/>
        </w:rPr>
        <w:t>“total debt divided by total equity/total assets”</w:t>
      </w:r>
      <w:r w:rsidRPr="00A01271">
        <w:rPr>
          <w:rFonts w:asciiTheme="majorBidi" w:hAnsiTheme="majorBidi" w:cstheme="majorBidi"/>
          <w:sz w:val="24"/>
          <w:szCs w:val="24"/>
          <w:lang w:val="en-GB"/>
        </w:rPr>
        <w:t>. Therefore, the computed gearing and debt ratios of Unilever were (2.62, 0.72), (2.59, 0.72), (2.80, 0.74), (2.83, 0.74), and (3.67, 0.79) in 2023, 2022, 2021, 2020, and 2019. </w:t>
      </w:r>
    </w:p>
    <w:p w14:paraId="3D1EC3B7"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 gearing performance of Unilever is the worst since they have a huge level of debt capital in proportion to the equity of the business. The debt proportion has been more than twice of equity which is a significant indication of financial risk and it might directly harm the financial performance and position of the business (Rahmah and </w:t>
      </w:r>
      <w:proofErr w:type="spellStart"/>
      <w:r w:rsidRPr="00A01271">
        <w:rPr>
          <w:rFonts w:asciiTheme="majorBidi" w:hAnsiTheme="majorBidi" w:cstheme="majorBidi"/>
          <w:sz w:val="24"/>
          <w:szCs w:val="24"/>
          <w:lang w:val="en-GB"/>
        </w:rPr>
        <w:t>Novianty</w:t>
      </w:r>
      <w:proofErr w:type="spellEnd"/>
      <w:r w:rsidRPr="00A01271">
        <w:rPr>
          <w:rFonts w:asciiTheme="majorBidi" w:hAnsiTheme="majorBidi" w:cstheme="majorBidi"/>
          <w:sz w:val="24"/>
          <w:szCs w:val="24"/>
          <w:lang w:val="en-GB"/>
        </w:rPr>
        <w:t xml:space="preserve">, 2021). Based on the financial outcomes of gearing performance, it can be said that Unilever has not had the optimal capital structure in the last five years due to having an excessive debt burden in comparison to equity capital. This might create a huge risk for the business in the future years since the more debt capital will be in the structure the more interest the firm will have to pay for that level of debt. Due to this reason, the management of Unilever should pay off the long-term obligations and try to increase the proportion of equity so that an equal proportion of debt and equity can be formed (Hasanuddin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This will be helpful in generating confidence in investors so that they can make greater investments in the business and increase the return on their investments. </w:t>
      </w:r>
    </w:p>
    <w:p w14:paraId="60470EDB" w14:textId="77777777" w:rsidR="00287950" w:rsidRPr="00A01271" w:rsidRDefault="00287950" w:rsidP="00287950">
      <w:pPr>
        <w:spacing w:before="240" w:line="360" w:lineRule="auto"/>
        <w:jc w:val="both"/>
        <w:rPr>
          <w:rFonts w:asciiTheme="majorBidi" w:hAnsiTheme="majorBidi" w:cstheme="majorBidi"/>
          <w:b/>
          <w:bCs/>
          <w:sz w:val="24"/>
          <w:szCs w:val="24"/>
          <w:lang w:val="en-GB"/>
        </w:rPr>
      </w:pPr>
      <w:r w:rsidRPr="00A01271">
        <w:rPr>
          <w:rFonts w:asciiTheme="majorBidi" w:hAnsiTheme="majorBidi" w:cstheme="majorBidi"/>
          <w:b/>
          <w:bCs/>
          <w:sz w:val="24"/>
          <w:szCs w:val="24"/>
          <w:lang w:val="en-GB"/>
        </w:rPr>
        <w:t xml:space="preserve">Efficiency ratio analysis </w:t>
      </w:r>
    </w:p>
    <w:p w14:paraId="2111DD6C"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noProof/>
          <w:lang w:val="en-GB"/>
        </w:rPr>
        <w:drawing>
          <wp:inline distT="0" distB="0" distL="0" distR="0" wp14:anchorId="5F654442" wp14:editId="4AF884FF">
            <wp:extent cx="5731510" cy="3321685"/>
            <wp:effectExtent l="0" t="0" r="2540" b="12065"/>
            <wp:docPr id="1271663449" name="Chart 1">
              <a:extLst xmlns:a="http://schemas.openxmlformats.org/drawingml/2006/main">
                <a:ext uri="{FF2B5EF4-FFF2-40B4-BE49-F238E27FC236}">
                  <a16:creationId xmlns:a16="http://schemas.microsoft.com/office/drawing/2014/main" id="{24B72647-0363-47C2-A1DD-C714064926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68475C"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lastRenderedPageBreak/>
        <w:t>Figure 4: Efficiency ratios</w:t>
      </w:r>
    </w:p>
    <w:p w14:paraId="4C866711"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Annualreports.com, 2023)</w:t>
      </w:r>
    </w:p>
    <w:p w14:paraId="5B2CDE6D"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Efficiency ratios are the key bunch of financial ratios, which are useful in the assessment of the efficacy of business operations to manage the collections and pay of the firm (Singal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2022). It is quite evident that every organisation has to manage their pay and collections to manage the cash inflows and outflows efficiently. Therefore, the efficiency ratios play a crucial role in determining the ability of Unilever to collect and payment of obligations from their customers and suppliers. The efficiency ratios of the firm included the debtor’s collection period and the creditor’s payment period over the last five years (</w:t>
      </w:r>
      <w:proofErr w:type="spellStart"/>
      <w:r w:rsidRPr="00A01271">
        <w:rPr>
          <w:rFonts w:asciiTheme="majorBidi" w:hAnsiTheme="majorBidi" w:cstheme="majorBidi"/>
          <w:sz w:val="24"/>
          <w:szCs w:val="24"/>
          <w:lang w:val="en-GB"/>
        </w:rPr>
        <w:t>Tomsah</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The formula which has been used to estimate both the collection and payment period is </w:t>
      </w:r>
      <w:r w:rsidRPr="00A01271">
        <w:rPr>
          <w:rFonts w:asciiTheme="majorBidi" w:hAnsiTheme="majorBidi" w:cstheme="majorBidi"/>
          <w:b/>
          <w:bCs/>
          <w:i/>
          <w:iCs/>
          <w:sz w:val="24"/>
          <w:szCs w:val="24"/>
          <w:lang w:val="en-GB"/>
        </w:rPr>
        <w:t xml:space="preserve">“debtor’s/creditors divided by revenue/cost of sales” </w:t>
      </w:r>
      <w:r w:rsidRPr="00A01271">
        <w:rPr>
          <w:rFonts w:asciiTheme="majorBidi" w:hAnsiTheme="majorBidi" w:cstheme="majorBidi"/>
          <w:sz w:val="24"/>
          <w:szCs w:val="24"/>
          <w:lang w:val="en-GB"/>
        </w:rPr>
        <w:t>of the year. Therefore, the collection and payment periods of Unilever were (35.36, 42.87, 37.74, 35.54, 47.01) and (123.44, 133.39, 124.01, 121.59, 124.57) in 2023, 2022, 2021, 2020, and 2019. </w:t>
      </w:r>
    </w:p>
    <w:p w14:paraId="635DE0F9"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 collection period of the firm has been impressive since they have taken a lower number of days in collecting obligations from customers. However, payable days to suppliers of the firm have been weak since they have taken a higher number of days in payment to suppliers (Li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Hence, it is an indication of the weak ability of the firm to manage the obligations of the suppliers which can cause an interrupted relationship with the business. The possible reason behind the high number of days of payments to suppliers is the low cash position in the business, which means the firm should decline the credit negotiations with the suppliers. The reduction in credit negotiations with the suppliers is necessary to improve the payment ability so that a positive relationship can be formed with the suppliers (</w:t>
      </w:r>
      <w:proofErr w:type="spellStart"/>
      <w:r w:rsidRPr="00A01271">
        <w:rPr>
          <w:rFonts w:asciiTheme="majorBidi" w:hAnsiTheme="majorBidi" w:cstheme="majorBidi"/>
          <w:sz w:val="24"/>
          <w:szCs w:val="24"/>
          <w:lang w:val="en-GB"/>
        </w:rPr>
        <w:t>Awaysheh</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Hence, the management of Unilever should continue the good collection period with customers but they also improve their payment ability to suppliers, which will be helpful in the positive running of the business in the future years without facing any financial troubles from suppliers.</w:t>
      </w:r>
    </w:p>
    <w:p w14:paraId="238CA772" w14:textId="77777777" w:rsidR="00287950" w:rsidRPr="00A01271" w:rsidRDefault="00287950" w:rsidP="00287950">
      <w:pPr>
        <w:pStyle w:val="Heading2"/>
        <w:spacing w:before="240" w:after="160"/>
        <w:rPr>
          <w:rFonts w:asciiTheme="majorBidi" w:hAnsiTheme="majorBidi"/>
          <w:lang w:val="en-GB"/>
        </w:rPr>
      </w:pPr>
      <w:bookmarkStart w:id="6" w:name="_Toc172407290"/>
      <w:r w:rsidRPr="00A01271">
        <w:rPr>
          <w:rFonts w:asciiTheme="majorBidi" w:hAnsiTheme="majorBidi"/>
          <w:lang w:val="en-GB"/>
        </w:rPr>
        <w:t>Comparison with major competitors/industry</w:t>
      </w:r>
      <w:bookmarkEnd w:id="6"/>
      <w:r w:rsidRPr="00A01271">
        <w:rPr>
          <w:rFonts w:asciiTheme="majorBidi" w:hAnsiTheme="majorBidi"/>
          <w:lang w:val="en-GB"/>
        </w:rPr>
        <w:t> </w:t>
      </w:r>
    </w:p>
    <w:p w14:paraId="660084F9"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Figure 1 of the report highlights the profitability performance of Unilever with the industry average. It is crucial to depict whether the performance attained by Unilever has been high or low in comparison to industry performance for the same ratios. Therefore, the figure depicts the average profitability ratios of Unilever for the last five years and the average industry trend for the same ratios (Karikari </w:t>
      </w:r>
      <w:r w:rsidRPr="00A01271">
        <w:rPr>
          <w:rFonts w:asciiTheme="majorBidi" w:hAnsiTheme="majorBidi" w:cstheme="majorBidi"/>
          <w:i/>
          <w:iCs/>
          <w:sz w:val="24"/>
          <w:szCs w:val="24"/>
          <w:lang w:val="en-GB"/>
        </w:rPr>
        <w:t xml:space="preserve">et al. </w:t>
      </w:r>
      <w:r w:rsidRPr="00A01271">
        <w:rPr>
          <w:rFonts w:asciiTheme="majorBidi" w:hAnsiTheme="majorBidi" w:cstheme="majorBidi"/>
          <w:sz w:val="24"/>
          <w:szCs w:val="24"/>
          <w:lang w:val="en-GB"/>
        </w:rPr>
        <w:t xml:space="preserve">2022). Hence, it is found that the average profitability ratios </w:t>
      </w:r>
      <w:r w:rsidRPr="00A01271">
        <w:rPr>
          <w:rFonts w:asciiTheme="majorBidi" w:hAnsiTheme="majorBidi" w:cstheme="majorBidi"/>
          <w:sz w:val="24"/>
          <w:szCs w:val="24"/>
          <w:lang w:val="en-GB"/>
        </w:rPr>
        <w:lastRenderedPageBreak/>
        <w:t xml:space="preserve">(GP and NP) of Unilever are 16.80 and 12.39 that of the industry average is 5.70 and 4.10. Hence, the profitability performance of Unilever is higher than the industry average which is a positive indication for the firm that they are leading the market in terms of business profitability. </w:t>
      </w:r>
    </w:p>
    <w:p w14:paraId="3CFA2604"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Figure 2 of the report portrays the average liquidity performance of Unilever Plc in the last five years with the average performance of liquidity of the FMCG industry. The assessment of industry performance is very necessary to observe in comparison with the performance of Unilever to assess whether they are on track or need improvements in the liquidity (Karikari </w:t>
      </w:r>
      <w:r w:rsidRPr="00A01271">
        <w:rPr>
          <w:rFonts w:asciiTheme="majorBidi" w:hAnsiTheme="majorBidi" w:cstheme="majorBidi"/>
          <w:i/>
          <w:iCs/>
          <w:sz w:val="24"/>
          <w:szCs w:val="24"/>
          <w:lang w:val="en-GB"/>
        </w:rPr>
        <w:t xml:space="preserve">et al. </w:t>
      </w:r>
      <w:r w:rsidRPr="00A01271">
        <w:rPr>
          <w:rFonts w:asciiTheme="majorBidi" w:hAnsiTheme="majorBidi" w:cstheme="majorBidi"/>
          <w:sz w:val="24"/>
          <w:szCs w:val="24"/>
          <w:lang w:val="en-GB"/>
        </w:rPr>
        <w:t xml:space="preserve">2022). Hence, the average liquidity ratios (current and cash) ratios of Unilever are 0.76 and 0.19 that of the performance of liquidity of the industry are 1.47 and 0.31. The financial comparison has showcased that the liquidity position of the firm is weak in terms of industry average since they have attained below liquidity position. The possible causes of the below liquidity performance of the firm are the lower current assets in comparison to the current obligations of the firm.     </w:t>
      </w:r>
    </w:p>
    <w:p w14:paraId="63912DF5"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Figure 3 of the report showcases the graphical representation of the gearing performance of Unilever Plc with the performance of the industry in the last five years. The assessment of the gearing performance of the firm with the industry is very crucial to assess whether the firm is associated with high or low-risk proportions over the years. The gearing performance can be measured with the gearing and debt ratio, which depicts the combination of debt and equity and debt and assets (Karikari </w:t>
      </w:r>
      <w:r w:rsidRPr="00A01271">
        <w:rPr>
          <w:rFonts w:asciiTheme="majorBidi" w:hAnsiTheme="majorBidi" w:cstheme="majorBidi"/>
          <w:i/>
          <w:iCs/>
          <w:sz w:val="24"/>
          <w:szCs w:val="24"/>
          <w:lang w:val="en-GB"/>
        </w:rPr>
        <w:t xml:space="preserve">et al. </w:t>
      </w:r>
      <w:r w:rsidRPr="00A01271">
        <w:rPr>
          <w:rFonts w:asciiTheme="majorBidi" w:hAnsiTheme="majorBidi" w:cstheme="majorBidi"/>
          <w:sz w:val="24"/>
          <w:szCs w:val="24"/>
          <w:lang w:val="en-GB"/>
        </w:rPr>
        <w:t xml:space="preserve">2022). Hence, the average gearing performance (gearing and debt) of Unilever Plc is 2.90 and 0.74 that of the industry average is 0.55 for both ratios. The gearing performance of Unilever has been worse due to having very high debt capital, which has also been higher than the industry. </w:t>
      </w:r>
    </w:p>
    <w:p w14:paraId="539D0D48"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Figure 4 of the report depicts the representation of the efficiency graph of Unilever Plc with a comparative view of industry performance. The figure is associated with the financial outcomes of the efficiency performance of Unilever with the industry considering the last five years of the firm (Karikari </w:t>
      </w:r>
      <w:r w:rsidRPr="00A01271">
        <w:rPr>
          <w:rFonts w:asciiTheme="majorBidi" w:hAnsiTheme="majorBidi" w:cstheme="majorBidi"/>
          <w:i/>
          <w:iCs/>
          <w:sz w:val="24"/>
          <w:szCs w:val="24"/>
          <w:lang w:val="en-GB"/>
        </w:rPr>
        <w:t xml:space="preserve">et al. </w:t>
      </w:r>
      <w:r w:rsidRPr="00A01271">
        <w:rPr>
          <w:rFonts w:asciiTheme="majorBidi" w:hAnsiTheme="majorBidi" w:cstheme="majorBidi"/>
          <w:sz w:val="24"/>
          <w:szCs w:val="24"/>
          <w:lang w:val="en-GB"/>
        </w:rPr>
        <w:t>2022</w:t>
      </w:r>
      <w:proofErr w:type="gramStart"/>
      <w:r w:rsidRPr="00A01271">
        <w:rPr>
          <w:rFonts w:asciiTheme="majorBidi" w:hAnsiTheme="majorBidi" w:cstheme="majorBidi"/>
          <w:sz w:val="24"/>
          <w:szCs w:val="24"/>
          <w:lang w:val="en-GB"/>
        </w:rPr>
        <w:t>) .</w:t>
      </w:r>
      <w:proofErr w:type="gramEnd"/>
      <w:r w:rsidRPr="00A01271">
        <w:rPr>
          <w:rFonts w:asciiTheme="majorBidi" w:hAnsiTheme="majorBidi" w:cstheme="majorBidi"/>
          <w:sz w:val="24"/>
          <w:szCs w:val="24"/>
          <w:lang w:val="en-GB"/>
        </w:rPr>
        <w:t xml:space="preserve"> The average efficiency performance (collection and payment periods) of Unilever Plc is 39.70 and 125.40 days, while the average performance of efficiency of the industry is 45 and 60 days. Hence, it is understood that the collection ability of the business has been excellent but the payment period is concerning since competitors are paying their obligations more rapidly than Unilever Plc. Therefore, the firm should look forward to </w:t>
      </w:r>
      <w:r w:rsidRPr="00A01271">
        <w:rPr>
          <w:rFonts w:asciiTheme="majorBidi" w:hAnsiTheme="majorBidi" w:cstheme="majorBidi"/>
          <w:sz w:val="24"/>
          <w:szCs w:val="24"/>
          <w:lang w:val="en-GB"/>
        </w:rPr>
        <w:lastRenderedPageBreak/>
        <w:t xml:space="preserve">decreasing the number of days in payment to their suppliers to have an excellent relationship with both the customers and suppliers. </w:t>
      </w:r>
    </w:p>
    <w:p w14:paraId="4B1377F8" w14:textId="77777777" w:rsidR="00287950" w:rsidRPr="00A01271" w:rsidRDefault="00287950" w:rsidP="00287950">
      <w:pPr>
        <w:pStyle w:val="Heading2"/>
        <w:spacing w:before="240" w:after="160"/>
        <w:rPr>
          <w:rFonts w:asciiTheme="majorBidi" w:hAnsiTheme="majorBidi"/>
          <w:lang w:val="en-GB"/>
        </w:rPr>
      </w:pPr>
      <w:bookmarkStart w:id="7" w:name="_Toc172407291"/>
      <w:r w:rsidRPr="00A01271">
        <w:rPr>
          <w:rFonts w:asciiTheme="majorBidi" w:hAnsiTheme="majorBidi"/>
          <w:lang w:val="en-GB"/>
        </w:rPr>
        <w:t>Recommendation for improving financial management</w:t>
      </w:r>
      <w:bookmarkEnd w:id="7"/>
      <w:r w:rsidRPr="00A01271">
        <w:rPr>
          <w:rFonts w:asciiTheme="majorBidi" w:hAnsiTheme="majorBidi"/>
          <w:lang w:val="en-GB"/>
        </w:rPr>
        <w:t> </w:t>
      </w:r>
    </w:p>
    <w:p w14:paraId="44EE45C0"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From the above computations and illustrations of financial ratios (profitability, liquidity, efficiency, and gearing), it is understood that the management of Unilever should focus on several areas to improve the overall performance in the future years. The first area of improvement of the firm should be the liquidity performance since the current obligations of the firm have been really high in comparison to current assets (</w:t>
      </w:r>
      <w:proofErr w:type="spellStart"/>
      <w:r w:rsidRPr="00A01271">
        <w:rPr>
          <w:rFonts w:asciiTheme="majorBidi" w:hAnsiTheme="majorBidi" w:cstheme="majorBidi"/>
          <w:sz w:val="24"/>
          <w:szCs w:val="24"/>
          <w:lang w:val="en-GB"/>
        </w:rPr>
        <w:t>Nasihin</w:t>
      </w:r>
      <w:proofErr w:type="spellEnd"/>
      <w:r w:rsidRPr="00A01271">
        <w:rPr>
          <w:rFonts w:asciiTheme="majorBidi" w:hAnsiTheme="majorBidi" w:cstheme="majorBidi"/>
          <w:sz w:val="24"/>
          <w:szCs w:val="24"/>
          <w:lang w:val="en-GB"/>
        </w:rPr>
        <w:t xml:space="preserve"> and </w:t>
      </w:r>
      <w:proofErr w:type="spellStart"/>
      <w:r w:rsidRPr="00A01271">
        <w:rPr>
          <w:rFonts w:asciiTheme="majorBidi" w:hAnsiTheme="majorBidi" w:cstheme="majorBidi"/>
          <w:sz w:val="24"/>
          <w:szCs w:val="24"/>
          <w:lang w:val="en-GB"/>
        </w:rPr>
        <w:t>Purwandari</w:t>
      </w:r>
      <w:proofErr w:type="spellEnd"/>
      <w:r w:rsidRPr="00A01271">
        <w:rPr>
          <w:rFonts w:asciiTheme="majorBidi" w:hAnsiTheme="majorBidi" w:cstheme="majorBidi"/>
          <w:sz w:val="24"/>
          <w:szCs w:val="24"/>
          <w:lang w:val="en-GB"/>
        </w:rPr>
        <w:t>, 2022). Hence, it can be recommended that Unilever should control the recurring obligations and focus on increasing the cash position of the business, which will be helpful in managing future obligations. However, the debt proportion of the firm has also been very high in the past years, which is another topic of concern for the management of Unilever, which could totally harm the capital structure. Hence, it can also be recommended that the management should focus on paying the long-term obligations and retaining the equity proportions so that in the long run they can operate the business smoothly (</w:t>
      </w:r>
      <w:proofErr w:type="spellStart"/>
      <w:r w:rsidRPr="00A01271">
        <w:rPr>
          <w:rFonts w:asciiTheme="majorBidi" w:hAnsiTheme="majorBidi" w:cstheme="majorBidi"/>
          <w:sz w:val="24"/>
          <w:szCs w:val="24"/>
          <w:lang w:val="en-GB"/>
        </w:rPr>
        <w:t>Nasihin</w:t>
      </w:r>
      <w:proofErr w:type="spellEnd"/>
      <w:r w:rsidRPr="00A01271">
        <w:rPr>
          <w:rFonts w:asciiTheme="majorBidi" w:hAnsiTheme="majorBidi" w:cstheme="majorBidi"/>
          <w:sz w:val="24"/>
          <w:szCs w:val="24"/>
          <w:lang w:val="en-GB"/>
        </w:rPr>
        <w:t xml:space="preserve"> and </w:t>
      </w:r>
      <w:proofErr w:type="spellStart"/>
      <w:r w:rsidRPr="00A01271">
        <w:rPr>
          <w:rFonts w:asciiTheme="majorBidi" w:hAnsiTheme="majorBidi" w:cstheme="majorBidi"/>
          <w:sz w:val="24"/>
          <w:szCs w:val="24"/>
          <w:lang w:val="en-GB"/>
        </w:rPr>
        <w:t>Purwandari</w:t>
      </w:r>
      <w:proofErr w:type="spellEnd"/>
      <w:r w:rsidRPr="00A01271">
        <w:rPr>
          <w:rFonts w:asciiTheme="majorBidi" w:hAnsiTheme="majorBidi" w:cstheme="majorBidi"/>
          <w:sz w:val="24"/>
          <w:szCs w:val="24"/>
          <w:lang w:val="en-GB"/>
        </w:rPr>
        <w:t>, 2022). Moreover, the firm also needs to collaborate with suppliers properly by paying the obligations rapidly in the future years, which will not harm their relationship in the future years.</w:t>
      </w:r>
    </w:p>
    <w:p w14:paraId="03F6BCBB" w14:textId="77777777" w:rsidR="00287950" w:rsidRPr="00A01271" w:rsidRDefault="00287950" w:rsidP="00287950">
      <w:pPr>
        <w:spacing w:before="240" w:line="360" w:lineRule="auto"/>
        <w:jc w:val="both"/>
        <w:rPr>
          <w:rFonts w:asciiTheme="majorBidi" w:hAnsiTheme="majorBidi" w:cstheme="majorBidi"/>
          <w:sz w:val="24"/>
          <w:szCs w:val="24"/>
          <w:lang w:val="en-GB"/>
        </w:rPr>
      </w:pPr>
    </w:p>
    <w:p w14:paraId="2BB30D94" w14:textId="77777777" w:rsidR="00287950" w:rsidRPr="00A01271" w:rsidRDefault="00287950" w:rsidP="00287950">
      <w:pPr>
        <w:spacing w:before="240" w:line="360" w:lineRule="auto"/>
        <w:rPr>
          <w:rFonts w:asciiTheme="majorBidi" w:hAnsiTheme="majorBidi" w:cstheme="majorBidi"/>
          <w:b/>
          <w:bCs/>
          <w:sz w:val="24"/>
          <w:szCs w:val="24"/>
          <w:lang w:val="en-GB"/>
        </w:rPr>
      </w:pPr>
      <w:r w:rsidRPr="00A01271">
        <w:rPr>
          <w:rFonts w:asciiTheme="majorBidi" w:hAnsiTheme="majorBidi" w:cstheme="majorBidi"/>
          <w:b/>
          <w:bCs/>
          <w:sz w:val="24"/>
          <w:szCs w:val="24"/>
          <w:lang w:val="en-GB"/>
        </w:rPr>
        <w:br w:type="page"/>
      </w:r>
    </w:p>
    <w:p w14:paraId="0F1CB0B9" w14:textId="77777777" w:rsidR="00287950" w:rsidRPr="00A01271" w:rsidRDefault="00287950" w:rsidP="00287950">
      <w:pPr>
        <w:pStyle w:val="Heading1"/>
        <w:spacing w:before="240" w:after="160"/>
        <w:rPr>
          <w:lang w:val="en-GB"/>
        </w:rPr>
      </w:pPr>
      <w:bookmarkStart w:id="8" w:name="_Toc172407292"/>
      <w:r w:rsidRPr="00A01271">
        <w:rPr>
          <w:lang w:val="en-GB"/>
        </w:rPr>
        <w:lastRenderedPageBreak/>
        <w:t>Part C). Investment appraisal</w:t>
      </w:r>
      <w:bookmarkEnd w:id="8"/>
      <w:r w:rsidRPr="00A01271">
        <w:rPr>
          <w:lang w:val="en-GB"/>
        </w:rPr>
        <w:t> </w:t>
      </w:r>
    </w:p>
    <w:p w14:paraId="5AB46765" w14:textId="77777777" w:rsidR="00287950" w:rsidRPr="00A01271" w:rsidRDefault="00287950" w:rsidP="00287950">
      <w:pPr>
        <w:pStyle w:val="Heading2"/>
        <w:spacing w:before="240" w:after="160"/>
        <w:rPr>
          <w:rFonts w:asciiTheme="majorBidi" w:hAnsiTheme="majorBidi"/>
          <w:lang w:val="en-GB"/>
        </w:rPr>
      </w:pPr>
      <w:bookmarkStart w:id="9" w:name="_Toc172407293"/>
      <w:r w:rsidRPr="00A01271">
        <w:rPr>
          <w:rFonts w:asciiTheme="majorBidi" w:hAnsiTheme="majorBidi"/>
          <w:lang w:val="en-GB"/>
        </w:rPr>
        <w:t>1. Calculation of investment appraisal techniques</w:t>
      </w:r>
      <w:bookmarkEnd w:id="9"/>
      <w:r w:rsidRPr="00A01271">
        <w:rPr>
          <w:rFonts w:asciiTheme="majorBidi" w:hAnsiTheme="majorBidi"/>
          <w:lang w:val="en-GB"/>
        </w:rPr>
        <w:t> </w:t>
      </w:r>
    </w:p>
    <w:p w14:paraId="55EF84C0"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Payback period (PBP) </w:t>
      </w:r>
    </w:p>
    <w:tbl>
      <w:tblPr>
        <w:tblW w:w="5000" w:type="pct"/>
        <w:tblCellMar>
          <w:top w:w="15" w:type="dxa"/>
        </w:tblCellMar>
        <w:tblLook w:val="04A0" w:firstRow="1" w:lastRow="0" w:firstColumn="1" w:lastColumn="0" w:noHBand="0" w:noVBand="1"/>
      </w:tblPr>
      <w:tblGrid>
        <w:gridCol w:w="1863"/>
        <w:gridCol w:w="2930"/>
        <w:gridCol w:w="4223"/>
      </w:tblGrid>
      <w:tr w:rsidR="00287950" w:rsidRPr="00A01271" w14:paraId="73F99003" w14:textId="77777777" w:rsidTr="00633414">
        <w:trPr>
          <w:trHeight w:val="450"/>
        </w:trPr>
        <w:tc>
          <w:tcPr>
            <w:tcW w:w="5000"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4ABA4"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Payback Period (Project A)</w:t>
            </w:r>
          </w:p>
        </w:tc>
      </w:tr>
      <w:tr w:rsidR="00287950" w:rsidRPr="00A01271" w14:paraId="2977A6CA" w14:textId="77777777" w:rsidTr="00633414">
        <w:trPr>
          <w:trHeight w:val="450"/>
        </w:trPr>
        <w:tc>
          <w:tcPr>
            <w:tcW w:w="5000" w:type="pct"/>
            <w:gridSpan w:val="3"/>
            <w:vMerge/>
            <w:tcBorders>
              <w:top w:val="single" w:sz="4" w:space="0" w:color="auto"/>
              <w:left w:val="single" w:sz="4" w:space="0" w:color="auto"/>
              <w:bottom w:val="single" w:sz="4" w:space="0" w:color="auto"/>
              <w:right w:val="single" w:sz="4" w:space="0" w:color="auto"/>
            </w:tcBorders>
            <w:vAlign w:val="center"/>
            <w:hideMark/>
          </w:tcPr>
          <w:p w14:paraId="4816B056"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1A0844B8"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6E465B29"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1625" w:type="pct"/>
            <w:tcBorders>
              <w:top w:val="nil"/>
              <w:left w:val="nil"/>
              <w:bottom w:val="single" w:sz="4" w:space="0" w:color="auto"/>
              <w:right w:val="single" w:sz="4" w:space="0" w:color="auto"/>
            </w:tcBorders>
            <w:shd w:val="clear" w:color="auto" w:fill="auto"/>
            <w:noWrap/>
            <w:vAlign w:val="center"/>
            <w:hideMark/>
          </w:tcPr>
          <w:p w14:paraId="1C24348D"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c>
          <w:tcPr>
            <w:tcW w:w="2342" w:type="pct"/>
            <w:tcBorders>
              <w:top w:val="nil"/>
              <w:left w:val="nil"/>
              <w:bottom w:val="single" w:sz="4" w:space="0" w:color="auto"/>
              <w:right w:val="single" w:sz="4" w:space="0" w:color="auto"/>
            </w:tcBorders>
            <w:shd w:val="clear" w:color="auto" w:fill="auto"/>
            <w:noWrap/>
            <w:vAlign w:val="center"/>
            <w:hideMark/>
          </w:tcPr>
          <w:p w14:paraId="3400B40E"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Cumulative CF </w:t>
            </w:r>
          </w:p>
        </w:tc>
      </w:tr>
      <w:tr w:rsidR="00287950" w:rsidRPr="00A01271" w14:paraId="7D903284"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4A41133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1625" w:type="pct"/>
            <w:tcBorders>
              <w:top w:val="nil"/>
              <w:left w:val="nil"/>
              <w:bottom w:val="single" w:sz="4" w:space="0" w:color="auto"/>
              <w:right w:val="single" w:sz="4" w:space="0" w:color="auto"/>
            </w:tcBorders>
            <w:shd w:val="clear" w:color="auto" w:fill="auto"/>
            <w:noWrap/>
            <w:vAlign w:val="center"/>
            <w:hideMark/>
          </w:tcPr>
          <w:p w14:paraId="3D8A428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c>
          <w:tcPr>
            <w:tcW w:w="2342" w:type="pct"/>
            <w:tcBorders>
              <w:top w:val="nil"/>
              <w:left w:val="nil"/>
              <w:bottom w:val="single" w:sz="4" w:space="0" w:color="auto"/>
              <w:right w:val="single" w:sz="4" w:space="0" w:color="auto"/>
            </w:tcBorders>
            <w:shd w:val="clear" w:color="auto" w:fill="auto"/>
            <w:noWrap/>
            <w:vAlign w:val="center"/>
            <w:hideMark/>
          </w:tcPr>
          <w:p w14:paraId="7C26F4F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r>
      <w:tr w:rsidR="00287950" w:rsidRPr="00A01271" w14:paraId="101EB07F"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1FEEF82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1625" w:type="pct"/>
            <w:tcBorders>
              <w:top w:val="nil"/>
              <w:left w:val="nil"/>
              <w:bottom w:val="single" w:sz="4" w:space="0" w:color="auto"/>
              <w:right w:val="single" w:sz="4" w:space="0" w:color="auto"/>
            </w:tcBorders>
            <w:shd w:val="clear" w:color="auto" w:fill="auto"/>
            <w:noWrap/>
            <w:vAlign w:val="center"/>
            <w:hideMark/>
          </w:tcPr>
          <w:p w14:paraId="2DB2AFE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c>
          <w:tcPr>
            <w:tcW w:w="2342" w:type="pct"/>
            <w:tcBorders>
              <w:top w:val="nil"/>
              <w:left w:val="nil"/>
              <w:bottom w:val="single" w:sz="4" w:space="0" w:color="auto"/>
              <w:right w:val="single" w:sz="4" w:space="0" w:color="auto"/>
            </w:tcBorders>
            <w:shd w:val="clear" w:color="auto" w:fill="auto"/>
            <w:noWrap/>
            <w:vAlign w:val="center"/>
            <w:hideMark/>
          </w:tcPr>
          <w:p w14:paraId="3B142D6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r>
      <w:tr w:rsidR="00287950" w:rsidRPr="00A01271" w14:paraId="213F2CB1"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0465B71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2</w:t>
            </w:r>
          </w:p>
        </w:tc>
        <w:tc>
          <w:tcPr>
            <w:tcW w:w="1625" w:type="pct"/>
            <w:tcBorders>
              <w:top w:val="nil"/>
              <w:left w:val="nil"/>
              <w:bottom w:val="single" w:sz="4" w:space="0" w:color="auto"/>
              <w:right w:val="single" w:sz="4" w:space="0" w:color="auto"/>
            </w:tcBorders>
            <w:shd w:val="clear" w:color="auto" w:fill="auto"/>
            <w:noWrap/>
            <w:vAlign w:val="center"/>
            <w:hideMark/>
          </w:tcPr>
          <w:p w14:paraId="4D2D43E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c>
          <w:tcPr>
            <w:tcW w:w="2342" w:type="pct"/>
            <w:tcBorders>
              <w:top w:val="nil"/>
              <w:left w:val="nil"/>
              <w:bottom w:val="single" w:sz="4" w:space="0" w:color="auto"/>
              <w:right w:val="single" w:sz="4" w:space="0" w:color="auto"/>
            </w:tcBorders>
            <w:shd w:val="clear" w:color="auto" w:fill="auto"/>
            <w:noWrap/>
            <w:vAlign w:val="center"/>
            <w:hideMark/>
          </w:tcPr>
          <w:p w14:paraId="5C937D6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 </w:t>
            </w:r>
          </w:p>
        </w:tc>
      </w:tr>
      <w:tr w:rsidR="00287950" w:rsidRPr="00A01271" w14:paraId="661B0D84"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0FA24C5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3</w:t>
            </w:r>
          </w:p>
        </w:tc>
        <w:tc>
          <w:tcPr>
            <w:tcW w:w="1625" w:type="pct"/>
            <w:tcBorders>
              <w:top w:val="nil"/>
              <w:left w:val="nil"/>
              <w:bottom w:val="single" w:sz="4" w:space="0" w:color="auto"/>
              <w:right w:val="single" w:sz="4" w:space="0" w:color="auto"/>
            </w:tcBorders>
            <w:shd w:val="clear" w:color="auto" w:fill="auto"/>
            <w:noWrap/>
            <w:vAlign w:val="center"/>
            <w:hideMark/>
          </w:tcPr>
          <w:p w14:paraId="60571E0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2342" w:type="pct"/>
            <w:tcBorders>
              <w:top w:val="nil"/>
              <w:left w:val="nil"/>
              <w:bottom w:val="single" w:sz="4" w:space="0" w:color="auto"/>
              <w:right w:val="single" w:sz="4" w:space="0" w:color="auto"/>
            </w:tcBorders>
            <w:shd w:val="clear" w:color="auto" w:fill="auto"/>
            <w:noWrap/>
            <w:vAlign w:val="center"/>
            <w:hideMark/>
          </w:tcPr>
          <w:p w14:paraId="0928323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70 </w:t>
            </w:r>
          </w:p>
        </w:tc>
      </w:tr>
      <w:tr w:rsidR="00287950" w:rsidRPr="00A01271" w14:paraId="34C55196"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36E2813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1625" w:type="pct"/>
            <w:tcBorders>
              <w:top w:val="nil"/>
              <w:left w:val="nil"/>
              <w:bottom w:val="single" w:sz="4" w:space="0" w:color="auto"/>
              <w:right w:val="single" w:sz="4" w:space="0" w:color="auto"/>
            </w:tcBorders>
            <w:shd w:val="clear" w:color="auto" w:fill="auto"/>
            <w:noWrap/>
            <w:vAlign w:val="center"/>
            <w:hideMark/>
          </w:tcPr>
          <w:p w14:paraId="2A848D1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55 </w:t>
            </w:r>
          </w:p>
        </w:tc>
        <w:tc>
          <w:tcPr>
            <w:tcW w:w="2342" w:type="pct"/>
            <w:tcBorders>
              <w:top w:val="nil"/>
              <w:left w:val="nil"/>
              <w:bottom w:val="single" w:sz="4" w:space="0" w:color="auto"/>
              <w:right w:val="single" w:sz="4" w:space="0" w:color="auto"/>
            </w:tcBorders>
            <w:shd w:val="clear" w:color="auto" w:fill="auto"/>
            <w:noWrap/>
            <w:vAlign w:val="center"/>
            <w:hideMark/>
          </w:tcPr>
          <w:p w14:paraId="3A24E72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125 </w:t>
            </w:r>
          </w:p>
        </w:tc>
      </w:tr>
      <w:tr w:rsidR="00287950" w:rsidRPr="00A01271" w14:paraId="05BEE54F" w14:textId="77777777" w:rsidTr="00633414">
        <w:trPr>
          <w:trHeight w:val="450"/>
        </w:trPr>
        <w:tc>
          <w:tcPr>
            <w:tcW w:w="265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7AFBA" w14:textId="77777777" w:rsidR="00287950" w:rsidRPr="00A01271" w:rsidRDefault="00287950" w:rsidP="00633414">
            <w:pPr>
              <w:spacing w:before="240" w:line="360" w:lineRule="auto"/>
              <w:jc w:val="right"/>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PBP (Years)</w:t>
            </w:r>
          </w:p>
        </w:tc>
        <w:tc>
          <w:tcPr>
            <w:tcW w:w="23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D7D29F1"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3.18</w:t>
            </w:r>
          </w:p>
        </w:tc>
      </w:tr>
      <w:tr w:rsidR="00287950" w:rsidRPr="00A01271" w14:paraId="6DFAF1AE" w14:textId="77777777" w:rsidTr="00633414">
        <w:trPr>
          <w:trHeight w:val="450"/>
        </w:trPr>
        <w:tc>
          <w:tcPr>
            <w:tcW w:w="2658" w:type="pct"/>
            <w:gridSpan w:val="2"/>
            <w:vMerge/>
            <w:tcBorders>
              <w:top w:val="single" w:sz="4" w:space="0" w:color="auto"/>
              <w:left w:val="single" w:sz="4" w:space="0" w:color="auto"/>
              <w:bottom w:val="single" w:sz="4" w:space="0" w:color="auto"/>
              <w:right w:val="single" w:sz="4" w:space="0" w:color="auto"/>
            </w:tcBorders>
            <w:vAlign w:val="center"/>
            <w:hideMark/>
          </w:tcPr>
          <w:p w14:paraId="076FCA9D"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c>
          <w:tcPr>
            <w:tcW w:w="2342" w:type="pct"/>
            <w:vMerge/>
            <w:tcBorders>
              <w:top w:val="nil"/>
              <w:left w:val="single" w:sz="4" w:space="0" w:color="auto"/>
              <w:bottom w:val="single" w:sz="4" w:space="0" w:color="auto"/>
              <w:right w:val="single" w:sz="4" w:space="0" w:color="auto"/>
            </w:tcBorders>
            <w:vAlign w:val="center"/>
            <w:hideMark/>
          </w:tcPr>
          <w:p w14:paraId="66BCA460"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r w:rsidR="00287950" w:rsidRPr="00A01271" w14:paraId="3068879A" w14:textId="77777777" w:rsidTr="00633414">
        <w:trPr>
          <w:trHeight w:val="450"/>
        </w:trPr>
        <w:tc>
          <w:tcPr>
            <w:tcW w:w="5000"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69540"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Payback Period (Project B)</w:t>
            </w:r>
          </w:p>
        </w:tc>
      </w:tr>
      <w:tr w:rsidR="00287950" w:rsidRPr="00A01271" w14:paraId="2F71533E" w14:textId="77777777" w:rsidTr="00633414">
        <w:trPr>
          <w:trHeight w:val="450"/>
        </w:trPr>
        <w:tc>
          <w:tcPr>
            <w:tcW w:w="5000" w:type="pct"/>
            <w:gridSpan w:val="3"/>
            <w:vMerge/>
            <w:tcBorders>
              <w:top w:val="single" w:sz="4" w:space="0" w:color="auto"/>
              <w:left w:val="single" w:sz="4" w:space="0" w:color="auto"/>
              <w:bottom w:val="single" w:sz="4" w:space="0" w:color="auto"/>
              <w:right w:val="single" w:sz="4" w:space="0" w:color="auto"/>
            </w:tcBorders>
            <w:vAlign w:val="center"/>
            <w:hideMark/>
          </w:tcPr>
          <w:p w14:paraId="3526E022"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4755E6DE"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299331AA"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1625" w:type="pct"/>
            <w:tcBorders>
              <w:top w:val="nil"/>
              <w:left w:val="nil"/>
              <w:bottom w:val="single" w:sz="4" w:space="0" w:color="auto"/>
              <w:right w:val="single" w:sz="4" w:space="0" w:color="auto"/>
            </w:tcBorders>
            <w:shd w:val="clear" w:color="auto" w:fill="auto"/>
            <w:noWrap/>
            <w:vAlign w:val="center"/>
            <w:hideMark/>
          </w:tcPr>
          <w:p w14:paraId="0EE50CD2"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c>
          <w:tcPr>
            <w:tcW w:w="2342" w:type="pct"/>
            <w:tcBorders>
              <w:top w:val="nil"/>
              <w:left w:val="nil"/>
              <w:bottom w:val="single" w:sz="4" w:space="0" w:color="auto"/>
              <w:right w:val="single" w:sz="4" w:space="0" w:color="auto"/>
            </w:tcBorders>
            <w:shd w:val="clear" w:color="auto" w:fill="auto"/>
            <w:noWrap/>
            <w:vAlign w:val="center"/>
            <w:hideMark/>
          </w:tcPr>
          <w:p w14:paraId="04298166"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Cumulative CF </w:t>
            </w:r>
          </w:p>
        </w:tc>
      </w:tr>
      <w:tr w:rsidR="00287950" w:rsidRPr="00A01271" w14:paraId="38C65E69"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4586B10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1625" w:type="pct"/>
            <w:tcBorders>
              <w:top w:val="nil"/>
              <w:left w:val="nil"/>
              <w:bottom w:val="single" w:sz="4" w:space="0" w:color="auto"/>
              <w:right w:val="single" w:sz="4" w:space="0" w:color="auto"/>
            </w:tcBorders>
            <w:shd w:val="clear" w:color="auto" w:fill="auto"/>
            <w:noWrap/>
            <w:vAlign w:val="center"/>
            <w:hideMark/>
          </w:tcPr>
          <w:p w14:paraId="5B43613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c>
          <w:tcPr>
            <w:tcW w:w="2342" w:type="pct"/>
            <w:tcBorders>
              <w:top w:val="nil"/>
              <w:left w:val="nil"/>
              <w:bottom w:val="single" w:sz="4" w:space="0" w:color="auto"/>
              <w:right w:val="single" w:sz="4" w:space="0" w:color="auto"/>
            </w:tcBorders>
            <w:shd w:val="clear" w:color="auto" w:fill="auto"/>
            <w:noWrap/>
            <w:vAlign w:val="center"/>
            <w:hideMark/>
          </w:tcPr>
          <w:p w14:paraId="42F47F5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r>
      <w:tr w:rsidR="00287950" w:rsidRPr="00A01271" w14:paraId="43731AF8"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2D20BD4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1625" w:type="pct"/>
            <w:tcBorders>
              <w:top w:val="nil"/>
              <w:left w:val="nil"/>
              <w:bottom w:val="single" w:sz="4" w:space="0" w:color="auto"/>
              <w:right w:val="single" w:sz="4" w:space="0" w:color="auto"/>
            </w:tcBorders>
            <w:shd w:val="clear" w:color="auto" w:fill="auto"/>
            <w:noWrap/>
            <w:vAlign w:val="center"/>
            <w:hideMark/>
          </w:tcPr>
          <w:p w14:paraId="5C09620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 </w:t>
            </w:r>
          </w:p>
        </w:tc>
        <w:tc>
          <w:tcPr>
            <w:tcW w:w="2342" w:type="pct"/>
            <w:tcBorders>
              <w:top w:val="nil"/>
              <w:left w:val="nil"/>
              <w:bottom w:val="single" w:sz="4" w:space="0" w:color="auto"/>
              <w:right w:val="single" w:sz="4" w:space="0" w:color="auto"/>
            </w:tcBorders>
            <w:shd w:val="clear" w:color="auto" w:fill="auto"/>
            <w:noWrap/>
            <w:vAlign w:val="center"/>
            <w:hideMark/>
          </w:tcPr>
          <w:p w14:paraId="6F0239D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 </w:t>
            </w:r>
          </w:p>
        </w:tc>
      </w:tr>
      <w:tr w:rsidR="00287950" w:rsidRPr="00A01271" w14:paraId="00F928FA"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31DE78C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2</w:t>
            </w:r>
          </w:p>
        </w:tc>
        <w:tc>
          <w:tcPr>
            <w:tcW w:w="1625" w:type="pct"/>
            <w:tcBorders>
              <w:top w:val="nil"/>
              <w:left w:val="nil"/>
              <w:bottom w:val="single" w:sz="4" w:space="0" w:color="auto"/>
              <w:right w:val="single" w:sz="4" w:space="0" w:color="auto"/>
            </w:tcBorders>
            <w:shd w:val="clear" w:color="auto" w:fill="auto"/>
            <w:noWrap/>
            <w:vAlign w:val="center"/>
            <w:hideMark/>
          </w:tcPr>
          <w:p w14:paraId="3ECC5E9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2342" w:type="pct"/>
            <w:tcBorders>
              <w:top w:val="nil"/>
              <w:left w:val="nil"/>
              <w:bottom w:val="single" w:sz="4" w:space="0" w:color="auto"/>
              <w:right w:val="single" w:sz="4" w:space="0" w:color="auto"/>
            </w:tcBorders>
            <w:shd w:val="clear" w:color="auto" w:fill="auto"/>
            <w:noWrap/>
            <w:vAlign w:val="center"/>
            <w:hideMark/>
          </w:tcPr>
          <w:p w14:paraId="4155505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70 </w:t>
            </w:r>
          </w:p>
        </w:tc>
      </w:tr>
      <w:tr w:rsidR="00287950" w:rsidRPr="00A01271" w14:paraId="7C22F23F"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71A5B7D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3</w:t>
            </w:r>
          </w:p>
        </w:tc>
        <w:tc>
          <w:tcPr>
            <w:tcW w:w="1625" w:type="pct"/>
            <w:tcBorders>
              <w:top w:val="nil"/>
              <w:left w:val="nil"/>
              <w:bottom w:val="single" w:sz="4" w:space="0" w:color="auto"/>
              <w:right w:val="single" w:sz="4" w:space="0" w:color="auto"/>
            </w:tcBorders>
            <w:shd w:val="clear" w:color="auto" w:fill="auto"/>
            <w:noWrap/>
            <w:vAlign w:val="center"/>
            <w:hideMark/>
          </w:tcPr>
          <w:p w14:paraId="7D8A95B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2342" w:type="pct"/>
            <w:tcBorders>
              <w:top w:val="nil"/>
              <w:left w:val="nil"/>
              <w:bottom w:val="single" w:sz="4" w:space="0" w:color="auto"/>
              <w:right w:val="single" w:sz="4" w:space="0" w:color="auto"/>
            </w:tcBorders>
            <w:shd w:val="clear" w:color="auto" w:fill="auto"/>
            <w:noWrap/>
            <w:vAlign w:val="center"/>
            <w:hideMark/>
          </w:tcPr>
          <w:p w14:paraId="489E4DF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90 </w:t>
            </w:r>
          </w:p>
        </w:tc>
      </w:tr>
      <w:tr w:rsidR="00287950" w:rsidRPr="00A01271" w14:paraId="673A54E9" w14:textId="77777777" w:rsidTr="00633414">
        <w:trPr>
          <w:trHeight w:val="312"/>
        </w:trPr>
        <w:tc>
          <w:tcPr>
            <w:tcW w:w="1033" w:type="pct"/>
            <w:tcBorders>
              <w:top w:val="nil"/>
              <w:left w:val="single" w:sz="4" w:space="0" w:color="auto"/>
              <w:bottom w:val="single" w:sz="4" w:space="0" w:color="auto"/>
              <w:right w:val="single" w:sz="4" w:space="0" w:color="auto"/>
            </w:tcBorders>
            <w:shd w:val="clear" w:color="auto" w:fill="auto"/>
            <w:noWrap/>
            <w:vAlign w:val="center"/>
            <w:hideMark/>
          </w:tcPr>
          <w:p w14:paraId="63B4471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1625" w:type="pct"/>
            <w:tcBorders>
              <w:top w:val="nil"/>
              <w:left w:val="nil"/>
              <w:bottom w:val="single" w:sz="4" w:space="0" w:color="auto"/>
              <w:right w:val="single" w:sz="4" w:space="0" w:color="auto"/>
            </w:tcBorders>
            <w:shd w:val="clear" w:color="auto" w:fill="auto"/>
            <w:noWrap/>
            <w:vAlign w:val="center"/>
            <w:hideMark/>
          </w:tcPr>
          <w:p w14:paraId="1617D58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2342" w:type="pct"/>
            <w:tcBorders>
              <w:top w:val="nil"/>
              <w:left w:val="nil"/>
              <w:bottom w:val="single" w:sz="4" w:space="0" w:color="auto"/>
              <w:right w:val="single" w:sz="4" w:space="0" w:color="auto"/>
            </w:tcBorders>
            <w:shd w:val="clear" w:color="auto" w:fill="auto"/>
            <w:noWrap/>
            <w:vAlign w:val="center"/>
            <w:hideMark/>
          </w:tcPr>
          <w:p w14:paraId="2B689C2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110 </w:t>
            </w:r>
          </w:p>
        </w:tc>
      </w:tr>
      <w:tr w:rsidR="00287950" w:rsidRPr="00A01271" w14:paraId="3AC13441" w14:textId="77777777" w:rsidTr="00633414">
        <w:trPr>
          <w:trHeight w:val="450"/>
        </w:trPr>
        <w:tc>
          <w:tcPr>
            <w:tcW w:w="2658"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84DF4" w14:textId="77777777" w:rsidR="00287950" w:rsidRPr="00A01271" w:rsidRDefault="00287950" w:rsidP="00633414">
            <w:pPr>
              <w:spacing w:before="240" w:line="360" w:lineRule="auto"/>
              <w:jc w:val="right"/>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PBP (Years)</w:t>
            </w:r>
          </w:p>
        </w:tc>
        <w:tc>
          <w:tcPr>
            <w:tcW w:w="23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336547"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2.25</w:t>
            </w:r>
          </w:p>
        </w:tc>
      </w:tr>
      <w:tr w:rsidR="00287950" w:rsidRPr="00A01271" w14:paraId="674333F8" w14:textId="77777777" w:rsidTr="00633414">
        <w:trPr>
          <w:trHeight w:val="450"/>
        </w:trPr>
        <w:tc>
          <w:tcPr>
            <w:tcW w:w="2658" w:type="pct"/>
            <w:gridSpan w:val="2"/>
            <w:vMerge/>
            <w:tcBorders>
              <w:top w:val="single" w:sz="4" w:space="0" w:color="auto"/>
              <w:left w:val="single" w:sz="4" w:space="0" w:color="auto"/>
              <w:bottom w:val="single" w:sz="4" w:space="0" w:color="auto"/>
              <w:right w:val="single" w:sz="4" w:space="0" w:color="auto"/>
            </w:tcBorders>
            <w:vAlign w:val="center"/>
            <w:hideMark/>
          </w:tcPr>
          <w:p w14:paraId="20FE64D4"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c>
          <w:tcPr>
            <w:tcW w:w="2342" w:type="pct"/>
            <w:vMerge/>
            <w:tcBorders>
              <w:top w:val="nil"/>
              <w:left w:val="single" w:sz="4" w:space="0" w:color="auto"/>
              <w:bottom w:val="single" w:sz="4" w:space="0" w:color="auto"/>
              <w:right w:val="single" w:sz="4" w:space="0" w:color="auto"/>
            </w:tcBorders>
            <w:vAlign w:val="center"/>
            <w:hideMark/>
          </w:tcPr>
          <w:p w14:paraId="5A6EC9DE" w14:textId="77777777" w:rsidR="00287950" w:rsidRPr="00A01271" w:rsidRDefault="00287950" w:rsidP="00633414">
            <w:pPr>
              <w:spacing w:before="240" w:line="360" w:lineRule="auto"/>
              <w:rPr>
                <w:rFonts w:asciiTheme="majorBidi" w:eastAsia="Times New Roman" w:hAnsiTheme="majorBidi" w:cstheme="majorBidi"/>
                <w:b/>
                <w:bCs/>
                <w:i/>
                <w:iCs/>
                <w:kern w:val="0"/>
                <w:sz w:val="24"/>
                <w:szCs w:val="24"/>
                <w:lang w:val="en-GB" w:eastAsia="en-IN"/>
                <w14:ligatures w14:val="none"/>
              </w:rPr>
            </w:pPr>
          </w:p>
        </w:tc>
      </w:tr>
    </w:tbl>
    <w:p w14:paraId="182DA7A2"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Table 2: PBP</w:t>
      </w:r>
    </w:p>
    <w:p w14:paraId="2A84B2F7"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Created by Excel)</w:t>
      </w:r>
    </w:p>
    <w:p w14:paraId="3FD281A7"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Table 2 highlights the estimation of PBP, which is one of the key techniques of capital budgeting to assess the suitability and viability of project proposals (Magni and Marchioni, 2020). It can be said that the management of Unilever Plc is in search of new investment opportunities for which they have considered two projects named </w:t>
      </w:r>
      <w:r w:rsidRPr="00A01271">
        <w:rPr>
          <w:rFonts w:asciiTheme="majorBidi" w:hAnsiTheme="majorBidi" w:cstheme="majorBidi"/>
          <w:b/>
          <w:bCs/>
          <w:i/>
          <w:iCs/>
          <w:sz w:val="24"/>
          <w:szCs w:val="24"/>
          <w:lang w:val="en-GB"/>
        </w:rPr>
        <w:t>“Project A and B”</w:t>
      </w:r>
      <w:r w:rsidRPr="00A01271">
        <w:rPr>
          <w:rFonts w:asciiTheme="majorBidi" w:hAnsiTheme="majorBidi" w:cstheme="majorBidi"/>
          <w:sz w:val="24"/>
          <w:szCs w:val="24"/>
          <w:lang w:val="en-GB"/>
        </w:rPr>
        <w:t xml:space="preserve">. The main importance of PBP is it shows the viability and feasibility of the projects based on which specific project will be selected. The initial costs invested in both projects are different which are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 xml:space="preserve">80 for project A and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 xml:space="preserve">75 for project B and the cash flows for both projects are also different which will generate different outcomes for PBP. Therefore, the PBP for Project A is 3.18 years that of Project B is 2.25 years. The feasibility of Project B is good since it will recover the initial capital more rapidly than Project A and the firm should undertake the project (Campbell and Brown, 2022). The acceptance of Project B is also crucial to generating greater cash flows from which they can pay off the outflows and recover the capital that they invested in both projects. </w:t>
      </w:r>
    </w:p>
    <w:p w14:paraId="09C4A7EE"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Net present value (NPV) </w:t>
      </w:r>
    </w:p>
    <w:tbl>
      <w:tblPr>
        <w:tblW w:w="5000" w:type="pct"/>
        <w:tblLook w:val="04A0" w:firstRow="1" w:lastRow="0" w:firstColumn="1" w:lastColumn="0" w:noHBand="0" w:noVBand="1"/>
      </w:tblPr>
      <w:tblGrid>
        <w:gridCol w:w="1450"/>
        <w:gridCol w:w="2261"/>
        <w:gridCol w:w="3505"/>
        <w:gridCol w:w="1800"/>
      </w:tblGrid>
      <w:tr w:rsidR="00287950" w:rsidRPr="00A01271" w14:paraId="1FFD316F" w14:textId="77777777" w:rsidTr="00633414">
        <w:trPr>
          <w:trHeight w:val="450"/>
        </w:trPr>
        <w:tc>
          <w:tcPr>
            <w:tcW w:w="5000"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B1B25"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Net Present Value (Project A)</w:t>
            </w:r>
          </w:p>
        </w:tc>
      </w:tr>
      <w:tr w:rsidR="00287950" w:rsidRPr="00A01271" w14:paraId="6E80098F" w14:textId="77777777" w:rsidTr="00633414">
        <w:trPr>
          <w:trHeight w:val="450"/>
        </w:trPr>
        <w:tc>
          <w:tcPr>
            <w:tcW w:w="5000" w:type="pct"/>
            <w:gridSpan w:val="4"/>
            <w:vMerge/>
            <w:tcBorders>
              <w:top w:val="single" w:sz="4" w:space="0" w:color="auto"/>
              <w:left w:val="single" w:sz="4" w:space="0" w:color="auto"/>
              <w:bottom w:val="single" w:sz="4" w:space="0" w:color="auto"/>
              <w:right w:val="single" w:sz="4" w:space="0" w:color="auto"/>
            </w:tcBorders>
            <w:vAlign w:val="center"/>
            <w:hideMark/>
          </w:tcPr>
          <w:p w14:paraId="4F5E44BE"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2B1CA4B7"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40FB994D"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1254" w:type="pct"/>
            <w:tcBorders>
              <w:top w:val="nil"/>
              <w:left w:val="nil"/>
              <w:bottom w:val="single" w:sz="4" w:space="0" w:color="auto"/>
              <w:right w:val="single" w:sz="4" w:space="0" w:color="auto"/>
            </w:tcBorders>
            <w:shd w:val="clear" w:color="auto" w:fill="auto"/>
            <w:noWrap/>
            <w:vAlign w:val="center"/>
            <w:hideMark/>
          </w:tcPr>
          <w:p w14:paraId="0F34FD9C"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c>
          <w:tcPr>
            <w:tcW w:w="1944" w:type="pct"/>
            <w:tcBorders>
              <w:top w:val="nil"/>
              <w:left w:val="nil"/>
              <w:bottom w:val="single" w:sz="4" w:space="0" w:color="auto"/>
              <w:right w:val="single" w:sz="4" w:space="0" w:color="auto"/>
            </w:tcBorders>
            <w:shd w:val="clear" w:color="auto" w:fill="auto"/>
            <w:noWrap/>
            <w:vAlign w:val="center"/>
            <w:hideMark/>
          </w:tcPr>
          <w:p w14:paraId="7EF20CF4"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Discounting rate</w:t>
            </w:r>
          </w:p>
        </w:tc>
        <w:tc>
          <w:tcPr>
            <w:tcW w:w="998" w:type="pct"/>
            <w:tcBorders>
              <w:top w:val="nil"/>
              <w:left w:val="nil"/>
              <w:bottom w:val="single" w:sz="4" w:space="0" w:color="auto"/>
              <w:right w:val="single" w:sz="4" w:space="0" w:color="auto"/>
            </w:tcBorders>
            <w:shd w:val="clear" w:color="auto" w:fill="auto"/>
            <w:noWrap/>
            <w:vAlign w:val="center"/>
            <w:hideMark/>
          </w:tcPr>
          <w:p w14:paraId="26E7F131"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PV</w:t>
            </w:r>
          </w:p>
        </w:tc>
      </w:tr>
      <w:tr w:rsidR="00287950" w:rsidRPr="00A01271" w14:paraId="403A7548"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04E7D80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1254" w:type="pct"/>
            <w:tcBorders>
              <w:top w:val="nil"/>
              <w:left w:val="nil"/>
              <w:bottom w:val="single" w:sz="4" w:space="0" w:color="auto"/>
              <w:right w:val="single" w:sz="4" w:space="0" w:color="auto"/>
            </w:tcBorders>
            <w:shd w:val="clear" w:color="auto" w:fill="auto"/>
            <w:noWrap/>
            <w:vAlign w:val="center"/>
            <w:hideMark/>
          </w:tcPr>
          <w:p w14:paraId="4D56317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c>
          <w:tcPr>
            <w:tcW w:w="1944" w:type="pct"/>
            <w:tcBorders>
              <w:top w:val="nil"/>
              <w:left w:val="nil"/>
              <w:bottom w:val="single" w:sz="4" w:space="0" w:color="auto"/>
              <w:right w:val="single" w:sz="4" w:space="0" w:color="auto"/>
            </w:tcBorders>
            <w:shd w:val="clear" w:color="auto" w:fill="auto"/>
            <w:noWrap/>
            <w:vAlign w:val="center"/>
            <w:hideMark/>
          </w:tcPr>
          <w:p w14:paraId="7EB4AEA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998" w:type="pct"/>
            <w:tcBorders>
              <w:top w:val="nil"/>
              <w:left w:val="nil"/>
              <w:bottom w:val="single" w:sz="4" w:space="0" w:color="auto"/>
              <w:right w:val="single" w:sz="4" w:space="0" w:color="auto"/>
            </w:tcBorders>
            <w:shd w:val="clear" w:color="auto" w:fill="auto"/>
            <w:noWrap/>
            <w:vAlign w:val="center"/>
            <w:hideMark/>
          </w:tcPr>
          <w:p w14:paraId="749CD8E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r>
      <w:tr w:rsidR="00287950" w:rsidRPr="00A01271" w14:paraId="1563F668"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1DB210C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1254" w:type="pct"/>
            <w:tcBorders>
              <w:top w:val="nil"/>
              <w:left w:val="nil"/>
              <w:bottom w:val="single" w:sz="4" w:space="0" w:color="auto"/>
              <w:right w:val="single" w:sz="4" w:space="0" w:color="auto"/>
            </w:tcBorders>
            <w:shd w:val="clear" w:color="auto" w:fill="auto"/>
            <w:noWrap/>
            <w:vAlign w:val="center"/>
            <w:hideMark/>
          </w:tcPr>
          <w:p w14:paraId="5339FF3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c>
          <w:tcPr>
            <w:tcW w:w="1944" w:type="pct"/>
            <w:tcBorders>
              <w:top w:val="nil"/>
              <w:left w:val="nil"/>
              <w:bottom w:val="single" w:sz="4" w:space="0" w:color="auto"/>
              <w:right w:val="single" w:sz="4" w:space="0" w:color="auto"/>
            </w:tcBorders>
            <w:shd w:val="clear" w:color="auto" w:fill="auto"/>
            <w:noWrap/>
            <w:vAlign w:val="center"/>
            <w:hideMark/>
          </w:tcPr>
          <w:p w14:paraId="73012D9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0F3F95D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22.78</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5041AAB7"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36F0A815"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2</w:t>
            </w:r>
          </w:p>
        </w:tc>
        <w:tc>
          <w:tcPr>
            <w:tcW w:w="1254" w:type="pct"/>
            <w:tcBorders>
              <w:top w:val="nil"/>
              <w:left w:val="nil"/>
              <w:bottom w:val="single" w:sz="4" w:space="0" w:color="auto"/>
              <w:right w:val="single" w:sz="4" w:space="0" w:color="auto"/>
            </w:tcBorders>
            <w:shd w:val="clear" w:color="auto" w:fill="auto"/>
            <w:noWrap/>
            <w:vAlign w:val="center"/>
            <w:hideMark/>
          </w:tcPr>
          <w:p w14:paraId="496CFF3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c>
          <w:tcPr>
            <w:tcW w:w="1944" w:type="pct"/>
            <w:tcBorders>
              <w:top w:val="nil"/>
              <w:left w:val="nil"/>
              <w:bottom w:val="single" w:sz="4" w:space="0" w:color="auto"/>
              <w:right w:val="single" w:sz="4" w:space="0" w:color="auto"/>
            </w:tcBorders>
            <w:shd w:val="clear" w:color="auto" w:fill="auto"/>
            <w:noWrap/>
            <w:vAlign w:val="center"/>
            <w:hideMark/>
          </w:tcPr>
          <w:p w14:paraId="7588267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0339822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20.76</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0313E297"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023F04F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3</w:t>
            </w:r>
          </w:p>
        </w:tc>
        <w:tc>
          <w:tcPr>
            <w:tcW w:w="1254" w:type="pct"/>
            <w:tcBorders>
              <w:top w:val="nil"/>
              <w:left w:val="nil"/>
              <w:bottom w:val="single" w:sz="4" w:space="0" w:color="auto"/>
              <w:right w:val="single" w:sz="4" w:space="0" w:color="auto"/>
            </w:tcBorders>
            <w:shd w:val="clear" w:color="auto" w:fill="auto"/>
            <w:noWrap/>
            <w:vAlign w:val="center"/>
            <w:hideMark/>
          </w:tcPr>
          <w:p w14:paraId="46ADC04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1944" w:type="pct"/>
            <w:tcBorders>
              <w:top w:val="nil"/>
              <w:left w:val="nil"/>
              <w:bottom w:val="single" w:sz="4" w:space="0" w:color="auto"/>
              <w:right w:val="single" w:sz="4" w:space="0" w:color="auto"/>
            </w:tcBorders>
            <w:shd w:val="clear" w:color="auto" w:fill="auto"/>
            <w:noWrap/>
            <w:vAlign w:val="center"/>
            <w:hideMark/>
          </w:tcPr>
          <w:p w14:paraId="12B67A7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7D856F83"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15.13</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50F4231B"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2CE860D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1254" w:type="pct"/>
            <w:tcBorders>
              <w:top w:val="nil"/>
              <w:left w:val="nil"/>
              <w:bottom w:val="single" w:sz="4" w:space="0" w:color="auto"/>
              <w:right w:val="single" w:sz="4" w:space="0" w:color="auto"/>
            </w:tcBorders>
            <w:shd w:val="clear" w:color="auto" w:fill="auto"/>
            <w:noWrap/>
            <w:vAlign w:val="center"/>
            <w:hideMark/>
          </w:tcPr>
          <w:p w14:paraId="69D81BD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55 </w:t>
            </w:r>
          </w:p>
        </w:tc>
        <w:tc>
          <w:tcPr>
            <w:tcW w:w="1944" w:type="pct"/>
            <w:tcBorders>
              <w:top w:val="nil"/>
              <w:left w:val="nil"/>
              <w:bottom w:val="single" w:sz="4" w:space="0" w:color="auto"/>
              <w:right w:val="single" w:sz="4" w:space="0" w:color="auto"/>
            </w:tcBorders>
            <w:shd w:val="clear" w:color="auto" w:fill="auto"/>
            <w:noWrap/>
            <w:vAlign w:val="center"/>
            <w:hideMark/>
          </w:tcPr>
          <w:p w14:paraId="22B0914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6AC2DF0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37.91</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162A1B80" w14:textId="77777777" w:rsidTr="00633414">
        <w:trPr>
          <w:trHeight w:val="312"/>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3A8C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Total PV </w:t>
            </w:r>
          </w:p>
        </w:tc>
        <w:tc>
          <w:tcPr>
            <w:tcW w:w="998" w:type="pct"/>
            <w:tcBorders>
              <w:top w:val="nil"/>
              <w:left w:val="nil"/>
              <w:bottom w:val="single" w:sz="4" w:space="0" w:color="auto"/>
              <w:right w:val="single" w:sz="4" w:space="0" w:color="auto"/>
            </w:tcBorders>
            <w:shd w:val="clear" w:color="auto" w:fill="auto"/>
            <w:noWrap/>
            <w:vAlign w:val="center"/>
            <w:hideMark/>
          </w:tcPr>
          <w:p w14:paraId="5E9F0906" w14:textId="77777777" w:rsidR="00287950" w:rsidRPr="00A01271" w:rsidRDefault="00287950" w:rsidP="00633414">
            <w:pPr>
              <w:spacing w:before="240" w:line="360" w:lineRule="auto"/>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96.57</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55783987" w14:textId="77777777" w:rsidTr="00633414">
        <w:trPr>
          <w:trHeight w:val="324"/>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DBBB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Initial Costs</w:t>
            </w:r>
          </w:p>
        </w:tc>
        <w:tc>
          <w:tcPr>
            <w:tcW w:w="998" w:type="pct"/>
            <w:tcBorders>
              <w:top w:val="nil"/>
              <w:left w:val="nil"/>
              <w:bottom w:val="single" w:sz="4" w:space="0" w:color="auto"/>
              <w:right w:val="single" w:sz="4" w:space="0" w:color="auto"/>
            </w:tcBorders>
            <w:shd w:val="clear" w:color="auto" w:fill="auto"/>
            <w:noWrap/>
            <w:vAlign w:val="center"/>
            <w:hideMark/>
          </w:tcPr>
          <w:p w14:paraId="54C645F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r>
      <w:tr w:rsidR="00287950" w:rsidRPr="00A01271" w14:paraId="4DEBC412" w14:textId="77777777" w:rsidTr="00633414">
        <w:trPr>
          <w:trHeight w:val="324"/>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3CD7C" w14:textId="77777777" w:rsidR="00287950" w:rsidRPr="00A01271" w:rsidRDefault="00287950" w:rsidP="00633414">
            <w:pPr>
              <w:spacing w:before="240" w:line="360" w:lineRule="auto"/>
              <w:jc w:val="right"/>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NPV </w:t>
            </w:r>
          </w:p>
        </w:tc>
        <w:tc>
          <w:tcPr>
            <w:tcW w:w="998" w:type="pct"/>
            <w:tcBorders>
              <w:top w:val="nil"/>
              <w:left w:val="nil"/>
              <w:bottom w:val="single" w:sz="4" w:space="0" w:color="auto"/>
              <w:right w:val="single" w:sz="4" w:space="0" w:color="auto"/>
            </w:tcBorders>
            <w:shd w:val="clear" w:color="auto" w:fill="auto"/>
            <w:noWrap/>
            <w:vAlign w:val="center"/>
            <w:hideMark/>
          </w:tcPr>
          <w:p w14:paraId="442EAE91"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 </w:t>
            </w:r>
            <w:proofErr w:type="gramStart"/>
            <w:r w:rsidRPr="00A01271">
              <w:rPr>
                <w:rFonts w:asciiTheme="majorBidi" w:eastAsia="Times New Roman" w:hAnsiTheme="majorBidi" w:cstheme="majorBidi"/>
                <w:b/>
                <w:bCs/>
                <w:i/>
                <w:iCs/>
                <w:kern w:val="0"/>
                <w:sz w:val="24"/>
                <w:szCs w:val="24"/>
                <w:lang w:val="en-GB" w:eastAsia="en-IN"/>
                <w14:ligatures w14:val="none"/>
              </w:rPr>
              <w:t>€  16.57</w:t>
            </w:r>
            <w:proofErr w:type="gramEnd"/>
            <w:r w:rsidRPr="00A01271">
              <w:rPr>
                <w:rFonts w:asciiTheme="majorBidi" w:eastAsia="Times New Roman" w:hAnsiTheme="majorBidi" w:cstheme="majorBidi"/>
                <w:b/>
                <w:bCs/>
                <w:i/>
                <w:iCs/>
                <w:kern w:val="0"/>
                <w:sz w:val="24"/>
                <w:szCs w:val="24"/>
                <w:lang w:val="en-GB" w:eastAsia="en-IN"/>
                <w14:ligatures w14:val="none"/>
              </w:rPr>
              <w:t xml:space="preserve"> </w:t>
            </w:r>
          </w:p>
        </w:tc>
      </w:tr>
      <w:tr w:rsidR="00287950" w:rsidRPr="00A01271" w14:paraId="3B765716" w14:textId="77777777" w:rsidTr="00633414">
        <w:trPr>
          <w:trHeight w:val="450"/>
        </w:trPr>
        <w:tc>
          <w:tcPr>
            <w:tcW w:w="5000"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DD522"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Net Present Value (Project B)</w:t>
            </w:r>
          </w:p>
        </w:tc>
      </w:tr>
      <w:tr w:rsidR="00287950" w:rsidRPr="00A01271" w14:paraId="4E038DA9" w14:textId="77777777" w:rsidTr="00633414">
        <w:trPr>
          <w:trHeight w:val="450"/>
        </w:trPr>
        <w:tc>
          <w:tcPr>
            <w:tcW w:w="5000" w:type="pct"/>
            <w:gridSpan w:val="4"/>
            <w:vMerge/>
            <w:tcBorders>
              <w:top w:val="single" w:sz="4" w:space="0" w:color="auto"/>
              <w:left w:val="single" w:sz="4" w:space="0" w:color="auto"/>
              <w:bottom w:val="single" w:sz="4" w:space="0" w:color="auto"/>
              <w:right w:val="single" w:sz="4" w:space="0" w:color="auto"/>
            </w:tcBorders>
            <w:vAlign w:val="center"/>
            <w:hideMark/>
          </w:tcPr>
          <w:p w14:paraId="45F7C9BF"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5D46A951"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795E6E19"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1254" w:type="pct"/>
            <w:tcBorders>
              <w:top w:val="nil"/>
              <w:left w:val="nil"/>
              <w:bottom w:val="single" w:sz="4" w:space="0" w:color="auto"/>
              <w:right w:val="single" w:sz="4" w:space="0" w:color="auto"/>
            </w:tcBorders>
            <w:shd w:val="clear" w:color="auto" w:fill="auto"/>
            <w:noWrap/>
            <w:vAlign w:val="center"/>
            <w:hideMark/>
          </w:tcPr>
          <w:p w14:paraId="36B2AFE4"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c>
          <w:tcPr>
            <w:tcW w:w="1944" w:type="pct"/>
            <w:tcBorders>
              <w:top w:val="nil"/>
              <w:left w:val="nil"/>
              <w:bottom w:val="single" w:sz="4" w:space="0" w:color="auto"/>
              <w:right w:val="single" w:sz="4" w:space="0" w:color="auto"/>
            </w:tcBorders>
            <w:shd w:val="clear" w:color="auto" w:fill="auto"/>
            <w:noWrap/>
            <w:vAlign w:val="center"/>
            <w:hideMark/>
          </w:tcPr>
          <w:p w14:paraId="00128C95"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Discounting rate</w:t>
            </w:r>
          </w:p>
        </w:tc>
        <w:tc>
          <w:tcPr>
            <w:tcW w:w="998" w:type="pct"/>
            <w:tcBorders>
              <w:top w:val="nil"/>
              <w:left w:val="nil"/>
              <w:bottom w:val="single" w:sz="4" w:space="0" w:color="auto"/>
              <w:right w:val="single" w:sz="4" w:space="0" w:color="auto"/>
            </w:tcBorders>
            <w:shd w:val="clear" w:color="auto" w:fill="auto"/>
            <w:noWrap/>
            <w:vAlign w:val="center"/>
            <w:hideMark/>
          </w:tcPr>
          <w:p w14:paraId="62A7DFEE"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PV</w:t>
            </w:r>
          </w:p>
        </w:tc>
      </w:tr>
      <w:tr w:rsidR="00287950" w:rsidRPr="00A01271" w14:paraId="1053F1DD"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7ADA799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1254" w:type="pct"/>
            <w:tcBorders>
              <w:top w:val="nil"/>
              <w:left w:val="nil"/>
              <w:bottom w:val="single" w:sz="4" w:space="0" w:color="auto"/>
              <w:right w:val="single" w:sz="4" w:space="0" w:color="auto"/>
            </w:tcBorders>
            <w:shd w:val="clear" w:color="auto" w:fill="auto"/>
            <w:noWrap/>
            <w:vAlign w:val="center"/>
            <w:hideMark/>
          </w:tcPr>
          <w:p w14:paraId="2A76942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c>
          <w:tcPr>
            <w:tcW w:w="1944" w:type="pct"/>
            <w:tcBorders>
              <w:top w:val="nil"/>
              <w:left w:val="nil"/>
              <w:bottom w:val="single" w:sz="4" w:space="0" w:color="auto"/>
              <w:right w:val="single" w:sz="4" w:space="0" w:color="auto"/>
            </w:tcBorders>
            <w:shd w:val="clear" w:color="auto" w:fill="auto"/>
            <w:noWrap/>
            <w:vAlign w:val="center"/>
            <w:hideMark/>
          </w:tcPr>
          <w:p w14:paraId="221E8C5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w:t>
            </w:r>
          </w:p>
        </w:tc>
        <w:tc>
          <w:tcPr>
            <w:tcW w:w="998" w:type="pct"/>
            <w:tcBorders>
              <w:top w:val="nil"/>
              <w:left w:val="nil"/>
              <w:bottom w:val="single" w:sz="4" w:space="0" w:color="auto"/>
              <w:right w:val="single" w:sz="4" w:space="0" w:color="auto"/>
            </w:tcBorders>
            <w:shd w:val="clear" w:color="auto" w:fill="auto"/>
            <w:noWrap/>
            <w:vAlign w:val="center"/>
            <w:hideMark/>
          </w:tcPr>
          <w:p w14:paraId="08FA95D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r>
      <w:tr w:rsidR="00287950" w:rsidRPr="00A01271" w14:paraId="2E602E8C"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7F72760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1254" w:type="pct"/>
            <w:tcBorders>
              <w:top w:val="nil"/>
              <w:left w:val="nil"/>
              <w:bottom w:val="single" w:sz="4" w:space="0" w:color="auto"/>
              <w:right w:val="single" w:sz="4" w:space="0" w:color="auto"/>
            </w:tcBorders>
            <w:shd w:val="clear" w:color="auto" w:fill="auto"/>
            <w:noWrap/>
            <w:vAlign w:val="center"/>
            <w:hideMark/>
          </w:tcPr>
          <w:p w14:paraId="6528284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 </w:t>
            </w:r>
          </w:p>
        </w:tc>
        <w:tc>
          <w:tcPr>
            <w:tcW w:w="1944" w:type="pct"/>
            <w:tcBorders>
              <w:top w:val="nil"/>
              <w:left w:val="nil"/>
              <w:bottom w:val="single" w:sz="4" w:space="0" w:color="auto"/>
              <w:right w:val="single" w:sz="4" w:space="0" w:color="auto"/>
            </w:tcBorders>
            <w:shd w:val="clear" w:color="auto" w:fill="auto"/>
            <w:noWrap/>
            <w:vAlign w:val="center"/>
            <w:hideMark/>
          </w:tcPr>
          <w:p w14:paraId="509E8F0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6DE2BC5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45.56</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42914E09"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3AE67BB7"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2</w:t>
            </w:r>
          </w:p>
        </w:tc>
        <w:tc>
          <w:tcPr>
            <w:tcW w:w="1254" w:type="pct"/>
            <w:tcBorders>
              <w:top w:val="nil"/>
              <w:left w:val="nil"/>
              <w:bottom w:val="single" w:sz="4" w:space="0" w:color="auto"/>
              <w:right w:val="single" w:sz="4" w:space="0" w:color="auto"/>
            </w:tcBorders>
            <w:shd w:val="clear" w:color="auto" w:fill="auto"/>
            <w:noWrap/>
            <w:vAlign w:val="center"/>
            <w:hideMark/>
          </w:tcPr>
          <w:p w14:paraId="3724E09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1944" w:type="pct"/>
            <w:tcBorders>
              <w:top w:val="nil"/>
              <w:left w:val="nil"/>
              <w:bottom w:val="single" w:sz="4" w:space="0" w:color="auto"/>
              <w:right w:val="single" w:sz="4" w:space="0" w:color="auto"/>
            </w:tcBorders>
            <w:shd w:val="clear" w:color="auto" w:fill="auto"/>
            <w:noWrap/>
            <w:vAlign w:val="center"/>
            <w:hideMark/>
          </w:tcPr>
          <w:p w14:paraId="1CC7E049"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3AF4208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16.60</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264396FF"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5B6B8B6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3</w:t>
            </w:r>
          </w:p>
        </w:tc>
        <w:tc>
          <w:tcPr>
            <w:tcW w:w="1254" w:type="pct"/>
            <w:tcBorders>
              <w:top w:val="nil"/>
              <w:left w:val="nil"/>
              <w:bottom w:val="single" w:sz="4" w:space="0" w:color="auto"/>
              <w:right w:val="single" w:sz="4" w:space="0" w:color="auto"/>
            </w:tcBorders>
            <w:shd w:val="clear" w:color="auto" w:fill="auto"/>
            <w:noWrap/>
            <w:vAlign w:val="center"/>
            <w:hideMark/>
          </w:tcPr>
          <w:p w14:paraId="47D0E4D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1944" w:type="pct"/>
            <w:tcBorders>
              <w:top w:val="nil"/>
              <w:left w:val="nil"/>
              <w:bottom w:val="single" w:sz="4" w:space="0" w:color="auto"/>
              <w:right w:val="single" w:sz="4" w:space="0" w:color="auto"/>
            </w:tcBorders>
            <w:shd w:val="clear" w:color="auto" w:fill="auto"/>
            <w:noWrap/>
            <w:vAlign w:val="center"/>
            <w:hideMark/>
          </w:tcPr>
          <w:p w14:paraId="33E7B27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5AB67F6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15.13</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77DD89F4" w14:textId="77777777" w:rsidTr="00633414">
        <w:trPr>
          <w:trHeight w:val="312"/>
        </w:trPr>
        <w:tc>
          <w:tcPr>
            <w:tcW w:w="804" w:type="pct"/>
            <w:tcBorders>
              <w:top w:val="nil"/>
              <w:left w:val="single" w:sz="4" w:space="0" w:color="auto"/>
              <w:bottom w:val="single" w:sz="4" w:space="0" w:color="auto"/>
              <w:right w:val="single" w:sz="4" w:space="0" w:color="auto"/>
            </w:tcBorders>
            <w:shd w:val="clear" w:color="auto" w:fill="auto"/>
            <w:noWrap/>
            <w:vAlign w:val="center"/>
            <w:hideMark/>
          </w:tcPr>
          <w:p w14:paraId="0A048E0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1254" w:type="pct"/>
            <w:tcBorders>
              <w:top w:val="nil"/>
              <w:left w:val="nil"/>
              <w:bottom w:val="single" w:sz="4" w:space="0" w:color="auto"/>
              <w:right w:val="single" w:sz="4" w:space="0" w:color="auto"/>
            </w:tcBorders>
            <w:shd w:val="clear" w:color="auto" w:fill="auto"/>
            <w:noWrap/>
            <w:vAlign w:val="center"/>
            <w:hideMark/>
          </w:tcPr>
          <w:p w14:paraId="6BC970C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c>
          <w:tcPr>
            <w:tcW w:w="1944" w:type="pct"/>
            <w:tcBorders>
              <w:top w:val="nil"/>
              <w:left w:val="nil"/>
              <w:bottom w:val="single" w:sz="4" w:space="0" w:color="auto"/>
              <w:right w:val="single" w:sz="4" w:space="0" w:color="auto"/>
            </w:tcBorders>
            <w:shd w:val="clear" w:color="auto" w:fill="auto"/>
            <w:noWrap/>
            <w:vAlign w:val="center"/>
            <w:hideMark/>
          </w:tcPr>
          <w:p w14:paraId="29F80152"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9.75%</w:t>
            </w:r>
          </w:p>
        </w:tc>
        <w:tc>
          <w:tcPr>
            <w:tcW w:w="998" w:type="pct"/>
            <w:tcBorders>
              <w:top w:val="nil"/>
              <w:left w:val="nil"/>
              <w:bottom w:val="single" w:sz="4" w:space="0" w:color="auto"/>
              <w:right w:val="single" w:sz="4" w:space="0" w:color="auto"/>
            </w:tcBorders>
            <w:shd w:val="clear" w:color="auto" w:fill="auto"/>
            <w:noWrap/>
            <w:vAlign w:val="center"/>
            <w:hideMark/>
          </w:tcPr>
          <w:p w14:paraId="2A5772D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13.79</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1F8D2D1E" w14:textId="77777777" w:rsidTr="00633414">
        <w:trPr>
          <w:trHeight w:val="324"/>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24C6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Total PV </w:t>
            </w:r>
          </w:p>
        </w:tc>
        <w:tc>
          <w:tcPr>
            <w:tcW w:w="998" w:type="pct"/>
            <w:tcBorders>
              <w:top w:val="nil"/>
              <w:left w:val="nil"/>
              <w:bottom w:val="single" w:sz="4" w:space="0" w:color="auto"/>
              <w:right w:val="single" w:sz="4" w:space="0" w:color="auto"/>
            </w:tcBorders>
            <w:shd w:val="clear" w:color="auto" w:fill="auto"/>
            <w:noWrap/>
            <w:vAlign w:val="center"/>
            <w:hideMark/>
          </w:tcPr>
          <w:p w14:paraId="3839E183" w14:textId="77777777" w:rsidR="00287950" w:rsidRPr="00A01271" w:rsidRDefault="00287950" w:rsidP="00633414">
            <w:pPr>
              <w:spacing w:before="240" w:line="360" w:lineRule="auto"/>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w:t>
            </w:r>
            <w:proofErr w:type="gramStart"/>
            <w:r w:rsidRPr="00A01271">
              <w:rPr>
                <w:rFonts w:asciiTheme="majorBidi" w:eastAsia="Times New Roman" w:hAnsiTheme="majorBidi" w:cstheme="majorBidi"/>
                <w:kern w:val="0"/>
                <w:sz w:val="24"/>
                <w:szCs w:val="24"/>
                <w:lang w:val="en-GB" w:eastAsia="en-IN"/>
                <w14:ligatures w14:val="none"/>
              </w:rPr>
              <w:t>€  91.08</w:t>
            </w:r>
            <w:proofErr w:type="gramEnd"/>
            <w:r w:rsidRPr="00A01271">
              <w:rPr>
                <w:rFonts w:asciiTheme="majorBidi" w:eastAsia="Times New Roman" w:hAnsiTheme="majorBidi" w:cstheme="majorBidi"/>
                <w:kern w:val="0"/>
                <w:sz w:val="24"/>
                <w:szCs w:val="24"/>
                <w:lang w:val="en-GB" w:eastAsia="en-IN"/>
                <w14:ligatures w14:val="none"/>
              </w:rPr>
              <w:t xml:space="preserve"> </w:t>
            </w:r>
          </w:p>
        </w:tc>
      </w:tr>
      <w:tr w:rsidR="00287950" w:rsidRPr="00A01271" w14:paraId="00ABF723" w14:textId="77777777" w:rsidTr="00633414">
        <w:trPr>
          <w:trHeight w:val="312"/>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8992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Initial Costs</w:t>
            </w:r>
          </w:p>
        </w:tc>
        <w:tc>
          <w:tcPr>
            <w:tcW w:w="998" w:type="pct"/>
            <w:tcBorders>
              <w:top w:val="nil"/>
              <w:left w:val="nil"/>
              <w:bottom w:val="single" w:sz="4" w:space="0" w:color="auto"/>
              <w:right w:val="single" w:sz="4" w:space="0" w:color="auto"/>
            </w:tcBorders>
            <w:shd w:val="clear" w:color="auto" w:fill="auto"/>
            <w:noWrap/>
            <w:vAlign w:val="center"/>
            <w:hideMark/>
          </w:tcPr>
          <w:p w14:paraId="12E89BC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r>
      <w:tr w:rsidR="00287950" w:rsidRPr="00A01271" w14:paraId="5E5F9F21" w14:textId="77777777" w:rsidTr="00633414">
        <w:trPr>
          <w:trHeight w:val="324"/>
        </w:trPr>
        <w:tc>
          <w:tcPr>
            <w:tcW w:w="40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499C8" w14:textId="77777777" w:rsidR="00287950" w:rsidRPr="00A01271" w:rsidRDefault="00287950" w:rsidP="00633414">
            <w:pPr>
              <w:spacing w:before="240" w:line="360" w:lineRule="auto"/>
              <w:jc w:val="right"/>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NPV </w:t>
            </w:r>
          </w:p>
        </w:tc>
        <w:tc>
          <w:tcPr>
            <w:tcW w:w="998" w:type="pct"/>
            <w:tcBorders>
              <w:top w:val="nil"/>
              <w:left w:val="nil"/>
              <w:bottom w:val="single" w:sz="4" w:space="0" w:color="auto"/>
              <w:right w:val="single" w:sz="4" w:space="0" w:color="auto"/>
            </w:tcBorders>
            <w:shd w:val="clear" w:color="auto" w:fill="auto"/>
            <w:noWrap/>
            <w:vAlign w:val="center"/>
            <w:hideMark/>
          </w:tcPr>
          <w:p w14:paraId="5CFC83F8"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 xml:space="preserve"> </w:t>
            </w:r>
            <w:proofErr w:type="gramStart"/>
            <w:r w:rsidRPr="00A01271">
              <w:rPr>
                <w:rFonts w:asciiTheme="majorBidi" w:eastAsia="Times New Roman" w:hAnsiTheme="majorBidi" w:cstheme="majorBidi"/>
                <w:b/>
                <w:bCs/>
                <w:i/>
                <w:iCs/>
                <w:kern w:val="0"/>
                <w:sz w:val="24"/>
                <w:szCs w:val="24"/>
                <w:lang w:val="en-GB" w:eastAsia="en-IN"/>
                <w14:ligatures w14:val="none"/>
              </w:rPr>
              <w:t>€  16.08</w:t>
            </w:r>
            <w:proofErr w:type="gramEnd"/>
            <w:r w:rsidRPr="00A01271">
              <w:rPr>
                <w:rFonts w:asciiTheme="majorBidi" w:eastAsia="Times New Roman" w:hAnsiTheme="majorBidi" w:cstheme="majorBidi"/>
                <w:b/>
                <w:bCs/>
                <w:i/>
                <w:iCs/>
                <w:kern w:val="0"/>
                <w:sz w:val="24"/>
                <w:szCs w:val="24"/>
                <w:lang w:val="en-GB" w:eastAsia="en-IN"/>
                <w14:ligatures w14:val="none"/>
              </w:rPr>
              <w:t xml:space="preserve"> </w:t>
            </w:r>
          </w:p>
        </w:tc>
      </w:tr>
    </w:tbl>
    <w:p w14:paraId="15688D42"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Table 3: NPV</w:t>
      </w:r>
    </w:p>
    <w:p w14:paraId="66FFCF67"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lastRenderedPageBreak/>
        <w:t>(Source: Created by Excel)</w:t>
      </w:r>
    </w:p>
    <w:p w14:paraId="7EC4859F"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Table 3 is the estimation of NPV, which is the key method of investment appraisal to appraise the investments of project proposals. It is understood from the case study that Unilever Plc is seeking new investment opportunities for which they have selected two projects A and B (Locatelli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The assessment of suitability, feasibility, and viability of two projects is highly crucial which is one of the reasons behind the computations of NPV. The computation mainly depends on estimating the PV of cash flows by considering the cost of capital or discounting rate of 9.75%. The main importance of estimating NPV is to judge the profitability associated with both projects by assessing the cash flows, discounting rate, and PV. Hence, the NPV of project A is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 xml:space="preserve">16.57 that of project B is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 xml:space="preserve">16.08. The profitability associated with both projects is almost the same since they have equal capability to generate profitability for Unilever. Based on the financial outcomes, it can be said that the selection of Project A would be good since it shows a higher generation of NPV (Tiwari and Bhandari, 2020). The selection of the aforementioned project would be the symbol of creating high cash inflows in comparison to outflows, which will bring financial stability to the business. </w:t>
      </w:r>
    </w:p>
    <w:p w14:paraId="5447117B"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Accounting rate of return (ARR) </w:t>
      </w:r>
    </w:p>
    <w:tbl>
      <w:tblPr>
        <w:tblW w:w="5000" w:type="pct"/>
        <w:tblLook w:val="04A0" w:firstRow="1" w:lastRow="0" w:firstColumn="1" w:lastColumn="0" w:noHBand="0" w:noVBand="1"/>
      </w:tblPr>
      <w:tblGrid>
        <w:gridCol w:w="3880"/>
        <w:gridCol w:w="5136"/>
      </w:tblGrid>
      <w:tr w:rsidR="00287950" w:rsidRPr="00A01271" w14:paraId="6FC3421A" w14:textId="77777777" w:rsidTr="00633414">
        <w:trPr>
          <w:trHeight w:val="450"/>
        </w:trPr>
        <w:tc>
          <w:tcPr>
            <w:tcW w:w="5000"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68B1A"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Accounting Rate of Return (Project A)</w:t>
            </w:r>
          </w:p>
        </w:tc>
      </w:tr>
      <w:tr w:rsidR="00287950" w:rsidRPr="00A01271" w14:paraId="189A71B1" w14:textId="77777777" w:rsidTr="00633414">
        <w:trPr>
          <w:trHeight w:val="450"/>
        </w:trPr>
        <w:tc>
          <w:tcPr>
            <w:tcW w:w="5000" w:type="pct"/>
            <w:gridSpan w:val="2"/>
            <w:vMerge/>
            <w:tcBorders>
              <w:top w:val="single" w:sz="4" w:space="0" w:color="auto"/>
              <w:left w:val="single" w:sz="4" w:space="0" w:color="auto"/>
              <w:bottom w:val="single" w:sz="4" w:space="0" w:color="auto"/>
              <w:right w:val="single" w:sz="4" w:space="0" w:color="auto"/>
            </w:tcBorders>
            <w:vAlign w:val="center"/>
            <w:hideMark/>
          </w:tcPr>
          <w:p w14:paraId="30CBE199"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0523DF19"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7808553C"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2848" w:type="pct"/>
            <w:tcBorders>
              <w:top w:val="nil"/>
              <w:left w:val="nil"/>
              <w:bottom w:val="single" w:sz="4" w:space="0" w:color="auto"/>
              <w:right w:val="single" w:sz="4" w:space="0" w:color="auto"/>
            </w:tcBorders>
            <w:shd w:val="clear" w:color="auto" w:fill="auto"/>
            <w:noWrap/>
            <w:vAlign w:val="center"/>
            <w:hideMark/>
          </w:tcPr>
          <w:p w14:paraId="72BAD901"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r>
      <w:tr w:rsidR="00287950" w:rsidRPr="00A01271" w14:paraId="39ECCA46"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4C326C9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2848" w:type="pct"/>
            <w:tcBorders>
              <w:top w:val="nil"/>
              <w:left w:val="nil"/>
              <w:bottom w:val="single" w:sz="4" w:space="0" w:color="auto"/>
              <w:right w:val="single" w:sz="4" w:space="0" w:color="auto"/>
            </w:tcBorders>
            <w:shd w:val="clear" w:color="auto" w:fill="auto"/>
            <w:noWrap/>
            <w:vAlign w:val="center"/>
            <w:hideMark/>
          </w:tcPr>
          <w:p w14:paraId="457BD02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-80 </w:t>
            </w:r>
          </w:p>
        </w:tc>
      </w:tr>
      <w:tr w:rsidR="00287950" w:rsidRPr="00A01271" w14:paraId="3CAA719E"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4C18A71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2848" w:type="pct"/>
            <w:tcBorders>
              <w:top w:val="nil"/>
              <w:left w:val="nil"/>
              <w:bottom w:val="single" w:sz="4" w:space="0" w:color="auto"/>
              <w:right w:val="single" w:sz="4" w:space="0" w:color="auto"/>
            </w:tcBorders>
            <w:shd w:val="clear" w:color="auto" w:fill="auto"/>
            <w:noWrap/>
            <w:vAlign w:val="center"/>
            <w:hideMark/>
          </w:tcPr>
          <w:p w14:paraId="68CDDD2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r>
      <w:tr w:rsidR="00287950" w:rsidRPr="00A01271" w14:paraId="3122A39F"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71D5A0A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2</w:t>
            </w:r>
          </w:p>
        </w:tc>
        <w:tc>
          <w:tcPr>
            <w:tcW w:w="2848" w:type="pct"/>
            <w:tcBorders>
              <w:top w:val="nil"/>
              <w:left w:val="nil"/>
              <w:bottom w:val="single" w:sz="4" w:space="0" w:color="auto"/>
              <w:right w:val="single" w:sz="4" w:space="0" w:color="auto"/>
            </w:tcBorders>
            <w:shd w:val="clear" w:color="auto" w:fill="auto"/>
            <w:noWrap/>
            <w:vAlign w:val="center"/>
            <w:hideMark/>
          </w:tcPr>
          <w:p w14:paraId="2B81E45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25 </w:t>
            </w:r>
          </w:p>
        </w:tc>
      </w:tr>
      <w:tr w:rsidR="00287950" w:rsidRPr="00A01271" w14:paraId="49B85FF2"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18EBCA74"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3</w:t>
            </w:r>
          </w:p>
        </w:tc>
        <w:tc>
          <w:tcPr>
            <w:tcW w:w="2848" w:type="pct"/>
            <w:tcBorders>
              <w:top w:val="nil"/>
              <w:left w:val="nil"/>
              <w:bottom w:val="single" w:sz="4" w:space="0" w:color="auto"/>
              <w:right w:val="single" w:sz="4" w:space="0" w:color="auto"/>
            </w:tcBorders>
            <w:shd w:val="clear" w:color="auto" w:fill="auto"/>
            <w:noWrap/>
            <w:vAlign w:val="center"/>
            <w:hideMark/>
          </w:tcPr>
          <w:p w14:paraId="28C286C1"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r>
      <w:tr w:rsidR="00287950" w:rsidRPr="00A01271" w14:paraId="72E27939"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4145ABD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2848" w:type="pct"/>
            <w:tcBorders>
              <w:top w:val="nil"/>
              <w:left w:val="nil"/>
              <w:bottom w:val="single" w:sz="4" w:space="0" w:color="auto"/>
              <w:right w:val="single" w:sz="4" w:space="0" w:color="auto"/>
            </w:tcBorders>
            <w:shd w:val="clear" w:color="auto" w:fill="auto"/>
            <w:noWrap/>
            <w:vAlign w:val="center"/>
            <w:hideMark/>
          </w:tcPr>
          <w:p w14:paraId="28DE4AA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55 </w:t>
            </w:r>
          </w:p>
        </w:tc>
      </w:tr>
      <w:tr w:rsidR="00287950" w:rsidRPr="00A01271" w14:paraId="0C2C31E9"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7551856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lastRenderedPageBreak/>
              <w:t xml:space="preserve">Average </w:t>
            </w:r>
          </w:p>
        </w:tc>
        <w:tc>
          <w:tcPr>
            <w:tcW w:w="2848" w:type="pct"/>
            <w:tcBorders>
              <w:top w:val="nil"/>
              <w:left w:val="nil"/>
              <w:bottom w:val="single" w:sz="4" w:space="0" w:color="auto"/>
              <w:right w:val="single" w:sz="4" w:space="0" w:color="auto"/>
            </w:tcBorders>
            <w:shd w:val="clear" w:color="auto" w:fill="auto"/>
            <w:noWrap/>
            <w:vAlign w:val="center"/>
            <w:hideMark/>
          </w:tcPr>
          <w:p w14:paraId="5376B5E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31 </w:t>
            </w:r>
          </w:p>
        </w:tc>
      </w:tr>
      <w:tr w:rsidR="00287950" w:rsidRPr="00A01271" w14:paraId="1591E016" w14:textId="77777777" w:rsidTr="00633414">
        <w:trPr>
          <w:trHeight w:val="324"/>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168381D4"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ARR</w:t>
            </w:r>
          </w:p>
        </w:tc>
        <w:tc>
          <w:tcPr>
            <w:tcW w:w="2848" w:type="pct"/>
            <w:tcBorders>
              <w:top w:val="nil"/>
              <w:left w:val="nil"/>
              <w:bottom w:val="single" w:sz="4" w:space="0" w:color="auto"/>
              <w:right w:val="single" w:sz="4" w:space="0" w:color="auto"/>
            </w:tcBorders>
            <w:shd w:val="clear" w:color="auto" w:fill="auto"/>
            <w:noWrap/>
            <w:vAlign w:val="center"/>
            <w:hideMark/>
          </w:tcPr>
          <w:p w14:paraId="4E184EBF"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38.75%</w:t>
            </w:r>
          </w:p>
        </w:tc>
      </w:tr>
      <w:tr w:rsidR="00287950" w:rsidRPr="00A01271" w14:paraId="157724D1" w14:textId="77777777" w:rsidTr="00633414">
        <w:trPr>
          <w:trHeight w:val="450"/>
        </w:trPr>
        <w:tc>
          <w:tcPr>
            <w:tcW w:w="5000"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E78A6"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Accounting Rate of Return (Project B)</w:t>
            </w:r>
          </w:p>
        </w:tc>
      </w:tr>
      <w:tr w:rsidR="00287950" w:rsidRPr="00A01271" w14:paraId="2E5C1D13" w14:textId="77777777" w:rsidTr="00633414">
        <w:trPr>
          <w:trHeight w:val="450"/>
        </w:trPr>
        <w:tc>
          <w:tcPr>
            <w:tcW w:w="5000" w:type="pct"/>
            <w:gridSpan w:val="2"/>
            <w:vMerge/>
            <w:tcBorders>
              <w:top w:val="single" w:sz="4" w:space="0" w:color="auto"/>
              <w:left w:val="single" w:sz="4" w:space="0" w:color="auto"/>
              <w:bottom w:val="single" w:sz="4" w:space="0" w:color="auto"/>
              <w:right w:val="single" w:sz="4" w:space="0" w:color="auto"/>
            </w:tcBorders>
            <w:vAlign w:val="center"/>
            <w:hideMark/>
          </w:tcPr>
          <w:p w14:paraId="16CC155C" w14:textId="77777777" w:rsidR="00287950" w:rsidRPr="00A01271" w:rsidRDefault="00287950" w:rsidP="00633414">
            <w:pPr>
              <w:spacing w:before="240" w:line="360" w:lineRule="auto"/>
              <w:rPr>
                <w:rFonts w:asciiTheme="majorBidi" w:eastAsia="Times New Roman" w:hAnsiTheme="majorBidi" w:cstheme="majorBidi"/>
                <w:b/>
                <w:bCs/>
                <w:kern w:val="0"/>
                <w:sz w:val="24"/>
                <w:szCs w:val="24"/>
                <w:lang w:val="en-GB" w:eastAsia="en-IN"/>
                <w14:ligatures w14:val="none"/>
              </w:rPr>
            </w:pPr>
          </w:p>
        </w:tc>
      </w:tr>
      <w:tr w:rsidR="00287950" w:rsidRPr="00A01271" w14:paraId="7DA00EDC"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1ED433A7"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Years </w:t>
            </w:r>
          </w:p>
        </w:tc>
        <w:tc>
          <w:tcPr>
            <w:tcW w:w="2848" w:type="pct"/>
            <w:tcBorders>
              <w:top w:val="nil"/>
              <w:left w:val="nil"/>
              <w:bottom w:val="single" w:sz="4" w:space="0" w:color="auto"/>
              <w:right w:val="single" w:sz="4" w:space="0" w:color="auto"/>
            </w:tcBorders>
            <w:shd w:val="clear" w:color="auto" w:fill="auto"/>
            <w:noWrap/>
            <w:vAlign w:val="center"/>
            <w:hideMark/>
          </w:tcPr>
          <w:p w14:paraId="4DCE47A9" w14:textId="77777777" w:rsidR="00287950" w:rsidRPr="00A01271" w:rsidRDefault="00287950" w:rsidP="00633414">
            <w:pPr>
              <w:spacing w:before="240" w:line="360" w:lineRule="auto"/>
              <w:jc w:val="center"/>
              <w:rPr>
                <w:rFonts w:asciiTheme="majorBidi" w:eastAsia="Times New Roman" w:hAnsiTheme="majorBidi" w:cstheme="majorBidi"/>
                <w:b/>
                <w:bCs/>
                <w:kern w:val="0"/>
                <w:sz w:val="24"/>
                <w:szCs w:val="24"/>
                <w:lang w:val="en-GB" w:eastAsia="en-IN"/>
                <w14:ligatures w14:val="none"/>
              </w:rPr>
            </w:pPr>
            <w:r w:rsidRPr="00A01271">
              <w:rPr>
                <w:rFonts w:asciiTheme="majorBidi" w:eastAsia="Times New Roman" w:hAnsiTheme="majorBidi" w:cstheme="majorBidi"/>
                <w:b/>
                <w:bCs/>
                <w:kern w:val="0"/>
                <w:sz w:val="24"/>
                <w:szCs w:val="24"/>
                <w:lang w:val="en-GB" w:eastAsia="en-IN"/>
                <w14:ligatures w14:val="none"/>
              </w:rPr>
              <w:t xml:space="preserve">Cash Flow </w:t>
            </w:r>
          </w:p>
        </w:tc>
      </w:tr>
      <w:tr w:rsidR="00287950" w:rsidRPr="00A01271" w14:paraId="11B69203"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0067006B"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0</w:t>
            </w:r>
          </w:p>
        </w:tc>
        <w:tc>
          <w:tcPr>
            <w:tcW w:w="2848" w:type="pct"/>
            <w:tcBorders>
              <w:top w:val="nil"/>
              <w:left w:val="nil"/>
              <w:bottom w:val="single" w:sz="4" w:space="0" w:color="auto"/>
              <w:right w:val="single" w:sz="4" w:space="0" w:color="auto"/>
            </w:tcBorders>
            <w:shd w:val="clear" w:color="auto" w:fill="auto"/>
            <w:noWrap/>
            <w:vAlign w:val="center"/>
            <w:hideMark/>
          </w:tcPr>
          <w:p w14:paraId="0A87AAF8"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-75 </w:t>
            </w:r>
          </w:p>
        </w:tc>
      </w:tr>
      <w:tr w:rsidR="00287950" w:rsidRPr="00A01271" w14:paraId="0AD0AE82"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240C3B7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1</w:t>
            </w:r>
          </w:p>
        </w:tc>
        <w:tc>
          <w:tcPr>
            <w:tcW w:w="2848" w:type="pct"/>
            <w:tcBorders>
              <w:top w:val="nil"/>
              <w:left w:val="nil"/>
              <w:bottom w:val="single" w:sz="4" w:space="0" w:color="auto"/>
              <w:right w:val="single" w:sz="4" w:space="0" w:color="auto"/>
            </w:tcBorders>
            <w:shd w:val="clear" w:color="auto" w:fill="auto"/>
            <w:noWrap/>
            <w:vAlign w:val="center"/>
            <w:hideMark/>
          </w:tcPr>
          <w:p w14:paraId="04534D7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50 </w:t>
            </w:r>
          </w:p>
        </w:tc>
      </w:tr>
      <w:tr w:rsidR="00287950" w:rsidRPr="00A01271" w14:paraId="05F6E226"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02C37740"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2</w:t>
            </w:r>
          </w:p>
        </w:tc>
        <w:tc>
          <w:tcPr>
            <w:tcW w:w="2848" w:type="pct"/>
            <w:tcBorders>
              <w:top w:val="nil"/>
              <w:left w:val="nil"/>
              <w:bottom w:val="single" w:sz="4" w:space="0" w:color="auto"/>
              <w:right w:val="single" w:sz="4" w:space="0" w:color="auto"/>
            </w:tcBorders>
            <w:shd w:val="clear" w:color="auto" w:fill="auto"/>
            <w:noWrap/>
            <w:vAlign w:val="center"/>
            <w:hideMark/>
          </w:tcPr>
          <w:p w14:paraId="1FC28F0E"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r>
      <w:tr w:rsidR="00287950" w:rsidRPr="00A01271" w14:paraId="4DDB0B76"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6B4E744D"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3</w:t>
            </w:r>
          </w:p>
        </w:tc>
        <w:tc>
          <w:tcPr>
            <w:tcW w:w="2848" w:type="pct"/>
            <w:tcBorders>
              <w:top w:val="nil"/>
              <w:left w:val="nil"/>
              <w:bottom w:val="single" w:sz="4" w:space="0" w:color="auto"/>
              <w:right w:val="single" w:sz="4" w:space="0" w:color="auto"/>
            </w:tcBorders>
            <w:shd w:val="clear" w:color="auto" w:fill="auto"/>
            <w:noWrap/>
            <w:vAlign w:val="center"/>
            <w:hideMark/>
          </w:tcPr>
          <w:p w14:paraId="3BD0A1C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r>
      <w:tr w:rsidR="00287950" w:rsidRPr="00A01271" w14:paraId="789188F7"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6753823C"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4</w:t>
            </w:r>
          </w:p>
        </w:tc>
        <w:tc>
          <w:tcPr>
            <w:tcW w:w="2848" w:type="pct"/>
            <w:tcBorders>
              <w:top w:val="nil"/>
              <w:left w:val="nil"/>
              <w:bottom w:val="single" w:sz="4" w:space="0" w:color="auto"/>
              <w:right w:val="single" w:sz="4" w:space="0" w:color="auto"/>
            </w:tcBorders>
            <w:shd w:val="clear" w:color="auto" w:fill="auto"/>
            <w:noWrap/>
            <w:vAlign w:val="center"/>
            <w:hideMark/>
          </w:tcPr>
          <w:p w14:paraId="09B825DF"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20 </w:t>
            </w:r>
          </w:p>
        </w:tc>
      </w:tr>
      <w:tr w:rsidR="00287950" w:rsidRPr="00A01271" w14:paraId="6A394F46" w14:textId="77777777" w:rsidTr="00633414">
        <w:trPr>
          <w:trHeight w:val="312"/>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02406B56"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Average </w:t>
            </w:r>
          </w:p>
        </w:tc>
        <w:tc>
          <w:tcPr>
            <w:tcW w:w="2848" w:type="pct"/>
            <w:tcBorders>
              <w:top w:val="nil"/>
              <w:left w:val="nil"/>
              <w:bottom w:val="single" w:sz="4" w:space="0" w:color="auto"/>
              <w:right w:val="single" w:sz="4" w:space="0" w:color="auto"/>
            </w:tcBorders>
            <w:shd w:val="clear" w:color="auto" w:fill="auto"/>
            <w:noWrap/>
            <w:vAlign w:val="center"/>
            <w:hideMark/>
          </w:tcPr>
          <w:p w14:paraId="7C62829A" w14:textId="77777777" w:rsidR="00287950" w:rsidRPr="00A01271" w:rsidRDefault="00287950" w:rsidP="00633414">
            <w:pPr>
              <w:spacing w:before="240" w:line="360" w:lineRule="auto"/>
              <w:jc w:val="center"/>
              <w:rPr>
                <w:rFonts w:asciiTheme="majorBidi" w:eastAsia="Times New Roman" w:hAnsiTheme="majorBidi" w:cstheme="majorBidi"/>
                <w:kern w:val="0"/>
                <w:sz w:val="24"/>
                <w:szCs w:val="24"/>
                <w:lang w:val="en-GB" w:eastAsia="en-IN"/>
                <w14:ligatures w14:val="none"/>
              </w:rPr>
            </w:pPr>
            <w:r w:rsidRPr="00A01271">
              <w:rPr>
                <w:rFonts w:asciiTheme="majorBidi" w:eastAsia="Times New Roman" w:hAnsiTheme="majorBidi" w:cstheme="majorBidi"/>
                <w:kern w:val="0"/>
                <w:sz w:val="24"/>
                <w:szCs w:val="24"/>
                <w:lang w:val="en-GB" w:eastAsia="en-IN"/>
                <w14:ligatures w14:val="none"/>
              </w:rPr>
              <w:t xml:space="preserve"> €          28 </w:t>
            </w:r>
          </w:p>
        </w:tc>
      </w:tr>
      <w:tr w:rsidR="00287950" w:rsidRPr="00A01271" w14:paraId="3DDB8BB5" w14:textId="77777777" w:rsidTr="00633414">
        <w:trPr>
          <w:trHeight w:val="324"/>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14:paraId="33A30E9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ARR</w:t>
            </w:r>
          </w:p>
        </w:tc>
        <w:tc>
          <w:tcPr>
            <w:tcW w:w="2848" w:type="pct"/>
            <w:tcBorders>
              <w:top w:val="nil"/>
              <w:left w:val="nil"/>
              <w:bottom w:val="single" w:sz="4" w:space="0" w:color="auto"/>
              <w:right w:val="single" w:sz="4" w:space="0" w:color="auto"/>
            </w:tcBorders>
            <w:shd w:val="clear" w:color="auto" w:fill="auto"/>
            <w:noWrap/>
            <w:vAlign w:val="center"/>
            <w:hideMark/>
          </w:tcPr>
          <w:p w14:paraId="1174833E" w14:textId="77777777" w:rsidR="00287950" w:rsidRPr="00A01271" w:rsidRDefault="00287950" w:rsidP="00633414">
            <w:pPr>
              <w:spacing w:before="240" w:line="360" w:lineRule="auto"/>
              <w:jc w:val="center"/>
              <w:rPr>
                <w:rFonts w:asciiTheme="majorBidi" w:eastAsia="Times New Roman" w:hAnsiTheme="majorBidi" w:cstheme="majorBidi"/>
                <w:b/>
                <w:bCs/>
                <w:i/>
                <w:iCs/>
                <w:kern w:val="0"/>
                <w:sz w:val="24"/>
                <w:szCs w:val="24"/>
                <w:lang w:val="en-GB" w:eastAsia="en-IN"/>
                <w14:ligatures w14:val="none"/>
              </w:rPr>
            </w:pPr>
            <w:r w:rsidRPr="00A01271">
              <w:rPr>
                <w:rFonts w:asciiTheme="majorBidi" w:eastAsia="Times New Roman" w:hAnsiTheme="majorBidi" w:cstheme="majorBidi"/>
                <w:b/>
                <w:bCs/>
                <w:i/>
                <w:iCs/>
                <w:kern w:val="0"/>
                <w:sz w:val="24"/>
                <w:szCs w:val="24"/>
                <w:lang w:val="en-GB" w:eastAsia="en-IN"/>
                <w14:ligatures w14:val="none"/>
              </w:rPr>
              <w:t>37.33%</w:t>
            </w:r>
          </w:p>
        </w:tc>
      </w:tr>
    </w:tbl>
    <w:p w14:paraId="2A8B82B6" w14:textId="77777777" w:rsidR="00287950" w:rsidRPr="00A01271" w:rsidRDefault="00287950" w:rsidP="00287950">
      <w:pPr>
        <w:spacing w:before="240" w:line="360" w:lineRule="auto"/>
        <w:jc w:val="center"/>
        <w:rPr>
          <w:rFonts w:asciiTheme="majorBidi" w:hAnsiTheme="majorBidi" w:cstheme="majorBidi"/>
          <w:b/>
          <w:bCs/>
          <w:sz w:val="24"/>
          <w:szCs w:val="24"/>
          <w:lang w:val="en-GB"/>
        </w:rPr>
      </w:pPr>
      <w:r w:rsidRPr="00A01271">
        <w:rPr>
          <w:rFonts w:asciiTheme="majorBidi" w:hAnsiTheme="majorBidi" w:cstheme="majorBidi"/>
          <w:b/>
          <w:bCs/>
          <w:sz w:val="24"/>
          <w:szCs w:val="24"/>
          <w:lang w:val="en-GB"/>
        </w:rPr>
        <w:t>Table 4: ARR</w:t>
      </w:r>
    </w:p>
    <w:p w14:paraId="45223F6E" w14:textId="77777777" w:rsidR="00287950" w:rsidRPr="00A01271" w:rsidRDefault="00287950" w:rsidP="00287950">
      <w:pPr>
        <w:spacing w:before="240" w:line="360" w:lineRule="auto"/>
        <w:jc w:val="center"/>
        <w:rPr>
          <w:rFonts w:asciiTheme="majorBidi" w:hAnsiTheme="majorBidi" w:cstheme="majorBidi"/>
          <w:sz w:val="24"/>
          <w:szCs w:val="24"/>
          <w:lang w:val="en-GB"/>
        </w:rPr>
      </w:pPr>
      <w:r w:rsidRPr="00A01271">
        <w:rPr>
          <w:rFonts w:asciiTheme="majorBidi" w:hAnsiTheme="majorBidi" w:cstheme="majorBidi"/>
          <w:sz w:val="24"/>
          <w:szCs w:val="24"/>
          <w:lang w:val="en-GB"/>
        </w:rPr>
        <w:t>(Source: Created by Excel)</w:t>
      </w:r>
    </w:p>
    <w:p w14:paraId="4DE84B75"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Table 4 portrays the estimation of ARR, which is one of the crucial parts of investment appraisal to judge the project's capabilities. The estimation of ARR is mainly done to assess the feasibility of the project and the ability to generate a return from the specific investment proposal can also be judged with the method (Awan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2022). The method is highly important in making financial decisions on project selection since high-return generated investments should be selected according to the ARR method. Hence, the ART of Project A is 38.75% that of Project B is 37.33%. The annual returns provided by both projects are not much different but project A has the capability to generate higher returns on investments. Hence, the comparison of </w:t>
      </w:r>
      <w:r w:rsidRPr="00A01271">
        <w:rPr>
          <w:rFonts w:asciiTheme="majorBidi" w:hAnsiTheme="majorBidi" w:cstheme="majorBidi"/>
          <w:sz w:val="24"/>
          <w:szCs w:val="24"/>
          <w:lang w:val="en-GB"/>
        </w:rPr>
        <w:lastRenderedPageBreak/>
        <w:t xml:space="preserve">projects has depicted that project A is highly impressive and has the capability to generate higher investment returns. Therefore, Unilever Plc should select Project A in comparison to Project B which will bring high transparency and feasibility to the business (Merkel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2022). Hence, the selection of project A will also enable the business to attain greater profitability in the future years, which will manage the financial performance and health of the firm.</w:t>
      </w:r>
    </w:p>
    <w:p w14:paraId="63A3A1F1"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Recommendation for project selection </w:t>
      </w:r>
    </w:p>
    <w:p w14:paraId="17887D9C"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 project selection can be done based on the three aforementioned methods (PBP, ARR, NPV) of capital budgeting, which is estimated in the above tables. The methods provide accurate and transparent information about the project and whether it will create greater profitability and returns for the business or not (Ogutu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2021). The estimation of PBP shows whether the primary goal of Unilever is the quick recovery of capital, estimations of NPV depict whether the goal of the firm is to maximise the values, and ARR shows whether the primary goal is to create higher returns. Therefore, it is found from the above estimations that the PBP of Projects A and B is (3.8 years and 2.25 years), the NPV of Projects A and B is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 xml:space="preserve">16.57 and </w:t>
      </w:r>
      <w:r w:rsidRPr="00A01271">
        <w:rPr>
          <w:rFonts w:asciiTheme="majorBidi" w:eastAsia="Times New Roman" w:hAnsiTheme="majorBidi" w:cstheme="majorBidi"/>
          <w:kern w:val="0"/>
          <w:sz w:val="24"/>
          <w:szCs w:val="24"/>
          <w:lang w:val="en-GB" w:eastAsia="en-IN"/>
          <w14:ligatures w14:val="none"/>
        </w:rPr>
        <w:t>€</w:t>
      </w:r>
      <w:r w:rsidRPr="00A01271">
        <w:rPr>
          <w:rFonts w:asciiTheme="majorBidi" w:hAnsiTheme="majorBidi" w:cstheme="majorBidi"/>
          <w:sz w:val="24"/>
          <w:szCs w:val="24"/>
          <w:lang w:val="en-GB"/>
        </w:rPr>
        <w:t>16.07), and the ART of Projects A and B is (38.75% and 37.33%). Therefore, the overall recommendation should be in favour of Project B since it is associated with rapid recovery of capital and satisfactory NPV and ARR as well. The primary reason behind the recommendation for Project B is the rapid recovery of capital by creating cumulative cash flows in the business (</w:t>
      </w:r>
      <w:proofErr w:type="spellStart"/>
      <w:r w:rsidRPr="00A01271">
        <w:rPr>
          <w:rFonts w:asciiTheme="majorBidi" w:hAnsiTheme="majorBidi" w:cstheme="majorBidi"/>
          <w:sz w:val="24"/>
          <w:szCs w:val="24"/>
          <w:lang w:val="en-GB"/>
        </w:rPr>
        <w:t>Wijethilake</w:t>
      </w:r>
      <w:proofErr w:type="spellEnd"/>
      <w:r w:rsidRPr="00A01271">
        <w:rPr>
          <w:rFonts w:asciiTheme="majorBidi" w:hAnsiTheme="majorBidi" w:cstheme="majorBidi"/>
          <w:sz w:val="24"/>
          <w:szCs w:val="24"/>
          <w:lang w:val="en-GB"/>
        </w:rPr>
        <w:t xml:space="preserve">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2023). However, the primary reason behind ignorance of Project A is the high number of years required for capital recovery which might cause outflows for the specific period. Due to this reason, the management of Unilever Plc should undertake project B to create better cash flow opportunities and return generation in the future years.   </w:t>
      </w:r>
    </w:p>
    <w:p w14:paraId="6A478217" w14:textId="77777777" w:rsidR="00287950" w:rsidRPr="00A01271" w:rsidRDefault="00287950" w:rsidP="00287950">
      <w:pPr>
        <w:pStyle w:val="Heading2"/>
        <w:spacing w:before="240" w:after="160"/>
        <w:rPr>
          <w:rFonts w:asciiTheme="majorBidi" w:hAnsiTheme="majorBidi"/>
          <w:lang w:val="en-GB"/>
        </w:rPr>
      </w:pPr>
      <w:bookmarkStart w:id="10" w:name="_Toc172407294"/>
      <w:r w:rsidRPr="00A01271">
        <w:rPr>
          <w:rFonts w:asciiTheme="majorBidi" w:hAnsiTheme="majorBidi"/>
          <w:lang w:val="en-GB"/>
        </w:rPr>
        <w:t>2. Discussion of benefits, shortcomings, and non-financial factors</w:t>
      </w:r>
      <w:bookmarkEnd w:id="10"/>
      <w:r w:rsidRPr="00A01271">
        <w:rPr>
          <w:rFonts w:asciiTheme="majorBidi" w:hAnsiTheme="majorBidi"/>
          <w:lang w:val="en-GB"/>
        </w:rPr>
        <w:t> </w:t>
      </w:r>
    </w:p>
    <w:p w14:paraId="5456A3F1"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Advantages of investment appraisal techniques</w:t>
      </w:r>
    </w:p>
    <w:p w14:paraId="1ADC2A7F"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specific advantages of PBP, NPV, and ARR have been provided below: </w:t>
      </w:r>
    </w:p>
    <w:p w14:paraId="0B570ABA"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PBP</w:t>
      </w:r>
    </w:p>
    <w:p w14:paraId="25434B14" w14:textId="77777777" w:rsidR="00287950" w:rsidRPr="00A01271" w:rsidRDefault="00287950" w:rsidP="00287950">
      <w:pPr>
        <w:numPr>
          <w:ilvl w:val="0"/>
          <w:numId w:val="2"/>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method is very simple to use and easy to understand. </w:t>
      </w:r>
    </w:p>
    <w:p w14:paraId="21A3F903" w14:textId="77777777" w:rsidR="00287950" w:rsidRPr="00A01271" w:rsidRDefault="00287950" w:rsidP="00287950">
      <w:pPr>
        <w:numPr>
          <w:ilvl w:val="0"/>
          <w:numId w:val="2"/>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lastRenderedPageBreak/>
        <w:t>It provides quick decision-making on the selection of the project proposal </w:t>
      </w:r>
    </w:p>
    <w:p w14:paraId="2A94AB27" w14:textId="77777777" w:rsidR="00287950" w:rsidRPr="00A01271" w:rsidRDefault="00287950" w:rsidP="00287950">
      <w:pPr>
        <w:numPr>
          <w:ilvl w:val="0"/>
          <w:numId w:val="2"/>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It creates low cost for creating project decisions (De-Assis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w:t>
      </w:r>
    </w:p>
    <w:p w14:paraId="2476C073" w14:textId="77777777" w:rsidR="00287950" w:rsidRPr="00A01271" w:rsidRDefault="00287950" w:rsidP="00287950">
      <w:pPr>
        <w:numPr>
          <w:ilvl w:val="0"/>
          <w:numId w:val="2"/>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method mainly uses cash flows rather than accounting profits </w:t>
      </w:r>
    </w:p>
    <w:p w14:paraId="7AC1C7FA"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NPV</w:t>
      </w:r>
    </w:p>
    <w:p w14:paraId="7721B79B" w14:textId="77777777" w:rsidR="00287950" w:rsidRPr="00A01271" w:rsidRDefault="00287950" w:rsidP="00287950">
      <w:pPr>
        <w:numPr>
          <w:ilvl w:val="0"/>
          <w:numId w:val="3"/>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method is very helpful in measuring the profitability of the projects </w:t>
      </w:r>
    </w:p>
    <w:p w14:paraId="638DA3D3" w14:textId="77777777" w:rsidR="00287950" w:rsidRPr="00A01271" w:rsidRDefault="00287950" w:rsidP="00287950">
      <w:pPr>
        <w:numPr>
          <w:ilvl w:val="0"/>
          <w:numId w:val="3"/>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technique is also useful in considering both inflows and outflows along </w:t>
      </w:r>
    </w:p>
    <w:p w14:paraId="4BD2D2DB" w14:textId="77777777" w:rsidR="00287950" w:rsidRPr="00A01271" w:rsidRDefault="00287950" w:rsidP="00287950">
      <w:pPr>
        <w:numPr>
          <w:ilvl w:val="0"/>
          <w:numId w:val="3"/>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A comprehensive evaluation is possible considering the full-year cash flows (De-Assis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w:t>
      </w:r>
    </w:p>
    <w:p w14:paraId="71F00967" w14:textId="77777777" w:rsidR="00287950" w:rsidRPr="00A01271" w:rsidRDefault="00287950" w:rsidP="00287950">
      <w:pPr>
        <w:numPr>
          <w:ilvl w:val="0"/>
          <w:numId w:val="3"/>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provides quick decision-making for project proposals  </w:t>
      </w:r>
    </w:p>
    <w:p w14:paraId="20A59933"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ARR</w:t>
      </w:r>
    </w:p>
    <w:p w14:paraId="0BF2F8D8" w14:textId="77777777" w:rsidR="00287950" w:rsidRPr="00A01271" w:rsidRDefault="00287950" w:rsidP="00287950">
      <w:pPr>
        <w:numPr>
          <w:ilvl w:val="0"/>
          <w:numId w:val="4"/>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technique is very easy to use and simple to understand. </w:t>
      </w:r>
    </w:p>
    <w:p w14:paraId="03413C9B" w14:textId="77777777" w:rsidR="00287950" w:rsidRPr="00A01271" w:rsidRDefault="00287950" w:rsidP="00287950">
      <w:pPr>
        <w:numPr>
          <w:ilvl w:val="0"/>
          <w:numId w:val="4"/>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A comprehensive return on investment is possible with the method (De-Assis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w:t>
      </w:r>
    </w:p>
    <w:p w14:paraId="78BEBA61" w14:textId="77777777" w:rsidR="00287950" w:rsidRPr="00A01271" w:rsidRDefault="00287950" w:rsidP="00287950">
      <w:pPr>
        <w:numPr>
          <w:ilvl w:val="0"/>
          <w:numId w:val="4"/>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is the performance indicator for two or more investment proposals simultaneously </w:t>
      </w:r>
    </w:p>
    <w:p w14:paraId="480124A9" w14:textId="77777777" w:rsidR="00287950" w:rsidRPr="00A01271" w:rsidRDefault="00287950" w:rsidP="00287950">
      <w:pPr>
        <w:numPr>
          <w:ilvl w:val="0"/>
          <w:numId w:val="4"/>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provides investment justifications like high or low investment returns </w:t>
      </w:r>
    </w:p>
    <w:p w14:paraId="6EE836E4"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Shortcomings of investment appraisal techniques </w:t>
      </w:r>
    </w:p>
    <w:p w14:paraId="5D8EBE50"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following shortcomings of the techniques of investment appraisal are stated below: </w:t>
      </w:r>
    </w:p>
    <w:p w14:paraId="4827FC12"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PBP </w:t>
      </w:r>
    </w:p>
    <w:p w14:paraId="40FE25CA" w14:textId="77777777" w:rsidR="00287950" w:rsidRPr="00A01271" w:rsidRDefault="00287950" w:rsidP="00287950">
      <w:pPr>
        <w:numPr>
          <w:ilvl w:val="0"/>
          <w:numId w:val="5"/>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ignores the financial concept (time value of money) </w:t>
      </w:r>
    </w:p>
    <w:p w14:paraId="70FC9BC2" w14:textId="77777777" w:rsidR="00287950" w:rsidRPr="00A01271" w:rsidRDefault="00287950" w:rsidP="00287950">
      <w:pPr>
        <w:numPr>
          <w:ilvl w:val="0"/>
          <w:numId w:val="5"/>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does not consider the cash flow after PBP (Ahamed and Haleem, 2020). </w:t>
      </w:r>
    </w:p>
    <w:p w14:paraId="25F05877" w14:textId="77777777" w:rsidR="00287950" w:rsidRPr="00A01271" w:rsidRDefault="00287950" w:rsidP="00287950">
      <w:pPr>
        <w:numPr>
          <w:ilvl w:val="0"/>
          <w:numId w:val="5"/>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is helpful in making short-term decisions </w:t>
      </w:r>
    </w:p>
    <w:p w14:paraId="107E91CB"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NPV </w:t>
      </w:r>
    </w:p>
    <w:p w14:paraId="62ABD3F0" w14:textId="77777777" w:rsidR="00287950" w:rsidRPr="00A01271" w:rsidRDefault="00287950" w:rsidP="00287950">
      <w:pPr>
        <w:numPr>
          <w:ilvl w:val="0"/>
          <w:numId w:val="6"/>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lastRenderedPageBreak/>
        <w:t>High complexity can be created with multiple projects </w:t>
      </w:r>
    </w:p>
    <w:p w14:paraId="74EE8B0E" w14:textId="77777777" w:rsidR="00287950" w:rsidRPr="00A01271" w:rsidRDefault="00287950" w:rsidP="00287950">
      <w:pPr>
        <w:numPr>
          <w:ilvl w:val="0"/>
          <w:numId w:val="6"/>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Mainly depends on the discounting rate of the projects </w:t>
      </w:r>
    </w:p>
    <w:p w14:paraId="7E59955D" w14:textId="77777777" w:rsidR="00287950" w:rsidRPr="00A01271" w:rsidRDefault="00287950" w:rsidP="00287950">
      <w:pPr>
        <w:numPr>
          <w:ilvl w:val="0"/>
          <w:numId w:val="6"/>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Capital availability may not be realistic all the times (Ahamed and Haleem, 2020). </w:t>
      </w:r>
    </w:p>
    <w:p w14:paraId="4DC40599"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ARR </w:t>
      </w:r>
    </w:p>
    <w:p w14:paraId="74179F50" w14:textId="77777777" w:rsidR="00287950" w:rsidRPr="00A01271" w:rsidRDefault="00287950" w:rsidP="00287950">
      <w:pPr>
        <w:numPr>
          <w:ilvl w:val="0"/>
          <w:numId w:val="7"/>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It ignores the financial concept (time value of money)  </w:t>
      </w:r>
    </w:p>
    <w:p w14:paraId="4947AD02" w14:textId="77777777" w:rsidR="00287950" w:rsidRPr="00A01271" w:rsidRDefault="00287950" w:rsidP="00287950">
      <w:pPr>
        <w:numPr>
          <w:ilvl w:val="0"/>
          <w:numId w:val="7"/>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Mainly focuses on average return not timing of returns (Ahamed and Haleem, 2020</w:t>
      </w:r>
      <w:proofErr w:type="gramStart"/>
      <w:r w:rsidRPr="00A01271">
        <w:rPr>
          <w:rFonts w:asciiTheme="majorBidi" w:hAnsiTheme="majorBidi" w:cstheme="majorBidi"/>
          <w:sz w:val="24"/>
          <w:szCs w:val="24"/>
          <w:lang w:val="en-GB"/>
        </w:rPr>
        <w:t>) .</w:t>
      </w:r>
      <w:proofErr w:type="gramEnd"/>
      <w:r w:rsidRPr="00A01271">
        <w:rPr>
          <w:rFonts w:asciiTheme="majorBidi" w:hAnsiTheme="majorBidi" w:cstheme="majorBidi"/>
          <w:sz w:val="24"/>
          <w:szCs w:val="24"/>
          <w:lang w:val="en-GB"/>
        </w:rPr>
        <w:t> </w:t>
      </w:r>
    </w:p>
    <w:p w14:paraId="5DC503C3" w14:textId="77777777" w:rsidR="00287950" w:rsidRPr="00A01271" w:rsidRDefault="00287950" w:rsidP="00287950">
      <w:pPr>
        <w:numPr>
          <w:ilvl w:val="0"/>
          <w:numId w:val="7"/>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Lack of comparative ability in assessing multiple projects  </w:t>
      </w:r>
    </w:p>
    <w:p w14:paraId="6A2E281A"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b/>
          <w:bCs/>
          <w:sz w:val="24"/>
          <w:szCs w:val="24"/>
          <w:lang w:val="en-GB"/>
        </w:rPr>
        <w:t>Addressing the non-financial factors in project selection </w:t>
      </w:r>
    </w:p>
    <w:p w14:paraId="07C56C9A"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selection of the project can not only be dependent on investment appraisal techniques but also consider some of the non-financial factors which are highlighted below: </w:t>
      </w:r>
    </w:p>
    <w:p w14:paraId="3BE40CCA" w14:textId="77777777" w:rsidR="00287950" w:rsidRPr="00A01271" w:rsidRDefault="00287950" w:rsidP="00287950">
      <w:pPr>
        <w:numPr>
          <w:ilvl w:val="0"/>
          <w:numId w:val="8"/>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Alignment of the project with the long-term goals of the </w:t>
      </w:r>
      <w:proofErr w:type="gramStart"/>
      <w:r w:rsidRPr="00A01271">
        <w:rPr>
          <w:rFonts w:asciiTheme="majorBidi" w:hAnsiTheme="majorBidi" w:cstheme="majorBidi"/>
          <w:sz w:val="24"/>
          <w:szCs w:val="24"/>
          <w:lang w:val="en-GB"/>
        </w:rPr>
        <w:t>business(</w:t>
      </w:r>
      <w:proofErr w:type="gramEnd"/>
      <w:r w:rsidRPr="00A01271">
        <w:rPr>
          <w:rFonts w:asciiTheme="majorBidi" w:hAnsiTheme="majorBidi" w:cstheme="majorBidi"/>
          <w:sz w:val="24"/>
          <w:szCs w:val="24"/>
          <w:lang w:val="en-GB"/>
        </w:rPr>
        <w:t xml:space="preserve">Ashoka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 </w:t>
      </w:r>
    </w:p>
    <w:p w14:paraId="36CB67BE" w14:textId="77777777" w:rsidR="00287950" w:rsidRPr="00A01271" w:rsidRDefault="00287950" w:rsidP="00287950">
      <w:pPr>
        <w:numPr>
          <w:ilvl w:val="0"/>
          <w:numId w:val="8"/>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Regulatory compliance and regulations for the selected projects </w:t>
      </w:r>
    </w:p>
    <w:p w14:paraId="3457AD01" w14:textId="77777777" w:rsidR="00287950" w:rsidRPr="00A01271" w:rsidRDefault="00287950" w:rsidP="00287950">
      <w:pPr>
        <w:numPr>
          <w:ilvl w:val="0"/>
          <w:numId w:val="8"/>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The project should be selected based on the demand and requirements </w:t>
      </w:r>
    </w:p>
    <w:p w14:paraId="2294D60F" w14:textId="77777777" w:rsidR="00287950" w:rsidRPr="00A01271" w:rsidRDefault="00287950" w:rsidP="00287950">
      <w:pPr>
        <w:numPr>
          <w:ilvl w:val="0"/>
          <w:numId w:val="8"/>
        </w:num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There should be a competitive advantage of the project proposal (Ashoka </w:t>
      </w:r>
      <w:r w:rsidRPr="00A01271">
        <w:rPr>
          <w:rFonts w:asciiTheme="majorBidi" w:hAnsiTheme="majorBidi" w:cstheme="majorBidi"/>
          <w:i/>
          <w:iCs/>
          <w:sz w:val="24"/>
          <w:szCs w:val="24"/>
          <w:lang w:val="en-GB"/>
        </w:rPr>
        <w:t>et al.</w:t>
      </w:r>
      <w:r w:rsidRPr="00A01271">
        <w:rPr>
          <w:rFonts w:asciiTheme="majorBidi" w:hAnsiTheme="majorBidi" w:cstheme="majorBidi"/>
          <w:sz w:val="24"/>
          <w:szCs w:val="24"/>
          <w:lang w:val="en-GB"/>
        </w:rPr>
        <w:t xml:space="preserve"> 2020).</w:t>
      </w:r>
    </w:p>
    <w:p w14:paraId="42E4B6FF" w14:textId="77777777" w:rsidR="00287950" w:rsidRPr="00A01271" w:rsidRDefault="00287950" w:rsidP="00287950">
      <w:pPr>
        <w:pStyle w:val="Heading1"/>
        <w:spacing w:before="240" w:after="160"/>
        <w:rPr>
          <w:lang w:val="en-GB"/>
        </w:rPr>
      </w:pPr>
      <w:bookmarkStart w:id="11" w:name="_Toc172407295"/>
      <w:r w:rsidRPr="00A01271">
        <w:rPr>
          <w:lang w:val="en-GB"/>
        </w:rPr>
        <w:t>Conclusion</w:t>
      </w:r>
      <w:bookmarkEnd w:id="11"/>
      <w:r w:rsidRPr="00A01271">
        <w:rPr>
          <w:lang w:val="en-GB"/>
        </w:rPr>
        <w:t> </w:t>
      </w:r>
    </w:p>
    <w:p w14:paraId="5B4D1B4B" w14:textId="77777777" w:rsidR="00287950" w:rsidRPr="00A01271" w:rsidRDefault="00287950" w:rsidP="00287950">
      <w:pPr>
        <w:spacing w:before="240" w:line="360" w:lineRule="auto"/>
        <w:jc w:val="both"/>
        <w:rPr>
          <w:rFonts w:asciiTheme="majorBidi" w:hAnsiTheme="majorBidi" w:cstheme="majorBidi"/>
          <w:sz w:val="24"/>
          <w:szCs w:val="24"/>
          <w:lang w:val="en-GB"/>
        </w:rPr>
      </w:pPr>
      <w:r w:rsidRPr="00A01271">
        <w:rPr>
          <w:rFonts w:asciiTheme="majorBidi" w:hAnsiTheme="majorBidi" w:cstheme="majorBidi"/>
          <w:sz w:val="24"/>
          <w:szCs w:val="24"/>
          <w:lang w:val="en-GB"/>
        </w:rPr>
        <w:t xml:space="preserve">The above discussions have been completed to access the financial information of Unilever Plc to judge the financial performance and position attained by the business in the last five years. The financial ratios (profitability, liquidity, efficiency, and gearing) of Unilever have been estimated in the report to create an understanding of different areas of the business operations. It has been concluded from the discussions that the financial risk has been very high in Unilever due to excess debt burden which might force investors to move from the existing firm to other FMCG companies since they are not currently reliable in providing high returns to their investors. It has also been concluded from the discussion that the liquidity position has been weak due to having higher liquid obligations than the availability of short-term assets. Therefore, the firm could face financial difficulties in meeting its obligations with the current </w:t>
      </w:r>
      <w:r w:rsidRPr="00A01271">
        <w:rPr>
          <w:rFonts w:asciiTheme="majorBidi" w:hAnsiTheme="majorBidi" w:cstheme="majorBidi"/>
          <w:sz w:val="24"/>
          <w:szCs w:val="24"/>
          <w:lang w:val="en-GB"/>
        </w:rPr>
        <w:lastRenderedPageBreak/>
        <w:t xml:space="preserve">availability of financial resources. Moreover, the estimation of capital budgeting has also been done in the report to assess better financial opportunities in the form of investments and projects. It is found that the estimation of ARR has been done by estimating the average annual cash flows of both projects and divided by the total initial capital required for the projects. The estimations of payback have been done for four years and cumulative cash flows are computed. It is identified from the report that project B should be more suitable for the firm to recover invested capital and generate higher cash flows in future years. </w:t>
      </w:r>
    </w:p>
    <w:p w14:paraId="381CF11A" w14:textId="77777777" w:rsidR="00287950" w:rsidRPr="00B93B7B" w:rsidRDefault="00287950" w:rsidP="00287950">
      <w:pPr>
        <w:spacing w:before="240" w:line="360" w:lineRule="auto"/>
        <w:rPr>
          <w:rFonts w:asciiTheme="majorBidi" w:hAnsiTheme="majorBidi" w:cstheme="majorBidi"/>
          <w:sz w:val="24"/>
          <w:szCs w:val="24"/>
          <w:lang w:val="en-GB"/>
        </w:rPr>
      </w:pPr>
      <w:r w:rsidRPr="00B93B7B">
        <w:rPr>
          <w:rFonts w:asciiTheme="majorBidi" w:hAnsiTheme="majorBidi" w:cstheme="majorBidi"/>
          <w:sz w:val="24"/>
          <w:szCs w:val="24"/>
          <w:lang w:val="en-GB"/>
        </w:rPr>
        <w:br w:type="page"/>
      </w:r>
    </w:p>
    <w:p w14:paraId="495A38A7" w14:textId="77777777" w:rsidR="00287950" w:rsidRPr="00B93B7B" w:rsidRDefault="00287950" w:rsidP="00287950">
      <w:pPr>
        <w:pStyle w:val="Heading1"/>
        <w:spacing w:before="240" w:after="160"/>
        <w:rPr>
          <w:lang w:val="en-GB"/>
        </w:rPr>
      </w:pPr>
      <w:bookmarkStart w:id="12" w:name="_Toc172407296"/>
      <w:r w:rsidRPr="00B93B7B">
        <w:rPr>
          <w:lang w:val="en-GB"/>
        </w:rPr>
        <w:lastRenderedPageBreak/>
        <w:t>References</w:t>
      </w:r>
      <w:bookmarkEnd w:id="12"/>
      <w:r w:rsidRPr="00B93B7B">
        <w:rPr>
          <w:lang w:val="en-GB"/>
        </w:rPr>
        <w:t xml:space="preserve"> </w:t>
      </w:r>
    </w:p>
    <w:p w14:paraId="253C4014" w14:textId="77777777" w:rsidR="00287950" w:rsidRPr="00B93B7B" w:rsidRDefault="00287950" w:rsidP="00287950">
      <w:pPr>
        <w:spacing w:before="240" w:line="360" w:lineRule="auto"/>
        <w:jc w:val="both"/>
        <w:rPr>
          <w:rFonts w:asciiTheme="majorBidi" w:hAnsiTheme="majorBidi" w:cstheme="majorBidi"/>
          <w:b/>
          <w:bCs/>
          <w:sz w:val="24"/>
          <w:szCs w:val="24"/>
          <w:lang w:val="en-GB"/>
        </w:rPr>
      </w:pPr>
      <w:r w:rsidRPr="00B93B7B">
        <w:rPr>
          <w:rFonts w:asciiTheme="majorBidi" w:hAnsiTheme="majorBidi" w:cstheme="majorBidi"/>
          <w:b/>
          <w:bCs/>
          <w:sz w:val="24"/>
          <w:szCs w:val="24"/>
          <w:lang w:val="en-GB"/>
        </w:rPr>
        <w:t xml:space="preserve">Journals </w:t>
      </w:r>
    </w:p>
    <w:p w14:paraId="1372F7D7"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Ahamed, S.T. and Haleem, A., 2020. The influence of cognitive bias of the managers in the selection and use of capital budgeting techniques: evidence of Sri Lanka. </w:t>
      </w:r>
    </w:p>
    <w:p w14:paraId="3C9AABE7"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Ashoka, N., Ravi, Y., Raveesha, S. and </w:t>
      </w:r>
      <w:proofErr w:type="spellStart"/>
      <w:r w:rsidRPr="00B93B7B">
        <w:rPr>
          <w:rFonts w:asciiTheme="majorBidi" w:hAnsiTheme="majorBidi" w:cstheme="majorBidi"/>
          <w:sz w:val="24"/>
          <w:szCs w:val="24"/>
          <w:lang w:val="en-GB"/>
        </w:rPr>
        <w:t>Yeledhalli</w:t>
      </w:r>
      <w:proofErr w:type="spellEnd"/>
      <w:r w:rsidRPr="00B93B7B">
        <w:rPr>
          <w:rFonts w:asciiTheme="majorBidi" w:hAnsiTheme="majorBidi" w:cstheme="majorBidi"/>
          <w:sz w:val="24"/>
          <w:szCs w:val="24"/>
          <w:lang w:val="en-GB"/>
        </w:rPr>
        <w:t>, R.A., 2020. Economic analysis of brinjal seedling nursery enterprise in Karnataka. </w:t>
      </w:r>
      <w:r w:rsidRPr="00B93B7B">
        <w:rPr>
          <w:rFonts w:asciiTheme="majorBidi" w:hAnsiTheme="majorBidi" w:cstheme="majorBidi"/>
          <w:i/>
          <w:iCs/>
          <w:sz w:val="24"/>
          <w:szCs w:val="24"/>
          <w:lang w:val="en-GB"/>
        </w:rPr>
        <w:t>Indian Journal of Agricultural Economics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75</w:t>
      </w:r>
      <w:r w:rsidRPr="00B93B7B">
        <w:rPr>
          <w:rFonts w:asciiTheme="majorBidi" w:hAnsiTheme="majorBidi" w:cstheme="majorBidi"/>
          <w:sz w:val="24"/>
          <w:szCs w:val="24"/>
          <w:lang w:val="en-GB"/>
        </w:rPr>
        <w:t>(3), pp.337-346.</w:t>
      </w:r>
    </w:p>
    <w:p w14:paraId="14C18A9F"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Awalakki</w:t>
      </w:r>
      <w:proofErr w:type="spellEnd"/>
      <w:r w:rsidRPr="00B93B7B">
        <w:rPr>
          <w:rFonts w:asciiTheme="majorBidi" w:hAnsiTheme="majorBidi" w:cstheme="majorBidi"/>
          <w:sz w:val="24"/>
          <w:szCs w:val="24"/>
          <w:lang w:val="en-GB"/>
        </w:rPr>
        <w:t>, M.M. and HN, D.A., 2021. Impact of financial performance ratios on stock returns–A study with reference to national stock exchange. </w:t>
      </w:r>
      <w:r w:rsidRPr="00B93B7B">
        <w:rPr>
          <w:rFonts w:asciiTheme="majorBidi" w:hAnsiTheme="majorBidi" w:cstheme="majorBidi"/>
          <w:i/>
          <w:iCs/>
          <w:sz w:val="24"/>
          <w:szCs w:val="24"/>
          <w:lang w:val="en-GB"/>
        </w:rPr>
        <w:t>Int. J. of Aquatic Science</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12</w:t>
      </w:r>
      <w:r w:rsidRPr="00B93B7B">
        <w:rPr>
          <w:rFonts w:asciiTheme="majorBidi" w:hAnsiTheme="majorBidi" w:cstheme="majorBidi"/>
          <w:sz w:val="24"/>
          <w:szCs w:val="24"/>
          <w:lang w:val="en-GB"/>
        </w:rPr>
        <w:t xml:space="preserve">(3), pp.2151-2167. </w:t>
      </w:r>
    </w:p>
    <w:p w14:paraId="5FEFB719"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Awan, A., Abbasi, K.R., Rej, S., Bandyopadhyay, A. and </w:t>
      </w:r>
      <w:proofErr w:type="spellStart"/>
      <w:r w:rsidRPr="00B93B7B">
        <w:rPr>
          <w:rFonts w:asciiTheme="majorBidi" w:hAnsiTheme="majorBidi" w:cstheme="majorBidi"/>
          <w:sz w:val="24"/>
          <w:szCs w:val="24"/>
          <w:lang w:val="en-GB"/>
        </w:rPr>
        <w:t>Lv</w:t>
      </w:r>
      <w:proofErr w:type="spellEnd"/>
      <w:r w:rsidRPr="00B93B7B">
        <w:rPr>
          <w:rFonts w:asciiTheme="majorBidi" w:hAnsiTheme="majorBidi" w:cstheme="majorBidi"/>
          <w:sz w:val="24"/>
          <w:szCs w:val="24"/>
          <w:lang w:val="en-GB"/>
        </w:rPr>
        <w:t>, K., 2022. The impact of renewable energy, internet use and foreign direct investment on carbon dioxide emissions: A method of moments quantile analysis. </w:t>
      </w:r>
      <w:r w:rsidRPr="00B93B7B">
        <w:rPr>
          <w:rFonts w:asciiTheme="majorBidi" w:hAnsiTheme="majorBidi" w:cstheme="majorBidi"/>
          <w:i/>
          <w:iCs/>
          <w:sz w:val="24"/>
          <w:szCs w:val="24"/>
          <w:lang w:val="en-GB"/>
        </w:rPr>
        <w:t>Renewable Energy</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189</w:t>
      </w:r>
      <w:r w:rsidRPr="00B93B7B">
        <w:rPr>
          <w:rFonts w:asciiTheme="majorBidi" w:hAnsiTheme="majorBidi" w:cstheme="majorBidi"/>
          <w:sz w:val="24"/>
          <w:szCs w:val="24"/>
          <w:lang w:val="en-GB"/>
        </w:rPr>
        <w:t xml:space="preserve">, pp.454-466. </w:t>
      </w:r>
    </w:p>
    <w:p w14:paraId="0A5022E9"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Awaysheh</w:t>
      </w:r>
      <w:proofErr w:type="spellEnd"/>
      <w:r w:rsidRPr="00B93B7B">
        <w:rPr>
          <w:rFonts w:asciiTheme="majorBidi" w:hAnsiTheme="majorBidi" w:cstheme="majorBidi"/>
          <w:sz w:val="24"/>
          <w:szCs w:val="24"/>
          <w:lang w:val="en-GB"/>
        </w:rPr>
        <w:t>, A., Heron, R.A., Perry, T. and Wilson, J.I., 2020. On the relation between corporate social responsibility and financial performance. </w:t>
      </w:r>
      <w:r w:rsidRPr="00B93B7B">
        <w:rPr>
          <w:rFonts w:asciiTheme="majorBidi" w:hAnsiTheme="majorBidi" w:cstheme="majorBidi"/>
          <w:i/>
          <w:iCs/>
          <w:sz w:val="24"/>
          <w:szCs w:val="24"/>
          <w:lang w:val="en-GB"/>
        </w:rPr>
        <w:t>Strategic Management Journal</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41</w:t>
      </w:r>
      <w:r w:rsidRPr="00B93B7B">
        <w:rPr>
          <w:rFonts w:asciiTheme="majorBidi" w:hAnsiTheme="majorBidi" w:cstheme="majorBidi"/>
          <w:sz w:val="24"/>
          <w:szCs w:val="24"/>
          <w:lang w:val="en-GB"/>
        </w:rPr>
        <w:t xml:space="preserve">(6), pp.965-987. </w:t>
      </w:r>
    </w:p>
    <w:p w14:paraId="3F57FC8B"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Azwari</w:t>
      </w:r>
      <w:proofErr w:type="spellEnd"/>
      <w:r w:rsidRPr="00B93B7B">
        <w:rPr>
          <w:rFonts w:asciiTheme="majorBidi" w:hAnsiTheme="majorBidi" w:cstheme="majorBidi"/>
          <w:sz w:val="24"/>
          <w:szCs w:val="24"/>
          <w:lang w:val="en-GB"/>
        </w:rPr>
        <w:t xml:space="preserve">, P.C., </w:t>
      </w:r>
      <w:proofErr w:type="spellStart"/>
      <w:r w:rsidRPr="00B93B7B">
        <w:rPr>
          <w:rFonts w:asciiTheme="majorBidi" w:hAnsiTheme="majorBidi" w:cstheme="majorBidi"/>
          <w:sz w:val="24"/>
          <w:szCs w:val="24"/>
          <w:lang w:val="en-GB"/>
        </w:rPr>
        <w:t>Febriansyah</w:t>
      </w:r>
      <w:proofErr w:type="spellEnd"/>
      <w:r w:rsidRPr="00B93B7B">
        <w:rPr>
          <w:rFonts w:asciiTheme="majorBidi" w:hAnsiTheme="majorBidi" w:cstheme="majorBidi"/>
          <w:sz w:val="24"/>
          <w:szCs w:val="24"/>
          <w:lang w:val="en-GB"/>
        </w:rPr>
        <w:t>, F. and Jayanti, S.D., 2022. Impact of Third-Party Funds and Capital Adequacy Ratio on Profit Sharing Financing. </w:t>
      </w:r>
      <w:r w:rsidRPr="00B93B7B">
        <w:rPr>
          <w:rFonts w:asciiTheme="majorBidi" w:hAnsiTheme="majorBidi" w:cstheme="majorBidi"/>
          <w:i/>
          <w:iCs/>
          <w:sz w:val="24"/>
          <w:szCs w:val="24"/>
          <w:lang w:val="en-GB"/>
        </w:rPr>
        <w:t>International Business and Accounting Research Journal</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6</w:t>
      </w:r>
      <w:r w:rsidRPr="00B93B7B">
        <w:rPr>
          <w:rFonts w:asciiTheme="majorBidi" w:hAnsiTheme="majorBidi" w:cstheme="majorBidi"/>
          <w:sz w:val="24"/>
          <w:szCs w:val="24"/>
          <w:lang w:val="en-GB"/>
        </w:rPr>
        <w:t xml:space="preserve">(1), pp.63-70. </w:t>
      </w:r>
    </w:p>
    <w:p w14:paraId="2D80274E"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Bustani, B., </w:t>
      </w:r>
      <w:proofErr w:type="spellStart"/>
      <w:r w:rsidRPr="00B93B7B">
        <w:rPr>
          <w:rFonts w:asciiTheme="majorBidi" w:hAnsiTheme="majorBidi" w:cstheme="majorBidi"/>
          <w:sz w:val="24"/>
          <w:szCs w:val="24"/>
          <w:lang w:val="en-GB"/>
        </w:rPr>
        <w:t>Kurniaty</w:t>
      </w:r>
      <w:proofErr w:type="spellEnd"/>
      <w:r w:rsidRPr="00B93B7B">
        <w:rPr>
          <w:rFonts w:asciiTheme="majorBidi" w:hAnsiTheme="majorBidi" w:cstheme="majorBidi"/>
          <w:sz w:val="24"/>
          <w:szCs w:val="24"/>
          <w:lang w:val="en-GB"/>
        </w:rPr>
        <w:t xml:space="preserve">, K. and </w:t>
      </w:r>
      <w:proofErr w:type="spellStart"/>
      <w:r w:rsidRPr="00B93B7B">
        <w:rPr>
          <w:rFonts w:asciiTheme="majorBidi" w:hAnsiTheme="majorBidi" w:cstheme="majorBidi"/>
          <w:sz w:val="24"/>
          <w:szCs w:val="24"/>
          <w:lang w:val="en-GB"/>
        </w:rPr>
        <w:t>Widyanti</w:t>
      </w:r>
      <w:proofErr w:type="spellEnd"/>
      <w:r w:rsidRPr="00B93B7B">
        <w:rPr>
          <w:rFonts w:asciiTheme="majorBidi" w:hAnsiTheme="majorBidi" w:cstheme="majorBidi"/>
          <w:sz w:val="24"/>
          <w:szCs w:val="24"/>
          <w:lang w:val="en-GB"/>
        </w:rPr>
        <w:t>, R., 2021. The effect of earning per share, price to book value, dividend payout ratio, and net profit margin on the stock price in Indonesia stock exchange. </w:t>
      </w:r>
      <w:proofErr w:type="spellStart"/>
      <w:r w:rsidRPr="00B93B7B">
        <w:rPr>
          <w:rFonts w:asciiTheme="majorBidi" w:hAnsiTheme="majorBidi" w:cstheme="majorBidi"/>
          <w:i/>
          <w:iCs/>
          <w:sz w:val="24"/>
          <w:szCs w:val="24"/>
          <w:lang w:val="en-GB"/>
        </w:rPr>
        <w:t>Jurnal</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Maksipreneur</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Manajemen</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Koperasi</w:t>
      </w:r>
      <w:proofErr w:type="spellEnd"/>
      <w:r w:rsidRPr="00B93B7B">
        <w:rPr>
          <w:rFonts w:asciiTheme="majorBidi" w:hAnsiTheme="majorBidi" w:cstheme="majorBidi"/>
          <w:i/>
          <w:iCs/>
          <w:sz w:val="24"/>
          <w:szCs w:val="24"/>
          <w:lang w:val="en-GB"/>
        </w:rPr>
        <w:t>, dan Entrepreneurship</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11</w:t>
      </w:r>
      <w:r w:rsidRPr="00B93B7B">
        <w:rPr>
          <w:rFonts w:asciiTheme="majorBidi" w:hAnsiTheme="majorBidi" w:cstheme="majorBidi"/>
          <w:sz w:val="24"/>
          <w:szCs w:val="24"/>
          <w:lang w:val="en-GB"/>
        </w:rPr>
        <w:t xml:space="preserve">(1), pp.1-18. </w:t>
      </w:r>
    </w:p>
    <w:p w14:paraId="2870A7C4"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Campbell, H.F. and Brown, R.P., 2022. </w:t>
      </w:r>
      <w:r w:rsidRPr="00B93B7B">
        <w:rPr>
          <w:rFonts w:asciiTheme="majorBidi" w:hAnsiTheme="majorBidi" w:cstheme="majorBidi"/>
          <w:i/>
          <w:iCs/>
          <w:sz w:val="24"/>
          <w:szCs w:val="24"/>
          <w:lang w:val="en-GB"/>
        </w:rPr>
        <w:t>Cost-benefit analysis: financial and economic appraisal using spreadsheets</w:t>
      </w:r>
      <w:r w:rsidRPr="00B93B7B">
        <w:rPr>
          <w:rFonts w:asciiTheme="majorBidi" w:hAnsiTheme="majorBidi" w:cstheme="majorBidi"/>
          <w:sz w:val="24"/>
          <w:szCs w:val="24"/>
          <w:lang w:val="en-GB"/>
        </w:rPr>
        <w:t xml:space="preserve">. Routledge. </w:t>
      </w:r>
    </w:p>
    <w:p w14:paraId="04E0C82C"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De-Assis, C.A., Suarez, A., </w:t>
      </w:r>
      <w:proofErr w:type="spellStart"/>
      <w:r w:rsidRPr="00B93B7B">
        <w:rPr>
          <w:rFonts w:asciiTheme="majorBidi" w:hAnsiTheme="majorBidi" w:cstheme="majorBidi"/>
          <w:sz w:val="24"/>
          <w:szCs w:val="24"/>
          <w:lang w:val="en-GB"/>
        </w:rPr>
        <w:t>Prestemon</w:t>
      </w:r>
      <w:proofErr w:type="spellEnd"/>
      <w:r w:rsidRPr="00B93B7B">
        <w:rPr>
          <w:rFonts w:asciiTheme="majorBidi" w:hAnsiTheme="majorBidi" w:cstheme="majorBidi"/>
          <w:sz w:val="24"/>
          <w:szCs w:val="24"/>
          <w:lang w:val="en-GB"/>
        </w:rPr>
        <w:t xml:space="preserve">, J.P., Stonebraker, J., Carrillo, C., </w:t>
      </w:r>
      <w:proofErr w:type="spellStart"/>
      <w:r w:rsidRPr="00B93B7B">
        <w:rPr>
          <w:rFonts w:asciiTheme="majorBidi" w:hAnsiTheme="majorBidi" w:cstheme="majorBidi"/>
          <w:sz w:val="24"/>
          <w:szCs w:val="24"/>
          <w:lang w:val="en-GB"/>
        </w:rPr>
        <w:t>Dasmohapatra</w:t>
      </w:r>
      <w:proofErr w:type="spellEnd"/>
      <w:r w:rsidRPr="00B93B7B">
        <w:rPr>
          <w:rFonts w:asciiTheme="majorBidi" w:hAnsiTheme="majorBidi" w:cstheme="majorBidi"/>
          <w:sz w:val="24"/>
          <w:szCs w:val="24"/>
          <w:lang w:val="en-GB"/>
        </w:rPr>
        <w:t>, S., Jameel, H. and Gonzalez, R., 2020. Risk analysis, practice, and considerations in capital budgeting: Evidence from the field for the bio-based industry. </w:t>
      </w:r>
      <w:proofErr w:type="spellStart"/>
      <w:r w:rsidRPr="00B93B7B">
        <w:rPr>
          <w:rFonts w:asciiTheme="majorBidi" w:hAnsiTheme="majorBidi" w:cstheme="majorBidi"/>
          <w:i/>
          <w:iCs/>
          <w:sz w:val="24"/>
          <w:szCs w:val="24"/>
          <w:lang w:val="en-GB"/>
        </w:rPr>
        <w:t>BioResources</w:t>
      </w:r>
      <w:proofErr w:type="spellEnd"/>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16</w:t>
      </w:r>
      <w:r w:rsidRPr="00B93B7B">
        <w:rPr>
          <w:rFonts w:asciiTheme="majorBidi" w:hAnsiTheme="majorBidi" w:cstheme="majorBidi"/>
          <w:sz w:val="24"/>
          <w:szCs w:val="24"/>
          <w:lang w:val="en-GB"/>
        </w:rPr>
        <w:t>(1), pp.19-45.</w:t>
      </w:r>
    </w:p>
    <w:p w14:paraId="3E6BFBC7"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lastRenderedPageBreak/>
        <w:t>Fridson</w:t>
      </w:r>
      <w:proofErr w:type="spellEnd"/>
      <w:r w:rsidRPr="00B93B7B">
        <w:rPr>
          <w:rFonts w:asciiTheme="majorBidi" w:hAnsiTheme="majorBidi" w:cstheme="majorBidi"/>
          <w:sz w:val="24"/>
          <w:szCs w:val="24"/>
          <w:lang w:val="en-GB"/>
        </w:rPr>
        <w:t>, M.S. and Alvarez, F., 2022. </w:t>
      </w:r>
      <w:r w:rsidRPr="00B93B7B">
        <w:rPr>
          <w:rFonts w:asciiTheme="majorBidi" w:hAnsiTheme="majorBidi" w:cstheme="majorBidi"/>
          <w:i/>
          <w:iCs/>
          <w:sz w:val="24"/>
          <w:szCs w:val="24"/>
          <w:lang w:val="en-GB"/>
        </w:rPr>
        <w:t>Financial statement analysis: a practitioner's guide</w:t>
      </w:r>
      <w:r w:rsidRPr="00B93B7B">
        <w:rPr>
          <w:rFonts w:asciiTheme="majorBidi" w:hAnsiTheme="majorBidi" w:cstheme="majorBidi"/>
          <w:sz w:val="24"/>
          <w:szCs w:val="24"/>
          <w:lang w:val="en-GB"/>
        </w:rPr>
        <w:t xml:space="preserve">. John Wiley &amp; Sons. </w:t>
      </w:r>
    </w:p>
    <w:p w14:paraId="4FA6D92F"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Hasanuddin, R., Darman, D., Taufan, M.Y., Salim, A., Muslim, M. and Putra, A.H.P.K., 2021. The effect of firm size, debt, current ratio, and investment opportunity set on earnings quality: an empirical study in Indonesia. </w:t>
      </w:r>
      <w:r w:rsidRPr="00B93B7B">
        <w:rPr>
          <w:rFonts w:asciiTheme="majorBidi" w:hAnsiTheme="majorBidi" w:cstheme="majorBidi"/>
          <w:i/>
          <w:iCs/>
          <w:sz w:val="24"/>
          <w:szCs w:val="24"/>
          <w:lang w:val="en-GB"/>
        </w:rPr>
        <w:t>The Journal of Asian Finance, Economics and Business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8</w:t>
      </w:r>
      <w:r w:rsidRPr="00B93B7B">
        <w:rPr>
          <w:rFonts w:asciiTheme="majorBidi" w:hAnsiTheme="majorBidi" w:cstheme="majorBidi"/>
          <w:sz w:val="24"/>
          <w:szCs w:val="24"/>
          <w:lang w:val="en-GB"/>
        </w:rPr>
        <w:t xml:space="preserve">(6), pp.179-188. </w:t>
      </w:r>
    </w:p>
    <w:p w14:paraId="4EE6BC63"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Husain, T. and </w:t>
      </w:r>
      <w:proofErr w:type="spellStart"/>
      <w:r w:rsidRPr="00B93B7B">
        <w:rPr>
          <w:rFonts w:asciiTheme="majorBidi" w:hAnsiTheme="majorBidi" w:cstheme="majorBidi"/>
          <w:sz w:val="24"/>
          <w:szCs w:val="24"/>
          <w:lang w:val="en-GB"/>
        </w:rPr>
        <w:t>Sunardi</w:t>
      </w:r>
      <w:proofErr w:type="spellEnd"/>
      <w:r w:rsidRPr="00B93B7B">
        <w:rPr>
          <w:rFonts w:asciiTheme="majorBidi" w:hAnsiTheme="majorBidi" w:cstheme="majorBidi"/>
          <w:sz w:val="24"/>
          <w:szCs w:val="24"/>
          <w:lang w:val="en-GB"/>
        </w:rPr>
        <w:t>, N., 2020. Firm's Value Prediction Based on Profitability Ratios and Dividend Policy. </w:t>
      </w:r>
      <w:r w:rsidRPr="00B93B7B">
        <w:rPr>
          <w:rFonts w:asciiTheme="majorBidi" w:hAnsiTheme="majorBidi" w:cstheme="majorBidi"/>
          <w:i/>
          <w:iCs/>
          <w:sz w:val="24"/>
          <w:szCs w:val="24"/>
          <w:lang w:val="en-GB"/>
        </w:rPr>
        <w:t>Finance &amp; Economics Review</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2</w:t>
      </w:r>
      <w:r w:rsidRPr="00B93B7B">
        <w:rPr>
          <w:rFonts w:asciiTheme="majorBidi" w:hAnsiTheme="majorBidi" w:cstheme="majorBidi"/>
          <w:sz w:val="24"/>
          <w:szCs w:val="24"/>
          <w:lang w:val="en-GB"/>
        </w:rPr>
        <w:t xml:space="preserve">(2), pp.13-26. </w:t>
      </w:r>
    </w:p>
    <w:p w14:paraId="04D5F36A"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Ichsan</w:t>
      </w:r>
      <w:proofErr w:type="spellEnd"/>
      <w:r w:rsidRPr="00B93B7B">
        <w:rPr>
          <w:rFonts w:asciiTheme="majorBidi" w:hAnsiTheme="majorBidi" w:cstheme="majorBidi"/>
          <w:sz w:val="24"/>
          <w:szCs w:val="24"/>
          <w:lang w:val="en-GB"/>
        </w:rPr>
        <w:t xml:space="preserve">, R., </w:t>
      </w:r>
      <w:proofErr w:type="spellStart"/>
      <w:r w:rsidRPr="00B93B7B">
        <w:rPr>
          <w:rFonts w:asciiTheme="majorBidi" w:hAnsiTheme="majorBidi" w:cstheme="majorBidi"/>
          <w:sz w:val="24"/>
          <w:szCs w:val="24"/>
          <w:lang w:val="en-GB"/>
        </w:rPr>
        <w:t>Suparmin</w:t>
      </w:r>
      <w:proofErr w:type="spellEnd"/>
      <w:r w:rsidRPr="00B93B7B">
        <w:rPr>
          <w:rFonts w:asciiTheme="majorBidi" w:hAnsiTheme="majorBidi" w:cstheme="majorBidi"/>
          <w:sz w:val="24"/>
          <w:szCs w:val="24"/>
          <w:lang w:val="en-GB"/>
        </w:rPr>
        <w:t xml:space="preserve">, S., Yusuf, M., Ismal, R. and </w:t>
      </w:r>
      <w:proofErr w:type="spellStart"/>
      <w:r w:rsidRPr="00B93B7B">
        <w:rPr>
          <w:rFonts w:asciiTheme="majorBidi" w:hAnsiTheme="majorBidi" w:cstheme="majorBidi"/>
          <w:sz w:val="24"/>
          <w:szCs w:val="24"/>
          <w:lang w:val="en-GB"/>
        </w:rPr>
        <w:t>Sitompul</w:t>
      </w:r>
      <w:proofErr w:type="spellEnd"/>
      <w:r w:rsidRPr="00B93B7B">
        <w:rPr>
          <w:rFonts w:asciiTheme="majorBidi" w:hAnsiTheme="majorBidi" w:cstheme="majorBidi"/>
          <w:sz w:val="24"/>
          <w:szCs w:val="24"/>
          <w:lang w:val="en-GB"/>
        </w:rPr>
        <w:t>, S., 2021. Determinant of sharia bank's financial performance during the covid-19 pandemic. </w:t>
      </w:r>
      <w:r w:rsidRPr="00B93B7B">
        <w:rPr>
          <w:rFonts w:asciiTheme="majorBidi" w:hAnsiTheme="majorBidi" w:cstheme="majorBidi"/>
          <w:i/>
          <w:iCs/>
          <w:sz w:val="24"/>
          <w:szCs w:val="24"/>
          <w:lang w:val="en-GB"/>
        </w:rPr>
        <w:t>Budapest International Research and Critics Institute-Journal (BIRCI-Journal)</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4</w:t>
      </w:r>
      <w:r w:rsidRPr="00B93B7B">
        <w:rPr>
          <w:rFonts w:asciiTheme="majorBidi" w:hAnsiTheme="majorBidi" w:cstheme="majorBidi"/>
          <w:sz w:val="24"/>
          <w:szCs w:val="24"/>
          <w:lang w:val="en-GB"/>
        </w:rPr>
        <w:t xml:space="preserve">(1), pp.298-309. </w:t>
      </w:r>
    </w:p>
    <w:p w14:paraId="1EE7EDFF"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Isa-</w:t>
      </w:r>
      <w:proofErr w:type="spellStart"/>
      <w:r w:rsidRPr="00B93B7B">
        <w:rPr>
          <w:rFonts w:asciiTheme="majorBidi" w:hAnsiTheme="majorBidi" w:cstheme="majorBidi"/>
          <w:sz w:val="24"/>
          <w:szCs w:val="24"/>
          <w:lang w:val="en-GB"/>
        </w:rPr>
        <w:t>Olatinwo</w:t>
      </w:r>
      <w:proofErr w:type="spellEnd"/>
      <w:r w:rsidRPr="00B93B7B">
        <w:rPr>
          <w:rFonts w:asciiTheme="majorBidi" w:hAnsiTheme="majorBidi" w:cstheme="majorBidi"/>
          <w:sz w:val="24"/>
          <w:szCs w:val="24"/>
          <w:lang w:val="en-GB"/>
        </w:rPr>
        <w:t xml:space="preserve">, A., </w:t>
      </w:r>
      <w:proofErr w:type="spellStart"/>
      <w:r w:rsidRPr="00B93B7B">
        <w:rPr>
          <w:rFonts w:asciiTheme="majorBidi" w:hAnsiTheme="majorBidi" w:cstheme="majorBidi"/>
          <w:sz w:val="24"/>
          <w:szCs w:val="24"/>
          <w:lang w:val="en-GB"/>
        </w:rPr>
        <w:t>Uwaleke</w:t>
      </w:r>
      <w:proofErr w:type="spellEnd"/>
      <w:r w:rsidRPr="00B93B7B">
        <w:rPr>
          <w:rFonts w:asciiTheme="majorBidi" w:hAnsiTheme="majorBidi" w:cstheme="majorBidi"/>
          <w:sz w:val="24"/>
          <w:szCs w:val="24"/>
          <w:lang w:val="en-GB"/>
        </w:rPr>
        <w:t>, U. and Ibrahim, U.A., 2022. Impact of digital financial services on financial performance of commercial banks in Nigeria. </w:t>
      </w:r>
      <w:r w:rsidRPr="00B93B7B">
        <w:rPr>
          <w:rFonts w:asciiTheme="majorBidi" w:hAnsiTheme="majorBidi" w:cstheme="majorBidi"/>
          <w:i/>
          <w:iCs/>
          <w:sz w:val="24"/>
          <w:szCs w:val="24"/>
          <w:lang w:val="en-GB"/>
        </w:rPr>
        <w:t>International Journal of Economics and Management Systems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7</w:t>
      </w:r>
      <w:r w:rsidRPr="00B93B7B">
        <w:rPr>
          <w:rFonts w:asciiTheme="majorBidi" w:hAnsiTheme="majorBidi" w:cstheme="majorBidi"/>
          <w:sz w:val="24"/>
          <w:szCs w:val="24"/>
          <w:lang w:val="en-GB"/>
        </w:rPr>
        <w:t xml:space="preserve">, pp.300-307. </w:t>
      </w:r>
    </w:p>
    <w:p w14:paraId="42A203DD"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Jihadi, M., </w:t>
      </w:r>
      <w:proofErr w:type="spellStart"/>
      <w:r w:rsidRPr="00B93B7B">
        <w:rPr>
          <w:rFonts w:asciiTheme="majorBidi" w:hAnsiTheme="majorBidi" w:cstheme="majorBidi"/>
          <w:sz w:val="24"/>
          <w:szCs w:val="24"/>
          <w:lang w:val="en-GB"/>
        </w:rPr>
        <w:t>Vilantika</w:t>
      </w:r>
      <w:proofErr w:type="spellEnd"/>
      <w:r w:rsidRPr="00B93B7B">
        <w:rPr>
          <w:rFonts w:asciiTheme="majorBidi" w:hAnsiTheme="majorBidi" w:cstheme="majorBidi"/>
          <w:sz w:val="24"/>
          <w:szCs w:val="24"/>
          <w:lang w:val="en-GB"/>
        </w:rPr>
        <w:t xml:space="preserve">, E., Hashemi, S.M., Arifin, Z., Bachtiar, Y. and </w:t>
      </w:r>
      <w:proofErr w:type="spellStart"/>
      <w:r w:rsidRPr="00B93B7B">
        <w:rPr>
          <w:rFonts w:asciiTheme="majorBidi" w:hAnsiTheme="majorBidi" w:cstheme="majorBidi"/>
          <w:sz w:val="24"/>
          <w:szCs w:val="24"/>
          <w:lang w:val="en-GB"/>
        </w:rPr>
        <w:t>Sholichah</w:t>
      </w:r>
      <w:proofErr w:type="spellEnd"/>
      <w:r w:rsidRPr="00B93B7B">
        <w:rPr>
          <w:rFonts w:asciiTheme="majorBidi" w:hAnsiTheme="majorBidi" w:cstheme="majorBidi"/>
          <w:sz w:val="24"/>
          <w:szCs w:val="24"/>
          <w:lang w:val="en-GB"/>
        </w:rPr>
        <w:t>, F., 2021. The effect of liquidity, leverage, and profitability on firm value: Empirical evidence from Indonesia. </w:t>
      </w:r>
      <w:r w:rsidRPr="00B93B7B">
        <w:rPr>
          <w:rFonts w:asciiTheme="majorBidi" w:hAnsiTheme="majorBidi" w:cstheme="majorBidi"/>
          <w:i/>
          <w:iCs/>
          <w:sz w:val="24"/>
          <w:szCs w:val="24"/>
          <w:lang w:val="en-GB"/>
        </w:rPr>
        <w:t>The Journal of Asian Finance, Economics and Business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8</w:t>
      </w:r>
      <w:r w:rsidRPr="00B93B7B">
        <w:rPr>
          <w:rFonts w:asciiTheme="majorBidi" w:hAnsiTheme="majorBidi" w:cstheme="majorBidi"/>
          <w:sz w:val="24"/>
          <w:szCs w:val="24"/>
          <w:lang w:val="en-GB"/>
        </w:rPr>
        <w:t xml:space="preserve">(3), pp.423-431. </w:t>
      </w:r>
    </w:p>
    <w:p w14:paraId="5C7AFFEA"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Karikari, T.K., Ashton, N.J., </w:t>
      </w:r>
      <w:proofErr w:type="spellStart"/>
      <w:r w:rsidRPr="00B93B7B">
        <w:rPr>
          <w:rFonts w:asciiTheme="majorBidi" w:hAnsiTheme="majorBidi" w:cstheme="majorBidi"/>
          <w:sz w:val="24"/>
          <w:szCs w:val="24"/>
          <w:lang w:val="en-GB"/>
        </w:rPr>
        <w:t>Brinkmalm</w:t>
      </w:r>
      <w:proofErr w:type="spellEnd"/>
      <w:r w:rsidRPr="00B93B7B">
        <w:rPr>
          <w:rFonts w:asciiTheme="majorBidi" w:hAnsiTheme="majorBidi" w:cstheme="majorBidi"/>
          <w:sz w:val="24"/>
          <w:szCs w:val="24"/>
          <w:lang w:val="en-GB"/>
        </w:rPr>
        <w:t xml:space="preserve">, G., Brum, W.S., Benedet, A.L., Montoliu-Gaya, L., </w:t>
      </w:r>
      <w:proofErr w:type="spellStart"/>
      <w:r w:rsidRPr="00B93B7B">
        <w:rPr>
          <w:rFonts w:asciiTheme="majorBidi" w:hAnsiTheme="majorBidi" w:cstheme="majorBidi"/>
          <w:sz w:val="24"/>
          <w:szCs w:val="24"/>
          <w:lang w:val="en-GB"/>
        </w:rPr>
        <w:t>Lantero</w:t>
      </w:r>
      <w:proofErr w:type="spellEnd"/>
      <w:r w:rsidRPr="00B93B7B">
        <w:rPr>
          <w:rFonts w:asciiTheme="majorBidi" w:hAnsiTheme="majorBidi" w:cstheme="majorBidi"/>
          <w:sz w:val="24"/>
          <w:szCs w:val="24"/>
          <w:lang w:val="en-GB"/>
        </w:rPr>
        <w:t>-Rodriguez, J., Pascoal, T.A., Suarez-</w:t>
      </w:r>
      <w:proofErr w:type="spellStart"/>
      <w:r w:rsidRPr="00B93B7B">
        <w:rPr>
          <w:rFonts w:asciiTheme="majorBidi" w:hAnsiTheme="majorBidi" w:cstheme="majorBidi"/>
          <w:sz w:val="24"/>
          <w:szCs w:val="24"/>
          <w:lang w:val="en-GB"/>
        </w:rPr>
        <w:t>Calvet</w:t>
      </w:r>
      <w:proofErr w:type="spellEnd"/>
      <w:r w:rsidRPr="00B93B7B">
        <w:rPr>
          <w:rFonts w:asciiTheme="majorBidi" w:hAnsiTheme="majorBidi" w:cstheme="majorBidi"/>
          <w:sz w:val="24"/>
          <w:szCs w:val="24"/>
          <w:lang w:val="en-GB"/>
        </w:rPr>
        <w:t xml:space="preserve">, M., Rosa-Neto, P. and </w:t>
      </w:r>
      <w:proofErr w:type="spellStart"/>
      <w:r w:rsidRPr="00B93B7B">
        <w:rPr>
          <w:rFonts w:asciiTheme="majorBidi" w:hAnsiTheme="majorBidi" w:cstheme="majorBidi"/>
          <w:sz w:val="24"/>
          <w:szCs w:val="24"/>
          <w:lang w:val="en-GB"/>
        </w:rPr>
        <w:t>Blennow</w:t>
      </w:r>
      <w:proofErr w:type="spellEnd"/>
      <w:r w:rsidRPr="00B93B7B">
        <w:rPr>
          <w:rFonts w:asciiTheme="majorBidi" w:hAnsiTheme="majorBidi" w:cstheme="majorBidi"/>
          <w:sz w:val="24"/>
          <w:szCs w:val="24"/>
          <w:lang w:val="en-GB"/>
        </w:rPr>
        <w:t>, K., 2022. Blood phospho-tau in Alzheimer disease: analysis, interpretation, and clinical utility. </w:t>
      </w:r>
      <w:r w:rsidRPr="00B93B7B">
        <w:rPr>
          <w:rFonts w:asciiTheme="majorBidi" w:hAnsiTheme="majorBidi" w:cstheme="majorBidi"/>
          <w:i/>
          <w:iCs/>
          <w:sz w:val="24"/>
          <w:szCs w:val="24"/>
          <w:lang w:val="en-GB"/>
        </w:rPr>
        <w:t>Nature Reviews Neurology</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18</w:t>
      </w:r>
      <w:r w:rsidRPr="00B93B7B">
        <w:rPr>
          <w:rFonts w:asciiTheme="majorBidi" w:hAnsiTheme="majorBidi" w:cstheme="majorBidi"/>
          <w:sz w:val="24"/>
          <w:szCs w:val="24"/>
          <w:lang w:val="en-GB"/>
        </w:rPr>
        <w:t xml:space="preserve">(7), pp.400-418. </w:t>
      </w:r>
    </w:p>
    <w:p w14:paraId="75B88A8C"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Li, Z., Crook, J., Andreeva, G. and Tang, Y., 2021. Predicting the risk of financial distress using corporate governance measures. </w:t>
      </w:r>
      <w:r w:rsidRPr="00B93B7B">
        <w:rPr>
          <w:rFonts w:asciiTheme="majorBidi" w:hAnsiTheme="majorBidi" w:cstheme="majorBidi"/>
          <w:i/>
          <w:iCs/>
          <w:sz w:val="24"/>
          <w:szCs w:val="24"/>
          <w:lang w:val="en-GB"/>
        </w:rPr>
        <w:t>Pacific-Basin Finance Journal</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68</w:t>
      </w:r>
      <w:r w:rsidRPr="00B93B7B">
        <w:rPr>
          <w:rFonts w:asciiTheme="majorBidi" w:hAnsiTheme="majorBidi" w:cstheme="majorBidi"/>
          <w:sz w:val="24"/>
          <w:szCs w:val="24"/>
          <w:lang w:val="en-GB"/>
        </w:rPr>
        <w:t xml:space="preserve">, p.101334. </w:t>
      </w:r>
    </w:p>
    <w:p w14:paraId="43A81532"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Locatelli, G., Mancini, M. and Lotti, G., 2020. A simple-to-implement real options method for the energy sector. </w:t>
      </w:r>
      <w:r w:rsidRPr="00B93B7B">
        <w:rPr>
          <w:rFonts w:asciiTheme="majorBidi" w:hAnsiTheme="majorBidi" w:cstheme="majorBidi"/>
          <w:i/>
          <w:iCs/>
          <w:sz w:val="24"/>
          <w:szCs w:val="24"/>
          <w:lang w:val="en-GB"/>
        </w:rPr>
        <w:t>Energy</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197</w:t>
      </w:r>
      <w:r w:rsidRPr="00B93B7B">
        <w:rPr>
          <w:rFonts w:asciiTheme="majorBidi" w:hAnsiTheme="majorBidi" w:cstheme="majorBidi"/>
          <w:sz w:val="24"/>
          <w:szCs w:val="24"/>
          <w:lang w:val="en-GB"/>
        </w:rPr>
        <w:t xml:space="preserve">, p.117226. </w:t>
      </w:r>
    </w:p>
    <w:p w14:paraId="2241EE37"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Magni, C.A. and Marchioni, A., 2020. Average rates of return, working capital, and NPV-consistency in project appraisal: A sensitivity analysis approach. </w:t>
      </w:r>
      <w:r w:rsidRPr="00B93B7B">
        <w:rPr>
          <w:rFonts w:asciiTheme="majorBidi" w:hAnsiTheme="majorBidi" w:cstheme="majorBidi"/>
          <w:i/>
          <w:iCs/>
          <w:sz w:val="24"/>
          <w:szCs w:val="24"/>
          <w:lang w:val="en-GB"/>
        </w:rPr>
        <w:t>International Journal of Production Economics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229</w:t>
      </w:r>
      <w:r w:rsidRPr="00B93B7B">
        <w:rPr>
          <w:rFonts w:asciiTheme="majorBidi" w:hAnsiTheme="majorBidi" w:cstheme="majorBidi"/>
          <w:sz w:val="24"/>
          <w:szCs w:val="24"/>
          <w:lang w:val="en-GB"/>
        </w:rPr>
        <w:t xml:space="preserve">, p.107769. </w:t>
      </w:r>
    </w:p>
    <w:p w14:paraId="565C7FA8"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lastRenderedPageBreak/>
        <w:t xml:space="preserve">Merkel, A., Nyberg, E., Ek, K. and </w:t>
      </w:r>
      <w:proofErr w:type="spellStart"/>
      <w:r w:rsidRPr="00B93B7B">
        <w:rPr>
          <w:rFonts w:asciiTheme="majorBidi" w:hAnsiTheme="majorBidi" w:cstheme="majorBidi"/>
          <w:sz w:val="24"/>
          <w:szCs w:val="24"/>
          <w:lang w:val="en-GB"/>
        </w:rPr>
        <w:t>Sjöstrand</w:t>
      </w:r>
      <w:proofErr w:type="spellEnd"/>
      <w:r w:rsidRPr="00B93B7B">
        <w:rPr>
          <w:rFonts w:asciiTheme="majorBidi" w:hAnsiTheme="majorBidi" w:cstheme="majorBidi"/>
          <w:sz w:val="24"/>
          <w:szCs w:val="24"/>
          <w:lang w:val="en-GB"/>
        </w:rPr>
        <w:t>, H., 2022. </w:t>
      </w:r>
      <w:r w:rsidRPr="00B93B7B">
        <w:rPr>
          <w:rFonts w:asciiTheme="majorBidi" w:hAnsiTheme="majorBidi" w:cstheme="majorBidi"/>
          <w:i/>
          <w:iCs/>
          <w:sz w:val="24"/>
          <w:szCs w:val="24"/>
          <w:lang w:val="en-GB"/>
        </w:rPr>
        <w:t>Economics of shore power for non-liner shipping: socioeconomic appraisal under different access pricing</w:t>
      </w:r>
      <w:r w:rsidRPr="00B93B7B">
        <w:rPr>
          <w:rFonts w:asciiTheme="majorBidi" w:hAnsiTheme="majorBidi" w:cstheme="majorBidi"/>
          <w:sz w:val="24"/>
          <w:szCs w:val="24"/>
          <w:lang w:val="en-GB"/>
        </w:rPr>
        <w:t xml:space="preserve">. </w:t>
      </w:r>
    </w:p>
    <w:p w14:paraId="359A3B68"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Nariswari</w:t>
      </w:r>
      <w:proofErr w:type="spellEnd"/>
      <w:r w:rsidRPr="00B93B7B">
        <w:rPr>
          <w:rFonts w:asciiTheme="majorBidi" w:hAnsiTheme="majorBidi" w:cstheme="majorBidi"/>
          <w:sz w:val="24"/>
          <w:szCs w:val="24"/>
          <w:lang w:val="en-GB"/>
        </w:rPr>
        <w:t xml:space="preserve">, T.N. and Nugraha, N.M., 2020. Profit growth: impact of net profit margin, gross profit margin and total </w:t>
      </w:r>
      <w:proofErr w:type="spellStart"/>
      <w:r w:rsidRPr="00B93B7B">
        <w:rPr>
          <w:rFonts w:asciiTheme="majorBidi" w:hAnsiTheme="majorBidi" w:cstheme="majorBidi"/>
          <w:sz w:val="24"/>
          <w:szCs w:val="24"/>
          <w:lang w:val="en-GB"/>
        </w:rPr>
        <w:t>assests</w:t>
      </w:r>
      <w:proofErr w:type="spellEnd"/>
      <w:r w:rsidRPr="00B93B7B">
        <w:rPr>
          <w:rFonts w:asciiTheme="majorBidi" w:hAnsiTheme="majorBidi" w:cstheme="majorBidi"/>
          <w:sz w:val="24"/>
          <w:szCs w:val="24"/>
          <w:lang w:val="en-GB"/>
        </w:rPr>
        <w:t xml:space="preserve"> turnover. </w:t>
      </w:r>
      <w:r w:rsidRPr="00B93B7B">
        <w:rPr>
          <w:rFonts w:asciiTheme="majorBidi" w:hAnsiTheme="majorBidi" w:cstheme="majorBidi"/>
          <w:i/>
          <w:iCs/>
          <w:sz w:val="24"/>
          <w:szCs w:val="24"/>
          <w:lang w:val="en-GB"/>
        </w:rPr>
        <w:t>International Journal of Finance &amp; Banking Studies (2147-4486)</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9</w:t>
      </w:r>
      <w:r w:rsidRPr="00B93B7B">
        <w:rPr>
          <w:rFonts w:asciiTheme="majorBidi" w:hAnsiTheme="majorBidi" w:cstheme="majorBidi"/>
          <w:sz w:val="24"/>
          <w:szCs w:val="24"/>
          <w:lang w:val="en-GB"/>
        </w:rPr>
        <w:t xml:space="preserve">(4), pp.87-96. </w:t>
      </w:r>
    </w:p>
    <w:p w14:paraId="78E5C36B"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Nasihin</w:t>
      </w:r>
      <w:proofErr w:type="spellEnd"/>
      <w:r w:rsidRPr="00B93B7B">
        <w:rPr>
          <w:rFonts w:asciiTheme="majorBidi" w:hAnsiTheme="majorBidi" w:cstheme="majorBidi"/>
          <w:sz w:val="24"/>
          <w:szCs w:val="24"/>
          <w:lang w:val="en-GB"/>
        </w:rPr>
        <w:t xml:space="preserve">, I. and </w:t>
      </w:r>
      <w:proofErr w:type="spellStart"/>
      <w:r w:rsidRPr="00B93B7B">
        <w:rPr>
          <w:rFonts w:asciiTheme="majorBidi" w:hAnsiTheme="majorBidi" w:cstheme="majorBidi"/>
          <w:sz w:val="24"/>
          <w:szCs w:val="24"/>
          <w:lang w:val="en-GB"/>
        </w:rPr>
        <w:t>Purwandari</w:t>
      </w:r>
      <w:proofErr w:type="spellEnd"/>
      <w:r w:rsidRPr="00B93B7B">
        <w:rPr>
          <w:rFonts w:asciiTheme="majorBidi" w:hAnsiTheme="majorBidi" w:cstheme="majorBidi"/>
          <w:sz w:val="24"/>
          <w:szCs w:val="24"/>
          <w:lang w:val="en-GB"/>
        </w:rPr>
        <w:t>, D., 2022. Analysis of the Effect of Profitability, Liquidity, and Firm Size on the Timeliness of Financial Report Submission. </w:t>
      </w:r>
      <w:proofErr w:type="spellStart"/>
      <w:r w:rsidRPr="00B93B7B">
        <w:rPr>
          <w:rFonts w:asciiTheme="majorBidi" w:hAnsiTheme="majorBidi" w:cstheme="majorBidi"/>
          <w:i/>
          <w:iCs/>
          <w:sz w:val="24"/>
          <w:szCs w:val="24"/>
          <w:lang w:val="en-GB"/>
        </w:rPr>
        <w:t>Jurnal</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Maksipreneur</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Manajemen</w:t>
      </w:r>
      <w:proofErr w:type="spellEnd"/>
      <w:r w:rsidRPr="00B93B7B">
        <w:rPr>
          <w:rFonts w:asciiTheme="majorBidi" w:hAnsiTheme="majorBidi" w:cstheme="majorBidi"/>
          <w:i/>
          <w:iCs/>
          <w:sz w:val="24"/>
          <w:szCs w:val="24"/>
          <w:lang w:val="en-GB"/>
        </w:rPr>
        <w:t xml:space="preserve">, </w:t>
      </w:r>
      <w:proofErr w:type="spellStart"/>
      <w:r w:rsidRPr="00B93B7B">
        <w:rPr>
          <w:rFonts w:asciiTheme="majorBidi" w:hAnsiTheme="majorBidi" w:cstheme="majorBidi"/>
          <w:i/>
          <w:iCs/>
          <w:sz w:val="24"/>
          <w:szCs w:val="24"/>
          <w:lang w:val="en-GB"/>
        </w:rPr>
        <w:t>Koperasi</w:t>
      </w:r>
      <w:proofErr w:type="spellEnd"/>
      <w:r w:rsidRPr="00B93B7B">
        <w:rPr>
          <w:rFonts w:asciiTheme="majorBidi" w:hAnsiTheme="majorBidi" w:cstheme="majorBidi"/>
          <w:i/>
          <w:iCs/>
          <w:sz w:val="24"/>
          <w:szCs w:val="24"/>
          <w:lang w:val="en-GB"/>
        </w:rPr>
        <w:t>, Dan Entrepreneurship</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12</w:t>
      </w:r>
      <w:r w:rsidRPr="00B93B7B">
        <w:rPr>
          <w:rFonts w:asciiTheme="majorBidi" w:hAnsiTheme="majorBidi" w:cstheme="majorBidi"/>
          <w:sz w:val="24"/>
          <w:szCs w:val="24"/>
          <w:lang w:val="en-GB"/>
        </w:rPr>
        <w:t xml:space="preserve">(1), pp.33-44. </w:t>
      </w:r>
    </w:p>
    <w:p w14:paraId="2186DA62"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Ogutu, A.W., Kiragu, D.N.U., </w:t>
      </w:r>
      <w:proofErr w:type="spellStart"/>
      <w:r w:rsidRPr="00B93B7B">
        <w:rPr>
          <w:rFonts w:asciiTheme="majorBidi" w:hAnsiTheme="majorBidi" w:cstheme="majorBidi"/>
          <w:sz w:val="24"/>
          <w:szCs w:val="24"/>
          <w:lang w:val="en-GB"/>
        </w:rPr>
        <w:t>Ngunyi</w:t>
      </w:r>
      <w:proofErr w:type="spellEnd"/>
      <w:r w:rsidRPr="00B93B7B">
        <w:rPr>
          <w:rFonts w:asciiTheme="majorBidi" w:hAnsiTheme="majorBidi" w:cstheme="majorBidi"/>
          <w:sz w:val="24"/>
          <w:szCs w:val="24"/>
          <w:lang w:val="en-GB"/>
        </w:rPr>
        <w:t xml:space="preserve">, A. and Shano, M., 2021. Effect of Investment Management Practices on Sustainability of Private Hospitals in Nairobi, Kenya. </w:t>
      </w:r>
    </w:p>
    <w:p w14:paraId="4D74947A"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Olayinka, A.A., 2022. Financial statement analysis as a tool for investment decisions and assessment of companies’ performance. </w:t>
      </w:r>
      <w:r w:rsidRPr="00B93B7B">
        <w:rPr>
          <w:rFonts w:asciiTheme="majorBidi" w:hAnsiTheme="majorBidi" w:cstheme="majorBidi"/>
          <w:i/>
          <w:iCs/>
          <w:sz w:val="24"/>
          <w:szCs w:val="24"/>
          <w:lang w:val="en-GB"/>
        </w:rPr>
        <w:t>International Journal of Financial, Accounting, and Management</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4</w:t>
      </w:r>
      <w:r w:rsidRPr="00B93B7B">
        <w:rPr>
          <w:rFonts w:asciiTheme="majorBidi" w:hAnsiTheme="majorBidi" w:cstheme="majorBidi"/>
          <w:sz w:val="24"/>
          <w:szCs w:val="24"/>
          <w:lang w:val="en-GB"/>
        </w:rPr>
        <w:t xml:space="preserve">(1), pp.49-66. </w:t>
      </w:r>
    </w:p>
    <w:p w14:paraId="0C70F2FA"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Palepu, K.G., Healy, P.M., Wright, S., Bradbury, M. and Coulton, J., 2020. </w:t>
      </w:r>
      <w:r w:rsidRPr="00B93B7B">
        <w:rPr>
          <w:rFonts w:asciiTheme="majorBidi" w:hAnsiTheme="majorBidi" w:cstheme="majorBidi"/>
          <w:i/>
          <w:iCs/>
          <w:sz w:val="24"/>
          <w:szCs w:val="24"/>
          <w:lang w:val="en-GB"/>
        </w:rPr>
        <w:t>Business analysis and valuation: Using financial statements</w:t>
      </w:r>
      <w:r w:rsidRPr="00B93B7B">
        <w:rPr>
          <w:rFonts w:asciiTheme="majorBidi" w:hAnsiTheme="majorBidi" w:cstheme="majorBidi"/>
          <w:sz w:val="24"/>
          <w:szCs w:val="24"/>
          <w:lang w:val="en-GB"/>
        </w:rPr>
        <w:t xml:space="preserve">. Cengage AU. </w:t>
      </w:r>
    </w:p>
    <w:p w14:paraId="64260E73"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Rahmah, I. and </w:t>
      </w:r>
      <w:proofErr w:type="spellStart"/>
      <w:r w:rsidRPr="00B93B7B">
        <w:rPr>
          <w:rFonts w:asciiTheme="majorBidi" w:hAnsiTheme="majorBidi" w:cstheme="majorBidi"/>
          <w:sz w:val="24"/>
          <w:szCs w:val="24"/>
          <w:lang w:val="en-GB"/>
        </w:rPr>
        <w:t>Novianty</w:t>
      </w:r>
      <w:proofErr w:type="spellEnd"/>
      <w:r w:rsidRPr="00B93B7B">
        <w:rPr>
          <w:rFonts w:asciiTheme="majorBidi" w:hAnsiTheme="majorBidi" w:cstheme="majorBidi"/>
          <w:sz w:val="24"/>
          <w:szCs w:val="24"/>
          <w:lang w:val="en-GB"/>
        </w:rPr>
        <w:t>, I., 2021. Comparative analysis of financial distress before and during the Covid-19 pandemic: Empirical evidence In Indonesia. </w:t>
      </w:r>
      <w:r w:rsidRPr="00B93B7B">
        <w:rPr>
          <w:rFonts w:asciiTheme="majorBidi" w:hAnsiTheme="majorBidi" w:cstheme="majorBidi"/>
          <w:i/>
          <w:iCs/>
          <w:sz w:val="24"/>
          <w:szCs w:val="24"/>
          <w:lang w:val="en-GB"/>
        </w:rPr>
        <w:t>International Journal of Business, Economics and Law</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24</w:t>
      </w:r>
      <w:r w:rsidRPr="00B93B7B">
        <w:rPr>
          <w:rFonts w:asciiTheme="majorBidi" w:hAnsiTheme="majorBidi" w:cstheme="majorBidi"/>
          <w:sz w:val="24"/>
          <w:szCs w:val="24"/>
          <w:lang w:val="en-GB"/>
        </w:rPr>
        <w:t xml:space="preserve">(5), pp.216-222. </w:t>
      </w:r>
    </w:p>
    <w:p w14:paraId="2305435F"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Rolinda, C., </w:t>
      </w:r>
      <w:proofErr w:type="spellStart"/>
      <w:r w:rsidRPr="00B93B7B">
        <w:rPr>
          <w:rFonts w:asciiTheme="majorBidi" w:hAnsiTheme="majorBidi" w:cstheme="majorBidi"/>
          <w:sz w:val="24"/>
          <w:szCs w:val="24"/>
          <w:lang w:val="en-GB"/>
        </w:rPr>
        <w:t>Naz’aina</w:t>
      </w:r>
      <w:proofErr w:type="spellEnd"/>
      <w:r w:rsidRPr="00B93B7B">
        <w:rPr>
          <w:rFonts w:asciiTheme="majorBidi" w:hAnsiTheme="majorBidi" w:cstheme="majorBidi"/>
          <w:sz w:val="24"/>
          <w:szCs w:val="24"/>
          <w:lang w:val="en-GB"/>
        </w:rPr>
        <w:t xml:space="preserve">, N. and Khaddafi, M., 2022. Financial Performance Analysis Before </w:t>
      </w:r>
      <w:proofErr w:type="gramStart"/>
      <w:r w:rsidRPr="00B93B7B">
        <w:rPr>
          <w:rFonts w:asciiTheme="majorBidi" w:hAnsiTheme="majorBidi" w:cstheme="majorBidi"/>
          <w:sz w:val="24"/>
          <w:szCs w:val="24"/>
          <w:lang w:val="en-GB"/>
        </w:rPr>
        <w:t>And</w:t>
      </w:r>
      <w:proofErr w:type="gramEnd"/>
      <w:r w:rsidRPr="00B93B7B">
        <w:rPr>
          <w:rFonts w:asciiTheme="majorBidi" w:hAnsiTheme="majorBidi" w:cstheme="majorBidi"/>
          <w:sz w:val="24"/>
          <w:szCs w:val="24"/>
          <w:lang w:val="en-GB"/>
        </w:rPr>
        <w:t xml:space="preserve"> After The Implementation Of Financial Management Patterns Of Regional General Services Agency At Cut </w:t>
      </w:r>
      <w:proofErr w:type="spellStart"/>
      <w:r w:rsidRPr="00B93B7B">
        <w:rPr>
          <w:rFonts w:asciiTheme="majorBidi" w:hAnsiTheme="majorBidi" w:cstheme="majorBidi"/>
          <w:sz w:val="24"/>
          <w:szCs w:val="24"/>
          <w:lang w:val="en-GB"/>
        </w:rPr>
        <w:t>Meutia</w:t>
      </w:r>
      <w:proofErr w:type="spellEnd"/>
      <w:r w:rsidRPr="00B93B7B">
        <w:rPr>
          <w:rFonts w:asciiTheme="majorBidi" w:hAnsiTheme="majorBidi" w:cstheme="majorBidi"/>
          <w:sz w:val="24"/>
          <w:szCs w:val="24"/>
          <w:lang w:val="en-GB"/>
        </w:rPr>
        <w:t xml:space="preserve"> Regional General Hospital, Aceh Utara Regency. </w:t>
      </w:r>
      <w:r w:rsidRPr="00B93B7B">
        <w:rPr>
          <w:rFonts w:asciiTheme="majorBidi" w:hAnsiTheme="majorBidi" w:cstheme="majorBidi"/>
          <w:i/>
          <w:iCs/>
          <w:sz w:val="24"/>
          <w:szCs w:val="24"/>
          <w:lang w:val="en-GB"/>
        </w:rPr>
        <w:t>International Journal of Social Science, Educational, Economics, Agriculture Research and Technology</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w:t>
      </w:r>
      <w:r w:rsidRPr="00B93B7B">
        <w:rPr>
          <w:rFonts w:asciiTheme="majorBidi" w:hAnsiTheme="majorBidi" w:cstheme="majorBidi"/>
          <w:sz w:val="24"/>
          <w:szCs w:val="24"/>
          <w:lang w:val="en-GB"/>
        </w:rPr>
        <w:t xml:space="preserve">(6), pp.315-328. </w:t>
      </w:r>
    </w:p>
    <w:p w14:paraId="1BF65514"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Singal, A.G., Zhang, E., Narasimman, M., Rich, N.E., </w:t>
      </w:r>
      <w:proofErr w:type="spellStart"/>
      <w:r w:rsidRPr="00B93B7B">
        <w:rPr>
          <w:rFonts w:asciiTheme="majorBidi" w:hAnsiTheme="majorBidi" w:cstheme="majorBidi"/>
          <w:sz w:val="24"/>
          <w:szCs w:val="24"/>
          <w:lang w:val="en-GB"/>
        </w:rPr>
        <w:t>Waljee</w:t>
      </w:r>
      <w:proofErr w:type="spellEnd"/>
      <w:r w:rsidRPr="00B93B7B">
        <w:rPr>
          <w:rFonts w:asciiTheme="majorBidi" w:hAnsiTheme="majorBidi" w:cstheme="majorBidi"/>
          <w:sz w:val="24"/>
          <w:szCs w:val="24"/>
          <w:lang w:val="en-GB"/>
        </w:rPr>
        <w:t xml:space="preserve">, A.K., </w:t>
      </w:r>
      <w:proofErr w:type="spellStart"/>
      <w:r w:rsidRPr="00B93B7B">
        <w:rPr>
          <w:rFonts w:asciiTheme="majorBidi" w:hAnsiTheme="majorBidi" w:cstheme="majorBidi"/>
          <w:sz w:val="24"/>
          <w:szCs w:val="24"/>
          <w:lang w:val="en-GB"/>
        </w:rPr>
        <w:t>Hoshida</w:t>
      </w:r>
      <w:proofErr w:type="spellEnd"/>
      <w:r w:rsidRPr="00B93B7B">
        <w:rPr>
          <w:rFonts w:asciiTheme="majorBidi" w:hAnsiTheme="majorBidi" w:cstheme="majorBidi"/>
          <w:sz w:val="24"/>
          <w:szCs w:val="24"/>
          <w:lang w:val="en-GB"/>
        </w:rPr>
        <w:t>, Y., Yang, J.D., Reig, M., Cabibbo, G., Nahon, P. and Parikh, N.D., 2022. HCC surveillance improves early detection, curative treatment receipt, and survival in patients with cirrhosis: a meta-analysis. </w:t>
      </w:r>
      <w:r w:rsidRPr="00B93B7B">
        <w:rPr>
          <w:rFonts w:asciiTheme="majorBidi" w:hAnsiTheme="majorBidi" w:cstheme="majorBidi"/>
          <w:i/>
          <w:iCs/>
          <w:sz w:val="24"/>
          <w:szCs w:val="24"/>
          <w:lang w:val="en-GB"/>
        </w:rPr>
        <w:t>Journal of hepatology</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77</w:t>
      </w:r>
      <w:r w:rsidRPr="00B93B7B">
        <w:rPr>
          <w:rFonts w:asciiTheme="majorBidi" w:hAnsiTheme="majorBidi" w:cstheme="majorBidi"/>
          <w:sz w:val="24"/>
          <w:szCs w:val="24"/>
          <w:lang w:val="en-GB"/>
        </w:rPr>
        <w:t xml:space="preserve">(1), pp.128-139. </w:t>
      </w:r>
    </w:p>
    <w:p w14:paraId="542A9145"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lastRenderedPageBreak/>
        <w:t>Tiwari, A. and Bhandari, T., 2020. Study on Capital Investment and Marketing of Kiwi Fruit in Ilam, Nepal. </w:t>
      </w:r>
      <w:r w:rsidRPr="00B93B7B">
        <w:rPr>
          <w:rFonts w:asciiTheme="majorBidi" w:hAnsiTheme="majorBidi" w:cstheme="majorBidi"/>
          <w:i/>
          <w:iCs/>
          <w:sz w:val="24"/>
          <w:szCs w:val="24"/>
          <w:lang w:val="en-GB"/>
        </w:rPr>
        <w:t>Retrieved on</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29</w:t>
      </w:r>
      <w:r w:rsidRPr="00B93B7B">
        <w:rPr>
          <w:rFonts w:asciiTheme="majorBidi" w:hAnsiTheme="majorBidi" w:cstheme="majorBidi"/>
          <w:sz w:val="24"/>
          <w:szCs w:val="24"/>
          <w:lang w:val="en-GB"/>
        </w:rPr>
        <w:t>(08), p.2022.</w:t>
      </w:r>
    </w:p>
    <w:p w14:paraId="0013D5F8"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Tomsah</w:t>
      </w:r>
      <w:proofErr w:type="spellEnd"/>
      <w:r w:rsidRPr="00B93B7B">
        <w:rPr>
          <w:rFonts w:asciiTheme="majorBidi" w:hAnsiTheme="majorBidi" w:cstheme="majorBidi"/>
          <w:sz w:val="24"/>
          <w:szCs w:val="24"/>
          <w:lang w:val="en-GB"/>
        </w:rPr>
        <w:t>, N.M., Mahmoud, A., Ibrahim, T., Mohamed, A.A. and Hamza, A.E., 2020. The Impact of Foreign Direct Investment on Profitability of Sudanese Banking sector. </w:t>
      </w:r>
      <w:r w:rsidRPr="00B93B7B">
        <w:rPr>
          <w:rFonts w:asciiTheme="majorBidi" w:hAnsiTheme="majorBidi" w:cstheme="majorBidi"/>
          <w:i/>
          <w:iCs/>
          <w:sz w:val="24"/>
          <w:szCs w:val="24"/>
          <w:lang w:val="en-GB"/>
        </w:rPr>
        <w:t>International Journal of Advanced Engineering Technologies and Innovations</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1</w:t>
      </w:r>
      <w:r w:rsidRPr="00B93B7B">
        <w:rPr>
          <w:rFonts w:asciiTheme="majorBidi" w:hAnsiTheme="majorBidi" w:cstheme="majorBidi"/>
          <w:sz w:val="24"/>
          <w:szCs w:val="24"/>
          <w:lang w:val="en-GB"/>
        </w:rPr>
        <w:t xml:space="preserve">(2), pp.84-94. </w:t>
      </w:r>
    </w:p>
    <w:p w14:paraId="14042CAA" w14:textId="77777777" w:rsidR="00287950" w:rsidRPr="00B93B7B" w:rsidRDefault="00287950" w:rsidP="00287950">
      <w:pPr>
        <w:spacing w:before="240" w:line="360" w:lineRule="auto"/>
        <w:jc w:val="both"/>
        <w:rPr>
          <w:rFonts w:asciiTheme="majorBidi" w:hAnsiTheme="majorBidi" w:cstheme="majorBidi"/>
          <w:sz w:val="24"/>
          <w:szCs w:val="24"/>
          <w:lang w:val="en-GB"/>
        </w:rPr>
      </w:pPr>
      <w:proofErr w:type="spellStart"/>
      <w:r w:rsidRPr="00B93B7B">
        <w:rPr>
          <w:rFonts w:asciiTheme="majorBidi" w:hAnsiTheme="majorBidi" w:cstheme="majorBidi"/>
          <w:sz w:val="24"/>
          <w:szCs w:val="24"/>
          <w:lang w:val="en-GB"/>
        </w:rPr>
        <w:t>Wijethilake</w:t>
      </w:r>
      <w:proofErr w:type="spellEnd"/>
      <w:r w:rsidRPr="00B93B7B">
        <w:rPr>
          <w:rFonts w:asciiTheme="majorBidi" w:hAnsiTheme="majorBidi" w:cstheme="majorBidi"/>
          <w:sz w:val="24"/>
          <w:szCs w:val="24"/>
          <w:lang w:val="en-GB"/>
        </w:rPr>
        <w:t xml:space="preserve">, C., </w:t>
      </w:r>
      <w:proofErr w:type="spellStart"/>
      <w:r w:rsidRPr="00B93B7B">
        <w:rPr>
          <w:rFonts w:asciiTheme="majorBidi" w:hAnsiTheme="majorBidi" w:cstheme="majorBidi"/>
          <w:sz w:val="24"/>
          <w:szCs w:val="24"/>
          <w:lang w:val="en-GB"/>
        </w:rPr>
        <w:t>Upadhaya</w:t>
      </w:r>
      <w:proofErr w:type="spellEnd"/>
      <w:r w:rsidRPr="00B93B7B">
        <w:rPr>
          <w:rFonts w:asciiTheme="majorBidi" w:hAnsiTheme="majorBidi" w:cstheme="majorBidi"/>
          <w:sz w:val="24"/>
          <w:szCs w:val="24"/>
          <w:lang w:val="en-GB"/>
        </w:rPr>
        <w:t>, B. and Lama, T., 2023. The role of organisational culture in organisational change towards sustainability: evidence from the garment manufacturing industry. </w:t>
      </w:r>
      <w:r w:rsidRPr="00B93B7B">
        <w:rPr>
          <w:rFonts w:asciiTheme="majorBidi" w:hAnsiTheme="majorBidi" w:cstheme="majorBidi"/>
          <w:i/>
          <w:iCs/>
          <w:sz w:val="24"/>
          <w:szCs w:val="24"/>
          <w:lang w:val="en-GB"/>
        </w:rPr>
        <w:t>Production Planning &amp; Control</w:t>
      </w:r>
      <w:r w:rsidRPr="00B93B7B">
        <w:rPr>
          <w:rFonts w:asciiTheme="majorBidi" w:hAnsiTheme="majorBidi" w:cstheme="majorBidi"/>
          <w:sz w:val="24"/>
          <w:szCs w:val="24"/>
          <w:lang w:val="en-GB"/>
        </w:rPr>
        <w:t>, </w:t>
      </w:r>
      <w:r w:rsidRPr="00B93B7B">
        <w:rPr>
          <w:rFonts w:asciiTheme="majorBidi" w:hAnsiTheme="majorBidi" w:cstheme="majorBidi"/>
          <w:i/>
          <w:iCs/>
          <w:sz w:val="24"/>
          <w:szCs w:val="24"/>
          <w:lang w:val="en-GB"/>
        </w:rPr>
        <w:t>34</w:t>
      </w:r>
      <w:r w:rsidRPr="00B93B7B">
        <w:rPr>
          <w:rFonts w:asciiTheme="majorBidi" w:hAnsiTheme="majorBidi" w:cstheme="majorBidi"/>
          <w:sz w:val="24"/>
          <w:szCs w:val="24"/>
          <w:lang w:val="en-GB"/>
        </w:rPr>
        <w:t xml:space="preserve">(3), pp.275-294. </w:t>
      </w:r>
    </w:p>
    <w:p w14:paraId="7F32379E"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b/>
          <w:bCs/>
          <w:sz w:val="24"/>
          <w:szCs w:val="24"/>
          <w:lang w:val="en-GB"/>
        </w:rPr>
        <w:t>Websites</w:t>
      </w:r>
      <w:r w:rsidRPr="00B93B7B">
        <w:rPr>
          <w:rFonts w:asciiTheme="majorBidi" w:hAnsiTheme="majorBidi" w:cstheme="majorBidi"/>
          <w:sz w:val="24"/>
          <w:szCs w:val="24"/>
          <w:lang w:val="en-GB"/>
        </w:rPr>
        <w:t xml:space="preserve"> </w:t>
      </w:r>
    </w:p>
    <w:p w14:paraId="448CA94B"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Annualreports.com, 2023, </w:t>
      </w:r>
      <w:r w:rsidRPr="00B93B7B">
        <w:rPr>
          <w:rFonts w:asciiTheme="majorBidi" w:hAnsiTheme="majorBidi" w:cstheme="majorBidi"/>
          <w:i/>
          <w:iCs/>
          <w:sz w:val="24"/>
          <w:szCs w:val="24"/>
          <w:lang w:val="en-GB"/>
        </w:rPr>
        <w:t>Most Recent Annual Report of Unilever Plc</w:t>
      </w:r>
      <w:r w:rsidRPr="00B93B7B">
        <w:rPr>
          <w:rFonts w:asciiTheme="majorBidi" w:hAnsiTheme="majorBidi" w:cstheme="majorBidi"/>
          <w:sz w:val="24"/>
          <w:szCs w:val="24"/>
          <w:lang w:val="en-GB"/>
        </w:rPr>
        <w:t>. Available at: https://www.annualreports.com/Company/unilever-plc [Accessed on 17</w:t>
      </w:r>
      <w:r w:rsidRPr="00B93B7B">
        <w:rPr>
          <w:rFonts w:asciiTheme="majorBidi" w:hAnsiTheme="majorBidi" w:cstheme="majorBidi"/>
          <w:sz w:val="24"/>
          <w:szCs w:val="24"/>
          <w:vertAlign w:val="superscript"/>
          <w:lang w:val="en-GB"/>
        </w:rPr>
        <w:t>th</w:t>
      </w:r>
      <w:r w:rsidRPr="00B93B7B">
        <w:rPr>
          <w:rFonts w:asciiTheme="majorBidi" w:hAnsiTheme="majorBidi" w:cstheme="majorBidi"/>
          <w:sz w:val="24"/>
          <w:szCs w:val="24"/>
          <w:lang w:val="en-GB"/>
        </w:rPr>
        <w:t xml:space="preserve"> July 2024] </w:t>
      </w:r>
    </w:p>
    <w:p w14:paraId="6347847A"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Statista.com, 2023, </w:t>
      </w:r>
      <w:r w:rsidRPr="00B93B7B">
        <w:rPr>
          <w:rFonts w:asciiTheme="majorBidi" w:hAnsiTheme="majorBidi" w:cstheme="majorBidi"/>
          <w:i/>
          <w:iCs/>
          <w:sz w:val="24"/>
          <w:szCs w:val="24"/>
          <w:lang w:val="en-GB"/>
        </w:rPr>
        <w:t>Revenue of Unilever Group worldwide from 2007 to 2023</w:t>
      </w:r>
      <w:r w:rsidRPr="00B93B7B">
        <w:rPr>
          <w:rFonts w:asciiTheme="majorBidi" w:hAnsiTheme="majorBidi" w:cstheme="majorBidi"/>
          <w:sz w:val="24"/>
          <w:szCs w:val="24"/>
          <w:lang w:val="en-GB"/>
        </w:rPr>
        <w:t>. Available at: https://www.statista.com/statistics/269190/global-revenue-of-the-unilever-group-since-2007/ [Accessed on 17</w:t>
      </w:r>
      <w:r w:rsidRPr="00B93B7B">
        <w:rPr>
          <w:rFonts w:asciiTheme="majorBidi" w:hAnsiTheme="majorBidi" w:cstheme="majorBidi"/>
          <w:sz w:val="24"/>
          <w:szCs w:val="24"/>
          <w:vertAlign w:val="superscript"/>
          <w:lang w:val="en-GB"/>
        </w:rPr>
        <w:t>th</w:t>
      </w:r>
      <w:r w:rsidRPr="00B93B7B">
        <w:rPr>
          <w:rFonts w:asciiTheme="majorBidi" w:hAnsiTheme="majorBidi" w:cstheme="majorBidi"/>
          <w:sz w:val="24"/>
          <w:szCs w:val="24"/>
          <w:lang w:val="en-GB"/>
        </w:rPr>
        <w:t xml:space="preserve"> July 2024] </w:t>
      </w:r>
    </w:p>
    <w:p w14:paraId="49B21B2E" w14:textId="77777777" w:rsidR="00287950" w:rsidRPr="00B93B7B" w:rsidRDefault="00287950" w:rsidP="00287950">
      <w:pPr>
        <w:spacing w:before="240" w:line="360" w:lineRule="auto"/>
        <w:jc w:val="both"/>
        <w:rPr>
          <w:rFonts w:asciiTheme="majorBidi" w:hAnsiTheme="majorBidi" w:cstheme="majorBidi"/>
          <w:sz w:val="24"/>
          <w:szCs w:val="24"/>
          <w:lang w:val="en-GB"/>
        </w:rPr>
      </w:pPr>
      <w:r w:rsidRPr="00B93B7B">
        <w:rPr>
          <w:rFonts w:asciiTheme="majorBidi" w:hAnsiTheme="majorBidi" w:cstheme="majorBidi"/>
          <w:sz w:val="24"/>
          <w:szCs w:val="24"/>
          <w:lang w:val="en-GB"/>
        </w:rPr>
        <w:t xml:space="preserve">Unilever.com, 2023, </w:t>
      </w:r>
      <w:r w:rsidRPr="00B93B7B">
        <w:rPr>
          <w:rFonts w:asciiTheme="majorBidi" w:hAnsiTheme="majorBidi" w:cstheme="majorBidi"/>
          <w:i/>
          <w:iCs/>
          <w:sz w:val="24"/>
          <w:szCs w:val="24"/>
          <w:lang w:val="en-GB"/>
        </w:rPr>
        <w:t>Unilever Global: Making sustainable living commonplace | Unilever</w:t>
      </w:r>
      <w:r w:rsidRPr="00B93B7B">
        <w:rPr>
          <w:rFonts w:asciiTheme="majorBidi" w:hAnsiTheme="majorBidi" w:cstheme="majorBidi"/>
          <w:sz w:val="24"/>
          <w:szCs w:val="24"/>
          <w:lang w:val="en-GB"/>
        </w:rPr>
        <w:t>. Available at: https://www.unilever.com/ [Accessed on 17</w:t>
      </w:r>
      <w:r w:rsidRPr="00B93B7B">
        <w:rPr>
          <w:rFonts w:asciiTheme="majorBidi" w:hAnsiTheme="majorBidi" w:cstheme="majorBidi"/>
          <w:sz w:val="24"/>
          <w:szCs w:val="24"/>
          <w:vertAlign w:val="superscript"/>
          <w:lang w:val="en-GB"/>
        </w:rPr>
        <w:t>th</w:t>
      </w:r>
      <w:r w:rsidRPr="00B93B7B">
        <w:rPr>
          <w:rFonts w:asciiTheme="majorBidi" w:hAnsiTheme="majorBidi" w:cstheme="majorBidi"/>
          <w:sz w:val="24"/>
          <w:szCs w:val="24"/>
          <w:lang w:val="en-GB"/>
        </w:rPr>
        <w:t xml:space="preserve"> July 2024] </w:t>
      </w:r>
    </w:p>
    <w:p w14:paraId="50C98BE7"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5F08EEBD"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74BBAFFC" w14:textId="77777777" w:rsidR="00287950" w:rsidRPr="00B93B7B" w:rsidRDefault="00287950" w:rsidP="00287950">
      <w:pPr>
        <w:spacing w:before="240" w:line="360" w:lineRule="auto"/>
        <w:jc w:val="both"/>
        <w:rPr>
          <w:rFonts w:asciiTheme="majorBidi" w:hAnsiTheme="majorBidi" w:cstheme="majorBidi"/>
          <w:sz w:val="24"/>
          <w:szCs w:val="24"/>
          <w:lang w:val="en-GB"/>
        </w:rPr>
      </w:pPr>
    </w:p>
    <w:p w14:paraId="2A646449" w14:textId="77777777" w:rsidR="0004657A" w:rsidRDefault="0004657A"/>
    <w:sectPr w:rsidR="000465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A04C3"/>
    <w:multiLevelType w:val="multilevel"/>
    <w:tmpl w:val="D40A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F51E5"/>
    <w:multiLevelType w:val="multilevel"/>
    <w:tmpl w:val="F8FC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C3006"/>
    <w:multiLevelType w:val="multilevel"/>
    <w:tmpl w:val="2CCE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E7DAE"/>
    <w:multiLevelType w:val="multilevel"/>
    <w:tmpl w:val="A660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8B607A"/>
    <w:multiLevelType w:val="multilevel"/>
    <w:tmpl w:val="C5D6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E3D33"/>
    <w:multiLevelType w:val="multilevel"/>
    <w:tmpl w:val="38D8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286357"/>
    <w:multiLevelType w:val="multilevel"/>
    <w:tmpl w:val="72EA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5B40A3"/>
    <w:multiLevelType w:val="multilevel"/>
    <w:tmpl w:val="EE5C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398875">
    <w:abstractNumId w:val="4"/>
  </w:num>
  <w:num w:numId="2" w16cid:durableId="1803890340">
    <w:abstractNumId w:val="6"/>
  </w:num>
  <w:num w:numId="3" w16cid:durableId="57822129">
    <w:abstractNumId w:val="7"/>
  </w:num>
  <w:num w:numId="4" w16cid:durableId="1136265715">
    <w:abstractNumId w:val="0"/>
  </w:num>
  <w:num w:numId="5" w16cid:durableId="1700427023">
    <w:abstractNumId w:val="5"/>
  </w:num>
  <w:num w:numId="6" w16cid:durableId="803039597">
    <w:abstractNumId w:val="2"/>
  </w:num>
  <w:num w:numId="7" w16cid:durableId="1924752455">
    <w:abstractNumId w:val="3"/>
  </w:num>
  <w:num w:numId="8" w16cid:durableId="681710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950"/>
    <w:rsid w:val="0004657A"/>
    <w:rsid w:val="000E2588"/>
    <w:rsid w:val="00287950"/>
    <w:rsid w:val="00503B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4CCCB"/>
  <w15:chartTrackingRefBased/>
  <w15:docId w15:val="{FD04F902-3A8C-455E-8F22-8E3D7C3A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950"/>
  </w:style>
  <w:style w:type="paragraph" w:styleId="Heading1">
    <w:name w:val="heading 1"/>
    <w:basedOn w:val="Heading4"/>
    <w:next w:val="Normal"/>
    <w:link w:val="Heading1Char"/>
    <w:autoRedefine/>
    <w:qFormat/>
    <w:rsid w:val="00287950"/>
    <w:pPr>
      <w:jc w:val="left"/>
      <w:outlineLvl w:val="0"/>
    </w:pPr>
    <w:rPr>
      <w:sz w:val="28"/>
    </w:rPr>
  </w:style>
  <w:style w:type="paragraph" w:styleId="Heading2">
    <w:name w:val="heading 2"/>
    <w:basedOn w:val="Normal"/>
    <w:next w:val="Normal"/>
    <w:link w:val="Heading2Char"/>
    <w:autoRedefine/>
    <w:uiPriority w:val="9"/>
    <w:unhideWhenUsed/>
    <w:qFormat/>
    <w:rsid w:val="00287950"/>
    <w:pPr>
      <w:keepNext/>
      <w:keepLines/>
      <w:spacing w:before="40" w:after="0" w:line="360" w:lineRule="auto"/>
      <w:jc w:val="both"/>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qFormat/>
    <w:rsid w:val="00287950"/>
    <w:pPr>
      <w:keepNext/>
      <w:keepLines/>
      <w:spacing w:before="320" w:after="80" w:line="360" w:lineRule="auto"/>
      <w:jc w:val="both"/>
      <w:outlineLvl w:val="2"/>
    </w:pPr>
    <w:rPr>
      <w:rFonts w:ascii="Times New Roman" w:eastAsia="Times New Roman" w:hAnsi="Times New Roman" w:cs="Times New Roman"/>
      <w:b/>
      <w:sz w:val="24"/>
      <w:szCs w:val="28"/>
    </w:rPr>
  </w:style>
  <w:style w:type="paragraph" w:styleId="Heading4">
    <w:name w:val="heading 4"/>
    <w:basedOn w:val="Normal"/>
    <w:next w:val="Normal"/>
    <w:link w:val="Heading4Char"/>
    <w:autoRedefine/>
    <w:uiPriority w:val="9"/>
    <w:unhideWhenUsed/>
    <w:qFormat/>
    <w:rsid w:val="00287950"/>
    <w:pPr>
      <w:keepNext/>
      <w:keepLines/>
      <w:spacing w:before="40" w:after="0" w:line="360" w:lineRule="auto"/>
      <w:jc w:val="center"/>
      <w:outlineLvl w:val="3"/>
    </w:pPr>
    <w:rPr>
      <w:rFonts w:asciiTheme="majorBidi" w:eastAsiaTheme="majorEastAsia" w:hAnsiTheme="majorBidi" w:cstheme="majorBidi"/>
      <w:b/>
      <w:iCs/>
      <w:sz w:val="24"/>
    </w:rPr>
  </w:style>
  <w:style w:type="paragraph" w:styleId="Heading5">
    <w:name w:val="heading 5"/>
    <w:basedOn w:val="Normal"/>
    <w:next w:val="Normal"/>
    <w:link w:val="Heading5Char"/>
    <w:autoRedefine/>
    <w:uiPriority w:val="9"/>
    <w:unhideWhenUsed/>
    <w:qFormat/>
    <w:rsid w:val="00287950"/>
    <w:pPr>
      <w:keepNext/>
      <w:keepLines/>
      <w:spacing w:before="40" w:after="0" w:line="360" w:lineRule="auto"/>
      <w:jc w:val="center"/>
      <w:outlineLvl w:val="4"/>
    </w:pPr>
    <w:rPr>
      <w:rFonts w:asciiTheme="majorBidi" w:eastAsiaTheme="majorEastAsia" w:hAnsiTheme="majorBidi"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7950"/>
    <w:rPr>
      <w:rFonts w:asciiTheme="majorBidi" w:eastAsiaTheme="majorEastAsia" w:hAnsiTheme="majorBidi" w:cstheme="majorBidi"/>
      <w:b/>
      <w:iCs/>
      <w:sz w:val="28"/>
    </w:rPr>
  </w:style>
  <w:style w:type="character" w:customStyle="1" w:styleId="Heading2Char">
    <w:name w:val="Heading 2 Char"/>
    <w:basedOn w:val="DefaultParagraphFont"/>
    <w:link w:val="Heading2"/>
    <w:uiPriority w:val="9"/>
    <w:rsid w:val="0028795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rsid w:val="00287950"/>
    <w:rPr>
      <w:rFonts w:ascii="Times New Roman" w:eastAsia="Times New Roman" w:hAnsi="Times New Roman" w:cs="Times New Roman"/>
      <w:b/>
      <w:sz w:val="24"/>
      <w:szCs w:val="28"/>
    </w:rPr>
  </w:style>
  <w:style w:type="character" w:customStyle="1" w:styleId="Heading4Char">
    <w:name w:val="Heading 4 Char"/>
    <w:basedOn w:val="DefaultParagraphFont"/>
    <w:link w:val="Heading4"/>
    <w:uiPriority w:val="9"/>
    <w:rsid w:val="00287950"/>
    <w:rPr>
      <w:rFonts w:asciiTheme="majorBidi" w:eastAsiaTheme="majorEastAsia" w:hAnsiTheme="majorBidi" w:cstheme="majorBidi"/>
      <w:b/>
      <w:iCs/>
      <w:sz w:val="24"/>
    </w:rPr>
  </w:style>
  <w:style w:type="character" w:customStyle="1" w:styleId="Heading5Char">
    <w:name w:val="Heading 5 Char"/>
    <w:basedOn w:val="DefaultParagraphFont"/>
    <w:link w:val="Heading5"/>
    <w:uiPriority w:val="9"/>
    <w:rsid w:val="00287950"/>
    <w:rPr>
      <w:rFonts w:asciiTheme="majorBidi" w:eastAsiaTheme="majorEastAsia" w:hAnsiTheme="majorBidi" w:cstheme="majorBidi"/>
      <w:b/>
      <w:sz w:val="24"/>
    </w:rPr>
  </w:style>
  <w:style w:type="paragraph" w:styleId="Header">
    <w:name w:val="header"/>
    <w:basedOn w:val="Normal"/>
    <w:link w:val="HeaderChar"/>
    <w:uiPriority w:val="99"/>
    <w:unhideWhenUsed/>
    <w:rsid w:val="00287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950"/>
  </w:style>
  <w:style w:type="paragraph" w:styleId="Footer">
    <w:name w:val="footer"/>
    <w:basedOn w:val="Normal"/>
    <w:link w:val="FooterChar"/>
    <w:uiPriority w:val="99"/>
    <w:unhideWhenUsed/>
    <w:rsid w:val="00287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950"/>
  </w:style>
  <w:style w:type="paragraph" w:styleId="TOCHeading">
    <w:name w:val="TOC Heading"/>
    <w:basedOn w:val="Heading1"/>
    <w:next w:val="Normal"/>
    <w:uiPriority w:val="39"/>
    <w:unhideWhenUsed/>
    <w:qFormat/>
    <w:rsid w:val="00287950"/>
    <w:pPr>
      <w:spacing w:before="240" w:line="259" w:lineRule="auto"/>
      <w:outlineLvl w:val="9"/>
    </w:pPr>
    <w:rPr>
      <w:rFonts w:asciiTheme="majorHAnsi" w:hAnsiTheme="majorHAnsi"/>
      <w:b w:val="0"/>
      <w:i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87950"/>
    <w:pPr>
      <w:spacing w:after="100"/>
    </w:pPr>
  </w:style>
  <w:style w:type="paragraph" w:styleId="TOC2">
    <w:name w:val="toc 2"/>
    <w:basedOn w:val="Normal"/>
    <w:next w:val="Normal"/>
    <w:autoRedefine/>
    <w:uiPriority w:val="39"/>
    <w:unhideWhenUsed/>
    <w:rsid w:val="00287950"/>
    <w:pPr>
      <w:spacing w:after="100"/>
      <w:ind w:left="220"/>
    </w:pPr>
  </w:style>
  <w:style w:type="character" w:styleId="Hyperlink">
    <w:name w:val="Hyperlink"/>
    <w:basedOn w:val="DefaultParagraphFont"/>
    <w:uiPriority w:val="99"/>
    <w:unhideWhenUsed/>
    <w:rsid w:val="00287950"/>
    <w:rPr>
      <w:color w:val="0563C1" w:themeColor="hyperlink"/>
      <w:u w:val="single"/>
    </w:rPr>
  </w:style>
  <w:style w:type="table" w:styleId="TableGrid">
    <w:name w:val="Table Grid"/>
    <w:basedOn w:val="TableNormal"/>
    <w:uiPriority w:val="39"/>
    <w:rsid w:val="00287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D:\Freelancing%20(Meghna)\2024\July\21.07.2024\Job%201\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Freelancing%20(Meghna)\2024\July\21.07.2024\Job%201\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Freelancing%20(Meghna)\2024\July\21.07.2024\Job%201\Exce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Freelancing%20(Meghna)\2024\July\21.07.2024\Job%201\Excel.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i="0" u="none" strike="noStrike" cap="all" baseline="0">
                <a:effectLst/>
              </a:rPr>
              <a:t>Profitability ratios</a:t>
            </a:r>
            <a:r>
              <a:rPr lang="en-IN" sz="1800" b="1" i="0" u="none" strike="noStrike" cap="all" baseline="0"/>
              <a:t> </a:t>
            </a:r>
            <a:endParaRPr lang="en-IN"/>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0"/>
      <c:rotY val="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Ratios!$B$6</c:f>
              <c:strCache>
                <c:ptCount val="1"/>
                <c:pt idx="0">
                  <c:v>Gross profit ratio</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(Ratios!$C$6:$H$6,Ratios!$I$6)</c:f>
              <c:numCache>
                <c:formatCode>0.00</c:formatCode>
                <c:ptCount val="7"/>
                <c:pt idx="0">
                  <c:v>16.371384470840884</c:v>
                </c:pt>
                <c:pt idx="1">
                  <c:v>17.90321775173539</c:v>
                </c:pt>
                <c:pt idx="2">
                  <c:v>16.592937228281595</c:v>
                </c:pt>
                <c:pt idx="3">
                  <c:v>16.368977209999212</c:v>
                </c:pt>
                <c:pt idx="4">
                  <c:v>16.752597152751058</c:v>
                </c:pt>
                <c:pt idx="5">
                  <c:v>16.79782276272163</c:v>
                </c:pt>
                <c:pt idx="6">
                  <c:v>5.7</c:v>
                </c:pt>
              </c:numCache>
            </c:numRef>
          </c:val>
          <c:extLst>
            <c:ext xmlns:c16="http://schemas.microsoft.com/office/drawing/2014/chart" uri="{C3380CC4-5D6E-409C-BE32-E72D297353CC}">
              <c16:uniqueId val="{00000000-02EF-4EAE-AC1C-54B8C001C443}"/>
            </c:ext>
          </c:extLst>
        </c:ser>
        <c:ser>
          <c:idx val="1"/>
          <c:order val="1"/>
          <c:tx>
            <c:strRef>
              <c:f>Ratios!$B$10</c:f>
              <c:strCache>
                <c:ptCount val="1"/>
                <c:pt idx="0">
                  <c:v>Net profit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Ratios!$C$10:$I$10</c:f>
              <c:numCache>
                <c:formatCode>0.00</c:formatCode>
                <c:ptCount val="7"/>
                <c:pt idx="0">
                  <c:v>11.979061807932354</c:v>
                </c:pt>
                <c:pt idx="1">
                  <c:v>13.764919348126444</c:v>
                </c:pt>
                <c:pt idx="2">
                  <c:v>12.624895126229882</c:v>
                </c:pt>
                <c:pt idx="3">
                  <c:v>11.972636227426859</c:v>
                </c:pt>
                <c:pt idx="4">
                  <c:v>11.592920353982301</c:v>
                </c:pt>
                <c:pt idx="5">
                  <c:v>12.386886572739568</c:v>
                </c:pt>
                <c:pt idx="6">
                  <c:v>4.0999999999999996</c:v>
                </c:pt>
              </c:numCache>
            </c:numRef>
          </c:val>
          <c:extLst>
            <c:ext xmlns:c16="http://schemas.microsoft.com/office/drawing/2014/chart" uri="{C3380CC4-5D6E-409C-BE32-E72D297353CC}">
              <c16:uniqueId val="{00000001-02EF-4EAE-AC1C-54B8C001C443}"/>
            </c:ext>
          </c:extLst>
        </c:ser>
        <c:dLbls>
          <c:showLegendKey val="0"/>
          <c:showVal val="1"/>
          <c:showCatName val="0"/>
          <c:showSerName val="0"/>
          <c:showPercent val="0"/>
          <c:showBubbleSize val="0"/>
        </c:dLbls>
        <c:gapWidth val="160"/>
        <c:gapDepth val="0"/>
        <c:shape val="box"/>
        <c:axId val="777733663"/>
        <c:axId val="777735103"/>
        <c:axId val="0"/>
      </c:bar3DChart>
      <c:catAx>
        <c:axId val="7777336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5103"/>
        <c:crosses val="autoZero"/>
        <c:auto val="1"/>
        <c:lblAlgn val="ctr"/>
        <c:lblOffset val="100"/>
        <c:noMultiLvlLbl val="0"/>
      </c:catAx>
      <c:valAx>
        <c:axId val="77773510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3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i="0" u="none" strike="noStrike" cap="all" baseline="0">
                <a:effectLst/>
              </a:rPr>
              <a:t>Liquidity ratios</a:t>
            </a:r>
            <a:r>
              <a:rPr lang="en-IN" sz="1800" b="1" i="0" u="none" strike="noStrike" cap="all" baseline="0"/>
              <a:t> </a:t>
            </a:r>
            <a:endParaRPr lang="en-IN"/>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0"/>
      <c:rotY val="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Ratios!$B$15</c:f>
              <c:strCache>
                <c:ptCount val="1"/>
                <c:pt idx="0">
                  <c:v>Current ratio</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Ratios!$C$15:$I$15</c:f>
              <c:numCache>
                <c:formatCode>0.00</c:formatCode>
                <c:ptCount val="7"/>
                <c:pt idx="0">
                  <c:v>0.76156038626792022</c:v>
                </c:pt>
                <c:pt idx="1">
                  <c:v>0.75341172769103704</c:v>
                </c:pt>
                <c:pt idx="2">
                  <c:v>0.70227621276939223</c:v>
                </c:pt>
                <c:pt idx="3">
                  <c:v>0.78462509712509709</c:v>
                </c:pt>
                <c:pt idx="4">
                  <c:v>0.78320144913719136</c:v>
                </c:pt>
                <c:pt idx="5">
                  <c:v>0.75701497459812761</c:v>
                </c:pt>
                <c:pt idx="6">
                  <c:v>1.47</c:v>
                </c:pt>
              </c:numCache>
            </c:numRef>
          </c:val>
          <c:extLst>
            <c:ext xmlns:c16="http://schemas.microsoft.com/office/drawing/2014/chart" uri="{C3380CC4-5D6E-409C-BE32-E72D297353CC}">
              <c16:uniqueId val="{00000000-EFF4-408F-8631-80B17660090D}"/>
            </c:ext>
          </c:extLst>
        </c:ser>
        <c:ser>
          <c:idx val="1"/>
          <c:order val="1"/>
          <c:tx>
            <c:strRef>
              <c:f>Ratios!$B$19</c:f>
              <c:strCache>
                <c:ptCount val="1"/>
                <c:pt idx="0">
                  <c:v>Cash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Ratios!$C$19:$I$19</c:f>
              <c:numCache>
                <c:formatCode>0.00</c:formatCode>
                <c:ptCount val="7"/>
                <c:pt idx="0">
                  <c:v>0.17692602203598928</c:v>
                </c:pt>
                <c:pt idx="1">
                  <c:v>0.17013410941125576</c:v>
                </c:pt>
                <c:pt idx="2">
                  <c:v>0.13782387601904916</c:v>
                </c:pt>
                <c:pt idx="3">
                  <c:v>0.26942501942501945</c:v>
                </c:pt>
                <c:pt idx="4">
                  <c:v>0.19949470874249214</c:v>
                </c:pt>
                <c:pt idx="5">
                  <c:v>0.19076074712676117</c:v>
                </c:pt>
                <c:pt idx="6">
                  <c:v>0.31</c:v>
                </c:pt>
              </c:numCache>
            </c:numRef>
          </c:val>
          <c:extLst>
            <c:ext xmlns:c16="http://schemas.microsoft.com/office/drawing/2014/chart" uri="{C3380CC4-5D6E-409C-BE32-E72D297353CC}">
              <c16:uniqueId val="{00000001-EFF4-408F-8631-80B17660090D}"/>
            </c:ext>
          </c:extLst>
        </c:ser>
        <c:dLbls>
          <c:showLegendKey val="0"/>
          <c:showVal val="1"/>
          <c:showCatName val="0"/>
          <c:showSerName val="0"/>
          <c:showPercent val="0"/>
          <c:showBubbleSize val="0"/>
        </c:dLbls>
        <c:gapWidth val="160"/>
        <c:gapDepth val="0"/>
        <c:shape val="box"/>
        <c:axId val="777733663"/>
        <c:axId val="777735103"/>
        <c:axId val="0"/>
      </c:bar3DChart>
      <c:catAx>
        <c:axId val="7777336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5103"/>
        <c:crosses val="autoZero"/>
        <c:auto val="1"/>
        <c:lblAlgn val="ctr"/>
        <c:lblOffset val="100"/>
        <c:noMultiLvlLbl val="0"/>
      </c:catAx>
      <c:valAx>
        <c:axId val="77773510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3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i="0" u="none" strike="noStrike" cap="all" baseline="0">
                <a:effectLst/>
              </a:rPr>
              <a:t>Gearing ratios</a:t>
            </a:r>
            <a:r>
              <a:rPr lang="en-IN" sz="1800" b="1" i="0" u="none" strike="noStrike" cap="all" baseline="0"/>
              <a:t> </a:t>
            </a:r>
            <a:endParaRPr lang="en-IN"/>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0"/>
      <c:rotY val="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Ratios!$B$24</c:f>
              <c:strCache>
                <c:ptCount val="1"/>
                <c:pt idx="0">
                  <c:v>Gearing ratio</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Ratios!$C$24:$I$24</c:f>
              <c:numCache>
                <c:formatCode>0.00</c:formatCode>
                <c:ptCount val="7"/>
                <c:pt idx="0">
                  <c:v>2.624831439029089</c:v>
                </c:pt>
                <c:pt idx="1">
                  <c:v>2.5860559421224827</c:v>
                </c:pt>
                <c:pt idx="2">
                  <c:v>2.8030487187278434</c:v>
                </c:pt>
                <c:pt idx="3">
                  <c:v>2.8322854715378081</c:v>
                </c:pt>
                <c:pt idx="4">
                  <c:v>3.6670027365692066</c:v>
                </c:pt>
                <c:pt idx="5">
                  <c:v>2.902644861597286</c:v>
                </c:pt>
                <c:pt idx="6">
                  <c:v>0.55000000000000004</c:v>
                </c:pt>
              </c:numCache>
            </c:numRef>
          </c:val>
          <c:extLst>
            <c:ext xmlns:c16="http://schemas.microsoft.com/office/drawing/2014/chart" uri="{C3380CC4-5D6E-409C-BE32-E72D297353CC}">
              <c16:uniqueId val="{00000000-7951-4DC5-9E31-F388666F2971}"/>
            </c:ext>
          </c:extLst>
        </c:ser>
        <c:ser>
          <c:idx val="1"/>
          <c:order val="1"/>
          <c:tx>
            <c:strRef>
              <c:f>Ratios!$B$28</c:f>
              <c:strCache>
                <c:ptCount val="1"/>
                <c:pt idx="0">
                  <c:v>Debt ratio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Ratios!$C$28:$I$28</c:f>
              <c:numCache>
                <c:formatCode>0.00</c:formatCode>
                <c:ptCount val="7"/>
                <c:pt idx="0">
                  <c:v>0.7241251029681397</c:v>
                </c:pt>
                <c:pt idx="1">
                  <c:v>0.72114210817131619</c:v>
                </c:pt>
                <c:pt idx="2">
                  <c:v>0.73705306611625276</c:v>
                </c:pt>
                <c:pt idx="3">
                  <c:v>0.7390591052188179</c:v>
                </c:pt>
                <c:pt idx="4">
                  <c:v>0.78572971638428546</c:v>
                </c:pt>
                <c:pt idx="5">
                  <c:v>0.74142181977176247</c:v>
                </c:pt>
                <c:pt idx="6">
                  <c:v>0.55000000000000004</c:v>
                </c:pt>
              </c:numCache>
            </c:numRef>
          </c:val>
          <c:extLst>
            <c:ext xmlns:c16="http://schemas.microsoft.com/office/drawing/2014/chart" uri="{C3380CC4-5D6E-409C-BE32-E72D297353CC}">
              <c16:uniqueId val="{00000001-7951-4DC5-9E31-F388666F2971}"/>
            </c:ext>
          </c:extLst>
        </c:ser>
        <c:dLbls>
          <c:showLegendKey val="0"/>
          <c:showVal val="1"/>
          <c:showCatName val="0"/>
          <c:showSerName val="0"/>
          <c:showPercent val="0"/>
          <c:showBubbleSize val="0"/>
        </c:dLbls>
        <c:gapWidth val="160"/>
        <c:gapDepth val="0"/>
        <c:shape val="box"/>
        <c:axId val="777733663"/>
        <c:axId val="777735103"/>
        <c:axId val="0"/>
      </c:bar3DChart>
      <c:catAx>
        <c:axId val="7777336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5103"/>
        <c:crosses val="autoZero"/>
        <c:auto val="1"/>
        <c:lblAlgn val="ctr"/>
        <c:lblOffset val="100"/>
        <c:noMultiLvlLbl val="0"/>
      </c:catAx>
      <c:valAx>
        <c:axId val="77773510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3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i="0" u="none" strike="noStrike" cap="all" baseline="0">
                <a:effectLst/>
              </a:rPr>
              <a:t>Efficiency ratios</a:t>
            </a:r>
            <a:endParaRPr lang="en-IN"/>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0"/>
      <c:rotY val="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Ratios!$B$33</c:f>
              <c:strCache>
                <c:ptCount val="1"/>
                <c:pt idx="0">
                  <c:v>Collection period </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Ratios!$C$33:$I$33</c:f>
              <c:numCache>
                <c:formatCode>0.00</c:formatCode>
                <c:ptCount val="7"/>
                <c:pt idx="0">
                  <c:v>35.364656734447351</c:v>
                </c:pt>
                <c:pt idx="1">
                  <c:v>42.871839262230949</c:v>
                </c:pt>
                <c:pt idx="2">
                  <c:v>37.736061322553581</c:v>
                </c:pt>
                <c:pt idx="3">
                  <c:v>35.540079646715562</c:v>
                </c:pt>
                <c:pt idx="4">
                  <c:v>47.01183147364371</c:v>
                </c:pt>
                <c:pt idx="5">
                  <c:v>39.704893687918229</c:v>
                </c:pt>
                <c:pt idx="6">
                  <c:v>45</c:v>
                </c:pt>
              </c:numCache>
            </c:numRef>
          </c:val>
          <c:extLst>
            <c:ext xmlns:c16="http://schemas.microsoft.com/office/drawing/2014/chart" uri="{C3380CC4-5D6E-409C-BE32-E72D297353CC}">
              <c16:uniqueId val="{00000000-B488-41B3-A618-D84960114CCC}"/>
            </c:ext>
          </c:extLst>
        </c:ser>
        <c:ser>
          <c:idx val="1"/>
          <c:order val="1"/>
          <c:tx>
            <c:strRef>
              <c:f>Ratios!$B$37</c:f>
              <c:strCache>
                <c:ptCount val="1"/>
                <c:pt idx="0">
                  <c:v>Payment period </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Ratios!$C$3:$I$4</c:f>
              <c:multiLvlStrCache>
                <c:ptCount val="7"/>
                <c:lvl>
                  <c:pt idx="0">
                    <c:v>2023</c:v>
                  </c:pt>
                  <c:pt idx="1">
                    <c:v>2022</c:v>
                  </c:pt>
                  <c:pt idx="2">
                    <c:v>2021</c:v>
                  </c:pt>
                  <c:pt idx="3">
                    <c:v>2020</c:v>
                  </c:pt>
                  <c:pt idx="4">
                    <c:v>2019</c:v>
                  </c:pt>
                  <c:pt idx="5">
                    <c:v>Company average</c:v>
                  </c:pt>
                  <c:pt idx="6">
                    <c:v>Industry average</c:v>
                  </c:pt>
                </c:lvl>
                <c:lvl>
                  <c:pt idx="0">
                    <c:v>UNILEVER PLC </c:v>
                  </c:pt>
                </c:lvl>
              </c:multiLvlStrCache>
            </c:multiLvlStrRef>
          </c:cat>
          <c:val>
            <c:numRef>
              <c:f>Ratios!$C$37:$I$37</c:f>
              <c:numCache>
                <c:formatCode>0.00</c:formatCode>
                <c:ptCount val="7"/>
                <c:pt idx="0">
                  <c:v>123.4362837539622</c:v>
                </c:pt>
                <c:pt idx="1">
                  <c:v>133.38730281033295</c:v>
                </c:pt>
                <c:pt idx="2">
                  <c:v>124.00587536006584</c:v>
                </c:pt>
                <c:pt idx="3">
                  <c:v>121.59496475802078</c:v>
                </c:pt>
                <c:pt idx="4">
                  <c:v>124.56831207247181</c:v>
                </c:pt>
                <c:pt idx="5">
                  <c:v>125.39854775097072</c:v>
                </c:pt>
                <c:pt idx="6">
                  <c:v>60</c:v>
                </c:pt>
              </c:numCache>
            </c:numRef>
          </c:val>
          <c:extLst>
            <c:ext xmlns:c16="http://schemas.microsoft.com/office/drawing/2014/chart" uri="{C3380CC4-5D6E-409C-BE32-E72D297353CC}">
              <c16:uniqueId val="{00000001-B488-41B3-A618-D84960114CCC}"/>
            </c:ext>
          </c:extLst>
        </c:ser>
        <c:dLbls>
          <c:showLegendKey val="0"/>
          <c:showVal val="1"/>
          <c:showCatName val="0"/>
          <c:showSerName val="0"/>
          <c:showPercent val="0"/>
          <c:showBubbleSize val="0"/>
        </c:dLbls>
        <c:gapWidth val="160"/>
        <c:gapDepth val="0"/>
        <c:shape val="box"/>
        <c:axId val="777733663"/>
        <c:axId val="777735103"/>
        <c:axId val="0"/>
      </c:bar3DChart>
      <c:catAx>
        <c:axId val="7777336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5103"/>
        <c:crosses val="autoZero"/>
        <c:auto val="1"/>
        <c:lblAlgn val="ctr"/>
        <c:lblOffset val="100"/>
        <c:noMultiLvlLbl val="0"/>
      </c:catAx>
      <c:valAx>
        <c:axId val="777735103"/>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7733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6075</Words>
  <Characters>32361</Characters>
  <Application>Microsoft Office Word</Application>
  <DocSecurity>0</DocSecurity>
  <Lines>1023</Lines>
  <Paragraphs>494</Paragraphs>
  <ScaleCrop>false</ScaleCrop>
  <Company/>
  <LinksUpToDate>false</LinksUpToDate>
  <CharactersWithSpaces>39447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faisalmasaniya786@outlook.com</dc:creator>
  <cp:keywords/>
  <dc:description/>
  <cp:lastModifiedBy>faisalmasaniya786@outlook.com</cp:lastModifiedBy>
  <cp:revision>2</cp:revision>
  <dcterms:created xsi:type="dcterms:W3CDTF">2024-08-16T15:07:00Z</dcterms:created>
  <dcterms:modified xsi:type="dcterms:W3CDTF">2024-08-16T15:14:00Z</dcterms:modified>
</cp:coreProperties>
</file>