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5EC1" w:rsidRPr="001E0154" w:rsidRDefault="000025B9" w:rsidP="001E0154">
      <w:pPr>
        <w:jc w:val="center"/>
        <w:rPr>
          <w:u w:val="single"/>
        </w:rPr>
      </w:pPr>
      <w:r w:rsidRPr="001E0154">
        <w:rPr>
          <w:u w:val="single"/>
        </w:rPr>
        <w:t>‘Explain the significance of marriage and divorce laws within Judaism.’</w:t>
      </w:r>
    </w:p>
    <w:p w:rsidR="00CE152F" w:rsidRPr="00256405" w:rsidRDefault="00796165" w:rsidP="00796165">
      <w:r>
        <w:t xml:space="preserve">Throughout this essay, I will be discussing the significance of Marriage and Divorce laws </w:t>
      </w:r>
      <w:r w:rsidR="007614B3">
        <w:t>for women within Judaism</w:t>
      </w:r>
      <w:r>
        <w:t xml:space="preserve">, and how </w:t>
      </w:r>
      <w:r w:rsidR="007614B3">
        <w:t xml:space="preserve">Orthodox </w:t>
      </w:r>
      <w:r w:rsidR="00CE152F">
        <w:t xml:space="preserve">and Reform </w:t>
      </w:r>
      <w:r w:rsidR="007614B3">
        <w:t xml:space="preserve">groups </w:t>
      </w:r>
      <w:r>
        <w:t>practice and observe t</w:t>
      </w:r>
      <w:r w:rsidR="007614B3">
        <w:t xml:space="preserve">he laws of these two significant </w:t>
      </w:r>
      <w:r>
        <w:t xml:space="preserve">stages within </w:t>
      </w:r>
      <w:r w:rsidR="007614B3">
        <w:t xml:space="preserve">Jewish life. I will also look at Conservative Judaism for any other differences. Most Jews </w:t>
      </w:r>
      <w:r>
        <w:t xml:space="preserve">observe the laws on marriage and divorce proceedings differently due to the variations within the Religion and also due to the way society is constantly changing. It changes also for the Jews living in the Diaspora where they must also follow the laws </w:t>
      </w:r>
      <w:r w:rsidR="00CE152F">
        <w:t>of the country they are in whilst</w:t>
      </w:r>
      <w:r>
        <w:t xml:space="preserve"> also obeying their religious laws. </w:t>
      </w:r>
    </w:p>
    <w:p w:rsidR="00CE152F" w:rsidRDefault="00F77D27" w:rsidP="00796165">
      <w:r>
        <w:t xml:space="preserve">Judaism follows the understanding of being born of matrilineal descent, which allows for the continuation of the Jewish faith through the mother in Orthodox practices, which further demonstrates the importance of women in Judaism. In Jewish Law, you can only have children if you are married. </w:t>
      </w:r>
      <w:r w:rsidR="00CE152F">
        <w:t xml:space="preserve">Marriage is one of the </w:t>
      </w:r>
      <w:r>
        <w:t xml:space="preserve">most important rites of passage in </w:t>
      </w:r>
      <w:r w:rsidR="00CE152F">
        <w:t>the li</w:t>
      </w:r>
      <w:r w:rsidR="00BB5E78">
        <w:t xml:space="preserve">fe of </w:t>
      </w:r>
      <w:r w:rsidR="007614B3">
        <w:t xml:space="preserve">all </w:t>
      </w:r>
      <w:r w:rsidR="00BB5E78">
        <w:t xml:space="preserve">Jewish people as it </w:t>
      </w:r>
      <w:r w:rsidR="00CE152F">
        <w:t>allows for the continuation of the Jewish fait</w:t>
      </w:r>
      <w:r>
        <w:t>h through having children. I</w:t>
      </w:r>
      <w:r w:rsidR="00BB5E78">
        <w:t xml:space="preserve">n the case of Orthodox Jews, </w:t>
      </w:r>
      <w:r>
        <w:t xml:space="preserve">they </w:t>
      </w:r>
      <w:r w:rsidR="00BB5E78">
        <w:t>have interpreted this idea as having as many as 6-8 children per family. The significance of God’s command</w:t>
      </w:r>
      <w:r w:rsidR="006B6286">
        <w:t>; ‘</w:t>
      </w:r>
      <w:r w:rsidR="00BB5E78">
        <w:t>...be fruitful and increase in number</w:t>
      </w:r>
      <w:r w:rsidR="006B6286">
        <w:t>; multiply on the earth and increase upon it</w:t>
      </w:r>
      <w:r w:rsidR="00BB5E78">
        <w:t>’</w:t>
      </w:r>
      <w:r w:rsidR="006B6286">
        <w:t xml:space="preserve"> </w:t>
      </w:r>
      <w:r w:rsidR="007614B3">
        <w:t>(Genesis 9:7) with further emphasis from Eliezer Segal, who stated that ‘Virtually all forms of Judaism have regarded marriage and procreation as basic expectations of religious life.’</w:t>
      </w:r>
      <w:r w:rsidR="007614B3">
        <w:rPr>
          <w:rStyle w:val="FootnoteReference"/>
        </w:rPr>
        <w:footnoteReference w:id="1"/>
      </w:r>
      <w:r w:rsidR="007614B3">
        <w:t xml:space="preserve"> With this, we can clearly see the significance of marriage </w:t>
      </w:r>
      <w:r>
        <w:t>through the hope of procreation and fulfilling God’s command.</w:t>
      </w:r>
      <w:r w:rsidR="00874823">
        <w:t xml:space="preserve"> </w:t>
      </w:r>
      <w:r>
        <w:t xml:space="preserve">Ancient marriage customs, as explained in the Hebrew Bible, did not allow women much freedom of choice for their partner. </w:t>
      </w:r>
      <w:r w:rsidR="00C72114">
        <w:t xml:space="preserve">As seen in the marriage between Abraham and Rebekah in Genesis 24, the fathers arranged the marriage, with the proposal further being accepted by the Rebekah’s father, without her consent. A Mohar was agreed by the groom which the bride’s father would accept as a sign of betrothal to the daughter. (Gen.34) In modern day, a Jewish male may offer a ring to the woman, as a sign of betrothal, which she can accept or decline, instead of a payment to the bride’s father. </w:t>
      </w:r>
    </w:p>
    <w:p w:rsidR="007934CC" w:rsidRDefault="00C72E7A" w:rsidP="00C72E7A">
      <w:r>
        <w:t xml:space="preserve">The role of men and women vary between Orthodox and Reform during the wedding ceremony. Within Orthodox, the groom will cover the face of his bride with a veil, after he has seen that the woman he is marrying is correct. This goes back to the wedding of Jacob and Leah, which was meant to be between Jacob and Rachel. (Gen. 29:16-27) This is the significance, within Orthodox Judaism, of checking the bride before the wedding, which she will later be covered with her veil for the entire wedding. After he has checked, the ceremony proceeds. </w:t>
      </w:r>
      <w:r w:rsidR="000D044E">
        <w:t xml:space="preserve">As Rabbi </w:t>
      </w:r>
      <w:proofErr w:type="spellStart"/>
      <w:r w:rsidR="000D044E">
        <w:t>Hayim</w:t>
      </w:r>
      <w:proofErr w:type="spellEnd"/>
      <w:r w:rsidR="000D044E">
        <w:t xml:space="preserve"> Halevy </w:t>
      </w:r>
      <w:proofErr w:type="spellStart"/>
      <w:r w:rsidR="000D044E">
        <w:t>Donin</w:t>
      </w:r>
      <w:proofErr w:type="spellEnd"/>
      <w:r w:rsidR="000D044E">
        <w:t xml:space="preserve"> explains in his book, the ‘bride and groom stand beneath a </w:t>
      </w:r>
      <w:proofErr w:type="spellStart"/>
      <w:r w:rsidR="000D044E">
        <w:t>Chupah</w:t>
      </w:r>
      <w:proofErr w:type="spellEnd"/>
      <w:r w:rsidR="000D044E">
        <w:t>’</w:t>
      </w:r>
      <w:r w:rsidR="000D044E">
        <w:rPr>
          <w:rStyle w:val="FootnoteReference"/>
        </w:rPr>
        <w:footnoteReference w:id="2"/>
      </w:r>
      <w:r w:rsidR="000D044E">
        <w:t xml:space="preserve">, the marital canopy which is very symbolic for the family home they will live in together and raise their children. The most important document from the wedding is the </w:t>
      </w:r>
      <w:proofErr w:type="spellStart"/>
      <w:r w:rsidR="000D044E">
        <w:t>Ketub</w:t>
      </w:r>
      <w:r w:rsidR="00F709F6">
        <w:t>b</w:t>
      </w:r>
      <w:r w:rsidR="000D044E">
        <w:t>ah</w:t>
      </w:r>
      <w:proofErr w:type="spellEnd"/>
      <w:r w:rsidR="000D044E">
        <w:t xml:space="preserve">. Segal explains how the significance of the </w:t>
      </w:r>
      <w:proofErr w:type="spellStart"/>
      <w:r w:rsidR="000D044E">
        <w:t>Ketub</w:t>
      </w:r>
      <w:r w:rsidR="00F709F6">
        <w:t>b</w:t>
      </w:r>
      <w:r w:rsidR="000D044E">
        <w:t>ah</w:t>
      </w:r>
      <w:proofErr w:type="spellEnd"/>
      <w:r w:rsidR="000D044E">
        <w:t xml:space="preserve"> is that it ‘outlines all that the husband must do to his </w:t>
      </w:r>
      <w:r w:rsidR="008565D5">
        <w:t>wife and guarantees support for the wife upon termination of the marriage; whether through divorce or death.</w:t>
      </w:r>
      <w:r w:rsidR="008565D5">
        <w:rPr>
          <w:rStyle w:val="FootnoteReference"/>
        </w:rPr>
        <w:footnoteReference w:id="3"/>
      </w:r>
      <w:r w:rsidR="008565D5">
        <w:t xml:space="preserve">’ There is a great significance of smashing glass at the end of the wedding ceremony, which is done by the groom, As said on page </w:t>
      </w:r>
      <w:r w:rsidR="008565D5">
        <w:lastRenderedPageBreak/>
        <w:t xml:space="preserve">289, in How to be a Jew, Rabbi </w:t>
      </w:r>
      <w:proofErr w:type="spellStart"/>
      <w:r w:rsidR="008565D5">
        <w:t>Hayim</w:t>
      </w:r>
      <w:proofErr w:type="spellEnd"/>
      <w:r w:rsidR="008565D5">
        <w:t xml:space="preserve"> </w:t>
      </w:r>
      <w:proofErr w:type="spellStart"/>
      <w:r w:rsidR="008565D5">
        <w:t>Donin</w:t>
      </w:r>
      <w:proofErr w:type="spellEnd"/>
      <w:r w:rsidR="008565D5">
        <w:t xml:space="preserve"> mentions how the ‘glass symbolizes the destruction of the ancient Temple’</w:t>
      </w:r>
      <w:r w:rsidR="008565D5">
        <w:rPr>
          <w:rStyle w:val="FootnoteReference"/>
        </w:rPr>
        <w:footnoteReference w:id="4"/>
      </w:r>
      <w:r w:rsidR="008565D5">
        <w:t xml:space="preserve"> that was destroyed 70 AD. </w:t>
      </w:r>
    </w:p>
    <w:p w:rsidR="00C72E7A" w:rsidRDefault="00C72E7A" w:rsidP="00C72E7A">
      <w:r>
        <w:t>Men and women are divided during the ceremony within Orthodox practices, which is very significant within this part of Judaism as the separation is continued from the ceremony even to the evening reception. Within Reform Judaism, marriage is very significant but with the inclusion of men and women at all times during the ceremony and even after the ceremony. Where no men can see the face of the bride in the Orthodox wedding, all who are presen</w:t>
      </w:r>
      <w:r w:rsidR="00256405">
        <w:t xml:space="preserve">t can see in the Reform wedding, which signifies the importance of the different roles men and women have during the wedding ceremony. Both the groom and bride </w:t>
      </w:r>
      <w:r>
        <w:t>exchange rings to ea</w:t>
      </w:r>
      <w:r w:rsidR="00256405">
        <w:t>ch other, which is symbolic in the equality of men and women during the ceremony, as both receive a physical sign of their marriage together.</w:t>
      </w:r>
      <w:r w:rsidR="0037761D">
        <w:t xml:space="preserve"> </w:t>
      </w:r>
      <w:r>
        <w:t xml:space="preserve"> </w:t>
      </w:r>
    </w:p>
    <w:p w:rsidR="00C72E7A" w:rsidRPr="0011058F" w:rsidRDefault="00395CFF" w:rsidP="00796165">
      <w:r>
        <w:t xml:space="preserve">Within the Hebrew Bible, there are many rules on intermarriage and also variations between Orthodox and Reform on their opinions of intermarriage. As Deuteronomy explains ‘do not intermarry with them’ (Deut.7:3-4) this implies the marriage of Jewish people with gentiles. Within Orthodox, marriage with gentiles is not acceptable in the idea of the continuation of the Jewish faith, which if </w:t>
      </w:r>
      <w:r w:rsidR="004C249C">
        <w:t>a Jewish man was</w:t>
      </w:r>
      <w:r>
        <w:t xml:space="preserve"> to marry a gentile woman, the faith would end. </w:t>
      </w:r>
      <w:r w:rsidR="004C249C">
        <w:t>Christine Hayes’ book ‘Gentile impurities and</w:t>
      </w:r>
      <w:r w:rsidR="007F2034">
        <w:t xml:space="preserve"> Jewish I</w:t>
      </w:r>
      <w:r w:rsidR="004C249C">
        <w:t xml:space="preserve">dentities’ suggest strongly that interfaith marriage is not accepted, which implies further on the significance of not allowing interfaith marriages in Orthodox Judaism. </w:t>
      </w:r>
      <w:r>
        <w:t xml:space="preserve">However, Reform </w:t>
      </w:r>
      <w:r w:rsidR="004C249C">
        <w:t>has</w:t>
      </w:r>
      <w:r>
        <w:t xml:space="preserve"> altered this to allow men who have children to be seen</w:t>
      </w:r>
      <w:r w:rsidR="004C249C">
        <w:t xml:space="preserve"> as Jewish within the faith,</w:t>
      </w:r>
      <w:r>
        <w:t xml:space="preserve"> through patrilineal descent</w:t>
      </w:r>
      <w:r w:rsidR="004C249C">
        <w:t>. This further shows the significance of both men and women</w:t>
      </w:r>
      <w:r w:rsidR="005F6667">
        <w:t xml:space="preserve"> within marriage</w:t>
      </w:r>
      <w:r w:rsidR="004C249C">
        <w:t>, even in interfai</w:t>
      </w:r>
      <w:r w:rsidR="007F2034">
        <w:t xml:space="preserve">th marriages. </w:t>
      </w:r>
    </w:p>
    <w:p w:rsidR="00A42A48" w:rsidRDefault="008535CC" w:rsidP="00796165">
      <w:r>
        <w:t xml:space="preserve">The main law of divorce is written in the Hebrew Bible, under Deuteronomy 24:1, which explains why a man can divorce his wife, in this case, if she becomes displeasing </w:t>
      </w:r>
      <w:r w:rsidR="00BC64CE">
        <w:t>to him.</w:t>
      </w:r>
      <w:r>
        <w:t xml:space="preserve"> I</w:t>
      </w:r>
      <w:r w:rsidR="00FB6A5C">
        <w:t xml:space="preserve">n the </w:t>
      </w:r>
      <w:proofErr w:type="spellStart"/>
      <w:r w:rsidR="00FB6A5C">
        <w:t>Ketub</w:t>
      </w:r>
      <w:r w:rsidR="00F709F6">
        <w:t>b</w:t>
      </w:r>
      <w:r w:rsidR="00FB6A5C">
        <w:t>ah</w:t>
      </w:r>
      <w:proofErr w:type="spellEnd"/>
      <w:r w:rsidR="00FB6A5C">
        <w:t>, the marriage certificate, it outlines what the husband must do for his wife in case of a divorce, which is very significant to women within Judai</w:t>
      </w:r>
      <w:r>
        <w:t>sm as it allows support for the woman from her husband</w:t>
      </w:r>
      <w:r w:rsidR="00FB6A5C">
        <w:t xml:space="preserve"> even after the divorce. </w:t>
      </w:r>
      <w:r w:rsidR="00A42A48">
        <w:t xml:space="preserve">Both the man and woman will seek help from the Rabbi and the community to work out their differences or to try and understand where their relationship has failed. </w:t>
      </w:r>
      <w:r w:rsidR="006406C4">
        <w:t xml:space="preserve">Although it mentions that ‘Even G-d shares tears when anyone divorces his wife,’ (Sanhedrin 22a) if a divorce is needed then the couple proceed to the Beth Din, which is where they testify their need for a divorce to a panel of Rabbis. The community will try to help the couple to resolve any issues they have as a couple in the aim of saving the marriage, however, this may end with them being better living apart. </w:t>
      </w:r>
      <w:r w:rsidR="00CC36C8">
        <w:t>However, if they do have a divorce and she remar</w:t>
      </w:r>
      <w:r w:rsidR="00892C80">
        <w:t xml:space="preserve">ries, then he </w:t>
      </w:r>
      <w:r w:rsidR="00CC36C8">
        <w:t>cannot marry her again</w:t>
      </w:r>
      <w:r w:rsidR="00892C80">
        <w:t xml:space="preserve">. </w:t>
      </w:r>
      <w:r w:rsidR="00B02C8B">
        <w:t xml:space="preserve"> </w:t>
      </w:r>
    </w:p>
    <w:p w:rsidR="008535CC" w:rsidRDefault="00FB6A5C" w:rsidP="00796165">
      <w:r>
        <w:t xml:space="preserve">If a divorce is needed, </w:t>
      </w:r>
      <w:r w:rsidR="00E929B1">
        <w:t xml:space="preserve">both the husband and wife must visit the Beth Din, where they will have to explain why they need a divorce in front of 3 Rabbi’s. In chapter 20 of Rabbi </w:t>
      </w:r>
      <w:proofErr w:type="spellStart"/>
      <w:r w:rsidR="00E929B1">
        <w:t>Donin’s</w:t>
      </w:r>
      <w:proofErr w:type="spellEnd"/>
      <w:r w:rsidR="00E929B1">
        <w:t xml:space="preserve"> book, he explains how a ‘scribe will write the get document which the husband will give to his wife.</w:t>
      </w:r>
      <w:r w:rsidR="00E929B1">
        <w:rPr>
          <w:rStyle w:val="FootnoteReference"/>
        </w:rPr>
        <w:footnoteReference w:id="5"/>
      </w:r>
      <w:r w:rsidR="00E929B1">
        <w:t xml:space="preserve">’ In some cases, the man can refuse to hand over the get document to his wife which, if the woman asks for a divorce, she cannot divorce him without the get. </w:t>
      </w:r>
      <w:r w:rsidR="008535CC">
        <w:t xml:space="preserve">If the divorce is agreed by the Beth Din and the man does hand over the get, they are now divorced. However, she cannot remarry until after 90 days, which is very significant within Jewish divorce laws with the possibility of the woman being </w:t>
      </w:r>
      <w:r w:rsidR="008535CC">
        <w:lastRenderedPageBreak/>
        <w:t xml:space="preserve">pregnant. </w:t>
      </w:r>
      <w:r w:rsidR="00B02C8B">
        <w:t xml:space="preserve">If she is pregnant within this period, </w:t>
      </w:r>
      <w:r w:rsidR="005C3FB0">
        <w:t xml:space="preserve">then they may </w:t>
      </w:r>
      <w:r w:rsidR="00B02C8B">
        <w:t xml:space="preserve">continue with their </w:t>
      </w:r>
      <w:r w:rsidR="005C3FB0">
        <w:t xml:space="preserve">previous </w:t>
      </w:r>
      <w:r w:rsidR="00B02C8B">
        <w:t xml:space="preserve">relationship </w:t>
      </w:r>
      <w:r w:rsidR="005C3FB0">
        <w:t xml:space="preserve">in the hope to reconcile and rebuild their marriage. </w:t>
      </w:r>
    </w:p>
    <w:p w:rsidR="007370AA" w:rsidRDefault="00FB6A5C" w:rsidP="00796165">
      <w:r>
        <w:t xml:space="preserve">In De Lange’s book, Judaism, </w:t>
      </w:r>
      <w:r w:rsidR="008535CC">
        <w:t xml:space="preserve">he describes how a woman </w:t>
      </w:r>
      <w:r w:rsidR="00E929B1">
        <w:t xml:space="preserve">cannot receive the get from her husband and explains how ‘in </w:t>
      </w:r>
      <w:proofErr w:type="spellStart"/>
      <w:r w:rsidR="00E929B1">
        <w:t>Halakhah</w:t>
      </w:r>
      <w:proofErr w:type="spellEnd"/>
      <w:r w:rsidR="00E929B1">
        <w:t>, it states that a woman shall only remarry if the husband has died or if they are divorced</w:t>
      </w:r>
      <w:r w:rsidR="008535CC">
        <w:t>.</w:t>
      </w:r>
      <w:r w:rsidR="008535CC">
        <w:rPr>
          <w:rStyle w:val="FootnoteReference"/>
        </w:rPr>
        <w:footnoteReference w:id="6"/>
      </w:r>
      <w:r w:rsidR="008535CC">
        <w:t xml:space="preserve">’ In the case of many Jewish women, the husband may refuse to hand over the get document, which leaves them ‘chained’ to their husband for life. </w:t>
      </w:r>
      <w:r w:rsidR="003F5979">
        <w:t>This is very significant in the way that women cannot leave a marriage they are unhappy in, however, as Segal mentions, men can state that ‘any dissatisfaction may serve as an acceptable justification of divorce.’</w:t>
      </w:r>
      <w:r w:rsidR="003F5979">
        <w:rPr>
          <w:rStyle w:val="FootnoteReference"/>
        </w:rPr>
        <w:footnoteReference w:id="7"/>
      </w:r>
      <w:r w:rsidR="00F709F6">
        <w:t xml:space="preserve"> </w:t>
      </w:r>
      <w:r w:rsidR="008535CC">
        <w:t xml:space="preserve">Different groups within Judaism are trying to change how </w:t>
      </w:r>
      <w:proofErr w:type="spellStart"/>
      <w:r w:rsidR="008535CC">
        <w:t>Agunah</w:t>
      </w:r>
      <w:proofErr w:type="spellEnd"/>
      <w:r w:rsidR="008535CC">
        <w:t xml:space="preserve"> women can become free from their husbands. In Orthodox Judaism, however, the woman is an </w:t>
      </w:r>
      <w:proofErr w:type="spellStart"/>
      <w:r w:rsidR="008535CC">
        <w:t>Agunah</w:t>
      </w:r>
      <w:proofErr w:type="spellEnd"/>
      <w:r w:rsidR="008535CC">
        <w:t xml:space="preserve"> for life if the husband refuses to hand over the get, therefore she cannot remarry. </w:t>
      </w:r>
    </w:p>
    <w:p w:rsidR="00870860" w:rsidRPr="0011058F" w:rsidRDefault="00D913A7" w:rsidP="00796165">
      <w:r>
        <w:t xml:space="preserve">If the </w:t>
      </w:r>
      <w:proofErr w:type="spellStart"/>
      <w:r>
        <w:t>Agunah</w:t>
      </w:r>
      <w:proofErr w:type="spellEnd"/>
      <w:r>
        <w:t xml:space="preserve"> woman goes on to have a child with another man, even though she is still married to her husband in Jewish Law, the children will be classed as Mamzerim, which De Lange explains as being the ‘offspring of certain categories of forbidden union.’</w:t>
      </w:r>
      <w:r>
        <w:rPr>
          <w:rStyle w:val="FootnoteReference"/>
        </w:rPr>
        <w:footnoteReference w:id="8"/>
      </w:r>
      <w:r>
        <w:t xml:space="preserve"> In the Hebrew Bible, this is explained in one of the Ten Commandments, which states ‘You shall not commit adultery’ (Ex.20:14) Within both Conservative and Reform, they allow the woman more freedom with being an </w:t>
      </w:r>
      <w:proofErr w:type="spellStart"/>
      <w:r>
        <w:t>Agunah</w:t>
      </w:r>
      <w:proofErr w:type="spellEnd"/>
      <w:r>
        <w:t xml:space="preserve">, with Conservative allowing for an annulment of the marriage under </w:t>
      </w:r>
      <w:proofErr w:type="spellStart"/>
      <w:r>
        <w:t>Halakhah</w:t>
      </w:r>
      <w:proofErr w:type="spellEnd"/>
      <w:r>
        <w:t xml:space="preserve"> and Reform allows a civil divorce, which further allows the woman to remarry. </w:t>
      </w:r>
      <w:r w:rsidR="00AD2FC4">
        <w:t xml:space="preserve">Within Orthodox, there is very little done to prevent </w:t>
      </w:r>
      <w:proofErr w:type="spellStart"/>
      <w:r w:rsidR="00AD2FC4">
        <w:t>Agunah</w:t>
      </w:r>
      <w:proofErr w:type="spellEnd"/>
      <w:r w:rsidR="00AD2FC4">
        <w:t xml:space="preserve"> women, which signifies the importance of </w:t>
      </w:r>
      <w:r w:rsidR="001B40CF">
        <w:t>divorce laws within different groups of Judaism and how they follow and observe</w:t>
      </w:r>
      <w:r w:rsidR="00AD2FC4">
        <w:t xml:space="preserve">. </w:t>
      </w:r>
      <w:r>
        <w:t xml:space="preserve">This is very significant for women within Judaism who are </w:t>
      </w:r>
      <w:proofErr w:type="spellStart"/>
      <w:r>
        <w:t>Agunah</w:t>
      </w:r>
      <w:proofErr w:type="spellEnd"/>
      <w:r w:rsidR="00870860">
        <w:t xml:space="preserve">, who want to leave their marriage but cannot. </w:t>
      </w:r>
    </w:p>
    <w:p w:rsidR="00870860" w:rsidRPr="00BC2DD6" w:rsidRDefault="00870860" w:rsidP="00796165">
      <w:r>
        <w:t xml:space="preserve">To conclude, in my opinion, marriage and divorce laws are </w:t>
      </w:r>
      <w:r w:rsidR="0007262F">
        <w:t xml:space="preserve">both </w:t>
      </w:r>
      <w:r>
        <w:t>very significant within Judaism today, with divorce laws being the most s</w:t>
      </w:r>
      <w:r w:rsidR="00A62D51">
        <w:t xml:space="preserve">ignificant to women. </w:t>
      </w:r>
      <w:r w:rsidR="00947A7F">
        <w:t>With</w:t>
      </w:r>
      <w:r w:rsidR="001675C5">
        <w:t>in</w:t>
      </w:r>
      <w:r w:rsidR="00947A7F">
        <w:t xml:space="preserve"> divorce</w:t>
      </w:r>
      <w:r w:rsidR="001675C5">
        <w:t xml:space="preserve"> laws</w:t>
      </w:r>
      <w:r w:rsidR="00947A7F">
        <w:t xml:space="preserve">, </w:t>
      </w:r>
      <w:r w:rsidR="00A42A48">
        <w:t xml:space="preserve">the biggest debate is how </w:t>
      </w:r>
      <w:r w:rsidR="00947A7F">
        <w:t xml:space="preserve">the main power is with men as women cannot ask for </w:t>
      </w:r>
      <w:r w:rsidR="001675C5">
        <w:t>a divorce from</w:t>
      </w:r>
      <w:r w:rsidR="00947A7F">
        <w:t xml:space="preserve"> the husband, unless </w:t>
      </w:r>
      <w:r w:rsidR="001675C5">
        <w:t xml:space="preserve">it is </w:t>
      </w:r>
      <w:r w:rsidR="00947A7F">
        <w:t xml:space="preserve">within Conservative or Reform practices. </w:t>
      </w:r>
      <w:r w:rsidR="0007262F">
        <w:t xml:space="preserve">However, the Beth Din </w:t>
      </w:r>
      <w:r w:rsidR="00A42A48">
        <w:t>has</w:t>
      </w:r>
      <w:r w:rsidR="0007262F">
        <w:t xml:space="preserve"> the authority to coerce th</w:t>
      </w:r>
      <w:r w:rsidR="00A42A48">
        <w:t xml:space="preserve">e man to give his wife a get if </w:t>
      </w:r>
      <w:r w:rsidR="0007262F">
        <w:t>she ha</w:t>
      </w:r>
      <w:r w:rsidR="00A42A48">
        <w:t>s requested it from him. W</w:t>
      </w:r>
      <w:r w:rsidR="00480C2E">
        <w:t>omen cannot leave t</w:t>
      </w:r>
      <w:r w:rsidR="00A42A48">
        <w:t>hei</w:t>
      </w:r>
      <w:r w:rsidR="00480C2E">
        <w:t>r marriage without the consent of men; however men can leave the marriage</w:t>
      </w:r>
      <w:r w:rsidR="00A42A48">
        <w:t xml:space="preserve"> without the consent of women, which signifies the power that men have over the marriage as she can become trapped for life. </w:t>
      </w:r>
      <w:r w:rsidR="00A62D51">
        <w:t xml:space="preserve">Although </w:t>
      </w:r>
      <w:r>
        <w:t>marriage</w:t>
      </w:r>
      <w:r w:rsidR="00A62D51">
        <w:t xml:space="preserve"> laws are </w:t>
      </w:r>
      <w:r>
        <w:t>fairly equal for both men and wome</w:t>
      </w:r>
      <w:r w:rsidR="00A62D51">
        <w:t xml:space="preserve">n, </w:t>
      </w:r>
      <w:r>
        <w:t>it must be celebrated in separa</w:t>
      </w:r>
      <w:r w:rsidR="00A62D51">
        <w:t>tion within Orthodox practices. However,</w:t>
      </w:r>
      <w:r>
        <w:t xml:space="preserve"> with marriage also comes for the</w:t>
      </w:r>
      <w:r w:rsidR="00A62D51">
        <w:t xml:space="preserve"> couple to have Jewish children, which, in Judaism, follows matrilineal</w:t>
      </w:r>
      <w:r>
        <w:t xml:space="preserve"> descent</w:t>
      </w:r>
      <w:r w:rsidR="00A62D51">
        <w:t xml:space="preserve"> which signifies the importance of not only the marriage of two Jewish people but for the woman to have Jewish children. Marriage unites two families </w:t>
      </w:r>
      <w:r w:rsidR="00947A7F">
        <w:t>which continues with the line of genealogy from Abraham; t</w:t>
      </w:r>
      <w:r w:rsidR="00222633">
        <w:t xml:space="preserve">he Father of the Jewish nation, which is very significant for all Jews today. This also allows for Jewish children to be born within the faith, </w:t>
      </w:r>
      <w:r w:rsidR="00222633" w:rsidRPr="00421EE0">
        <w:t xml:space="preserve">which is the first covenant </w:t>
      </w:r>
      <w:r w:rsidR="00A46281" w:rsidRPr="00421EE0">
        <w:t>‘</w:t>
      </w:r>
      <w:r w:rsidR="00A46281" w:rsidRPr="00421EE0">
        <w:rPr>
          <w:color w:val="000000"/>
          <w:shd w:val="clear" w:color="auto" w:fill="FFFFFF"/>
        </w:rPr>
        <w:t>I will make you exceedingly fruitful; and I will make nations of you</w:t>
      </w:r>
      <w:r w:rsidR="00421EE0" w:rsidRPr="00421EE0">
        <w:rPr>
          <w:color w:val="000000"/>
          <w:shd w:val="clear" w:color="auto" w:fill="FFFFFF"/>
        </w:rPr>
        <w:t>.</w:t>
      </w:r>
      <w:r w:rsidR="00A46281" w:rsidRPr="00421EE0">
        <w:rPr>
          <w:color w:val="000000"/>
          <w:shd w:val="clear" w:color="auto" w:fill="FFFFFF"/>
        </w:rPr>
        <w:t xml:space="preserve">’ (Gen.6) With this, </w:t>
      </w:r>
      <w:r w:rsidR="00421EE0" w:rsidRPr="00421EE0">
        <w:rPr>
          <w:color w:val="000000"/>
          <w:shd w:val="clear" w:color="auto" w:fill="FFFFFF"/>
        </w:rPr>
        <w:t xml:space="preserve">however, </w:t>
      </w:r>
      <w:r w:rsidR="00A46281" w:rsidRPr="00421EE0">
        <w:rPr>
          <w:color w:val="000000"/>
          <w:shd w:val="clear" w:color="auto" w:fill="FFFFFF"/>
        </w:rPr>
        <w:t>divorce is the most significant to women in Judaism,</w:t>
      </w:r>
      <w:r w:rsidR="00421EE0">
        <w:rPr>
          <w:color w:val="000000"/>
          <w:shd w:val="clear" w:color="auto" w:fill="FFFFFF"/>
        </w:rPr>
        <w:t xml:space="preserve"> with there being various practices within Judaism on what must be done during the divorce procedure</w:t>
      </w:r>
      <w:r w:rsidR="00A244A9">
        <w:rPr>
          <w:color w:val="000000"/>
          <w:shd w:val="clear" w:color="auto" w:fill="FFFFFF"/>
        </w:rPr>
        <w:t xml:space="preserve"> and what is to be done </w:t>
      </w:r>
      <w:r w:rsidR="00421EE0">
        <w:rPr>
          <w:color w:val="000000"/>
          <w:shd w:val="clear" w:color="auto" w:fill="FFFFFF"/>
        </w:rPr>
        <w:t>after the divorce has been agreed</w:t>
      </w:r>
      <w:r w:rsidR="00A244A9">
        <w:rPr>
          <w:color w:val="000000"/>
          <w:shd w:val="clear" w:color="auto" w:fill="FFFFFF"/>
        </w:rPr>
        <w:t>.</w:t>
      </w:r>
      <w:r w:rsidR="00421EE0">
        <w:rPr>
          <w:color w:val="000000"/>
          <w:shd w:val="clear" w:color="auto" w:fill="FFFFFF"/>
        </w:rPr>
        <w:t xml:space="preserve"> </w:t>
      </w:r>
    </w:p>
    <w:p w:rsidR="0011058F" w:rsidRDefault="0011058F" w:rsidP="00421EE0">
      <w:pPr>
        <w:jc w:val="center"/>
        <w:rPr>
          <w:u w:val="single"/>
        </w:rPr>
      </w:pPr>
    </w:p>
    <w:p w:rsidR="0011058F" w:rsidRDefault="0011058F" w:rsidP="00421EE0">
      <w:pPr>
        <w:jc w:val="center"/>
        <w:rPr>
          <w:u w:val="single"/>
        </w:rPr>
      </w:pPr>
    </w:p>
    <w:p w:rsidR="002F18A3" w:rsidRPr="002F18A3" w:rsidRDefault="002F18A3" w:rsidP="00421EE0">
      <w:pPr>
        <w:jc w:val="center"/>
        <w:rPr>
          <w:u w:val="single"/>
        </w:rPr>
      </w:pPr>
      <w:bookmarkStart w:id="0" w:name="_GoBack"/>
      <w:bookmarkEnd w:id="0"/>
      <w:r>
        <w:rPr>
          <w:u w:val="single"/>
        </w:rPr>
        <w:t>Bibliography</w:t>
      </w:r>
    </w:p>
    <w:p w:rsidR="007370AA" w:rsidRDefault="007370AA" w:rsidP="007370AA">
      <w:r>
        <w:t xml:space="preserve">Bbc.co.uk. (2017). BBC – Religions – Judaism: Jewish wedding rites. [online] Available at: </w:t>
      </w:r>
      <w:hyperlink r:id="rId8" w:history="1">
        <w:r w:rsidRPr="00DD2EB9">
          <w:rPr>
            <w:rStyle w:val="Hyperlink"/>
          </w:rPr>
          <w:t>http://www.bbc.co.uk/religion/religions/judaism/rites/weddings_1.shtml</w:t>
        </w:r>
      </w:hyperlink>
      <w:r>
        <w:t xml:space="preserve"> [Accessed 23 Oct. 2017].</w:t>
      </w:r>
    </w:p>
    <w:p w:rsidR="007370AA" w:rsidRDefault="007370AA" w:rsidP="006F79B6">
      <w:r>
        <w:t>Cohn-</w:t>
      </w:r>
      <w:proofErr w:type="spellStart"/>
      <w:r>
        <w:t>Sherbok</w:t>
      </w:r>
      <w:proofErr w:type="spellEnd"/>
      <w:r>
        <w:t>, Lavinia and Dan Cohn-</w:t>
      </w:r>
      <w:proofErr w:type="spellStart"/>
      <w:r>
        <w:t>Sherbok</w:t>
      </w:r>
      <w:proofErr w:type="spellEnd"/>
      <w:r>
        <w:t xml:space="preserve">. (1997) </w:t>
      </w:r>
      <w:r w:rsidRPr="007370AA">
        <w:rPr>
          <w:i/>
        </w:rPr>
        <w:t>A Short Introduction to Judaism</w:t>
      </w:r>
      <w:r>
        <w:t xml:space="preserve">, (Oxford: </w:t>
      </w:r>
      <w:proofErr w:type="spellStart"/>
      <w:r>
        <w:t>Oneworld</w:t>
      </w:r>
      <w:proofErr w:type="spellEnd"/>
      <w:r>
        <w:t>.)</w:t>
      </w:r>
    </w:p>
    <w:p w:rsidR="006F79B6" w:rsidRDefault="006F79B6" w:rsidP="006F79B6">
      <w:r>
        <w:t xml:space="preserve">De Lange, N. (1986). </w:t>
      </w:r>
      <w:r w:rsidRPr="002F18A3">
        <w:rPr>
          <w:i/>
        </w:rPr>
        <w:t>Judaism</w:t>
      </w:r>
      <w:r>
        <w:t>. Oxford [Oxfordshire]: Oxford University Press</w:t>
      </w:r>
    </w:p>
    <w:p w:rsidR="006F79B6" w:rsidRDefault="006F79B6" w:rsidP="006F79B6">
      <w:proofErr w:type="spellStart"/>
      <w:r>
        <w:t>Donin</w:t>
      </w:r>
      <w:proofErr w:type="spellEnd"/>
      <w:r>
        <w:t xml:space="preserve">, H. (1991). </w:t>
      </w:r>
      <w:r w:rsidRPr="002F18A3">
        <w:rPr>
          <w:i/>
        </w:rPr>
        <w:t>To be a Jew</w:t>
      </w:r>
      <w:r>
        <w:t xml:space="preserve">. [New York, N.Y.]: </w:t>
      </w:r>
      <w:proofErr w:type="spellStart"/>
      <w:r>
        <w:t>BasicBooks</w:t>
      </w:r>
      <w:proofErr w:type="spellEnd"/>
    </w:p>
    <w:p w:rsidR="007370AA" w:rsidRDefault="007370AA" w:rsidP="007370AA">
      <w:r>
        <w:t xml:space="preserve">Hammer, V. (2017). Can a Woman Initiate Jewish Divorce Proceedings? | My Jewish Learning. [online] My Jewish Learning. Available at: </w:t>
      </w:r>
      <w:hyperlink r:id="rId9" w:history="1">
        <w:r w:rsidRPr="00DD2EB9">
          <w:rPr>
            <w:rStyle w:val="Hyperlink"/>
          </w:rPr>
          <w:t>https://www.myjewishlearning.com/article/can-a-woman-initiate-jewish-divorce-proceedings/</w:t>
        </w:r>
      </w:hyperlink>
      <w:r>
        <w:t xml:space="preserve"> [Accessed 25 Oct. 2017]. </w:t>
      </w:r>
    </w:p>
    <w:p w:rsidR="002F18A3" w:rsidRPr="002F18A3" w:rsidRDefault="002F18A3" w:rsidP="002F18A3">
      <w:r>
        <w:t xml:space="preserve">Hayes, Christine Elizabeth. (2004) </w:t>
      </w:r>
      <w:r>
        <w:rPr>
          <w:i/>
        </w:rPr>
        <w:t xml:space="preserve">Gentile Impurities </w:t>
      </w:r>
      <w:proofErr w:type="gramStart"/>
      <w:r>
        <w:rPr>
          <w:i/>
        </w:rPr>
        <w:t>And</w:t>
      </w:r>
      <w:proofErr w:type="gramEnd"/>
      <w:r>
        <w:rPr>
          <w:i/>
        </w:rPr>
        <w:t xml:space="preserve"> Jewish Identities. </w:t>
      </w:r>
      <w:r>
        <w:t>(Oxford: Oxford University Press)</w:t>
      </w:r>
    </w:p>
    <w:p w:rsidR="007370AA" w:rsidRPr="00EB673A" w:rsidRDefault="007370AA" w:rsidP="007370AA">
      <w:r>
        <w:t xml:space="preserve">Ira’s wedding. (2008). [video] Available at: </w:t>
      </w:r>
      <w:hyperlink r:id="rId10" w:history="1">
        <w:r w:rsidRPr="00DD2EB9">
          <w:rPr>
            <w:rStyle w:val="Hyperlink"/>
          </w:rPr>
          <w:t>https://www.youtube.com/watch?v=U9z7zIrtja8</w:t>
        </w:r>
      </w:hyperlink>
      <w:r>
        <w:t xml:space="preserve"> [Accessed 8 Nov. 2017]. </w:t>
      </w:r>
    </w:p>
    <w:p w:rsidR="007370AA" w:rsidRDefault="007370AA" w:rsidP="007370AA">
      <w:r>
        <w:t xml:space="preserve">Jewfaq.org. (2017). Judaism 101: Divorce. [online] Available at: </w:t>
      </w:r>
      <w:hyperlink r:id="rId11" w:history="1">
        <w:r w:rsidRPr="00DD2EB9">
          <w:rPr>
            <w:rStyle w:val="Hyperlink"/>
          </w:rPr>
          <w:t>http://www.jewfaq.org/divorce.htm</w:t>
        </w:r>
      </w:hyperlink>
      <w:r>
        <w:t xml:space="preserve"> [Accessed 25 Oct. 2017].</w:t>
      </w:r>
    </w:p>
    <w:p w:rsidR="007370AA" w:rsidRDefault="007370AA" w:rsidP="007370AA">
      <w:r>
        <w:t xml:space="preserve">Jewishvirtuallibrary.org. (2017). Marriage in Judaism. [online] Available at: </w:t>
      </w:r>
      <w:hyperlink r:id="rId12" w:history="1">
        <w:r w:rsidRPr="00DD2EB9">
          <w:rPr>
            <w:rStyle w:val="Hyperlink"/>
          </w:rPr>
          <w:t>http://www.jewishvirtuallibrary.org/marriage-in-judaism</w:t>
        </w:r>
      </w:hyperlink>
      <w:r>
        <w:t xml:space="preserve"> [Accessed 30 Oct. 2017].</w:t>
      </w:r>
    </w:p>
    <w:p w:rsidR="006F79B6" w:rsidRDefault="006F79B6" w:rsidP="006F79B6">
      <w:proofErr w:type="spellStart"/>
      <w:r>
        <w:t>Neusner</w:t>
      </w:r>
      <w:proofErr w:type="spellEnd"/>
      <w:r>
        <w:t xml:space="preserve">, J. (1995). </w:t>
      </w:r>
      <w:r w:rsidR="002F18A3">
        <w:rPr>
          <w:i/>
        </w:rPr>
        <w:t>Judaism in Modern T</w:t>
      </w:r>
      <w:r w:rsidRPr="002F18A3">
        <w:rPr>
          <w:i/>
        </w:rPr>
        <w:t>imes</w:t>
      </w:r>
      <w:r>
        <w:t>. Cambridge: Blackwell Publishers</w:t>
      </w:r>
    </w:p>
    <w:p w:rsidR="006F79B6" w:rsidRDefault="006F79B6" w:rsidP="006F79B6">
      <w:proofErr w:type="spellStart"/>
      <w:r>
        <w:t>Neuser</w:t>
      </w:r>
      <w:proofErr w:type="spellEnd"/>
      <w:r>
        <w:t>, J. (2002</w:t>
      </w:r>
      <w:r w:rsidRPr="002F18A3">
        <w:t>).</w:t>
      </w:r>
      <w:r w:rsidRPr="002F18A3">
        <w:rPr>
          <w:i/>
        </w:rPr>
        <w:t xml:space="preserve"> The Mishnah</w:t>
      </w:r>
      <w:r>
        <w:t xml:space="preserve">. </w:t>
      </w:r>
      <w:r w:rsidR="00332EB8">
        <w:t>(</w:t>
      </w:r>
      <w:r>
        <w:t>Boston</w:t>
      </w:r>
      <w:r w:rsidR="00332EB8">
        <w:t>)</w:t>
      </w:r>
      <w:r>
        <w:t>: Brill Academic Publishers</w:t>
      </w:r>
    </w:p>
    <w:p w:rsidR="00332EB8" w:rsidRDefault="00332EB8" w:rsidP="00332EB8">
      <w:r>
        <w:t xml:space="preserve">Segal, Eliezer. (2009). </w:t>
      </w:r>
      <w:r w:rsidRPr="002F18A3">
        <w:rPr>
          <w:i/>
        </w:rPr>
        <w:t>Introduction to Judaism.</w:t>
      </w:r>
      <w:r>
        <w:t xml:space="preserve"> (New York, NY): Routledge.</w:t>
      </w:r>
    </w:p>
    <w:p w:rsidR="0065434C" w:rsidRDefault="0065434C" w:rsidP="00140EBA">
      <w:pPr>
        <w:pStyle w:val="ListParagraph"/>
        <w:rPr>
          <w:rFonts w:ascii="Arial" w:hAnsi="Arial" w:cs="Arial"/>
          <w:color w:val="000000"/>
          <w:sz w:val="14"/>
          <w:szCs w:val="14"/>
          <w:shd w:val="clear" w:color="auto" w:fill="FFFFFF"/>
        </w:rPr>
      </w:pPr>
    </w:p>
    <w:p w:rsidR="00E273A7" w:rsidRDefault="00E273A7" w:rsidP="00E273A7">
      <w:pPr>
        <w:pStyle w:val="ListParagraph"/>
        <w:rPr>
          <w:rFonts w:ascii="Arial" w:hAnsi="Arial" w:cs="Arial"/>
          <w:color w:val="666666"/>
          <w:sz w:val="14"/>
          <w:szCs w:val="14"/>
          <w:shd w:val="clear" w:color="auto" w:fill="FFF5AA"/>
        </w:rPr>
      </w:pPr>
    </w:p>
    <w:p w:rsidR="00E273A7" w:rsidRPr="00E356C1" w:rsidRDefault="00E273A7" w:rsidP="00E273A7">
      <w:pPr>
        <w:pStyle w:val="ListParagraph"/>
        <w:rPr>
          <w:rFonts w:ascii="Arial" w:hAnsi="Arial" w:cs="Arial"/>
          <w:color w:val="666666"/>
          <w:sz w:val="28"/>
          <w:szCs w:val="14"/>
          <w:shd w:val="clear" w:color="auto" w:fill="FFF5AA"/>
        </w:rPr>
      </w:pPr>
      <w:r w:rsidRPr="00E356C1">
        <w:rPr>
          <w:rFonts w:ascii="Arial" w:eastAsia="Times New Roman" w:hAnsi="Arial" w:cs="Arial"/>
          <w:b/>
          <w:bCs/>
          <w:color w:val="666666"/>
          <w:sz w:val="28"/>
          <w:lang w:eastAsia="en-GB"/>
        </w:rPr>
        <w:t> </w:t>
      </w:r>
    </w:p>
    <w:p w:rsidR="0065434C" w:rsidRDefault="0065434C" w:rsidP="00140EBA">
      <w:pPr>
        <w:pStyle w:val="ListParagraph"/>
        <w:rPr>
          <w:rFonts w:ascii="Arial" w:hAnsi="Arial" w:cs="Arial"/>
          <w:color w:val="666666"/>
          <w:sz w:val="14"/>
          <w:szCs w:val="14"/>
          <w:shd w:val="clear" w:color="auto" w:fill="FFF5AA"/>
        </w:rPr>
      </w:pPr>
    </w:p>
    <w:p w:rsidR="00140EBA" w:rsidRPr="006E23CE" w:rsidRDefault="00140EBA" w:rsidP="006E23CE">
      <w:pPr>
        <w:rPr>
          <w:rFonts w:ascii="Arial" w:hAnsi="Arial" w:cs="Arial"/>
          <w:color w:val="000000"/>
          <w:sz w:val="14"/>
          <w:szCs w:val="14"/>
          <w:shd w:val="clear" w:color="auto" w:fill="FFFFFF"/>
        </w:rPr>
      </w:pPr>
    </w:p>
    <w:p w:rsidR="001E5259" w:rsidRDefault="001E5259" w:rsidP="00140EBA">
      <w:pPr>
        <w:pStyle w:val="ListParagraph"/>
        <w:rPr>
          <w:rFonts w:ascii="Arial" w:hAnsi="Arial" w:cs="Arial"/>
          <w:color w:val="000000"/>
          <w:sz w:val="14"/>
          <w:szCs w:val="14"/>
          <w:shd w:val="clear" w:color="auto" w:fill="FFFFFF"/>
        </w:rPr>
      </w:pPr>
    </w:p>
    <w:p w:rsidR="001E5259" w:rsidRDefault="001E5259" w:rsidP="00140EBA">
      <w:pPr>
        <w:pStyle w:val="ListParagraph"/>
        <w:rPr>
          <w:rFonts w:ascii="Arial" w:hAnsi="Arial" w:cs="Arial"/>
          <w:color w:val="000000"/>
          <w:sz w:val="14"/>
          <w:szCs w:val="14"/>
          <w:shd w:val="clear" w:color="auto" w:fill="FFFFFF"/>
        </w:rPr>
      </w:pPr>
    </w:p>
    <w:p w:rsidR="001E5259" w:rsidRDefault="001E5259" w:rsidP="00140EBA">
      <w:pPr>
        <w:pStyle w:val="ListParagraph"/>
      </w:pPr>
    </w:p>
    <w:p w:rsidR="00140EBA" w:rsidRDefault="00140EBA" w:rsidP="00140EBA">
      <w:pPr>
        <w:pStyle w:val="ListParagraph"/>
      </w:pPr>
    </w:p>
    <w:p w:rsidR="00140EBA" w:rsidRDefault="00140EBA" w:rsidP="00140EBA">
      <w:pPr>
        <w:pStyle w:val="ListParagraph"/>
      </w:pPr>
    </w:p>
    <w:p w:rsidR="00140EBA" w:rsidRDefault="00140EBA" w:rsidP="00140EBA">
      <w:pPr>
        <w:pStyle w:val="ListParagraph"/>
      </w:pPr>
    </w:p>
    <w:p w:rsidR="00140EBA" w:rsidRPr="000025B9" w:rsidRDefault="00140EBA" w:rsidP="00140EBA">
      <w:pPr>
        <w:pStyle w:val="ListParagraph"/>
      </w:pPr>
    </w:p>
    <w:sectPr w:rsidR="00140EBA" w:rsidRPr="000025B9" w:rsidSect="008E1E2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1678" w:rsidRDefault="00251678" w:rsidP="006B6286">
      <w:pPr>
        <w:spacing w:after="0" w:line="240" w:lineRule="auto"/>
      </w:pPr>
      <w:r>
        <w:separator/>
      </w:r>
    </w:p>
  </w:endnote>
  <w:endnote w:type="continuationSeparator" w:id="0">
    <w:p w:rsidR="00251678" w:rsidRDefault="00251678" w:rsidP="006B62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1678" w:rsidRDefault="00251678" w:rsidP="006B6286">
      <w:pPr>
        <w:spacing w:after="0" w:line="240" w:lineRule="auto"/>
      </w:pPr>
      <w:r>
        <w:separator/>
      </w:r>
    </w:p>
  </w:footnote>
  <w:footnote w:type="continuationSeparator" w:id="0">
    <w:p w:rsidR="00251678" w:rsidRDefault="00251678" w:rsidP="006B6286">
      <w:pPr>
        <w:spacing w:after="0" w:line="240" w:lineRule="auto"/>
      </w:pPr>
      <w:r>
        <w:continuationSeparator/>
      </w:r>
    </w:p>
  </w:footnote>
  <w:footnote w:id="1">
    <w:p w:rsidR="007614B3" w:rsidRDefault="007614B3">
      <w:pPr>
        <w:pStyle w:val="FootnoteText"/>
      </w:pPr>
      <w:r>
        <w:rPr>
          <w:rStyle w:val="FootnoteReference"/>
        </w:rPr>
        <w:footnoteRef/>
      </w:r>
      <w:r w:rsidR="0037761D" w:rsidRPr="00E356C1">
        <w:rPr>
          <w:rFonts w:cs="Arial"/>
          <w:color w:val="000000" w:themeColor="text1"/>
          <w:shd w:val="clear" w:color="auto" w:fill="FFFFFF"/>
        </w:rPr>
        <w:t>Eliezer Segal, </w:t>
      </w:r>
      <w:r w:rsidR="0037761D" w:rsidRPr="00E356C1">
        <w:rPr>
          <w:rFonts w:cs="Arial"/>
          <w:i/>
          <w:iCs/>
          <w:color w:val="000000" w:themeColor="text1"/>
          <w:shd w:val="clear" w:color="auto" w:fill="FFFFFF"/>
        </w:rPr>
        <w:t>Introducing Judaism</w:t>
      </w:r>
      <w:r w:rsidR="0037761D" w:rsidRPr="00E356C1">
        <w:rPr>
          <w:rFonts w:cs="Arial"/>
          <w:color w:val="000000" w:themeColor="text1"/>
          <w:shd w:val="clear" w:color="auto" w:fill="FFFFFF"/>
        </w:rPr>
        <w:t> (New York, NY: Routledge, 2009</w:t>
      </w:r>
      <w:r w:rsidR="0037761D" w:rsidRPr="00E356C1">
        <w:rPr>
          <w:rFonts w:ascii="Arial" w:hAnsi="Arial" w:cs="Arial"/>
          <w:color w:val="000000" w:themeColor="text1"/>
          <w:shd w:val="clear" w:color="auto" w:fill="FFFFFF"/>
        </w:rPr>
        <w:t>).</w:t>
      </w:r>
      <w:r w:rsidR="0037761D">
        <w:t xml:space="preserve"> Pages </w:t>
      </w:r>
      <w:r w:rsidR="00BC2DD6">
        <w:t>299-301</w:t>
      </w:r>
    </w:p>
  </w:footnote>
  <w:footnote w:id="2">
    <w:p w:rsidR="000D044E" w:rsidRDefault="000D044E">
      <w:pPr>
        <w:pStyle w:val="FootnoteText"/>
      </w:pPr>
      <w:r>
        <w:rPr>
          <w:rStyle w:val="FootnoteReference"/>
        </w:rPr>
        <w:footnoteRef/>
      </w:r>
      <w:r w:rsidR="00332EB8">
        <w:t xml:space="preserve"> </w:t>
      </w:r>
      <w:proofErr w:type="spellStart"/>
      <w:r w:rsidR="0037761D">
        <w:t>Hayim</w:t>
      </w:r>
      <w:proofErr w:type="spellEnd"/>
      <w:r w:rsidR="0037761D">
        <w:t xml:space="preserve"> Halevy </w:t>
      </w:r>
      <w:proofErr w:type="spellStart"/>
      <w:r w:rsidR="0037761D">
        <w:t>Donin</w:t>
      </w:r>
      <w:proofErr w:type="spellEnd"/>
      <w:r w:rsidR="0037761D">
        <w:t xml:space="preserve">, </w:t>
      </w:r>
      <w:proofErr w:type="gramStart"/>
      <w:r w:rsidR="0037761D">
        <w:rPr>
          <w:i/>
        </w:rPr>
        <w:t>To</w:t>
      </w:r>
      <w:proofErr w:type="gramEnd"/>
      <w:r w:rsidR="0037761D">
        <w:rPr>
          <w:i/>
        </w:rPr>
        <w:t xml:space="preserve"> be a Jew</w:t>
      </w:r>
      <w:r w:rsidR="0037761D">
        <w:t>, ([New York], Basic Books, 2001)</w:t>
      </w:r>
      <w:r>
        <w:t xml:space="preserve"> Chapter 19.</w:t>
      </w:r>
    </w:p>
  </w:footnote>
  <w:footnote w:id="3">
    <w:p w:rsidR="008565D5" w:rsidRDefault="008565D5">
      <w:pPr>
        <w:pStyle w:val="FootnoteText"/>
      </w:pPr>
      <w:r>
        <w:rPr>
          <w:rStyle w:val="FootnoteReference"/>
        </w:rPr>
        <w:footnoteRef/>
      </w:r>
      <w:r w:rsidR="00EB673A">
        <w:t xml:space="preserve"> </w:t>
      </w:r>
      <w:r w:rsidR="00EB673A" w:rsidRPr="00E356C1">
        <w:rPr>
          <w:rFonts w:cs="Arial"/>
          <w:color w:val="000000" w:themeColor="text1"/>
          <w:shd w:val="clear" w:color="auto" w:fill="FFFFFF"/>
        </w:rPr>
        <w:t>Eliezer Segal, </w:t>
      </w:r>
      <w:r w:rsidR="00EB673A" w:rsidRPr="00E356C1">
        <w:rPr>
          <w:rFonts w:cs="Arial"/>
          <w:i/>
          <w:iCs/>
          <w:color w:val="000000" w:themeColor="text1"/>
          <w:shd w:val="clear" w:color="auto" w:fill="FFFFFF"/>
        </w:rPr>
        <w:t>Introducing Judaism</w:t>
      </w:r>
      <w:r w:rsidR="00EB673A" w:rsidRPr="00E356C1">
        <w:rPr>
          <w:rFonts w:cs="Arial"/>
          <w:color w:val="000000" w:themeColor="text1"/>
          <w:shd w:val="clear" w:color="auto" w:fill="FFFFFF"/>
        </w:rPr>
        <w:t> (New York, NY: Routledge, 2009</w:t>
      </w:r>
      <w:r w:rsidR="00EB673A" w:rsidRPr="00E356C1">
        <w:rPr>
          <w:rFonts w:ascii="Arial" w:hAnsi="Arial" w:cs="Arial"/>
          <w:color w:val="000000" w:themeColor="text1"/>
          <w:shd w:val="clear" w:color="auto" w:fill="FFFFFF"/>
        </w:rPr>
        <w:t>).</w:t>
      </w:r>
      <w:r>
        <w:t xml:space="preserve"> pg. 299.</w:t>
      </w:r>
    </w:p>
  </w:footnote>
  <w:footnote w:id="4">
    <w:p w:rsidR="008565D5" w:rsidRDefault="008565D5">
      <w:pPr>
        <w:pStyle w:val="FootnoteText"/>
      </w:pPr>
      <w:r>
        <w:rPr>
          <w:rStyle w:val="FootnoteReference"/>
        </w:rPr>
        <w:footnoteRef/>
      </w:r>
      <w:proofErr w:type="spellStart"/>
      <w:r w:rsidR="007F2034">
        <w:t>Hayim</w:t>
      </w:r>
      <w:proofErr w:type="spellEnd"/>
      <w:r w:rsidR="007F2034">
        <w:t xml:space="preserve"> Halevy </w:t>
      </w:r>
      <w:proofErr w:type="spellStart"/>
      <w:r w:rsidR="007F2034">
        <w:t>Donin</w:t>
      </w:r>
      <w:proofErr w:type="spellEnd"/>
      <w:r w:rsidR="007F2034">
        <w:t xml:space="preserve">, </w:t>
      </w:r>
      <w:proofErr w:type="gramStart"/>
      <w:r w:rsidR="007F2034">
        <w:rPr>
          <w:i/>
        </w:rPr>
        <w:t>To</w:t>
      </w:r>
      <w:proofErr w:type="gramEnd"/>
      <w:r w:rsidR="007F2034">
        <w:rPr>
          <w:i/>
        </w:rPr>
        <w:t xml:space="preserve"> be a Jew</w:t>
      </w:r>
      <w:r w:rsidR="007F2034">
        <w:t>, ([New York], Basic Books, 2001)</w:t>
      </w:r>
      <w:r w:rsidR="0037761D">
        <w:t>.</w:t>
      </w:r>
      <w:r w:rsidR="007F2034">
        <w:t xml:space="preserve"> </w:t>
      </w:r>
      <w:r>
        <w:t>pg.289.</w:t>
      </w:r>
    </w:p>
  </w:footnote>
  <w:footnote w:id="5">
    <w:p w:rsidR="00E929B1" w:rsidRDefault="00E929B1">
      <w:pPr>
        <w:pStyle w:val="FootnoteText"/>
      </w:pPr>
      <w:r>
        <w:rPr>
          <w:rStyle w:val="FootnoteReference"/>
        </w:rPr>
        <w:footnoteRef/>
      </w:r>
      <w:r w:rsidR="00332EB8">
        <w:t xml:space="preserve"> </w:t>
      </w:r>
      <w:proofErr w:type="spellStart"/>
      <w:r w:rsidR="00F56AEE">
        <w:t>Hayim</w:t>
      </w:r>
      <w:proofErr w:type="spellEnd"/>
      <w:r w:rsidR="00F56AEE">
        <w:t xml:space="preserve"> Halevy </w:t>
      </w:r>
      <w:proofErr w:type="spellStart"/>
      <w:r w:rsidR="00F56AEE">
        <w:t>Donin</w:t>
      </w:r>
      <w:proofErr w:type="spellEnd"/>
      <w:r w:rsidR="00F56AEE">
        <w:t xml:space="preserve">, </w:t>
      </w:r>
      <w:proofErr w:type="gramStart"/>
      <w:r w:rsidR="00F56AEE">
        <w:rPr>
          <w:i/>
        </w:rPr>
        <w:t>To</w:t>
      </w:r>
      <w:proofErr w:type="gramEnd"/>
      <w:r w:rsidR="00F56AEE">
        <w:rPr>
          <w:i/>
        </w:rPr>
        <w:t xml:space="preserve"> be a Jew</w:t>
      </w:r>
      <w:r w:rsidR="00F56AEE">
        <w:t>, ([New York], Basic Books, 2001) pg.</w:t>
      </w:r>
      <w:r>
        <w:t xml:space="preserve"> 290.</w:t>
      </w:r>
    </w:p>
  </w:footnote>
  <w:footnote w:id="6">
    <w:p w:rsidR="008535CC" w:rsidRDefault="008535CC">
      <w:pPr>
        <w:pStyle w:val="FootnoteText"/>
      </w:pPr>
      <w:r>
        <w:rPr>
          <w:rStyle w:val="FootnoteReference"/>
        </w:rPr>
        <w:footnoteRef/>
      </w:r>
      <w:r w:rsidR="00332EB8">
        <w:t xml:space="preserve"> </w:t>
      </w:r>
      <w:r w:rsidR="00F56AEE">
        <w:t xml:space="preserve">N.R.M De Lange, </w:t>
      </w:r>
      <w:r w:rsidR="00F56AEE">
        <w:rPr>
          <w:i/>
        </w:rPr>
        <w:t xml:space="preserve">Judaism </w:t>
      </w:r>
      <w:r w:rsidR="00F56AEE">
        <w:t xml:space="preserve">(Oxford [Oxfordshire]: Oxford University Press, 1986) </w:t>
      </w:r>
      <w:r>
        <w:t>pg.76.</w:t>
      </w:r>
    </w:p>
  </w:footnote>
  <w:footnote w:id="7">
    <w:p w:rsidR="003F5979" w:rsidRPr="008A0754" w:rsidRDefault="003F5979">
      <w:pPr>
        <w:pStyle w:val="FootnoteText"/>
      </w:pPr>
      <w:r>
        <w:rPr>
          <w:rStyle w:val="FootnoteReference"/>
        </w:rPr>
        <w:footnoteRef/>
      </w:r>
      <w:r>
        <w:t xml:space="preserve"> Eliezer Segal, </w:t>
      </w:r>
      <w:r w:rsidR="008A0754">
        <w:rPr>
          <w:i/>
        </w:rPr>
        <w:t xml:space="preserve">Introducing </w:t>
      </w:r>
      <w:proofErr w:type="gramStart"/>
      <w:r w:rsidR="008A0754">
        <w:rPr>
          <w:i/>
        </w:rPr>
        <w:t>Judaism,</w:t>
      </w:r>
      <w:r w:rsidR="008A0754">
        <w:rPr>
          <w:rFonts w:cs="Arial"/>
          <w:color w:val="000000" w:themeColor="text1"/>
          <w:shd w:val="clear" w:color="auto" w:fill="FFFFFF"/>
        </w:rPr>
        <w:t>(</w:t>
      </w:r>
      <w:proofErr w:type="gramEnd"/>
      <w:r w:rsidR="008A0754">
        <w:rPr>
          <w:rFonts w:cs="Arial"/>
          <w:color w:val="000000" w:themeColor="text1"/>
          <w:shd w:val="clear" w:color="auto" w:fill="FFFFFF"/>
        </w:rPr>
        <w:t>New York, NY: Routledge, 2009</w:t>
      </w:r>
      <w:r w:rsidR="008A0754" w:rsidRPr="00E356C1">
        <w:rPr>
          <w:rFonts w:ascii="Arial" w:hAnsi="Arial" w:cs="Arial"/>
          <w:color w:val="000000" w:themeColor="text1"/>
          <w:shd w:val="clear" w:color="auto" w:fill="FFFFFF"/>
        </w:rPr>
        <w:t>.</w:t>
      </w:r>
      <w:r w:rsidR="008A0754">
        <w:rPr>
          <w:rFonts w:ascii="Arial" w:hAnsi="Arial" w:cs="Arial"/>
          <w:color w:val="000000" w:themeColor="text1"/>
          <w:shd w:val="clear" w:color="auto" w:fill="FFFFFF"/>
        </w:rPr>
        <w:t xml:space="preserve">) </w:t>
      </w:r>
      <w:r w:rsidR="008A0754">
        <w:rPr>
          <w:rFonts w:cs="Arial"/>
          <w:color w:val="000000" w:themeColor="text1"/>
          <w:shd w:val="clear" w:color="auto" w:fill="FFFFFF"/>
        </w:rPr>
        <w:t>Pg.301.</w:t>
      </w:r>
      <w:r w:rsidR="008A0754">
        <w:rPr>
          <w:rFonts w:ascii="Arial" w:hAnsi="Arial" w:cs="Arial"/>
          <w:color w:val="000000" w:themeColor="text1"/>
          <w:shd w:val="clear" w:color="auto" w:fill="FFFFFF"/>
        </w:rPr>
        <w:t xml:space="preserve"> </w:t>
      </w:r>
    </w:p>
  </w:footnote>
  <w:footnote w:id="8">
    <w:p w:rsidR="00D913A7" w:rsidRDefault="00D913A7">
      <w:pPr>
        <w:pStyle w:val="FootnoteText"/>
      </w:pPr>
      <w:r>
        <w:rPr>
          <w:rStyle w:val="FootnoteReference"/>
        </w:rPr>
        <w:footnoteRef/>
      </w:r>
      <w:r w:rsidR="00332EB8">
        <w:t xml:space="preserve"> </w:t>
      </w:r>
      <w:r w:rsidR="00F56AEE">
        <w:t xml:space="preserve">N.R.M De Lange, </w:t>
      </w:r>
      <w:r w:rsidR="00F56AEE">
        <w:rPr>
          <w:i/>
        </w:rPr>
        <w:t xml:space="preserve">Judaism </w:t>
      </w:r>
      <w:r w:rsidR="00F56AEE">
        <w:t xml:space="preserve">(Oxford [Oxfordshire]: Oxford University Press, 1986) </w:t>
      </w:r>
      <w:r>
        <w:t>pg.76.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0154" w:rsidRDefault="001E0154">
    <w:pPr>
      <w:pStyle w:val="Header"/>
    </w:pPr>
    <w:r>
      <w:t>Amy Seale</w:t>
    </w:r>
    <w:r>
      <w:tab/>
      <w:t>TRRS4010</w:t>
    </w:r>
    <w:r>
      <w:tab/>
      <w:t>1700646</w:t>
    </w:r>
  </w:p>
  <w:p w:rsidR="001E0154" w:rsidRDefault="001E01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271C81"/>
    <w:multiLevelType w:val="hybridMultilevel"/>
    <w:tmpl w:val="928EF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2C6C32"/>
    <w:multiLevelType w:val="hybridMultilevel"/>
    <w:tmpl w:val="F1B66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971530"/>
    <w:multiLevelType w:val="hybridMultilevel"/>
    <w:tmpl w:val="19E27C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5B9"/>
    <w:rsid w:val="000025B9"/>
    <w:rsid w:val="0003751C"/>
    <w:rsid w:val="0007262F"/>
    <w:rsid w:val="00091050"/>
    <w:rsid w:val="000D044E"/>
    <w:rsid w:val="0011058F"/>
    <w:rsid w:val="00113554"/>
    <w:rsid w:val="00140EBA"/>
    <w:rsid w:val="001675C5"/>
    <w:rsid w:val="001816DA"/>
    <w:rsid w:val="001A0B39"/>
    <w:rsid w:val="001B40CF"/>
    <w:rsid w:val="001E0154"/>
    <w:rsid w:val="001E5259"/>
    <w:rsid w:val="00222633"/>
    <w:rsid w:val="002368A5"/>
    <w:rsid w:val="00251678"/>
    <w:rsid w:val="00256405"/>
    <w:rsid w:val="0026134A"/>
    <w:rsid w:val="00267E65"/>
    <w:rsid w:val="002D4E0F"/>
    <w:rsid w:val="002F18A3"/>
    <w:rsid w:val="00332EB8"/>
    <w:rsid w:val="0037761D"/>
    <w:rsid w:val="00395CFF"/>
    <w:rsid w:val="003F04C4"/>
    <w:rsid w:val="003F5979"/>
    <w:rsid w:val="00421EE0"/>
    <w:rsid w:val="00424914"/>
    <w:rsid w:val="00480C2E"/>
    <w:rsid w:val="004C1B84"/>
    <w:rsid w:val="004C249C"/>
    <w:rsid w:val="004C3CD3"/>
    <w:rsid w:val="00525CA5"/>
    <w:rsid w:val="00543670"/>
    <w:rsid w:val="005B66AC"/>
    <w:rsid w:val="005C3FB0"/>
    <w:rsid w:val="005F6667"/>
    <w:rsid w:val="006406C4"/>
    <w:rsid w:val="0065434C"/>
    <w:rsid w:val="006B6286"/>
    <w:rsid w:val="006E23CE"/>
    <w:rsid w:val="006E7016"/>
    <w:rsid w:val="006F79B6"/>
    <w:rsid w:val="007370AA"/>
    <w:rsid w:val="007614B3"/>
    <w:rsid w:val="007934CC"/>
    <w:rsid w:val="00796165"/>
    <w:rsid w:val="007A2826"/>
    <w:rsid w:val="007B3BDA"/>
    <w:rsid w:val="007F1348"/>
    <w:rsid w:val="007F2034"/>
    <w:rsid w:val="0082511C"/>
    <w:rsid w:val="008353E3"/>
    <w:rsid w:val="008535CC"/>
    <w:rsid w:val="008565D5"/>
    <w:rsid w:val="00867784"/>
    <w:rsid w:val="00870860"/>
    <w:rsid w:val="00874823"/>
    <w:rsid w:val="00892C80"/>
    <w:rsid w:val="008A0754"/>
    <w:rsid w:val="008E1E2F"/>
    <w:rsid w:val="00903A21"/>
    <w:rsid w:val="009171A0"/>
    <w:rsid w:val="00947A7F"/>
    <w:rsid w:val="009808D6"/>
    <w:rsid w:val="009C3FFB"/>
    <w:rsid w:val="00A244A9"/>
    <w:rsid w:val="00A42A48"/>
    <w:rsid w:val="00A46281"/>
    <w:rsid w:val="00A62D51"/>
    <w:rsid w:val="00A776E7"/>
    <w:rsid w:val="00AD2FC4"/>
    <w:rsid w:val="00AF05C6"/>
    <w:rsid w:val="00B02C8B"/>
    <w:rsid w:val="00B101C3"/>
    <w:rsid w:val="00B25A87"/>
    <w:rsid w:val="00B42559"/>
    <w:rsid w:val="00B71369"/>
    <w:rsid w:val="00BB5E78"/>
    <w:rsid w:val="00BC2DD6"/>
    <w:rsid w:val="00BC64CE"/>
    <w:rsid w:val="00C72114"/>
    <w:rsid w:val="00C72E7A"/>
    <w:rsid w:val="00C81227"/>
    <w:rsid w:val="00CC36C8"/>
    <w:rsid w:val="00CE152F"/>
    <w:rsid w:val="00D05EC1"/>
    <w:rsid w:val="00D913A7"/>
    <w:rsid w:val="00DB6664"/>
    <w:rsid w:val="00DC636B"/>
    <w:rsid w:val="00DD2B05"/>
    <w:rsid w:val="00E024E9"/>
    <w:rsid w:val="00E273A7"/>
    <w:rsid w:val="00E27D52"/>
    <w:rsid w:val="00E356C1"/>
    <w:rsid w:val="00E81249"/>
    <w:rsid w:val="00E929B1"/>
    <w:rsid w:val="00E973C3"/>
    <w:rsid w:val="00EB3311"/>
    <w:rsid w:val="00EB673A"/>
    <w:rsid w:val="00EC0453"/>
    <w:rsid w:val="00F52946"/>
    <w:rsid w:val="00F56AEE"/>
    <w:rsid w:val="00F709F6"/>
    <w:rsid w:val="00F77D27"/>
    <w:rsid w:val="00FA77D9"/>
    <w:rsid w:val="00FB6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8D528"/>
  <w15:docId w15:val="{B119CE62-8603-45C8-8B24-EDBF1E73E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1E2F"/>
  </w:style>
  <w:style w:type="paragraph" w:styleId="Heading3">
    <w:name w:val="heading 3"/>
    <w:basedOn w:val="Normal"/>
    <w:link w:val="Heading3Char"/>
    <w:uiPriority w:val="9"/>
    <w:qFormat/>
    <w:rsid w:val="00E273A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25B9"/>
    <w:pPr>
      <w:ind w:left="720"/>
      <w:contextualSpacing/>
    </w:pPr>
  </w:style>
  <w:style w:type="paragraph" w:styleId="FootnoteText">
    <w:name w:val="footnote text"/>
    <w:basedOn w:val="Normal"/>
    <w:link w:val="FootnoteTextChar"/>
    <w:uiPriority w:val="99"/>
    <w:semiHidden/>
    <w:unhideWhenUsed/>
    <w:rsid w:val="006B628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B6286"/>
    <w:rPr>
      <w:sz w:val="20"/>
      <w:szCs w:val="20"/>
    </w:rPr>
  </w:style>
  <w:style w:type="character" w:styleId="FootnoteReference">
    <w:name w:val="footnote reference"/>
    <w:basedOn w:val="DefaultParagraphFont"/>
    <w:uiPriority w:val="99"/>
    <w:semiHidden/>
    <w:unhideWhenUsed/>
    <w:rsid w:val="006B6286"/>
    <w:rPr>
      <w:vertAlign w:val="superscript"/>
    </w:rPr>
  </w:style>
  <w:style w:type="paragraph" w:styleId="EndnoteText">
    <w:name w:val="endnote text"/>
    <w:basedOn w:val="Normal"/>
    <w:link w:val="EndnoteTextChar"/>
    <w:uiPriority w:val="99"/>
    <w:semiHidden/>
    <w:unhideWhenUsed/>
    <w:rsid w:val="007614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614B3"/>
    <w:rPr>
      <w:sz w:val="20"/>
      <w:szCs w:val="20"/>
    </w:rPr>
  </w:style>
  <w:style w:type="character" w:styleId="EndnoteReference">
    <w:name w:val="endnote reference"/>
    <w:basedOn w:val="DefaultParagraphFont"/>
    <w:uiPriority w:val="99"/>
    <w:semiHidden/>
    <w:unhideWhenUsed/>
    <w:rsid w:val="007614B3"/>
    <w:rPr>
      <w:vertAlign w:val="superscript"/>
    </w:rPr>
  </w:style>
  <w:style w:type="character" w:customStyle="1" w:styleId="Heading3Char">
    <w:name w:val="Heading 3 Char"/>
    <w:basedOn w:val="DefaultParagraphFont"/>
    <w:link w:val="Heading3"/>
    <w:uiPriority w:val="9"/>
    <w:rsid w:val="00E273A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27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273A7"/>
    <w:rPr>
      <w:b/>
      <w:bCs/>
    </w:rPr>
  </w:style>
  <w:style w:type="character" w:customStyle="1" w:styleId="selectable">
    <w:name w:val="selectable"/>
    <w:basedOn w:val="DefaultParagraphFont"/>
    <w:rsid w:val="00E273A7"/>
  </w:style>
  <w:style w:type="character" w:styleId="Hyperlink">
    <w:name w:val="Hyperlink"/>
    <w:basedOn w:val="DefaultParagraphFont"/>
    <w:uiPriority w:val="99"/>
    <w:unhideWhenUsed/>
    <w:rsid w:val="007F1348"/>
    <w:rPr>
      <w:color w:val="0000FF" w:themeColor="hyperlink"/>
      <w:u w:val="single"/>
    </w:rPr>
  </w:style>
  <w:style w:type="paragraph" w:styleId="Header">
    <w:name w:val="header"/>
    <w:basedOn w:val="Normal"/>
    <w:link w:val="HeaderChar"/>
    <w:uiPriority w:val="99"/>
    <w:unhideWhenUsed/>
    <w:rsid w:val="001E0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154"/>
  </w:style>
  <w:style w:type="paragraph" w:styleId="Footer">
    <w:name w:val="footer"/>
    <w:basedOn w:val="Normal"/>
    <w:link w:val="FooterChar"/>
    <w:uiPriority w:val="99"/>
    <w:semiHidden/>
    <w:unhideWhenUsed/>
    <w:rsid w:val="001E0154"/>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E0154"/>
  </w:style>
  <w:style w:type="paragraph" w:styleId="BalloonText">
    <w:name w:val="Balloon Text"/>
    <w:basedOn w:val="Normal"/>
    <w:link w:val="BalloonTextChar"/>
    <w:uiPriority w:val="99"/>
    <w:semiHidden/>
    <w:unhideWhenUsed/>
    <w:rsid w:val="001E01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01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249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judaism/rites/weddings_1.shtm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jewishvirtuallibrary.org/marriage-in-judais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ewfaq.org/divorce.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U9z7zIrtja8" TargetMode="External"/><Relationship Id="rId4" Type="http://schemas.openxmlformats.org/officeDocument/2006/relationships/settings" Target="settings.xml"/><Relationship Id="rId9" Type="http://schemas.openxmlformats.org/officeDocument/2006/relationships/hyperlink" Target="https://www.myjewishlearning.com/article/can-a-woman-initiate-jewish-divorce-proceeding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C7FD3-3001-48C1-9DE6-4EE6F6D55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1968</Words>
  <Characters>10418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2</cp:revision>
  <dcterms:created xsi:type="dcterms:W3CDTF">2017-11-14T15:13:00Z</dcterms:created>
  <dcterms:modified xsi:type="dcterms:W3CDTF">2017-11-14T15:13:00Z</dcterms:modified>
</cp:coreProperties>
</file>