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1BD3" w:rsidRDefault="00D91BD3"/>
    <w:p w:rsidR="00380A4C" w:rsidRDefault="00380A4C" w:rsidP="00380A4C">
      <w:pPr>
        <w:jc w:val="center"/>
        <w:rPr>
          <w:u w:val="single"/>
        </w:rPr>
      </w:pPr>
      <w:r>
        <w:rPr>
          <w:u w:val="single"/>
        </w:rPr>
        <w:t>Paul Gilroy The Black Atlantic</w:t>
      </w:r>
    </w:p>
    <w:p w:rsidR="00380A4C" w:rsidRDefault="00380A4C" w:rsidP="00380A4C">
      <w:pPr>
        <w:jc w:val="center"/>
        <w:rPr>
          <w:u w:val="single"/>
        </w:rPr>
      </w:pPr>
    </w:p>
    <w:p w:rsidR="00380A4C" w:rsidRDefault="00380A4C" w:rsidP="00380A4C">
      <w:r>
        <w:t>Gilroy’s primary argument is concerning the conflict that has developed, and still exists between the nationalistic mindset that prevails in the westernised world and the black diaspora. Gilroy states that, ideas of ethnicity, nationality, authenticity and cultural integrity are relatively new constructs. He argues that this fact is often overlooked in debates concerning modernity, and</w:t>
      </w:r>
      <w:r w:rsidR="00C32589">
        <w:t xml:space="preserve"> these ideas</w:t>
      </w:r>
      <w:r>
        <w:t xml:space="preserve"> </w:t>
      </w:r>
      <w:r w:rsidR="00C32589">
        <w:t>did not crystallize</w:t>
      </w:r>
      <w:r w:rsidR="00590E54">
        <w:t xml:space="preserve"> until</w:t>
      </w:r>
      <w:r>
        <w:t xml:space="preserve"> the late 18</w:t>
      </w:r>
      <w:r w:rsidRPr="00380A4C">
        <w:rPr>
          <w:vertAlign w:val="superscript"/>
        </w:rPr>
        <w:t>th</w:t>
      </w:r>
      <w:r>
        <w:t xml:space="preserve"> and early 19</w:t>
      </w:r>
      <w:r w:rsidRPr="00380A4C">
        <w:rPr>
          <w:vertAlign w:val="superscript"/>
        </w:rPr>
        <w:t>th</w:t>
      </w:r>
      <w:r>
        <w:t xml:space="preserve"> centuries.</w:t>
      </w:r>
      <w:r>
        <w:rPr>
          <w:rStyle w:val="FootnoteReference"/>
        </w:rPr>
        <w:footnoteReference w:id="1"/>
      </w:r>
      <w:r>
        <w:t xml:space="preserve"> One of the objectives of Gilroy’s work is to demonstrate how the culture</w:t>
      </w:r>
      <w:r w:rsidR="00C32589">
        <w:t>,</w:t>
      </w:r>
      <w:r>
        <w:t xml:space="preserve"> developed by generations of black people</w:t>
      </w:r>
      <w:r w:rsidR="00C32589">
        <w:t xml:space="preserve"> who were</w:t>
      </w:r>
      <w:r>
        <w:t xml:space="preserve"> forced to exist on the margins of society, can provide new angles of historical investigation </w:t>
      </w:r>
      <w:r w:rsidR="00590E54">
        <w:t>which</w:t>
      </w:r>
      <w:r>
        <w:t xml:space="preserve"> transcend racial stereotypes. His work is designed to offer an alternative viewpoint from the nationalistic focus</w:t>
      </w:r>
      <w:r w:rsidR="0004714B">
        <w:t xml:space="preserve"> and, aid in the struggle to have black people recognised as autonomous agents</w:t>
      </w:r>
      <w:r w:rsidR="00BC7356">
        <w:t>,</w:t>
      </w:r>
      <w:r w:rsidR="0004714B">
        <w:t xml:space="preserve"> with their own intellectual history.</w:t>
      </w:r>
      <w:r>
        <w:rPr>
          <w:rStyle w:val="FootnoteReference"/>
        </w:rPr>
        <w:footnoteReference w:id="2"/>
      </w:r>
      <w:r>
        <w:t xml:space="preserve">   </w:t>
      </w:r>
    </w:p>
    <w:p w:rsidR="00380A4C" w:rsidRDefault="00380A4C" w:rsidP="00380A4C">
      <w:r>
        <w:t xml:space="preserve">The characteristics of ‘the Black Atlantic’ are varied and span centuries. </w:t>
      </w:r>
      <w:r w:rsidR="00A26478">
        <w:t>Gilroy</w:t>
      </w:r>
      <w:r w:rsidR="0004714B">
        <w:t xml:space="preserve"> describes the nature of the music being created in the 1970’s and 1980’s. Most notably North London’s </w:t>
      </w:r>
      <w:proofErr w:type="spellStart"/>
      <w:r w:rsidR="0004714B">
        <w:t>Funki</w:t>
      </w:r>
      <w:proofErr w:type="spellEnd"/>
      <w:r w:rsidR="0004714B">
        <w:t xml:space="preserve"> </w:t>
      </w:r>
      <w:proofErr w:type="spellStart"/>
      <w:r w:rsidR="0004714B">
        <w:t>Dreds</w:t>
      </w:r>
      <w:proofErr w:type="spellEnd"/>
      <w:r w:rsidR="0004714B">
        <w:t xml:space="preserve"> track ‘</w:t>
      </w:r>
      <w:r w:rsidR="0004714B">
        <w:rPr>
          <w:i/>
        </w:rPr>
        <w:t xml:space="preserve">Keep </w:t>
      </w:r>
      <w:proofErr w:type="gramStart"/>
      <w:r w:rsidR="0004714B">
        <w:rPr>
          <w:i/>
        </w:rPr>
        <w:t>On</w:t>
      </w:r>
      <w:proofErr w:type="gramEnd"/>
      <w:r w:rsidR="0004714B">
        <w:rPr>
          <w:i/>
        </w:rPr>
        <w:t xml:space="preserve"> Moving’</w:t>
      </w:r>
      <w:r w:rsidR="0004714B">
        <w:t>, which crisscrossed the Atlantic in its development. He then briefly mentions that Columbus’ pilot, Pedro Nino, was black.</w:t>
      </w:r>
      <w:r w:rsidR="0004714B">
        <w:rPr>
          <w:rStyle w:val="FootnoteReference"/>
        </w:rPr>
        <w:footnoteReference w:id="3"/>
      </w:r>
      <w:r w:rsidR="0004714B">
        <w:t xml:space="preserve"> This perfectly illustrates his underlying point, that </w:t>
      </w:r>
      <w:r w:rsidR="00115870">
        <w:t xml:space="preserve">black people have been a part of the Atlantic story from the very beginning. This ties in with his use of Du </w:t>
      </w:r>
      <w:proofErr w:type="spellStart"/>
      <w:r w:rsidR="00115870">
        <w:t>Bois’</w:t>
      </w:r>
      <w:proofErr w:type="spellEnd"/>
      <w:r w:rsidR="00115870">
        <w:t xml:space="preserve"> term ‘double consciousness’. Gilroy states that in the modern world, political agenda is set by racist, nationalistic and ethnic absolutism. To try to exist between these identities is to occupy a middle ground</w:t>
      </w:r>
      <w:r w:rsidR="00BC7356">
        <w:t>,</w:t>
      </w:r>
      <w:r w:rsidR="00115870">
        <w:t xml:space="preserve"> or no</w:t>
      </w:r>
      <w:r w:rsidR="00BC7356">
        <w:t xml:space="preserve"> </w:t>
      </w:r>
      <w:r w:rsidR="00115870">
        <w:t>man</w:t>
      </w:r>
      <w:r w:rsidR="00BC7356">
        <w:t>’</w:t>
      </w:r>
      <w:r w:rsidR="00115870">
        <w:t>s land. Attempting to be both black and European is to cause conflict and demonstrate a reluctance to integrate politically.</w:t>
      </w:r>
      <w:r w:rsidR="00115870">
        <w:rPr>
          <w:rStyle w:val="FootnoteReference"/>
        </w:rPr>
        <w:footnoteReference w:id="4"/>
      </w:r>
      <w:r w:rsidR="00115870">
        <w:t xml:space="preserve"> This is how Gilroy’s use of ships as a literary metaphor is best understood. They are micro-world</w:t>
      </w:r>
      <w:r w:rsidR="00BC7356">
        <w:t>s</w:t>
      </w:r>
      <w:r w:rsidR="00115870">
        <w:t xml:space="preserve"> in their own right</w:t>
      </w:r>
      <w:r w:rsidR="00BC7356">
        <w:t>,</w:t>
      </w:r>
      <w:r w:rsidR="00115870">
        <w:t xml:space="preserve"> with their own cultural and political agenda</w:t>
      </w:r>
      <w:r w:rsidR="00BC7356">
        <w:t>s</w:t>
      </w:r>
      <w:r w:rsidR="00115870">
        <w:t>.</w:t>
      </w:r>
      <w:r w:rsidR="00115870">
        <w:rPr>
          <w:rStyle w:val="FootnoteReference"/>
        </w:rPr>
        <w:footnoteReference w:id="5"/>
      </w:r>
      <w:r w:rsidR="00115870">
        <w:t xml:space="preserve"> They demonstrate the black experience </w:t>
      </w:r>
      <w:r w:rsidR="00BC7356">
        <w:t>by</w:t>
      </w:r>
      <w:r w:rsidR="00115870">
        <w:t xml:space="preserve"> exist</w:t>
      </w:r>
      <w:r w:rsidR="00BC7356">
        <w:t>ing</w:t>
      </w:r>
      <w:r w:rsidR="00115870">
        <w:t xml:space="preserve"> between places, they carry cargo, ideas and people that </w:t>
      </w:r>
      <w:r w:rsidR="00A26478">
        <w:t>dock</w:t>
      </w:r>
      <w:r w:rsidR="00115870">
        <w:t xml:space="preserve"> on the edge of </w:t>
      </w:r>
      <w:r w:rsidR="00A26478">
        <w:t>a country. As a ship’s cargo is unloaded and dispersed throughout the land, by the time it reaches its final destination</w:t>
      </w:r>
      <w:r w:rsidR="00C32589">
        <w:t>,</w:t>
      </w:r>
      <w:r w:rsidR="00A26478">
        <w:t xml:space="preserve"> nobody recognises or cares from where it originated.</w:t>
      </w:r>
      <w:r w:rsidR="00115870">
        <w:t xml:space="preserve"> </w:t>
      </w:r>
      <w:r w:rsidR="00A26478">
        <w:t>In the same way</w:t>
      </w:r>
      <w:r w:rsidR="00C32589">
        <w:t>,</w:t>
      </w:r>
      <w:r w:rsidR="00A26478">
        <w:t xml:space="preserve"> the cultural contributions made by black people are unloaded and dispersed throughout a predominantly white society, with scant regard or recognition </w:t>
      </w:r>
      <w:r w:rsidR="00B66569">
        <w:t>for</w:t>
      </w:r>
      <w:r w:rsidR="00A26478">
        <w:t xml:space="preserve"> the people responsible.</w:t>
      </w:r>
    </w:p>
    <w:p w:rsidR="00BC7356" w:rsidRDefault="00BC7356" w:rsidP="00380A4C">
      <w:r>
        <w:t xml:space="preserve">Gilroy’s use of ships is also designed to draw the readers attention towards the Atlantic and the lives lived there. </w:t>
      </w:r>
      <w:r w:rsidR="006F4033">
        <w:t xml:space="preserve">His descriptions of the lives of Robert </w:t>
      </w:r>
      <w:proofErr w:type="spellStart"/>
      <w:r w:rsidR="006F4033">
        <w:t>Wedderburn</w:t>
      </w:r>
      <w:proofErr w:type="spellEnd"/>
      <w:r w:rsidR="006F4033">
        <w:t xml:space="preserve"> and William Davidson provide insight into a world of which little is known. As political antagonists travelling the Atlantic and mingling with the lowest classes</w:t>
      </w:r>
      <w:r w:rsidR="000F0B75">
        <w:t>,</w:t>
      </w:r>
      <w:r w:rsidR="006F4033">
        <w:t xml:space="preserve"> these two men represent how people living on the fringes of society, can influence the cultural development of nations. Both men were mixed race, essentially not belonging to either race, occupying yet another middle ground. </w:t>
      </w:r>
      <w:r w:rsidR="00D516E1">
        <w:t xml:space="preserve">They </w:t>
      </w:r>
      <w:r w:rsidR="00C32589">
        <w:t>were at sea,</w:t>
      </w:r>
      <w:r w:rsidR="00D516E1">
        <w:t xml:space="preserve"> at a time of great rebellion and political upheaval in San Domingo. Men like </w:t>
      </w:r>
      <w:proofErr w:type="spellStart"/>
      <w:r w:rsidR="00D516E1">
        <w:t>Wedderburn</w:t>
      </w:r>
      <w:proofErr w:type="spellEnd"/>
      <w:r w:rsidR="00D516E1">
        <w:t xml:space="preserve"> and Davidson were perfectly placed to absorb the stories of rebellion</w:t>
      </w:r>
      <w:r w:rsidR="00C32589">
        <w:t>,</w:t>
      </w:r>
      <w:r w:rsidR="00D516E1">
        <w:t xml:space="preserve"> before dispersing them </w:t>
      </w:r>
      <w:r w:rsidR="00C32589">
        <w:t>in</w:t>
      </w:r>
      <w:r w:rsidR="00D516E1">
        <w:t xml:space="preserve"> Britain to the downtrodden working classes. Gilroy states that </w:t>
      </w:r>
      <w:r w:rsidR="00C32589">
        <w:t>an</w:t>
      </w:r>
      <w:r w:rsidR="00D516E1">
        <w:t xml:space="preserve"> estimated </w:t>
      </w:r>
      <w:r w:rsidR="00C32589">
        <w:t>quarter of all Navy men were black</w:t>
      </w:r>
      <w:r w:rsidR="00D516E1">
        <w:t xml:space="preserve"> by the end of the 18</w:t>
      </w:r>
      <w:r w:rsidR="00D516E1" w:rsidRPr="00D516E1">
        <w:rPr>
          <w:vertAlign w:val="superscript"/>
        </w:rPr>
        <w:t>th</w:t>
      </w:r>
      <w:r w:rsidR="00D516E1">
        <w:t xml:space="preserve"> century, many of whom had known the injustice of slavery. Gilroy asserts that these men would </w:t>
      </w:r>
      <w:r w:rsidR="00D516E1">
        <w:lastRenderedPageBreak/>
        <w:t>have acted as agents spreading the news of freedom and rebellion throughout their sea voyages and on land.</w:t>
      </w:r>
      <w:r w:rsidR="00D516E1">
        <w:rPr>
          <w:rStyle w:val="FootnoteReference"/>
        </w:rPr>
        <w:footnoteReference w:id="6"/>
      </w:r>
      <w:r w:rsidR="00397C2C">
        <w:t xml:space="preserve"> This knowledge </w:t>
      </w:r>
      <w:r w:rsidR="00C32589">
        <w:t>influenced</w:t>
      </w:r>
      <w:r w:rsidR="00397C2C">
        <w:t xml:space="preserve"> and helped to build the growing workers movement in Britain.</w:t>
      </w:r>
      <w:r w:rsidR="00397C2C">
        <w:rPr>
          <w:rStyle w:val="FootnoteReference"/>
        </w:rPr>
        <w:footnoteReference w:id="7"/>
      </w:r>
    </w:p>
    <w:p w:rsidR="00397C2C" w:rsidRDefault="00485101" w:rsidP="00380A4C">
      <w:r>
        <w:t xml:space="preserve">Ships appear again in Gilroy’s description of the novel, ‘Blake’. He argues that the novel is a useful tool in disproving the idea of ‘ethnic absolutism’. Blakes travels and experiences </w:t>
      </w:r>
      <w:r w:rsidR="00A9588C">
        <w:t>illustrate the network of journeys taken by the racially diverse communities of the Atlantic.</w:t>
      </w:r>
      <w:r w:rsidR="00A9588C">
        <w:rPr>
          <w:rStyle w:val="FootnoteReference"/>
        </w:rPr>
        <w:footnoteReference w:id="8"/>
      </w:r>
      <w:r w:rsidR="00397C2C">
        <w:t xml:space="preserve"> </w:t>
      </w:r>
      <w:r w:rsidR="00A9588C">
        <w:t>This directly argues against what he previously called the ‘lure of ethnic absolutism’.</w:t>
      </w:r>
      <w:r w:rsidR="00A9588C">
        <w:rPr>
          <w:rStyle w:val="FootnoteReference"/>
        </w:rPr>
        <w:footnoteReference w:id="9"/>
      </w:r>
      <w:r w:rsidR="00A9588C">
        <w:t xml:space="preserve"> Gilroy attests that ethnic absolutism can be practiced by both oppressors and the oppressed. It is the desire to compartmentalise racial groups and their contributions to wider society, for the purposes of satisfying individual political agenda.</w:t>
      </w:r>
      <w:r w:rsidR="00557FE7">
        <w:rPr>
          <w:rStyle w:val="FootnoteReference"/>
        </w:rPr>
        <w:footnoteReference w:id="10"/>
      </w:r>
      <w:r w:rsidR="00557FE7">
        <w:t xml:space="preserve"> Gilroy claims that, in this way, the convergence of black and white culture has been misunderstood by both racists and anti-racists alike. The idea of Britain as a racially pure entity before the arrival of black settlers is a complete fallacy.</w:t>
      </w:r>
      <w:r w:rsidR="00557FE7">
        <w:rPr>
          <w:rStyle w:val="FootnoteReference"/>
        </w:rPr>
        <w:footnoteReference w:id="11"/>
      </w:r>
    </w:p>
    <w:p w:rsidR="00AE19CB" w:rsidRDefault="00784B6F" w:rsidP="00380A4C">
      <w:r>
        <w:t>T</w:t>
      </w:r>
      <w:r w:rsidR="00142502">
        <w:t>wo</w:t>
      </w:r>
      <w:r>
        <w:t xml:space="preserve"> sources chosen by Gilroy to illustrate his counter culture of modernity idea, include Turner’s painting of a slave ship. Gilroy describes Turners art as, ‘an enduring expression of the very essence of </w:t>
      </w:r>
      <w:r w:rsidR="000F0B75">
        <w:t xml:space="preserve">English </w:t>
      </w:r>
      <w:r>
        <w:t>civilisation’.</w:t>
      </w:r>
      <w:r>
        <w:rPr>
          <w:rStyle w:val="FootnoteReference"/>
        </w:rPr>
        <w:footnoteReference w:id="12"/>
      </w:r>
      <w:r>
        <w:t xml:space="preserve"> Turner’s obvious distaste for the slave trade then, in his depiction of dozens of chained people being thrown overboard as a storm approaches, is a more damning indictment of British culture than any other contemporary artist. </w:t>
      </w:r>
      <w:r w:rsidR="00586F73">
        <w:t>Gilroy describes the painting as, ‘a powerful protest against the direction and moral tone of English politics.’</w:t>
      </w:r>
      <w:r w:rsidR="00586F73">
        <w:rPr>
          <w:rStyle w:val="FootnoteReference"/>
        </w:rPr>
        <w:footnoteReference w:id="13"/>
      </w:r>
      <w:r>
        <w:t xml:space="preserve"> </w:t>
      </w:r>
      <w:r w:rsidR="00586F73">
        <w:t>The quote</w:t>
      </w:r>
      <w:bookmarkStart w:id="0" w:name="_GoBack"/>
      <w:bookmarkEnd w:id="0"/>
      <w:r w:rsidR="00586F73">
        <w:t xml:space="preserve"> Gilroy uses at the beginning of his first chapter, again encapsulate his message. Nietzsche</w:t>
      </w:r>
      <w:r w:rsidR="00C32589">
        <w:t>’s</w:t>
      </w:r>
      <w:r w:rsidR="00586F73">
        <w:t xml:space="preserve"> words describe a sense of noble homelessness</w:t>
      </w:r>
      <w:r w:rsidR="00C32589">
        <w:t>,</w:t>
      </w:r>
      <w:r w:rsidR="00586F73">
        <w:t xml:space="preserve"> a people out of time who have to wait for their opportunity to be fully part of European society. </w:t>
      </w:r>
    </w:p>
    <w:p w:rsidR="00EC5B1B" w:rsidRDefault="00EC5B1B" w:rsidP="00380A4C"/>
    <w:p w:rsidR="00A26478" w:rsidRPr="00380A4C" w:rsidRDefault="00A26478" w:rsidP="00380A4C"/>
    <w:sectPr w:rsidR="00A26478" w:rsidRPr="00380A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0A4C" w:rsidRDefault="00380A4C" w:rsidP="00380A4C">
      <w:pPr>
        <w:spacing w:after="0" w:line="240" w:lineRule="auto"/>
      </w:pPr>
      <w:r>
        <w:separator/>
      </w:r>
    </w:p>
  </w:endnote>
  <w:endnote w:type="continuationSeparator" w:id="0">
    <w:p w:rsidR="00380A4C" w:rsidRDefault="00380A4C" w:rsidP="00380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0A4C" w:rsidRDefault="00380A4C" w:rsidP="00380A4C">
      <w:pPr>
        <w:spacing w:after="0" w:line="240" w:lineRule="auto"/>
      </w:pPr>
      <w:r>
        <w:separator/>
      </w:r>
    </w:p>
  </w:footnote>
  <w:footnote w:type="continuationSeparator" w:id="0">
    <w:p w:rsidR="00380A4C" w:rsidRDefault="00380A4C" w:rsidP="00380A4C">
      <w:pPr>
        <w:spacing w:after="0" w:line="240" w:lineRule="auto"/>
      </w:pPr>
      <w:r>
        <w:continuationSeparator/>
      </w:r>
    </w:p>
  </w:footnote>
  <w:footnote w:id="1">
    <w:p w:rsidR="00380A4C" w:rsidRDefault="00380A4C">
      <w:pPr>
        <w:pStyle w:val="FootnoteText"/>
      </w:pPr>
      <w:r>
        <w:rPr>
          <w:rStyle w:val="FootnoteReference"/>
        </w:rPr>
        <w:footnoteRef/>
      </w:r>
      <w:r>
        <w:t xml:space="preserve"> </w:t>
      </w:r>
      <w:r w:rsidR="00142502">
        <w:t xml:space="preserve">Paul, </w:t>
      </w:r>
      <w:r w:rsidR="00142502" w:rsidRPr="00142502">
        <w:t>Gilroy, </w:t>
      </w:r>
      <w:r w:rsidR="00142502" w:rsidRPr="00142502">
        <w:rPr>
          <w:i/>
          <w:iCs/>
        </w:rPr>
        <w:t>The Black Atlantic</w:t>
      </w:r>
      <w:r w:rsidR="00142502" w:rsidRPr="00142502">
        <w:t> (New York: Verso, 1993)</w:t>
      </w:r>
      <w:r w:rsidR="00142502">
        <w:t xml:space="preserve">, p. </w:t>
      </w:r>
      <w:r>
        <w:t>2.</w:t>
      </w:r>
    </w:p>
  </w:footnote>
  <w:footnote w:id="2">
    <w:p w:rsidR="00380A4C" w:rsidRDefault="00380A4C">
      <w:pPr>
        <w:pStyle w:val="FootnoteText"/>
      </w:pPr>
      <w:r>
        <w:rPr>
          <w:rStyle w:val="FootnoteReference"/>
        </w:rPr>
        <w:footnoteRef/>
      </w:r>
      <w:r>
        <w:t xml:space="preserve"> </w:t>
      </w:r>
      <w:r w:rsidR="00142502" w:rsidRPr="00142502">
        <w:t>Ibid</w:t>
      </w:r>
      <w:r w:rsidR="00142502">
        <w:rPr>
          <w:i/>
        </w:rPr>
        <w:t xml:space="preserve">, </w:t>
      </w:r>
      <w:r w:rsidR="00142502">
        <w:t xml:space="preserve">p. </w:t>
      </w:r>
      <w:r>
        <w:t>6.</w:t>
      </w:r>
    </w:p>
  </w:footnote>
  <w:footnote w:id="3">
    <w:p w:rsidR="0004714B" w:rsidRDefault="0004714B">
      <w:pPr>
        <w:pStyle w:val="FootnoteText"/>
      </w:pPr>
      <w:r>
        <w:rPr>
          <w:rStyle w:val="FootnoteReference"/>
        </w:rPr>
        <w:footnoteRef/>
      </w:r>
      <w:r>
        <w:t xml:space="preserve"> </w:t>
      </w:r>
      <w:r w:rsidR="00142502">
        <w:t>Ibid, p.</w:t>
      </w:r>
      <w:r>
        <w:t>16.</w:t>
      </w:r>
    </w:p>
  </w:footnote>
  <w:footnote w:id="4">
    <w:p w:rsidR="00115870" w:rsidRDefault="00115870">
      <w:pPr>
        <w:pStyle w:val="FootnoteText"/>
      </w:pPr>
      <w:r>
        <w:rPr>
          <w:rStyle w:val="FootnoteReference"/>
        </w:rPr>
        <w:footnoteRef/>
      </w:r>
      <w:r>
        <w:t xml:space="preserve"> </w:t>
      </w:r>
      <w:r w:rsidR="00142502">
        <w:t xml:space="preserve">Ibid, p. </w:t>
      </w:r>
      <w:r>
        <w:t>1.</w:t>
      </w:r>
    </w:p>
  </w:footnote>
  <w:footnote w:id="5">
    <w:p w:rsidR="00115870" w:rsidRDefault="00115870">
      <w:pPr>
        <w:pStyle w:val="FootnoteText"/>
      </w:pPr>
      <w:r>
        <w:rPr>
          <w:rStyle w:val="FootnoteReference"/>
        </w:rPr>
        <w:footnoteRef/>
      </w:r>
      <w:r>
        <w:t xml:space="preserve"> </w:t>
      </w:r>
      <w:r w:rsidR="00142502">
        <w:t xml:space="preserve">Ibid, p. </w:t>
      </w:r>
      <w:r>
        <w:t xml:space="preserve">4. </w:t>
      </w:r>
    </w:p>
  </w:footnote>
  <w:footnote w:id="6">
    <w:p w:rsidR="00D516E1" w:rsidRDefault="00D516E1">
      <w:pPr>
        <w:pStyle w:val="FootnoteText"/>
      </w:pPr>
      <w:r>
        <w:rPr>
          <w:rStyle w:val="FootnoteReference"/>
        </w:rPr>
        <w:footnoteRef/>
      </w:r>
      <w:r>
        <w:t xml:space="preserve"> </w:t>
      </w:r>
      <w:r w:rsidR="00142502">
        <w:t xml:space="preserve">Ibid, p. </w:t>
      </w:r>
      <w:r>
        <w:t>12-13.</w:t>
      </w:r>
    </w:p>
  </w:footnote>
  <w:footnote w:id="7">
    <w:p w:rsidR="00397C2C" w:rsidRDefault="00397C2C">
      <w:pPr>
        <w:pStyle w:val="FootnoteText"/>
      </w:pPr>
      <w:r>
        <w:rPr>
          <w:rStyle w:val="FootnoteReference"/>
        </w:rPr>
        <w:footnoteRef/>
      </w:r>
      <w:r>
        <w:t xml:space="preserve"> </w:t>
      </w:r>
      <w:r w:rsidR="00142502">
        <w:t xml:space="preserve">Ibid, p. </w:t>
      </w:r>
      <w:r>
        <w:t>16.</w:t>
      </w:r>
    </w:p>
  </w:footnote>
  <w:footnote w:id="8">
    <w:p w:rsidR="00A9588C" w:rsidRDefault="00A9588C">
      <w:pPr>
        <w:pStyle w:val="FootnoteText"/>
      </w:pPr>
      <w:r>
        <w:rPr>
          <w:rStyle w:val="FootnoteReference"/>
        </w:rPr>
        <w:footnoteRef/>
      </w:r>
      <w:r>
        <w:t xml:space="preserve"> </w:t>
      </w:r>
      <w:r w:rsidR="00142502">
        <w:t xml:space="preserve">Ibid, </w:t>
      </w:r>
      <w:r>
        <w:t>P</w:t>
      </w:r>
      <w:r w:rsidR="00142502">
        <w:t>.</w:t>
      </w:r>
      <w:r>
        <w:t xml:space="preserve"> 29.</w:t>
      </w:r>
    </w:p>
  </w:footnote>
  <w:footnote w:id="9">
    <w:p w:rsidR="00A9588C" w:rsidRDefault="00A9588C">
      <w:pPr>
        <w:pStyle w:val="FootnoteText"/>
      </w:pPr>
      <w:r>
        <w:rPr>
          <w:rStyle w:val="FootnoteReference"/>
        </w:rPr>
        <w:footnoteRef/>
      </w:r>
      <w:r>
        <w:t xml:space="preserve"> </w:t>
      </w:r>
      <w:r w:rsidR="00142502">
        <w:t xml:space="preserve">Ibid, p. </w:t>
      </w:r>
      <w:r>
        <w:t>3.</w:t>
      </w:r>
    </w:p>
  </w:footnote>
  <w:footnote w:id="10">
    <w:p w:rsidR="00557FE7" w:rsidRDefault="00557FE7">
      <w:pPr>
        <w:pStyle w:val="FootnoteText"/>
      </w:pPr>
      <w:r>
        <w:rPr>
          <w:rStyle w:val="FootnoteReference"/>
        </w:rPr>
        <w:footnoteRef/>
      </w:r>
      <w:r>
        <w:t xml:space="preserve"> </w:t>
      </w:r>
      <w:r w:rsidR="00142502">
        <w:t xml:space="preserve">Ibid, p. </w:t>
      </w:r>
      <w:r>
        <w:t>29.</w:t>
      </w:r>
    </w:p>
  </w:footnote>
  <w:footnote w:id="11">
    <w:p w:rsidR="00557FE7" w:rsidRDefault="00557FE7">
      <w:pPr>
        <w:pStyle w:val="FootnoteText"/>
      </w:pPr>
      <w:r>
        <w:rPr>
          <w:rStyle w:val="FootnoteReference"/>
        </w:rPr>
        <w:footnoteRef/>
      </w:r>
      <w:r>
        <w:t xml:space="preserve"> </w:t>
      </w:r>
      <w:r w:rsidR="00142502">
        <w:t xml:space="preserve">Ibid, p. </w:t>
      </w:r>
      <w:r>
        <w:t>7.</w:t>
      </w:r>
    </w:p>
  </w:footnote>
  <w:footnote w:id="12">
    <w:p w:rsidR="00784B6F" w:rsidRDefault="00784B6F">
      <w:pPr>
        <w:pStyle w:val="FootnoteText"/>
      </w:pPr>
      <w:r>
        <w:rPr>
          <w:rStyle w:val="FootnoteReference"/>
        </w:rPr>
        <w:footnoteRef/>
      </w:r>
      <w:r>
        <w:t xml:space="preserve"> </w:t>
      </w:r>
      <w:r w:rsidR="00142502">
        <w:t>Ibid, p.</w:t>
      </w:r>
      <w:r>
        <w:t xml:space="preserve"> 13.</w:t>
      </w:r>
    </w:p>
  </w:footnote>
  <w:footnote w:id="13">
    <w:p w:rsidR="00586F73" w:rsidRDefault="00586F73">
      <w:pPr>
        <w:pStyle w:val="FootnoteText"/>
      </w:pPr>
      <w:r>
        <w:rPr>
          <w:rStyle w:val="FootnoteReference"/>
        </w:rPr>
        <w:footnoteRef/>
      </w:r>
      <w:r>
        <w:t xml:space="preserve"> </w:t>
      </w:r>
      <w:r w:rsidR="00142502">
        <w:t xml:space="preserve">Ibid, p. </w:t>
      </w:r>
      <w:r>
        <w:t>14.</w:t>
      </w:r>
    </w:p>
    <w:p w:rsidR="00C27314" w:rsidRDefault="00C27314">
      <w:pPr>
        <w:pStyle w:val="FootnoteText"/>
      </w:pPr>
    </w:p>
    <w:p w:rsidR="00C27314" w:rsidRDefault="00C27314">
      <w:pPr>
        <w:pStyle w:val="FootnoteText"/>
      </w:pPr>
    </w:p>
    <w:p w:rsidR="00C27314" w:rsidRDefault="00C27314">
      <w:pPr>
        <w:pStyle w:val="FootnoteText"/>
      </w:pPr>
    </w:p>
    <w:p w:rsidR="00C27314" w:rsidRDefault="00C27314">
      <w:pPr>
        <w:pStyle w:val="FootnoteText"/>
        <w:rPr>
          <w:u w:val="single"/>
        </w:rPr>
      </w:pPr>
      <w:r>
        <w:rPr>
          <w:u w:val="single"/>
        </w:rPr>
        <w:t>Bibliography</w:t>
      </w:r>
    </w:p>
    <w:p w:rsidR="00C27314" w:rsidRDefault="00C27314">
      <w:pPr>
        <w:pStyle w:val="FootnoteText"/>
        <w:rPr>
          <w:u w:val="single"/>
        </w:rPr>
      </w:pPr>
    </w:p>
    <w:p w:rsidR="00C27314" w:rsidRPr="00C27314" w:rsidRDefault="00C27314">
      <w:pPr>
        <w:pStyle w:val="FootnoteText"/>
      </w:pPr>
      <w:r w:rsidRPr="00C27314">
        <w:t>Gilroy, Paul, </w:t>
      </w:r>
      <w:r w:rsidRPr="00C27314">
        <w:rPr>
          <w:i/>
          <w:iCs/>
        </w:rPr>
        <w:t>The Black Atlantic</w:t>
      </w:r>
      <w:r w:rsidRPr="00C27314">
        <w:t> (New York: Verso, 1993)</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F0B28"/>
    <w:multiLevelType w:val="hybridMultilevel"/>
    <w:tmpl w:val="3F007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A4C"/>
    <w:rsid w:val="0004714B"/>
    <w:rsid w:val="000F0B75"/>
    <w:rsid w:val="00115870"/>
    <w:rsid w:val="00142502"/>
    <w:rsid w:val="00380A4C"/>
    <w:rsid w:val="00397C2C"/>
    <w:rsid w:val="00455E06"/>
    <w:rsid w:val="00485101"/>
    <w:rsid w:val="004D3D9C"/>
    <w:rsid w:val="00557FE7"/>
    <w:rsid w:val="00586F73"/>
    <w:rsid w:val="00590E54"/>
    <w:rsid w:val="0063393A"/>
    <w:rsid w:val="006F4033"/>
    <w:rsid w:val="00784B6F"/>
    <w:rsid w:val="008F3441"/>
    <w:rsid w:val="00A26478"/>
    <w:rsid w:val="00A9588C"/>
    <w:rsid w:val="00AB1B71"/>
    <w:rsid w:val="00AE19CB"/>
    <w:rsid w:val="00B66569"/>
    <w:rsid w:val="00BC7356"/>
    <w:rsid w:val="00C27314"/>
    <w:rsid w:val="00C32589"/>
    <w:rsid w:val="00C9592D"/>
    <w:rsid w:val="00D516E1"/>
    <w:rsid w:val="00D91BD3"/>
    <w:rsid w:val="00EC5B1B"/>
    <w:rsid w:val="00ED3219"/>
    <w:rsid w:val="00F53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CF8E2"/>
  <w15:chartTrackingRefBased/>
  <w15:docId w15:val="{C712F89F-6CD4-4BCC-B450-89A87EE5A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0A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0A4C"/>
    <w:rPr>
      <w:sz w:val="20"/>
      <w:szCs w:val="20"/>
    </w:rPr>
  </w:style>
  <w:style w:type="character" w:styleId="FootnoteReference">
    <w:name w:val="footnote reference"/>
    <w:basedOn w:val="DefaultParagraphFont"/>
    <w:uiPriority w:val="99"/>
    <w:semiHidden/>
    <w:unhideWhenUsed/>
    <w:rsid w:val="00380A4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6ABDB2-81C2-4D98-896D-98D8B1ADE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2</Pages>
  <Words>798</Words>
  <Characters>4551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Jevon (1602506)</dc:creator>
  <cp:keywords/>
  <dc:description/>
  <cp:lastModifiedBy>Rosanna Jevon (1602506)</cp:lastModifiedBy>
  <cp:revision>7</cp:revision>
  <dcterms:created xsi:type="dcterms:W3CDTF">2020-01-09T08:53:00Z</dcterms:created>
  <dcterms:modified xsi:type="dcterms:W3CDTF">2020-01-12T12:50:00Z</dcterms:modified>
</cp:coreProperties>
</file>