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36230" w14:textId="77777777" w:rsidR="006018FB" w:rsidRPr="006018FB" w:rsidRDefault="006018FB" w:rsidP="006018FB">
      <w:pPr>
        <w:jc w:val="center"/>
        <w:rPr>
          <w:b/>
          <w:bCs/>
          <w:sz w:val="36"/>
          <w:szCs w:val="32"/>
        </w:rPr>
      </w:pPr>
    </w:p>
    <w:p w14:paraId="09BA7434" w14:textId="77777777" w:rsidR="006018FB" w:rsidRPr="006018FB" w:rsidRDefault="006018FB" w:rsidP="006018FB">
      <w:pPr>
        <w:jc w:val="center"/>
        <w:rPr>
          <w:b/>
          <w:bCs/>
          <w:sz w:val="36"/>
          <w:szCs w:val="32"/>
        </w:rPr>
      </w:pPr>
    </w:p>
    <w:p w14:paraId="51089B2C" w14:textId="77777777" w:rsidR="006018FB" w:rsidRPr="006018FB" w:rsidRDefault="006018FB" w:rsidP="006018FB">
      <w:pPr>
        <w:jc w:val="center"/>
        <w:rPr>
          <w:b/>
          <w:bCs/>
          <w:sz w:val="36"/>
          <w:szCs w:val="32"/>
        </w:rPr>
      </w:pPr>
    </w:p>
    <w:p w14:paraId="5235CE3C" w14:textId="77777777" w:rsidR="006018FB" w:rsidRPr="006018FB" w:rsidRDefault="006018FB" w:rsidP="006018FB">
      <w:pPr>
        <w:jc w:val="center"/>
        <w:rPr>
          <w:b/>
          <w:bCs/>
          <w:sz w:val="36"/>
          <w:szCs w:val="32"/>
        </w:rPr>
      </w:pPr>
    </w:p>
    <w:p w14:paraId="7535B92C" w14:textId="77777777" w:rsidR="006018FB" w:rsidRPr="006018FB" w:rsidRDefault="006018FB" w:rsidP="006018FB">
      <w:pPr>
        <w:jc w:val="center"/>
        <w:rPr>
          <w:b/>
          <w:bCs/>
          <w:sz w:val="36"/>
          <w:szCs w:val="32"/>
        </w:rPr>
      </w:pPr>
    </w:p>
    <w:p w14:paraId="290DC3F9" w14:textId="77777777" w:rsidR="006018FB" w:rsidRPr="006018FB" w:rsidRDefault="006018FB" w:rsidP="006018FB">
      <w:pPr>
        <w:jc w:val="center"/>
        <w:rPr>
          <w:b/>
          <w:bCs/>
          <w:sz w:val="36"/>
          <w:szCs w:val="32"/>
        </w:rPr>
      </w:pPr>
      <w:r w:rsidRPr="006018FB">
        <w:rPr>
          <w:b/>
          <w:bCs/>
          <w:sz w:val="36"/>
          <w:szCs w:val="32"/>
        </w:rPr>
        <w:t>Principles of Health and Social Care Practice</w:t>
      </w:r>
    </w:p>
    <w:p w14:paraId="1023EC05" w14:textId="77777777" w:rsidR="006018FB" w:rsidRPr="006018FB" w:rsidRDefault="006018FB" w:rsidP="006018FB">
      <w:pPr>
        <w:jc w:val="center"/>
        <w:rPr>
          <w:rFonts w:asciiTheme="majorHAnsi" w:eastAsiaTheme="majorEastAsia" w:hAnsiTheme="majorHAnsi" w:cstheme="majorBidi"/>
          <w:b/>
          <w:bCs/>
          <w:sz w:val="32"/>
          <w:szCs w:val="32"/>
        </w:rPr>
      </w:pPr>
      <w:r w:rsidRPr="006018FB">
        <w:t>A Reflective Evaluation of Person-Centred Care, Partnership Working and Ethical Practice in UK Health and Social Care</w:t>
      </w:r>
    </w:p>
    <w:p w14:paraId="4D223702" w14:textId="77777777" w:rsidR="006018FB" w:rsidRDefault="006018FB" w:rsidP="006018FB"/>
    <w:p w14:paraId="34A53499" w14:textId="77777777" w:rsidR="006018FB" w:rsidRDefault="006018FB" w:rsidP="006018FB"/>
    <w:p w14:paraId="40DFA880" w14:textId="77777777" w:rsidR="006018FB" w:rsidRDefault="006018FB" w:rsidP="006018FB"/>
    <w:p w14:paraId="5F5004F3" w14:textId="67CF7F9A" w:rsidR="006018FB" w:rsidRDefault="006018FB" w:rsidP="006018FB">
      <w:r>
        <w:t>Student Name:</w:t>
      </w:r>
      <w:r w:rsidR="00B203F9">
        <w:t xml:space="preserve"> Bernice Afriyie</w:t>
      </w:r>
    </w:p>
    <w:p w14:paraId="56A6BC55" w14:textId="77777777" w:rsidR="00B203F9" w:rsidRDefault="006018FB" w:rsidP="006018FB">
      <w:r>
        <w:t>Student ID:</w:t>
      </w:r>
      <w:r w:rsidR="00B203F9">
        <w:t>2435004</w:t>
      </w:r>
    </w:p>
    <w:p w14:paraId="6B6B5CA3" w14:textId="77777777" w:rsidR="00B203F9" w:rsidRDefault="00B203F9" w:rsidP="006018FB">
      <w:r>
        <w:t>Lecture Name: Lou wells</w:t>
      </w:r>
    </w:p>
    <w:p w14:paraId="1BDABEF0" w14:textId="545A0DA5" w:rsidR="006018FB" w:rsidRPr="006018FB" w:rsidRDefault="00B203F9" w:rsidP="006018FB">
      <w:pPr>
        <w:rPr>
          <w:rFonts w:asciiTheme="majorHAnsi" w:eastAsiaTheme="majorEastAsia" w:hAnsiTheme="majorHAnsi" w:cstheme="majorBidi"/>
          <w:b/>
          <w:sz w:val="32"/>
          <w:szCs w:val="32"/>
        </w:rPr>
      </w:pPr>
      <w:r>
        <w:t xml:space="preserve"> Written Assignment 1 </w:t>
      </w:r>
      <w:r w:rsidR="006018FB">
        <w:t xml:space="preserve"> </w:t>
      </w:r>
      <w:r w:rsidR="006018FB" w:rsidRPr="006018FB">
        <w:br w:type="page"/>
      </w:r>
    </w:p>
    <w:sdt>
      <w:sdtPr>
        <w:rPr>
          <w:rFonts w:asciiTheme="minorHAnsi" w:eastAsiaTheme="minorHAnsi" w:hAnsiTheme="minorHAnsi" w:cstheme="minorBidi"/>
          <w:color w:val="auto"/>
          <w:kern w:val="2"/>
          <w:sz w:val="24"/>
          <w:szCs w:val="22"/>
          <w:lang w:val="en-GB"/>
          <w14:ligatures w14:val="standardContextual"/>
        </w:rPr>
        <w:id w:val="863941013"/>
        <w:docPartObj>
          <w:docPartGallery w:val="Table of Contents"/>
          <w:docPartUnique/>
        </w:docPartObj>
      </w:sdtPr>
      <w:sdtEndPr>
        <w:rPr>
          <w:b/>
          <w:bCs/>
          <w:noProof/>
        </w:rPr>
      </w:sdtEndPr>
      <w:sdtContent>
        <w:p w14:paraId="31DBBCCE" w14:textId="77777777" w:rsidR="00481DA2" w:rsidRDefault="00481DA2">
          <w:pPr>
            <w:pStyle w:val="TOCHeading"/>
          </w:pPr>
          <w:r>
            <w:t>Contents</w:t>
          </w:r>
        </w:p>
        <w:p w14:paraId="55E6E67A" w14:textId="77777777" w:rsidR="00481DA2" w:rsidRDefault="00481DA2">
          <w:pPr>
            <w:pStyle w:val="TOC1"/>
            <w:tabs>
              <w:tab w:val="right" w:leader="dot" w:pos="9350"/>
            </w:tabs>
            <w:rPr>
              <w:rFonts w:eastAsiaTheme="minorEastAsia"/>
              <w:noProof/>
              <w:kern w:val="0"/>
              <w:sz w:val="22"/>
              <w:szCs w:val="28"/>
              <w:lang w:eastAsia="en-GB" w:bidi="bn-BD"/>
              <w14:ligatures w14:val="none"/>
            </w:rPr>
          </w:pPr>
          <w:r>
            <w:fldChar w:fldCharType="begin"/>
          </w:r>
          <w:r>
            <w:instrText xml:space="preserve"> TOC \o "1-3" \h \z \u </w:instrText>
          </w:r>
          <w:r>
            <w:fldChar w:fldCharType="separate"/>
          </w:r>
          <w:hyperlink w:anchor="_Toc235540258" w:history="1">
            <w:r w:rsidRPr="00666194">
              <w:rPr>
                <w:rStyle w:val="Hyperlink"/>
                <w:noProof/>
              </w:rPr>
              <w:t>Introduction</w:t>
            </w:r>
            <w:r>
              <w:rPr>
                <w:noProof/>
                <w:webHidden/>
              </w:rPr>
              <w:tab/>
            </w:r>
            <w:r>
              <w:rPr>
                <w:noProof/>
                <w:webHidden/>
              </w:rPr>
              <w:fldChar w:fldCharType="begin"/>
            </w:r>
            <w:r>
              <w:rPr>
                <w:noProof/>
                <w:webHidden/>
              </w:rPr>
              <w:instrText xml:space="preserve"> PAGEREF _Toc235540258 \h </w:instrText>
            </w:r>
            <w:r>
              <w:rPr>
                <w:noProof/>
                <w:webHidden/>
              </w:rPr>
            </w:r>
            <w:r>
              <w:rPr>
                <w:noProof/>
                <w:webHidden/>
              </w:rPr>
              <w:fldChar w:fldCharType="separate"/>
            </w:r>
            <w:r>
              <w:rPr>
                <w:noProof/>
                <w:webHidden/>
              </w:rPr>
              <w:t>3</w:t>
            </w:r>
            <w:r>
              <w:rPr>
                <w:noProof/>
                <w:webHidden/>
              </w:rPr>
              <w:fldChar w:fldCharType="end"/>
            </w:r>
          </w:hyperlink>
        </w:p>
        <w:p w14:paraId="1624C6A4" w14:textId="77777777" w:rsidR="00481DA2" w:rsidRDefault="00481DA2">
          <w:pPr>
            <w:pStyle w:val="TOC1"/>
            <w:tabs>
              <w:tab w:val="right" w:leader="dot" w:pos="9350"/>
            </w:tabs>
            <w:rPr>
              <w:rFonts w:eastAsiaTheme="minorEastAsia"/>
              <w:noProof/>
              <w:kern w:val="0"/>
              <w:sz w:val="22"/>
              <w:szCs w:val="28"/>
              <w:lang w:eastAsia="en-GB" w:bidi="bn-BD"/>
              <w14:ligatures w14:val="none"/>
            </w:rPr>
          </w:pPr>
          <w:hyperlink w:anchor="_Toc235540259" w:history="1">
            <w:r w:rsidRPr="00666194">
              <w:rPr>
                <w:rStyle w:val="Hyperlink"/>
                <w:noProof/>
              </w:rPr>
              <w:t>Consideration of the Health and Social Care Principles Significance</w:t>
            </w:r>
            <w:r>
              <w:rPr>
                <w:noProof/>
                <w:webHidden/>
              </w:rPr>
              <w:tab/>
            </w:r>
            <w:r>
              <w:rPr>
                <w:noProof/>
                <w:webHidden/>
              </w:rPr>
              <w:fldChar w:fldCharType="begin"/>
            </w:r>
            <w:r>
              <w:rPr>
                <w:noProof/>
                <w:webHidden/>
              </w:rPr>
              <w:instrText xml:space="preserve"> PAGEREF _Toc235540259 \h </w:instrText>
            </w:r>
            <w:r>
              <w:rPr>
                <w:noProof/>
                <w:webHidden/>
              </w:rPr>
            </w:r>
            <w:r>
              <w:rPr>
                <w:noProof/>
                <w:webHidden/>
              </w:rPr>
              <w:fldChar w:fldCharType="separate"/>
            </w:r>
            <w:r>
              <w:rPr>
                <w:noProof/>
                <w:webHidden/>
              </w:rPr>
              <w:t>3</w:t>
            </w:r>
            <w:r>
              <w:rPr>
                <w:noProof/>
                <w:webHidden/>
              </w:rPr>
              <w:fldChar w:fldCharType="end"/>
            </w:r>
          </w:hyperlink>
        </w:p>
        <w:p w14:paraId="1BE53FC5"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0" w:history="1">
            <w:r w:rsidRPr="00666194">
              <w:rPr>
                <w:rStyle w:val="Hyperlink"/>
                <w:noProof/>
              </w:rPr>
              <w:t>Person-centred care</w:t>
            </w:r>
            <w:r>
              <w:rPr>
                <w:noProof/>
                <w:webHidden/>
              </w:rPr>
              <w:tab/>
            </w:r>
            <w:r>
              <w:rPr>
                <w:noProof/>
                <w:webHidden/>
              </w:rPr>
              <w:fldChar w:fldCharType="begin"/>
            </w:r>
            <w:r>
              <w:rPr>
                <w:noProof/>
                <w:webHidden/>
              </w:rPr>
              <w:instrText xml:space="preserve"> PAGEREF _Toc235540260 \h </w:instrText>
            </w:r>
            <w:r>
              <w:rPr>
                <w:noProof/>
                <w:webHidden/>
              </w:rPr>
            </w:r>
            <w:r>
              <w:rPr>
                <w:noProof/>
                <w:webHidden/>
              </w:rPr>
              <w:fldChar w:fldCharType="separate"/>
            </w:r>
            <w:r>
              <w:rPr>
                <w:noProof/>
                <w:webHidden/>
              </w:rPr>
              <w:t>3</w:t>
            </w:r>
            <w:r>
              <w:rPr>
                <w:noProof/>
                <w:webHidden/>
              </w:rPr>
              <w:fldChar w:fldCharType="end"/>
            </w:r>
          </w:hyperlink>
        </w:p>
        <w:p w14:paraId="44CC3944"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1" w:history="1">
            <w:r w:rsidRPr="00666194">
              <w:rPr>
                <w:rStyle w:val="Hyperlink"/>
                <w:noProof/>
              </w:rPr>
              <w:t>Partnership working</w:t>
            </w:r>
            <w:r>
              <w:rPr>
                <w:noProof/>
                <w:webHidden/>
              </w:rPr>
              <w:tab/>
            </w:r>
            <w:r>
              <w:rPr>
                <w:noProof/>
                <w:webHidden/>
              </w:rPr>
              <w:fldChar w:fldCharType="begin"/>
            </w:r>
            <w:r>
              <w:rPr>
                <w:noProof/>
                <w:webHidden/>
              </w:rPr>
              <w:instrText xml:space="preserve"> PAGEREF _Toc235540261 \h </w:instrText>
            </w:r>
            <w:r>
              <w:rPr>
                <w:noProof/>
                <w:webHidden/>
              </w:rPr>
            </w:r>
            <w:r>
              <w:rPr>
                <w:noProof/>
                <w:webHidden/>
              </w:rPr>
              <w:fldChar w:fldCharType="separate"/>
            </w:r>
            <w:r>
              <w:rPr>
                <w:noProof/>
                <w:webHidden/>
              </w:rPr>
              <w:t>3</w:t>
            </w:r>
            <w:r>
              <w:rPr>
                <w:noProof/>
                <w:webHidden/>
              </w:rPr>
              <w:fldChar w:fldCharType="end"/>
            </w:r>
          </w:hyperlink>
        </w:p>
        <w:p w14:paraId="69BDB13B"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2" w:history="1">
            <w:r w:rsidRPr="00666194">
              <w:rPr>
                <w:rStyle w:val="Hyperlink"/>
                <w:noProof/>
              </w:rPr>
              <w:t>Ethical practice</w:t>
            </w:r>
            <w:r>
              <w:rPr>
                <w:noProof/>
                <w:webHidden/>
              </w:rPr>
              <w:tab/>
            </w:r>
            <w:r>
              <w:rPr>
                <w:noProof/>
                <w:webHidden/>
              </w:rPr>
              <w:fldChar w:fldCharType="begin"/>
            </w:r>
            <w:r>
              <w:rPr>
                <w:noProof/>
                <w:webHidden/>
              </w:rPr>
              <w:instrText xml:space="preserve"> PAGEREF _Toc235540262 \h </w:instrText>
            </w:r>
            <w:r>
              <w:rPr>
                <w:noProof/>
                <w:webHidden/>
              </w:rPr>
            </w:r>
            <w:r>
              <w:rPr>
                <w:noProof/>
                <w:webHidden/>
              </w:rPr>
              <w:fldChar w:fldCharType="separate"/>
            </w:r>
            <w:r>
              <w:rPr>
                <w:noProof/>
                <w:webHidden/>
              </w:rPr>
              <w:t>4</w:t>
            </w:r>
            <w:r>
              <w:rPr>
                <w:noProof/>
                <w:webHidden/>
              </w:rPr>
              <w:fldChar w:fldCharType="end"/>
            </w:r>
          </w:hyperlink>
        </w:p>
        <w:p w14:paraId="2D4501DF" w14:textId="77777777" w:rsidR="00481DA2" w:rsidRDefault="00481DA2">
          <w:pPr>
            <w:pStyle w:val="TOC1"/>
            <w:tabs>
              <w:tab w:val="right" w:leader="dot" w:pos="9350"/>
            </w:tabs>
            <w:rPr>
              <w:rFonts w:eastAsiaTheme="minorEastAsia"/>
              <w:noProof/>
              <w:kern w:val="0"/>
              <w:sz w:val="22"/>
              <w:szCs w:val="28"/>
              <w:lang w:eastAsia="en-GB" w:bidi="bn-BD"/>
              <w14:ligatures w14:val="none"/>
            </w:rPr>
          </w:pPr>
          <w:hyperlink w:anchor="_Toc235540263" w:history="1">
            <w:r w:rsidRPr="00666194">
              <w:rPr>
                <w:rStyle w:val="Hyperlink"/>
                <w:noProof/>
              </w:rPr>
              <w:t>Applications of the Principles in Practice</w:t>
            </w:r>
            <w:r>
              <w:rPr>
                <w:noProof/>
                <w:webHidden/>
              </w:rPr>
              <w:tab/>
            </w:r>
            <w:r>
              <w:rPr>
                <w:noProof/>
                <w:webHidden/>
              </w:rPr>
              <w:fldChar w:fldCharType="begin"/>
            </w:r>
            <w:r>
              <w:rPr>
                <w:noProof/>
                <w:webHidden/>
              </w:rPr>
              <w:instrText xml:space="preserve"> PAGEREF _Toc235540263 \h </w:instrText>
            </w:r>
            <w:r>
              <w:rPr>
                <w:noProof/>
                <w:webHidden/>
              </w:rPr>
            </w:r>
            <w:r>
              <w:rPr>
                <w:noProof/>
                <w:webHidden/>
              </w:rPr>
              <w:fldChar w:fldCharType="separate"/>
            </w:r>
            <w:r>
              <w:rPr>
                <w:noProof/>
                <w:webHidden/>
              </w:rPr>
              <w:t>4</w:t>
            </w:r>
            <w:r>
              <w:rPr>
                <w:noProof/>
                <w:webHidden/>
              </w:rPr>
              <w:fldChar w:fldCharType="end"/>
            </w:r>
          </w:hyperlink>
        </w:p>
        <w:p w14:paraId="4B658EE5"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4" w:history="1">
            <w:r w:rsidRPr="00666194">
              <w:rPr>
                <w:rStyle w:val="Hyperlink"/>
                <w:noProof/>
              </w:rPr>
              <w:t>Challenge of scenario and presentation</w:t>
            </w:r>
            <w:r>
              <w:rPr>
                <w:noProof/>
                <w:webHidden/>
              </w:rPr>
              <w:tab/>
            </w:r>
            <w:r>
              <w:rPr>
                <w:noProof/>
                <w:webHidden/>
              </w:rPr>
              <w:fldChar w:fldCharType="begin"/>
            </w:r>
            <w:r>
              <w:rPr>
                <w:noProof/>
                <w:webHidden/>
              </w:rPr>
              <w:instrText xml:space="preserve"> PAGEREF _Toc235540264 \h </w:instrText>
            </w:r>
            <w:r>
              <w:rPr>
                <w:noProof/>
                <w:webHidden/>
              </w:rPr>
            </w:r>
            <w:r>
              <w:rPr>
                <w:noProof/>
                <w:webHidden/>
              </w:rPr>
              <w:fldChar w:fldCharType="separate"/>
            </w:r>
            <w:r>
              <w:rPr>
                <w:noProof/>
                <w:webHidden/>
              </w:rPr>
              <w:t>4</w:t>
            </w:r>
            <w:r>
              <w:rPr>
                <w:noProof/>
                <w:webHidden/>
              </w:rPr>
              <w:fldChar w:fldCharType="end"/>
            </w:r>
          </w:hyperlink>
        </w:p>
        <w:p w14:paraId="1227BA97"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5" w:history="1">
            <w:r w:rsidRPr="00666194">
              <w:rPr>
                <w:rStyle w:val="Hyperlink"/>
                <w:noProof/>
              </w:rPr>
              <w:t>Use of person-centred care</w:t>
            </w:r>
            <w:r>
              <w:rPr>
                <w:noProof/>
                <w:webHidden/>
              </w:rPr>
              <w:tab/>
            </w:r>
            <w:r>
              <w:rPr>
                <w:noProof/>
                <w:webHidden/>
              </w:rPr>
              <w:fldChar w:fldCharType="begin"/>
            </w:r>
            <w:r>
              <w:rPr>
                <w:noProof/>
                <w:webHidden/>
              </w:rPr>
              <w:instrText xml:space="preserve"> PAGEREF _Toc235540265 \h </w:instrText>
            </w:r>
            <w:r>
              <w:rPr>
                <w:noProof/>
                <w:webHidden/>
              </w:rPr>
            </w:r>
            <w:r>
              <w:rPr>
                <w:noProof/>
                <w:webHidden/>
              </w:rPr>
              <w:fldChar w:fldCharType="separate"/>
            </w:r>
            <w:r>
              <w:rPr>
                <w:noProof/>
                <w:webHidden/>
              </w:rPr>
              <w:t>5</w:t>
            </w:r>
            <w:r>
              <w:rPr>
                <w:noProof/>
                <w:webHidden/>
              </w:rPr>
              <w:fldChar w:fldCharType="end"/>
            </w:r>
          </w:hyperlink>
        </w:p>
        <w:p w14:paraId="192DECB4"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6" w:history="1">
            <w:r w:rsidRPr="00666194">
              <w:rPr>
                <w:rStyle w:val="Hyperlink"/>
                <w:noProof/>
              </w:rPr>
              <w:t>Use of partnership working</w:t>
            </w:r>
            <w:r>
              <w:rPr>
                <w:noProof/>
                <w:webHidden/>
              </w:rPr>
              <w:tab/>
            </w:r>
            <w:r>
              <w:rPr>
                <w:noProof/>
                <w:webHidden/>
              </w:rPr>
              <w:fldChar w:fldCharType="begin"/>
            </w:r>
            <w:r>
              <w:rPr>
                <w:noProof/>
                <w:webHidden/>
              </w:rPr>
              <w:instrText xml:space="preserve"> PAGEREF _Toc235540266 \h </w:instrText>
            </w:r>
            <w:r>
              <w:rPr>
                <w:noProof/>
                <w:webHidden/>
              </w:rPr>
            </w:r>
            <w:r>
              <w:rPr>
                <w:noProof/>
                <w:webHidden/>
              </w:rPr>
              <w:fldChar w:fldCharType="separate"/>
            </w:r>
            <w:r>
              <w:rPr>
                <w:noProof/>
                <w:webHidden/>
              </w:rPr>
              <w:t>5</w:t>
            </w:r>
            <w:r>
              <w:rPr>
                <w:noProof/>
                <w:webHidden/>
              </w:rPr>
              <w:fldChar w:fldCharType="end"/>
            </w:r>
          </w:hyperlink>
        </w:p>
        <w:p w14:paraId="11DE7190"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7" w:history="1">
            <w:r w:rsidRPr="00666194">
              <w:rPr>
                <w:rStyle w:val="Hyperlink"/>
                <w:noProof/>
              </w:rPr>
              <w:t>Decision-making of ethics and law</w:t>
            </w:r>
            <w:r>
              <w:rPr>
                <w:noProof/>
                <w:webHidden/>
              </w:rPr>
              <w:tab/>
            </w:r>
            <w:r>
              <w:rPr>
                <w:noProof/>
                <w:webHidden/>
              </w:rPr>
              <w:fldChar w:fldCharType="begin"/>
            </w:r>
            <w:r>
              <w:rPr>
                <w:noProof/>
                <w:webHidden/>
              </w:rPr>
              <w:instrText xml:space="preserve"> PAGEREF _Toc235540267 \h </w:instrText>
            </w:r>
            <w:r>
              <w:rPr>
                <w:noProof/>
                <w:webHidden/>
              </w:rPr>
            </w:r>
            <w:r>
              <w:rPr>
                <w:noProof/>
                <w:webHidden/>
              </w:rPr>
              <w:fldChar w:fldCharType="separate"/>
            </w:r>
            <w:r>
              <w:rPr>
                <w:noProof/>
                <w:webHidden/>
              </w:rPr>
              <w:t>6</w:t>
            </w:r>
            <w:r>
              <w:rPr>
                <w:noProof/>
                <w:webHidden/>
              </w:rPr>
              <w:fldChar w:fldCharType="end"/>
            </w:r>
          </w:hyperlink>
        </w:p>
        <w:p w14:paraId="1DB74F52"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68" w:history="1">
            <w:r w:rsidRPr="00666194">
              <w:rPr>
                <w:rStyle w:val="Hyperlink"/>
                <w:noProof/>
              </w:rPr>
              <w:t>Improvements and evaluation</w:t>
            </w:r>
            <w:r>
              <w:rPr>
                <w:noProof/>
                <w:webHidden/>
              </w:rPr>
              <w:tab/>
            </w:r>
            <w:r>
              <w:rPr>
                <w:noProof/>
                <w:webHidden/>
              </w:rPr>
              <w:fldChar w:fldCharType="begin"/>
            </w:r>
            <w:r>
              <w:rPr>
                <w:noProof/>
                <w:webHidden/>
              </w:rPr>
              <w:instrText xml:space="preserve"> PAGEREF _Toc235540268 \h </w:instrText>
            </w:r>
            <w:r>
              <w:rPr>
                <w:noProof/>
                <w:webHidden/>
              </w:rPr>
            </w:r>
            <w:r>
              <w:rPr>
                <w:noProof/>
                <w:webHidden/>
              </w:rPr>
              <w:fldChar w:fldCharType="separate"/>
            </w:r>
            <w:r>
              <w:rPr>
                <w:noProof/>
                <w:webHidden/>
              </w:rPr>
              <w:t>6</w:t>
            </w:r>
            <w:r>
              <w:rPr>
                <w:noProof/>
                <w:webHidden/>
              </w:rPr>
              <w:fldChar w:fldCharType="end"/>
            </w:r>
          </w:hyperlink>
        </w:p>
        <w:p w14:paraId="1C6AC47F" w14:textId="77777777" w:rsidR="00481DA2" w:rsidRDefault="00481DA2">
          <w:pPr>
            <w:pStyle w:val="TOC1"/>
            <w:tabs>
              <w:tab w:val="right" w:leader="dot" w:pos="9350"/>
            </w:tabs>
            <w:rPr>
              <w:rFonts w:eastAsiaTheme="minorEastAsia"/>
              <w:noProof/>
              <w:kern w:val="0"/>
              <w:sz w:val="22"/>
              <w:szCs w:val="28"/>
              <w:lang w:eastAsia="en-GB" w:bidi="bn-BD"/>
              <w14:ligatures w14:val="none"/>
            </w:rPr>
          </w:pPr>
          <w:hyperlink w:anchor="_Toc235540269" w:history="1">
            <w:r w:rsidRPr="00666194">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_Toc235540269 \h </w:instrText>
            </w:r>
            <w:r>
              <w:rPr>
                <w:noProof/>
                <w:webHidden/>
              </w:rPr>
            </w:r>
            <w:r>
              <w:rPr>
                <w:noProof/>
                <w:webHidden/>
              </w:rPr>
              <w:fldChar w:fldCharType="separate"/>
            </w:r>
            <w:r>
              <w:rPr>
                <w:noProof/>
                <w:webHidden/>
              </w:rPr>
              <w:t>6</w:t>
            </w:r>
            <w:r>
              <w:rPr>
                <w:noProof/>
                <w:webHidden/>
              </w:rPr>
              <w:fldChar w:fldCharType="end"/>
            </w:r>
          </w:hyperlink>
        </w:p>
        <w:p w14:paraId="47010F75"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70" w:history="1">
            <w:r w:rsidRPr="00666194">
              <w:rPr>
                <w:rStyle w:val="Hyperlink"/>
                <w:noProof/>
              </w:rPr>
              <w:t>Professional context and reflective focus</w:t>
            </w:r>
            <w:r>
              <w:rPr>
                <w:noProof/>
                <w:webHidden/>
              </w:rPr>
              <w:tab/>
            </w:r>
            <w:r>
              <w:rPr>
                <w:noProof/>
                <w:webHidden/>
              </w:rPr>
              <w:fldChar w:fldCharType="begin"/>
            </w:r>
            <w:r>
              <w:rPr>
                <w:noProof/>
                <w:webHidden/>
              </w:rPr>
              <w:instrText xml:space="preserve"> PAGEREF _Toc235540270 \h </w:instrText>
            </w:r>
            <w:r>
              <w:rPr>
                <w:noProof/>
                <w:webHidden/>
              </w:rPr>
            </w:r>
            <w:r>
              <w:rPr>
                <w:noProof/>
                <w:webHidden/>
              </w:rPr>
              <w:fldChar w:fldCharType="separate"/>
            </w:r>
            <w:r>
              <w:rPr>
                <w:noProof/>
                <w:webHidden/>
              </w:rPr>
              <w:t>6</w:t>
            </w:r>
            <w:r>
              <w:rPr>
                <w:noProof/>
                <w:webHidden/>
              </w:rPr>
              <w:fldChar w:fldCharType="end"/>
            </w:r>
          </w:hyperlink>
        </w:p>
        <w:p w14:paraId="0EBAD4BF"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71" w:history="1">
            <w:r w:rsidRPr="00666194">
              <w:rPr>
                <w:rStyle w:val="Hyperlink"/>
                <w:noProof/>
              </w:rPr>
              <w:t>Person-centred practice reflection</w:t>
            </w:r>
            <w:r>
              <w:rPr>
                <w:noProof/>
                <w:webHidden/>
              </w:rPr>
              <w:tab/>
            </w:r>
            <w:r>
              <w:rPr>
                <w:noProof/>
                <w:webHidden/>
              </w:rPr>
              <w:fldChar w:fldCharType="begin"/>
            </w:r>
            <w:r>
              <w:rPr>
                <w:noProof/>
                <w:webHidden/>
              </w:rPr>
              <w:instrText xml:space="preserve"> PAGEREF _Toc235540271 \h </w:instrText>
            </w:r>
            <w:r>
              <w:rPr>
                <w:noProof/>
                <w:webHidden/>
              </w:rPr>
            </w:r>
            <w:r>
              <w:rPr>
                <w:noProof/>
                <w:webHidden/>
              </w:rPr>
              <w:fldChar w:fldCharType="separate"/>
            </w:r>
            <w:r>
              <w:rPr>
                <w:noProof/>
                <w:webHidden/>
              </w:rPr>
              <w:t>7</w:t>
            </w:r>
            <w:r>
              <w:rPr>
                <w:noProof/>
                <w:webHidden/>
              </w:rPr>
              <w:fldChar w:fldCharType="end"/>
            </w:r>
          </w:hyperlink>
        </w:p>
        <w:p w14:paraId="308063AD"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72" w:history="1">
            <w:r w:rsidRPr="00666194">
              <w:rPr>
                <w:rStyle w:val="Hyperlink"/>
                <w:noProof/>
              </w:rPr>
              <w:t>Reflection on partnership working</w:t>
            </w:r>
            <w:r>
              <w:rPr>
                <w:noProof/>
                <w:webHidden/>
              </w:rPr>
              <w:tab/>
            </w:r>
            <w:r>
              <w:rPr>
                <w:noProof/>
                <w:webHidden/>
              </w:rPr>
              <w:fldChar w:fldCharType="begin"/>
            </w:r>
            <w:r>
              <w:rPr>
                <w:noProof/>
                <w:webHidden/>
              </w:rPr>
              <w:instrText xml:space="preserve"> PAGEREF _Toc235540272 \h </w:instrText>
            </w:r>
            <w:r>
              <w:rPr>
                <w:noProof/>
                <w:webHidden/>
              </w:rPr>
            </w:r>
            <w:r>
              <w:rPr>
                <w:noProof/>
                <w:webHidden/>
              </w:rPr>
              <w:fldChar w:fldCharType="separate"/>
            </w:r>
            <w:r>
              <w:rPr>
                <w:noProof/>
                <w:webHidden/>
              </w:rPr>
              <w:t>7</w:t>
            </w:r>
            <w:r>
              <w:rPr>
                <w:noProof/>
                <w:webHidden/>
              </w:rPr>
              <w:fldChar w:fldCharType="end"/>
            </w:r>
          </w:hyperlink>
        </w:p>
        <w:p w14:paraId="487CB7D8"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73" w:history="1">
            <w:r w:rsidRPr="00666194">
              <w:rPr>
                <w:rStyle w:val="Hyperlink"/>
                <w:noProof/>
              </w:rPr>
              <w:t>Ethical and professional reflection</w:t>
            </w:r>
            <w:r>
              <w:rPr>
                <w:noProof/>
                <w:webHidden/>
              </w:rPr>
              <w:tab/>
            </w:r>
            <w:r>
              <w:rPr>
                <w:noProof/>
                <w:webHidden/>
              </w:rPr>
              <w:fldChar w:fldCharType="begin"/>
            </w:r>
            <w:r>
              <w:rPr>
                <w:noProof/>
                <w:webHidden/>
              </w:rPr>
              <w:instrText xml:space="preserve"> PAGEREF _Toc235540273 \h </w:instrText>
            </w:r>
            <w:r>
              <w:rPr>
                <w:noProof/>
                <w:webHidden/>
              </w:rPr>
            </w:r>
            <w:r>
              <w:rPr>
                <w:noProof/>
                <w:webHidden/>
              </w:rPr>
              <w:fldChar w:fldCharType="separate"/>
            </w:r>
            <w:r>
              <w:rPr>
                <w:noProof/>
                <w:webHidden/>
              </w:rPr>
              <w:t>8</w:t>
            </w:r>
            <w:r>
              <w:rPr>
                <w:noProof/>
                <w:webHidden/>
              </w:rPr>
              <w:fldChar w:fldCharType="end"/>
            </w:r>
          </w:hyperlink>
        </w:p>
        <w:p w14:paraId="73A5A4B2"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74" w:history="1">
            <w:r w:rsidRPr="00666194">
              <w:rPr>
                <w:rStyle w:val="Hyperlink"/>
                <w:noProof/>
              </w:rPr>
              <w:t>Personal skills audit</w:t>
            </w:r>
            <w:r>
              <w:rPr>
                <w:noProof/>
                <w:webHidden/>
              </w:rPr>
              <w:tab/>
            </w:r>
            <w:r>
              <w:rPr>
                <w:noProof/>
                <w:webHidden/>
              </w:rPr>
              <w:fldChar w:fldCharType="begin"/>
            </w:r>
            <w:r>
              <w:rPr>
                <w:noProof/>
                <w:webHidden/>
              </w:rPr>
              <w:instrText xml:space="preserve"> PAGEREF _Toc235540274 \h </w:instrText>
            </w:r>
            <w:r>
              <w:rPr>
                <w:noProof/>
                <w:webHidden/>
              </w:rPr>
            </w:r>
            <w:r>
              <w:rPr>
                <w:noProof/>
                <w:webHidden/>
              </w:rPr>
              <w:fldChar w:fldCharType="separate"/>
            </w:r>
            <w:r>
              <w:rPr>
                <w:noProof/>
                <w:webHidden/>
              </w:rPr>
              <w:t>9</w:t>
            </w:r>
            <w:r>
              <w:rPr>
                <w:noProof/>
                <w:webHidden/>
              </w:rPr>
              <w:fldChar w:fldCharType="end"/>
            </w:r>
          </w:hyperlink>
        </w:p>
        <w:p w14:paraId="34AC2897" w14:textId="77777777" w:rsidR="00481DA2" w:rsidRDefault="00481DA2">
          <w:pPr>
            <w:pStyle w:val="TOC2"/>
            <w:tabs>
              <w:tab w:val="right" w:leader="dot" w:pos="9350"/>
            </w:tabs>
            <w:rPr>
              <w:rFonts w:eastAsiaTheme="minorEastAsia"/>
              <w:noProof/>
              <w:kern w:val="0"/>
              <w:sz w:val="22"/>
              <w:szCs w:val="28"/>
              <w:lang w:eastAsia="en-GB" w:bidi="bn-BD"/>
              <w14:ligatures w14:val="none"/>
            </w:rPr>
          </w:pPr>
          <w:hyperlink w:anchor="_Toc235540275" w:history="1">
            <w:r w:rsidRPr="00666194">
              <w:rPr>
                <w:rStyle w:val="Hyperlink"/>
                <w:noProof/>
              </w:rPr>
              <w:t>Professional development plan</w:t>
            </w:r>
            <w:r>
              <w:rPr>
                <w:noProof/>
                <w:webHidden/>
              </w:rPr>
              <w:tab/>
            </w:r>
            <w:r>
              <w:rPr>
                <w:noProof/>
                <w:webHidden/>
              </w:rPr>
              <w:fldChar w:fldCharType="begin"/>
            </w:r>
            <w:r>
              <w:rPr>
                <w:noProof/>
                <w:webHidden/>
              </w:rPr>
              <w:instrText xml:space="preserve"> PAGEREF _Toc235540275 \h </w:instrText>
            </w:r>
            <w:r>
              <w:rPr>
                <w:noProof/>
                <w:webHidden/>
              </w:rPr>
            </w:r>
            <w:r>
              <w:rPr>
                <w:noProof/>
                <w:webHidden/>
              </w:rPr>
              <w:fldChar w:fldCharType="separate"/>
            </w:r>
            <w:r>
              <w:rPr>
                <w:noProof/>
                <w:webHidden/>
              </w:rPr>
              <w:t>9</w:t>
            </w:r>
            <w:r>
              <w:rPr>
                <w:noProof/>
                <w:webHidden/>
              </w:rPr>
              <w:fldChar w:fldCharType="end"/>
            </w:r>
          </w:hyperlink>
        </w:p>
        <w:p w14:paraId="4B9E004C" w14:textId="77777777" w:rsidR="00481DA2" w:rsidRDefault="00481DA2">
          <w:pPr>
            <w:pStyle w:val="TOC1"/>
            <w:tabs>
              <w:tab w:val="right" w:leader="dot" w:pos="9350"/>
            </w:tabs>
            <w:rPr>
              <w:rFonts w:eastAsiaTheme="minorEastAsia"/>
              <w:noProof/>
              <w:kern w:val="0"/>
              <w:sz w:val="22"/>
              <w:szCs w:val="28"/>
              <w:lang w:eastAsia="en-GB" w:bidi="bn-BD"/>
              <w14:ligatures w14:val="none"/>
            </w:rPr>
          </w:pPr>
          <w:hyperlink w:anchor="_Toc235540276" w:history="1">
            <w:r w:rsidRPr="00666194">
              <w:rPr>
                <w:rStyle w:val="Hyperlink"/>
                <w:noProof/>
              </w:rPr>
              <w:t>Conclusion</w:t>
            </w:r>
            <w:r>
              <w:rPr>
                <w:noProof/>
                <w:webHidden/>
              </w:rPr>
              <w:tab/>
            </w:r>
            <w:r>
              <w:rPr>
                <w:noProof/>
                <w:webHidden/>
              </w:rPr>
              <w:fldChar w:fldCharType="begin"/>
            </w:r>
            <w:r>
              <w:rPr>
                <w:noProof/>
                <w:webHidden/>
              </w:rPr>
              <w:instrText xml:space="preserve"> PAGEREF _Toc235540276 \h </w:instrText>
            </w:r>
            <w:r>
              <w:rPr>
                <w:noProof/>
                <w:webHidden/>
              </w:rPr>
            </w:r>
            <w:r>
              <w:rPr>
                <w:noProof/>
                <w:webHidden/>
              </w:rPr>
              <w:fldChar w:fldCharType="separate"/>
            </w:r>
            <w:r>
              <w:rPr>
                <w:noProof/>
                <w:webHidden/>
              </w:rPr>
              <w:t>10</w:t>
            </w:r>
            <w:r>
              <w:rPr>
                <w:noProof/>
                <w:webHidden/>
              </w:rPr>
              <w:fldChar w:fldCharType="end"/>
            </w:r>
          </w:hyperlink>
        </w:p>
        <w:p w14:paraId="077E3C7A" w14:textId="77777777" w:rsidR="00481DA2" w:rsidRDefault="00481DA2">
          <w:pPr>
            <w:pStyle w:val="TOC1"/>
            <w:tabs>
              <w:tab w:val="right" w:leader="dot" w:pos="9350"/>
            </w:tabs>
            <w:rPr>
              <w:rFonts w:eastAsiaTheme="minorEastAsia"/>
              <w:noProof/>
              <w:kern w:val="0"/>
              <w:sz w:val="22"/>
              <w:szCs w:val="28"/>
              <w:lang w:eastAsia="en-GB" w:bidi="bn-BD"/>
              <w14:ligatures w14:val="none"/>
            </w:rPr>
          </w:pPr>
          <w:hyperlink w:anchor="_Toc235540277" w:history="1">
            <w:r w:rsidRPr="00666194">
              <w:rPr>
                <w:rStyle w:val="Hyperlink"/>
                <w:noProof/>
              </w:rPr>
              <w:t>References</w:t>
            </w:r>
            <w:r>
              <w:rPr>
                <w:noProof/>
                <w:webHidden/>
              </w:rPr>
              <w:tab/>
            </w:r>
            <w:r>
              <w:rPr>
                <w:noProof/>
                <w:webHidden/>
              </w:rPr>
              <w:fldChar w:fldCharType="begin"/>
            </w:r>
            <w:r>
              <w:rPr>
                <w:noProof/>
                <w:webHidden/>
              </w:rPr>
              <w:instrText xml:space="preserve"> PAGEREF _Toc235540277 \h </w:instrText>
            </w:r>
            <w:r>
              <w:rPr>
                <w:noProof/>
                <w:webHidden/>
              </w:rPr>
            </w:r>
            <w:r>
              <w:rPr>
                <w:noProof/>
                <w:webHidden/>
              </w:rPr>
              <w:fldChar w:fldCharType="separate"/>
            </w:r>
            <w:r>
              <w:rPr>
                <w:noProof/>
                <w:webHidden/>
              </w:rPr>
              <w:t>11</w:t>
            </w:r>
            <w:r>
              <w:rPr>
                <w:noProof/>
                <w:webHidden/>
              </w:rPr>
              <w:fldChar w:fldCharType="end"/>
            </w:r>
          </w:hyperlink>
        </w:p>
        <w:p w14:paraId="10E2D822" w14:textId="77777777" w:rsidR="00481DA2" w:rsidRDefault="00481DA2">
          <w:r>
            <w:rPr>
              <w:b/>
              <w:bCs/>
              <w:noProof/>
            </w:rPr>
            <w:fldChar w:fldCharType="end"/>
          </w:r>
        </w:p>
      </w:sdtContent>
    </w:sdt>
    <w:p w14:paraId="698A5296" w14:textId="77777777" w:rsidR="00481DA2" w:rsidRDefault="00481DA2">
      <w:pPr>
        <w:spacing w:line="259" w:lineRule="auto"/>
        <w:jc w:val="left"/>
        <w:rPr>
          <w:rFonts w:asciiTheme="majorHAnsi" w:eastAsiaTheme="majorEastAsia" w:hAnsiTheme="majorHAnsi" w:cstheme="majorBidi"/>
          <w:b/>
          <w:sz w:val="32"/>
          <w:szCs w:val="32"/>
        </w:rPr>
      </w:pPr>
      <w:r>
        <w:br w:type="page"/>
      </w:r>
    </w:p>
    <w:p w14:paraId="7A8F3435" w14:textId="77777777" w:rsidR="000C5F46" w:rsidRPr="006018FB" w:rsidRDefault="000C5F46" w:rsidP="00965C38">
      <w:pPr>
        <w:pStyle w:val="Heading1"/>
      </w:pPr>
      <w:bookmarkStart w:id="0" w:name="_Toc235540258"/>
      <w:r w:rsidRPr="006018FB">
        <w:lastRenderedPageBreak/>
        <w:t>Introduction</w:t>
      </w:r>
      <w:bookmarkEnd w:id="0"/>
    </w:p>
    <w:p w14:paraId="62D2CEC9" w14:textId="77777777" w:rsidR="000C5F46" w:rsidRPr="006018FB" w:rsidRDefault="000C5F46" w:rsidP="000C5F46">
      <w:r w:rsidRPr="006018FB">
        <w:t xml:space="preserve">This reflective report critically discusses three fundamental principles of UK health and social care practice: person-centred care, partnership working and ethical practice. It </w:t>
      </w:r>
      <w:proofErr w:type="gramStart"/>
      <w:r w:rsidRPr="006018FB">
        <w:t>takes into account</w:t>
      </w:r>
      <w:proofErr w:type="gramEnd"/>
      <w:r w:rsidRPr="006018FB">
        <w:t xml:space="preserve"> the effect that these principles have on the quality, coordination and accountability of care in the professional settings. Relevant theory, legislation and policy are used in relation to a </w:t>
      </w:r>
      <w:proofErr w:type="gramStart"/>
      <w:r w:rsidRPr="006018FB">
        <w:t>real life</w:t>
      </w:r>
      <w:proofErr w:type="gramEnd"/>
      <w:r w:rsidRPr="006018FB">
        <w:t xml:space="preserve"> situation to show how they are important in practice. The last part is my reflections on my professional skills, strengths and development needs, and priorities of future learning and practice are described.</w:t>
      </w:r>
    </w:p>
    <w:p w14:paraId="4C53E6D6" w14:textId="77777777" w:rsidR="000C5F46" w:rsidRPr="006018FB" w:rsidRDefault="000C5F46" w:rsidP="00965C38">
      <w:pPr>
        <w:pStyle w:val="Heading1"/>
      </w:pPr>
      <w:bookmarkStart w:id="1" w:name="_Toc235540259"/>
      <w:r w:rsidRPr="006018FB">
        <w:t>Consideration of the Health and Soci</w:t>
      </w:r>
      <w:r w:rsidR="00965C38" w:rsidRPr="006018FB">
        <w:t>al Care Principles Significance</w:t>
      </w:r>
      <w:bookmarkEnd w:id="1"/>
    </w:p>
    <w:p w14:paraId="49CB7636" w14:textId="77777777" w:rsidR="000C5F46" w:rsidRPr="006018FB" w:rsidRDefault="000C5F46" w:rsidP="00965C38">
      <w:pPr>
        <w:pStyle w:val="Heading2"/>
      </w:pPr>
      <w:bookmarkStart w:id="2" w:name="_Toc235540260"/>
      <w:r w:rsidRPr="006018FB">
        <w:t>Person-centred care</w:t>
      </w:r>
      <w:bookmarkEnd w:id="2"/>
    </w:p>
    <w:p w14:paraId="1D82C09F" w14:textId="77777777" w:rsidR="000C5F46" w:rsidRPr="006018FB" w:rsidRDefault="000C5F46" w:rsidP="000C5F46">
      <w:r w:rsidRPr="006018FB">
        <w:t xml:space="preserve">Person-centred care enhances quality as the individuals are not seen as recipients of service but as active participants in the decision-making process. According to Santana et al. (2018), it </w:t>
      </w:r>
      <w:proofErr w:type="gramStart"/>
      <w:r w:rsidRPr="006018FB">
        <w:t>is care</w:t>
      </w:r>
      <w:proofErr w:type="gramEnd"/>
      <w:r w:rsidRPr="006018FB">
        <w:t xml:space="preserve"> that is organised based on the values, preferences, </w:t>
      </w:r>
      <w:r w:rsidR="000D5B28" w:rsidRPr="006018FB">
        <w:t>and circumstances</w:t>
      </w:r>
      <w:r w:rsidRPr="006018FB">
        <w:t xml:space="preserve"> and holistic needs of each person, physical, emotional, social, cultural and spiritual wellbeing. It is thus upon the professionals to modify communication, clarify choices that are available and facilitate shared decision-making. Similar recommendations are offered by NICE (2021) that presupposes the use of understandable language, the discussion of risks and benefits, and the right decision support. The Care Act 2014 places the duty on the local authorities in England to enhance individual wellbeing, and the Mental Capacity Act 2005 assumes capacity unless the contrary is proved</w:t>
      </w:r>
      <w:r w:rsidR="00511FC4" w:rsidRPr="006018FB">
        <w:t xml:space="preserve"> </w:t>
      </w:r>
      <w:r w:rsidR="00511FC4" w:rsidRPr="006018FB">
        <w:rPr>
          <w:color w:val="000000"/>
          <w:shd w:val="clear" w:color="auto" w:fill="FFFFFF"/>
        </w:rPr>
        <w:t>(Legislation.gov.uk, 2026)</w:t>
      </w:r>
      <w:r w:rsidRPr="006018FB">
        <w:t>. Person-centred care can therefore only enhance trust, engagement and outcomes when informed choice is facilitated by adequate resources, legal assessment and good professional judgment</w:t>
      </w:r>
      <w:r w:rsidR="00565A02" w:rsidRPr="006018FB">
        <w:t xml:space="preserve"> (</w:t>
      </w:r>
      <w:r w:rsidR="00565A02" w:rsidRPr="006018FB">
        <w:rPr>
          <w:shd w:val="clear" w:color="auto" w:fill="FFFFFF"/>
        </w:rPr>
        <w:t>McCormack and McCance, 2016)</w:t>
      </w:r>
      <w:r w:rsidRPr="006018FB">
        <w:t xml:space="preserve">. </w:t>
      </w:r>
    </w:p>
    <w:p w14:paraId="3C2466C8" w14:textId="77777777" w:rsidR="000C5F46" w:rsidRPr="006018FB" w:rsidRDefault="000C5F46" w:rsidP="00965C38">
      <w:pPr>
        <w:pStyle w:val="Heading2"/>
      </w:pPr>
      <w:bookmarkStart w:id="3" w:name="_Toc235540261"/>
      <w:r w:rsidRPr="006018FB">
        <w:t>Partnership working</w:t>
      </w:r>
      <w:bookmarkEnd w:id="3"/>
    </w:p>
    <w:p w14:paraId="5B87EA62" w14:textId="77777777" w:rsidR="000C5F46" w:rsidRPr="006018FB" w:rsidRDefault="000C5F46" w:rsidP="000C5F46">
      <w:r w:rsidRPr="006018FB">
        <w:t xml:space="preserve">Partnership working is necessary since complex health and social needs often can cross professional and organisational boundaries. Good working relationship links the individual, family, health workers, social workers, local government and voluntary organisations to provide coordinated evaluation, exchange of information and collaborative care. Reeves et al. (2017) </w:t>
      </w:r>
      <w:r w:rsidRPr="006018FB">
        <w:lastRenderedPageBreak/>
        <w:t>discovered that practice-based interprofessional interventions can enhance the processes of the profession and at least part of the care outcomes, yet inconsistent evidence shows that collaboration does not necessarily work successfully. The Health and Care Act 2022 created integrated care boards and partnerships to enhance planning across NHS organisations to local authorities and other partners. However, care can be fragmented due to professional hierarchy, incompatible information systems, ambiguity of responsibilities and conflicting priorities. The existence of shared goals, clearly defined responsibility and legal exchange of infor</w:t>
      </w:r>
      <w:r w:rsidR="00DB63E4">
        <w:t>mation is thus needed to minimis</w:t>
      </w:r>
      <w:r w:rsidRPr="006018FB">
        <w:t xml:space="preserve">e duplication, delayed interventions and care discontinuity. </w:t>
      </w:r>
    </w:p>
    <w:p w14:paraId="0837A8BE" w14:textId="77777777" w:rsidR="000C5F46" w:rsidRPr="006018FB" w:rsidRDefault="000C5F46" w:rsidP="00965C38">
      <w:pPr>
        <w:pStyle w:val="Heading2"/>
      </w:pPr>
      <w:bookmarkStart w:id="4" w:name="_Toc235540262"/>
      <w:r w:rsidRPr="006018FB">
        <w:t>Ethical practice</w:t>
      </w:r>
      <w:bookmarkEnd w:id="4"/>
    </w:p>
    <w:p w14:paraId="5A512D28" w14:textId="77777777" w:rsidR="000C5F46" w:rsidRPr="006018FB" w:rsidRDefault="000C5F46" w:rsidP="000C5F46">
      <w:r w:rsidRPr="006018FB">
        <w:t>Ethical practice gives a rational ground to make decisions when individual desires, legal obligations, risks and company demands are against each other. According to Beauchamp and Childress (2019), the key principles are autonomy, beneficence, non-maleficence and justice, which are facilitated by dignity, confidentiality, informed consent and professional accountability. These principles oblige practitioners to hono</w:t>
      </w:r>
      <w:r w:rsidR="006018FB">
        <w:t>u</w:t>
      </w:r>
      <w:r w:rsidRPr="006018FB">
        <w:t>r competent decisions, support wellbeing, prevent unnecessary harm and equitably allocate services. The Mental Capacity Act 2005 presupposes that the capacity should be assumed and decisions on behalf of the individuals who lack capacity should be made in their best interests and in the least restrictive way. In the meantime, the UK GDPR and Data Protection Act 2018 stipulate that personal information must be processed in a lawful and reasonable manner</w:t>
      </w:r>
      <w:r w:rsidR="00AA41F7" w:rsidRPr="006018FB">
        <w:t xml:space="preserve"> </w:t>
      </w:r>
      <w:r w:rsidR="00AA41F7" w:rsidRPr="006018FB">
        <w:rPr>
          <w:color w:val="000000"/>
          <w:shd w:val="clear" w:color="auto" w:fill="FFFFFF"/>
        </w:rPr>
        <w:t>(Legislation.gov.uk, 2018)</w:t>
      </w:r>
      <w:r w:rsidRPr="006018FB">
        <w:t xml:space="preserve">. Moral care thus involves open-minded reasoning, consultation and proper documentation as opposed to a rule-based blindly following. </w:t>
      </w:r>
      <w:r w:rsidR="00AA41F7" w:rsidRPr="00AA41F7">
        <w:rPr>
          <w:rFonts w:ascii="Times New Roman" w:eastAsia="Times New Roman" w:hAnsi="Times New Roman" w:cs="Times New Roman"/>
          <w:color w:val="000000"/>
          <w:kern w:val="0"/>
          <w:szCs w:val="24"/>
          <w:lang w:eastAsia="en-GB" w:bidi="bn-BD"/>
          <w14:ligatures w14:val="none"/>
        </w:rPr>
        <w:t>‌</w:t>
      </w:r>
      <w:r w:rsidR="00511FC4" w:rsidRPr="006018FB">
        <w:t xml:space="preserve"> However, p</w:t>
      </w:r>
      <w:r w:rsidRPr="006018FB">
        <w:t>erson-centred care, partnership working and ethics are closely related since person-centred care needs to be acted upon in a coordinated way and decisions made with ethical reasoning</w:t>
      </w:r>
      <w:r w:rsidR="00511FC4" w:rsidRPr="006018FB">
        <w:t xml:space="preserve"> (</w:t>
      </w:r>
      <w:r w:rsidR="00511FC4" w:rsidRPr="006018FB">
        <w:rPr>
          <w:shd w:val="clear" w:color="auto" w:fill="FFFFFF"/>
        </w:rPr>
        <w:t>Banks, 2020)</w:t>
      </w:r>
      <w:r w:rsidRPr="006018FB">
        <w:t>.</w:t>
      </w:r>
    </w:p>
    <w:p w14:paraId="773E30D8" w14:textId="77777777" w:rsidR="000C5F46" w:rsidRPr="006018FB" w:rsidRDefault="000C5F46" w:rsidP="00965C38">
      <w:pPr>
        <w:pStyle w:val="Heading1"/>
      </w:pPr>
      <w:bookmarkStart w:id="5" w:name="_Toc235540263"/>
      <w:r w:rsidRPr="006018FB">
        <w:t>Application</w:t>
      </w:r>
      <w:r w:rsidR="00965C38" w:rsidRPr="006018FB">
        <w:t>s of the Principles in Practice</w:t>
      </w:r>
      <w:bookmarkEnd w:id="5"/>
    </w:p>
    <w:p w14:paraId="27E4BC17" w14:textId="77777777" w:rsidR="000C5F46" w:rsidRPr="006018FB" w:rsidRDefault="000C5F46" w:rsidP="00965C38">
      <w:pPr>
        <w:pStyle w:val="Heading2"/>
      </w:pPr>
      <w:bookmarkStart w:id="6" w:name="_Toc235540264"/>
      <w:r w:rsidRPr="006018FB">
        <w:t>Challenge of scenario and presentatio</w:t>
      </w:r>
      <w:r w:rsidR="00965C38" w:rsidRPr="006018FB">
        <w:t>n</w:t>
      </w:r>
      <w:bookmarkEnd w:id="6"/>
    </w:p>
    <w:p w14:paraId="0D108E4F" w14:textId="77777777" w:rsidR="000C5F46" w:rsidRPr="006018FB" w:rsidRDefault="000C5F46" w:rsidP="00511FC4">
      <w:pPr>
        <w:spacing w:before="240"/>
      </w:pPr>
      <w:r w:rsidRPr="006018FB">
        <w:t xml:space="preserve">Service User A is a patient who presented to hospital due to a fall and has dementia and diabetes in its early stages. They are medically fit to go home but they still want to go home whereas </w:t>
      </w:r>
      <w:r w:rsidRPr="006018FB">
        <w:lastRenderedPageBreak/>
        <w:t>relatives prefer residential care due to the fear of potential falls, drug administration and self-harm. The case needs the input of hospital clinicians, social care and rehabilitation professionals, community services and family members</w:t>
      </w:r>
      <w:r w:rsidR="00511FC4" w:rsidRPr="006018FB">
        <w:t xml:space="preserve"> (</w:t>
      </w:r>
      <w:r w:rsidR="00511FC4" w:rsidRPr="006018FB">
        <w:rPr>
          <w:shd w:val="clear" w:color="auto" w:fill="FFFFFF"/>
        </w:rPr>
        <w:t>Edwards and Best, 2020)</w:t>
      </w:r>
      <w:r w:rsidRPr="006018FB">
        <w:t>. The key dilemma is to balance the autonomy and safety without letting the dementia diagnosis and family anxiety to decide.</w:t>
      </w:r>
    </w:p>
    <w:p w14:paraId="4F3018E8" w14:textId="77777777" w:rsidR="000C5F46" w:rsidRPr="006018FB" w:rsidRDefault="00965C38" w:rsidP="00965C38">
      <w:pPr>
        <w:pStyle w:val="Heading2"/>
      </w:pPr>
      <w:bookmarkStart w:id="7" w:name="_Toc235540265"/>
      <w:r w:rsidRPr="006018FB">
        <w:t>Use of person-centred care</w:t>
      </w:r>
      <w:bookmarkEnd w:id="7"/>
    </w:p>
    <w:p w14:paraId="03385C91" w14:textId="77777777" w:rsidR="000C5F46" w:rsidRPr="006018FB" w:rsidRDefault="000C5F46" w:rsidP="000C5F46">
      <w:r w:rsidRPr="006018FB">
        <w:t xml:space="preserve">Person-centred approach will involve practitioners talking directly to Service User A and defining what it means to go home to the person and discuss their cultural, emotional and social priorities as well as clinical needs. The data on home support, residential care, foreseeable risks and alternative arrangements should be provided in a friendly manner and with ample time and decision aids when needed. According to NICE (2021), shared decision-making is a process of combining clinical evidence, preferences, beliefs and values of the individual into a joint effort. NICE (2018a) further ascertains that individuals with dementia are supposed to continue making decisions about their care. </w:t>
      </w:r>
      <w:r w:rsidR="006018FB">
        <w:t>However, d</w:t>
      </w:r>
      <w:r w:rsidRPr="006018FB">
        <w:t>ementia should not thus be assumed to be automatic evidence of incap</w:t>
      </w:r>
      <w:r w:rsidR="006018FB">
        <w:t>ab</w:t>
      </w:r>
      <w:r w:rsidRPr="006018FB">
        <w:t xml:space="preserve">ility. </w:t>
      </w:r>
    </w:p>
    <w:p w14:paraId="2443E9D0" w14:textId="77777777" w:rsidR="000C5F46" w:rsidRPr="006018FB" w:rsidRDefault="00965C38" w:rsidP="00965C38">
      <w:pPr>
        <w:pStyle w:val="Heading2"/>
      </w:pPr>
      <w:bookmarkStart w:id="8" w:name="_Toc235540266"/>
      <w:r w:rsidRPr="006018FB">
        <w:t>Use of partnership working</w:t>
      </w:r>
      <w:bookmarkEnd w:id="8"/>
    </w:p>
    <w:p w14:paraId="5C6DA0D0" w14:textId="77777777" w:rsidR="000C5F46" w:rsidRPr="006018FB" w:rsidRDefault="000C5F46" w:rsidP="000C5F46">
      <w:r w:rsidRPr="006018FB">
        <w:t xml:space="preserve">Safe discharge is achieved through </w:t>
      </w:r>
      <w:proofErr w:type="gramStart"/>
      <w:r w:rsidRPr="006018FB">
        <w:t>joint collaboration</w:t>
      </w:r>
      <w:proofErr w:type="gramEnd"/>
      <w:r w:rsidRPr="006018FB">
        <w:t xml:space="preserve"> and not individual professional decisions. The joint assessment should be carried out by Service User A, family members, the physician, nurse, social worker, occupational therapist, physiotherapist, GP, community nurse and home-care provider and clarify the roles and create one discharge plan that is accessible. Information must be disseminated legally and in a fair manner though making sure that Service User A is not left out of meetings and decisions. Reeves et al. (2017) discovered that interprofessional interventions can enhance professional practice and some care outcomes, but the evidence is inconsistent. Cooperation is also needed between the NHS bodies, the local authorities and adult social care providers in national discharge guidance (</w:t>
      </w:r>
      <w:r w:rsidR="001519A9" w:rsidRPr="006018FB">
        <w:t>GOV.UK, 2022</w:t>
      </w:r>
      <w:r w:rsidR="00B41CBB">
        <w:t>)</w:t>
      </w:r>
      <w:r w:rsidRPr="006018FB">
        <w:t xml:space="preserve">. </w:t>
      </w:r>
    </w:p>
    <w:p w14:paraId="74BF2AA5" w14:textId="77777777" w:rsidR="000C5F46" w:rsidRPr="006018FB" w:rsidRDefault="000C5F46" w:rsidP="00965C38">
      <w:pPr>
        <w:pStyle w:val="Heading2"/>
      </w:pPr>
      <w:bookmarkStart w:id="9" w:name="_Toc235540267"/>
      <w:r w:rsidRPr="006018FB">
        <w:t>De</w:t>
      </w:r>
      <w:r w:rsidR="00965C38" w:rsidRPr="006018FB">
        <w:t>cision-making of ethics and law</w:t>
      </w:r>
      <w:bookmarkEnd w:id="9"/>
    </w:p>
    <w:p w14:paraId="64D3E909" w14:textId="77777777" w:rsidR="000C5F46" w:rsidRPr="006018FB" w:rsidRDefault="000C5F46" w:rsidP="000C5F46">
      <w:r w:rsidRPr="006018FB">
        <w:t xml:space="preserve">Practice that is ethically defensible should be balanced between autonomy, beneficence and non-maleficence and not necessarily to accept the preference of the individual or family (Beauchamp </w:t>
      </w:r>
      <w:r w:rsidRPr="006018FB">
        <w:lastRenderedPageBreak/>
        <w:t xml:space="preserve">and Childress, 2019). The Mental Capacity Act 2005 places the presumption of capacity and specifically decides on the issue of capacity as it applies to the residence and support decision. The practitioners need to take actionable measures to ensure that they maximise their knowledge before they can conclude that there is no capacity. In the case when Service User A does not have capacity, the decision should be based on best interests and be the least restrictive option (NICE, 2018b). </w:t>
      </w:r>
    </w:p>
    <w:p w14:paraId="309FEA18" w14:textId="77777777" w:rsidR="000C5F46" w:rsidRPr="006018FB" w:rsidRDefault="000C5F46" w:rsidP="00965C38">
      <w:pPr>
        <w:pStyle w:val="Heading2"/>
      </w:pPr>
      <w:bookmarkStart w:id="10" w:name="_Toc235540268"/>
      <w:r w:rsidRPr="006018FB">
        <w:t>Improvements and evaluation</w:t>
      </w:r>
      <w:bookmarkEnd w:id="10"/>
    </w:p>
    <w:p w14:paraId="01E45CCF" w14:textId="77777777" w:rsidR="000C5F46" w:rsidRPr="006018FB" w:rsidRDefault="000C5F46" w:rsidP="000C5F46">
      <w:r w:rsidRPr="006018FB">
        <w:t>The appointment of a named discharge coordinator, home-safety assessment, medication support and assistive technology, and documentation of escalation procedures and an early multidisciplinary review would enhance the quality. Discharge planning that is personalised is likely to yield minor readmission reductions and potentially better satisfaction, but its impact on health outcomes and costs is uncertain (</w:t>
      </w:r>
      <w:r w:rsidR="00511FC4" w:rsidRPr="006018FB">
        <w:rPr>
          <w:shd w:val="clear" w:color="auto" w:fill="FFFFFF"/>
        </w:rPr>
        <w:t>Gonçalves</w:t>
      </w:r>
      <w:r w:rsidR="00511FC4" w:rsidRPr="006018FB">
        <w:rPr>
          <w:rFonts w:ascii="Cambria Math" w:hAnsi="Cambria Math" w:cs="Cambria Math"/>
          <w:shd w:val="clear" w:color="auto" w:fill="FFFFFF"/>
        </w:rPr>
        <w:t>‐</w:t>
      </w:r>
      <w:r w:rsidR="00511FC4" w:rsidRPr="006018FB">
        <w:rPr>
          <w:shd w:val="clear" w:color="auto" w:fill="FFFFFF"/>
        </w:rPr>
        <w:t>Bradley</w:t>
      </w:r>
      <w:r w:rsidRPr="006018FB">
        <w:t xml:space="preserve"> et al., 20</w:t>
      </w:r>
      <w:r w:rsidR="00511FC4" w:rsidRPr="006018FB">
        <w:t>16</w:t>
      </w:r>
      <w:r w:rsidRPr="006018FB">
        <w:t xml:space="preserve">). Measures of success should then be in terms of readmissions, medication errors, service-user satisfaction, </w:t>
      </w:r>
      <w:r w:rsidR="000D5B28" w:rsidRPr="006018FB">
        <w:t>and continuity</w:t>
      </w:r>
      <w:r w:rsidRPr="006018FB">
        <w:t xml:space="preserve"> of care, carer feedback and progress towards the agreed personal outcomes of Service User A.</w:t>
      </w:r>
    </w:p>
    <w:p w14:paraId="30C92C9E" w14:textId="77777777" w:rsidR="000C5F46" w:rsidRPr="006018FB" w:rsidRDefault="00965C38" w:rsidP="00965C38">
      <w:pPr>
        <w:pStyle w:val="Heading1"/>
      </w:pPr>
      <w:bookmarkStart w:id="11" w:name="_Toc235540269"/>
      <w:r w:rsidRPr="006018FB">
        <w:t xml:space="preserve">Task 3: </w:t>
      </w:r>
      <w:r w:rsidR="000C5F46" w:rsidRPr="006018FB">
        <w:t>Self-reflection as a Heal</w:t>
      </w:r>
      <w:r w:rsidRPr="006018FB">
        <w:t>th and Social Care Professional</w:t>
      </w:r>
      <w:bookmarkEnd w:id="11"/>
    </w:p>
    <w:p w14:paraId="30C184D1" w14:textId="77777777" w:rsidR="000C5F46" w:rsidRPr="006018FB" w:rsidRDefault="000C5F46" w:rsidP="00965C38">
      <w:pPr>
        <w:pStyle w:val="Heading2"/>
      </w:pPr>
      <w:bookmarkStart w:id="12" w:name="_Toc235540270"/>
      <w:r w:rsidRPr="006018FB">
        <w:t>Profession</w:t>
      </w:r>
      <w:r w:rsidR="00965C38" w:rsidRPr="006018FB">
        <w:t>al context and reflective focus</w:t>
      </w:r>
      <w:bookmarkEnd w:id="12"/>
    </w:p>
    <w:p w14:paraId="0B11011F" w14:textId="77777777" w:rsidR="000C5F46" w:rsidRPr="006018FB" w:rsidRDefault="000C5F46" w:rsidP="000C5F46">
      <w:r w:rsidRPr="006018FB">
        <w:t>I would like to be a support worker in an adult residential or community-care facility. My roles would be to help with daily living and to monitor changes, raise concerns and promote informed decision-making. I structure this reflection b</w:t>
      </w:r>
      <w:r w:rsidR="00565A02" w:rsidRPr="006018FB">
        <w:t xml:space="preserve">ased on questions such as </w:t>
      </w:r>
      <w:r w:rsidR="000D5B28" w:rsidRPr="006018FB">
        <w:t>what</w:t>
      </w:r>
      <w:r w:rsidR="00565A02" w:rsidRPr="006018FB">
        <w:t>?</w:t>
      </w:r>
      <w:r w:rsidRPr="006018FB">
        <w:t xml:space="preserve"> So what? and </w:t>
      </w:r>
      <w:proofErr w:type="gramStart"/>
      <w:r w:rsidRPr="006018FB">
        <w:t>Now</w:t>
      </w:r>
      <w:proofErr w:type="gramEnd"/>
      <w:r w:rsidRPr="006018FB">
        <w:t xml:space="preserve"> what and all examples are anonymised </w:t>
      </w:r>
      <w:proofErr w:type="gramStart"/>
      <w:r w:rsidRPr="006018FB">
        <w:t>in order to</w:t>
      </w:r>
      <w:proofErr w:type="gramEnd"/>
      <w:r w:rsidRPr="006018FB">
        <w:t xml:space="preserve"> ensure confidentiality.  </w:t>
      </w:r>
    </w:p>
    <w:p w14:paraId="2664C8C5" w14:textId="77777777" w:rsidR="000C5F46" w:rsidRPr="006018FB" w:rsidRDefault="000C5F46" w:rsidP="00965C38">
      <w:pPr>
        <w:pStyle w:val="Heading2"/>
      </w:pPr>
      <w:bookmarkStart w:id="13" w:name="_Toc235540271"/>
      <w:r w:rsidRPr="006018FB">
        <w:t>Person-centred practice reflection</w:t>
      </w:r>
      <w:bookmarkEnd w:id="13"/>
    </w:p>
    <w:p w14:paraId="0377047D" w14:textId="77777777" w:rsidR="000C5F46" w:rsidRPr="006018FB" w:rsidRDefault="000C5F46" w:rsidP="000C5F46">
      <w:r w:rsidRPr="006018FB">
        <w:t xml:space="preserve">In a realistic morning-care scenario, Service User B refused to be assisted with washing as he/she wanted to have breakfast first. I first felt like doing the routine since the team was in a hurry. I hesitated, however, and inquired of the individual his taste and assented to come back later. This was a manifestation of the principle of NICE that shared decision-making should involve a combination of professional knowledge and individual preferences, values and circumstances </w:t>
      </w:r>
      <w:r w:rsidRPr="006018FB">
        <w:lastRenderedPageBreak/>
        <w:t xml:space="preserve">(NICE, 2021). It also conformed to Regulation 9 that states care should be anchored on an evaluation of the needs and preferences of the person (CQC, 2025). </w:t>
      </w:r>
    </w:p>
    <w:p w14:paraId="07F3D780" w14:textId="77777777" w:rsidR="000C5F46" w:rsidRPr="006018FB" w:rsidRDefault="000C5F46" w:rsidP="000C5F46">
      <w:r w:rsidRPr="006018FB">
        <w:t>Importantly, I admired the instant decision, yet my initial reaction demonstrated how the organisational routines could override personal priorities. I would have left the individual as uncooperative by simply noting on record that care was refused when I could have looked at how my timing or how I spoke made the difference. Shuffling the support safeguarded dignity and promoted autonomy, but staffing demands and crises and competing necessities might limit flexibility. I was taught that person-centred practise entails negotiation instead of necessarily accepting or rejecting a request. Next time, I will present realistic choices, inquire about the comprehension of the person and note the choice made and the accepted answer. This would render participation meaningful as opposed to tokenistic.</w:t>
      </w:r>
    </w:p>
    <w:p w14:paraId="309F03CC" w14:textId="77777777" w:rsidR="000C5F46" w:rsidRPr="006018FB" w:rsidRDefault="000C5F46" w:rsidP="00965C38">
      <w:pPr>
        <w:pStyle w:val="Heading2"/>
      </w:pPr>
      <w:bookmarkStart w:id="14" w:name="_Toc235540272"/>
      <w:r w:rsidRPr="006018FB">
        <w:t>Reflection on partnership working</w:t>
      </w:r>
      <w:bookmarkEnd w:id="14"/>
    </w:p>
    <w:p w14:paraId="5F6168B9" w14:textId="77777777" w:rsidR="000C5F46" w:rsidRPr="006018FB" w:rsidRDefault="000C5F46" w:rsidP="000C5F46">
      <w:r w:rsidRPr="006018FB">
        <w:t xml:space="preserve">In a different case, I observed that a service user was less eating, was unusually tired and had lost its steadiness. I have reported the issue orally to one of my colleagues but failed to first make sure the issue was documented or reported to a relevant senior professional. My observation was helpful, but my communication was not full as partnership working needs information to reach a person who has the power and capability to judge and </w:t>
      </w:r>
      <w:proofErr w:type="gramStart"/>
      <w:r w:rsidRPr="006018FB">
        <w:t>take action</w:t>
      </w:r>
      <w:proofErr w:type="gramEnd"/>
      <w:r w:rsidRPr="006018FB">
        <w:t>.</w:t>
      </w:r>
      <w:r w:rsidR="00DB63E4">
        <w:t xml:space="preserve"> National guidance also emphasis</w:t>
      </w:r>
      <w:r w:rsidRPr="006018FB">
        <w:t>es collaboration, which is a set of clear roles and sustainability among NHS organisations, local authorities, and social-care providers (</w:t>
      </w:r>
      <w:r w:rsidR="001519A9" w:rsidRPr="006018FB">
        <w:t>GOV.UK, 2022</w:t>
      </w:r>
      <w:r w:rsidRPr="006018FB">
        <w:t xml:space="preserve">). </w:t>
      </w:r>
    </w:p>
    <w:p w14:paraId="36FB6337" w14:textId="77777777" w:rsidR="000C5F46" w:rsidRPr="006018FB" w:rsidRDefault="000C5F46" w:rsidP="000C5F46">
      <w:r w:rsidRPr="006018FB">
        <w:t xml:space="preserve">I share information with </w:t>
      </w:r>
      <w:proofErr w:type="gramStart"/>
      <w:r w:rsidRPr="006018FB">
        <w:t>those right</w:t>
      </w:r>
      <w:proofErr w:type="gramEnd"/>
      <w:r w:rsidRPr="006018FB">
        <w:t xml:space="preserve"> under me with ease but might be reluctant to challenge senior practitioners. There are indications that speaking up can be prevented by a hierarchy in healthcare, and that staff voice and psychological safety are supported by inclusive leadership (Umoren et al., 2022). Silence might postpone judgment, undermine continuity and place the service user in unnecessary jeopardy. </w:t>
      </w:r>
    </w:p>
    <w:p w14:paraId="6519FEEF" w14:textId="77777777" w:rsidR="000C5F46" w:rsidRPr="006018FB" w:rsidRDefault="000C5F46" w:rsidP="000C5F46">
      <w:r w:rsidRPr="006018FB">
        <w:t xml:space="preserve">I have thus come to know that professional accountability entails respectful challenge and not disrespect. I will employ a structured handover in the future, document objective observations, determine the person who is to act and follow up when the issue is not solved. </w:t>
      </w:r>
    </w:p>
    <w:p w14:paraId="3155FB61" w14:textId="77777777" w:rsidR="000C5F46" w:rsidRPr="006018FB" w:rsidRDefault="000C5F46" w:rsidP="00965C38">
      <w:pPr>
        <w:pStyle w:val="Heading2"/>
      </w:pPr>
      <w:bookmarkStart w:id="15" w:name="_Toc235540273"/>
      <w:r w:rsidRPr="006018FB">
        <w:lastRenderedPageBreak/>
        <w:t>Ethi</w:t>
      </w:r>
      <w:r w:rsidR="00965C38" w:rsidRPr="006018FB">
        <w:t>cal and professional reflection</w:t>
      </w:r>
      <w:bookmarkEnd w:id="15"/>
    </w:p>
    <w:p w14:paraId="4A9988F0" w14:textId="77777777" w:rsidR="000C5F46" w:rsidRPr="006018FB" w:rsidRDefault="000C5F46" w:rsidP="000C5F46">
      <w:r w:rsidRPr="006018FB">
        <w:t>Ethical tension can also ensue when a relative reports to me that a service user took some money without my knowledge but request me not to disclose it. I would have the urge to maintain trust and confidentiality. But there is no absolute confidentially in the cases when the disclosure is legal, is required to avoid harm or is needed in the best interests of the person. HCPC standards mandate practitioners to uphold confidentiality and at the same time raise issues regarding service-user safety in a timely and suitable manner (HCPC, 20</w:t>
      </w:r>
      <w:r w:rsidR="001519A9" w:rsidRPr="006018FB">
        <w:t>18</w:t>
      </w:r>
      <w:r w:rsidRPr="006018FB">
        <w:t xml:space="preserve">). </w:t>
      </w:r>
    </w:p>
    <w:p w14:paraId="7F272AB6" w14:textId="77777777" w:rsidR="000C5F46" w:rsidRPr="006018FB" w:rsidRDefault="000C5F46" w:rsidP="000C5F46">
      <w:r w:rsidRPr="006018FB">
        <w:t xml:space="preserve">I would clarify the boundaries of confidentiality, listen without secrecy and capture it in writing and report it using the organisations safeguarding process. This answer strikes a balance between autonomy and beneficence and non-maleficence instead of letting one moral value prevail in the decision (Beauchamp and Childress, 2019). The current Care Act guidance focuses on ensuring that safeguarding responses must </w:t>
      </w:r>
      <w:proofErr w:type="gramStart"/>
      <w:r w:rsidRPr="006018FB">
        <w:t>take into account</w:t>
      </w:r>
      <w:proofErr w:type="gramEnd"/>
      <w:r w:rsidRPr="006018FB">
        <w:t xml:space="preserve"> the views, wishes, feelings and beliefs of the adult (DHSC, 20</w:t>
      </w:r>
      <w:r w:rsidR="001519A9" w:rsidRPr="006018FB">
        <w:t>16</w:t>
      </w:r>
      <w:r w:rsidRPr="006018FB">
        <w:t xml:space="preserve">). </w:t>
      </w:r>
    </w:p>
    <w:p w14:paraId="1C9E8BEB" w14:textId="77777777" w:rsidR="000C5F46" w:rsidRPr="006018FB" w:rsidRDefault="000C5F46" w:rsidP="000C5F46">
      <w:r w:rsidRPr="006018FB">
        <w:t>I was taught that ethical accountability necessitates sharing of information in proportions, openness in reasoning and justification of records. I will enhance my skills in protecting thresholds and will consult supervision when the duty of confidentiality, autonomy and protection is in conflict.</w:t>
      </w:r>
    </w:p>
    <w:p w14:paraId="096A7D55" w14:textId="77777777" w:rsidR="000C5F46" w:rsidRPr="006018FB" w:rsidRDefault="000C5F46" w:rsidP="00965C38">
      <w:pPr>
        <w:pStyle w:val="Heading2"/>
      </w:pPr>
      <w:bookmarkStart w:id="16" w:name="_Toc235540274"/>
      <w:r w:rsidRPr="006018FB">
        <w:t>Personal skills audit</w:t>
      </w:r>
      <w:bookmarkEnd w:id="16"/>
    </w:p>
    <w:p w14:paraId="5556D9E1" w14:textId="77777777" w:rsidR="000C5F46" w:rsidRPr="006018FB" w:rsidRDefault="000C5F46" w:rsidP="000C5F46">
      <w:r w:rsidRPr="006018FB">
        <w:t>My major strengths are active listening, empathy, observation and respect to diversity. I believe these strengths apply to me since I give people opportunity to talk, I make sure to check my interpretation and observe behavioural change that can be signs of unmet needs. I also tend to be reliable and seek advice when I am overworked, which is quite professional to operate within the scope of knowledge and abilities (HCPC, 20</w:t>
      </w:r>
      <w:r w:rsidR="001519A9" w:rsidRPr="006018FB">
        <w:t>18</w:t>
      </w:r>
      <w:r w:rsidRPr="006018FB">
        <w:t xml:space="preserve">). </w:t>
      </w:r>
    </w:p>
    <w:p w14:paraId="7FF168D2" w14:textId="77777777" w:rsidR="00965C38" w:rsidRPr="00DB63E4" w:rsidRDefault="000C5F46" w:rsidP="00DB63E4">
      <w:r w:rsidRPr="006018FB">
        <w:t xml:space="preserve">Nonetheless, I need a better understanding of mental-capacity law, increased confidence in multidisciplinary communication and more accurate record keeping. My disposition to avoid conflict might keep the current peace intact in the short </w:t>
      </w:r>
      <w:proofErr w:type="gramStart"/>
      <w:r w:rsidRPr="006018FB">
        <w:t>term, but</w:t>
      </w:r>
      <w:proofErr w:type="gramEnd"/>
      <w:r w:rsidRPr="006018FB">
        <w:t xml:space="preserve"> may deny the opportunity to give valid safety issues an opportunity to be heard. </w:t>
      </w:r>
    </w:p>
    <w:p w14:paraId="6B4F498E" w14:textId="77777777" w:rsidR="003942DC" w:rsidRPr="006018FB" w:rsidRDefault="003942DC" w:rsidP="00965C38">
      <w:pPr>
        <w:pStyle w:val="Heading2"/>
      </w:pPr>
      <w:bookmarkStart w:id="17" w:name="_Toc235540275"/>
      <w:r w:rsidRPr="006018FB">
        <w:lastRenderedPageBreak/>
        <w:t>Professional development plan</w:t>
      </w:r>
      <w:bookmarkEnd w:id="17"/>
    </w:p>
    <w:tbl>
      <w:tblPr>
        <w:tblStyle w:val="GridTable4-Accent5"/>
        <w:tblW w:w="0" w:type="auto"/>
        <w:tblLook w:val="04A0" w:firstRow="1" w:lastRow="0" w:firstColumn="1" w:lastColumn="0" w:noHBand="0" w:noVBand="1"/>
      </w:tblPr>
      <w:tblGrid>
        <w:gridCol w:w="2113"/>
        <w:gridCol w:w="2386"/>
        <w:gridCol w:w="1255"/>
        <w:gridCol w:w="1833"/>
        <w:gridCol w:w="1763"/>
      </w:tblGrid>
      <w:tr w:rsidR="003942DC" w:rsidRPr="006018FB" w14:paraId="27DF3E7B" w14:textId="77777777" w:rsidTr="00965C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C5C3CC" w14:textId="77777777" w:rsidR="003942DC" w:rsidRPr="006018FB" w:rsidRDefault="003942DC" w:rsidP="002D5686">
            <w:pPr>
              <w:rPr>
                <w:b w:val="0"/>
                <w:bCs w:val="0"/>
              </w:rPr>
            </w:pPr>
            <w:r w:rsidRPr="006018FB">
              <w:t>Development need</w:t>
            </w:r>
          </w:p>
        </w:tc>
        <w:tc>
          <w:tcPr>
            <w:tcW w:w="0" w:type="auto"/>
            <w:hideMark/>
          </w:tcPr>
          <w:p w14:paraId="4CF542A6" w14:textId="77777777" w:rsidR="003942DC" w:rsidRPr="006018FB" w:rsidRDefault="003942DC" w:rsidP="002D5686">
            <w:pPr>
              <w:cnfStyle w:val="100000000000" w:firstRow="1" w:lastRow="0" w:firstColumn="0" w:lastColumn="0" w:oddVBand="0" w:evenVBand="0" w:oddHBand="0" w:evenHBand="0" w:firstRowFirstColumn="0" w:firstRowLastColumn="0" w:lastRowFirstColumn="0" w:lastRowLastColumn="0"/>
              <w:rPr>
                <w:b w:val="0"/>
                <w:bCs w:val="0"/>
              </w:rPr>
            </w:pPr>
            <w:r w:rsidRPr="006018FB">
              <w:t>Specific action</w:t>
            </w:r>
          </w:p>
        </w:tc>
        <w:tc>
          <w:tcPr>
            <w:tcW w:w="0" w:type="auto"/>
            <w:hideMark/>
          </w:tcPr>
          <w:p w14:paraId="780AB677" w14:textId="77777777" w:rsidR="003942DC" w:rsidRPr="006018FB" w:rsidRDefault="003942DC" w:rsidP="002D5686">
            <w:pPr>
              <w:cnfStyle w:val="100000000000" w:firstRow="1" w:lastRow="0" w:firstColumn="0" w:lastColumn="0" w:oddVBand="0" w:evenVBand="0" w:oddHBand="0" w:evenHBand="0" w:firstRowFirstColumn="0" w:firstRowLastColumn="0" w:lastRowFirstColumn="0" w:lastRowLastColumn="0"/>
              <w:rPr>
                <w:b w:val="0"/>
                <w:bCs w:val="0"/>
              </w:rPr>
            </w:pPr>
            <w:r w:rsidRPr="006018FB">
              <w:t>Timescale</w:t>
            </w:r>
          </w:p>
        </w:tc>
        <w:tc>
          <w:tcPr>
            <w:tcW w:w="0" w:type="auto"/>
            <w:hideMark/>
          </w:tcPr>
          <w:p w14:paraId="4E06DD1B" w14:textId="77777777" w:rsidR="003942DC" w:rsidRPr="006018FB" w:rsidRDefault="003942DC" w:rsidP="002D5686">
            <w:pPr>
              <w:cnfStyle w:val="100000000000" w:firstRow="1" w:lastRow="0" w:firstColumn="0" w:lastColumn="0" w:oddVBand="0" w:evenVBand="0" w:oddHBand="0" w:evenHBand="0" w:firstRowFirstColumn="0" w:firstRowLastColumn="0" w:lastRowFirstColumn="0" w:lastRowLastColumn="0"/>
              <w:rPr>
                <w:b w:val="0"/>
                <w:bCs w:val="0"/>
              </w:rPr>
            </w:pPr>
            <w:r w:rsidRPr="006018FB">
              <w:t>Evidence of achievement</w:t>
            </w:r>
          </w:p>
        </w:tc>
        <w:tc>
          <w:tcPr>
            <w:tcW w:w="0" w:type="auto"/>
            <w:hideMark/>
          </w:tcPr>
          <w:p w14:paraId="785D219B" w14:textId="77777777" w:rsidR="003942DC" w:rsidRPr="006018FB" w:rsidRDefault="003942DC" w:rsidP="002D5686">
            <w:pPr>
              <w:cnfStyle w:val="100000000000" w:firstRow="1" w:lastRow="0" w:firstColumn="0" w:lastColumn="0" w:oddVBand="0" w:evenVBand="0" w:oddHBand="0" w:evenHBand="0" w:firstRowFirstColumn="0" w:firstRowLastColumn="0" w:lastRowFirstColumn="0" w:lastRowLastColumn="0"/>
              <w:rPr>
                <w:b w:val="0"/>
                <w:bCs w:val="0"/>
              </w:rPr>
            </w:pPr>
            <w:r w:rsidRPr="006018FB">
              <w:t>Expected practice benefit</w:t>
            </w:r>
          </w:p>
        </w:tc>
      </w:tr>
      <w:tr w:rsidR="003942DC" w:rsidRPr="006018FB" w14:paraId="4D991C4B" w14:textId="77777777" w:rsidTr="00965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6CC23C" w14:textId="77777777" w:rsidR="003942DC" w:rsidRPr="006018FB" w:rsidRDefault="003942DC" w:rsidP="002D5686">
            <w:r w:rsidRPr="006018FB">
              <w:t>Mental-capacity knowledge</w:t>
            </w:r>
          </w:p>
        </w:tc>
        <w:tc>
          <w:tcPr>
            <w:tcW w:w="0" w:type="auto"/>
            <w:hideMark/>
          </w:tcPr>
          <w:p w14:paraId="7964518F"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Complete accredited training and review workplace procedures</w:t>
            </w:r>
          </w:p>
        </w:tc>
        <w:tc>
          <w:tcPr>
            <w:tcW w:w="0" w:type="auto"/>
            <w:hideMark/>
          </w:tcPr>
          <w:p w14:paraId="1899CC05"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Three months</w:t>
            </w:r>
          </w:p>
        </w:tc>
        <w:tc>
          <w:tcPr>
            <w:tcW w:w="0" w:type="auto"/>
            <w:hideMark/>
          </w:tcPr>
          <w:p w14:paraId="5F349309"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Certificate and reflective case analysis</w:t>
            </w:r>
          </w:p>
        </w:tc>
        <w:tc>
          <w:tcPr>
            <w:tcW w:w="0" w:type="auto"/>
            <w:hideMark/>
          </w:tcPr>
          <w:p w14:paraId="7EF9BB73"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More defensible capacity decisions</w:t>
            </w:r>
          </w:p>
        </w:tc>
      </w:tr>
      <w:tr w:rsidR="003942DC" w:rsidRPr="006018FB" w14:paraId="179E4F78" w14:textId="77777777" w:rsidTr="00965C38">
        <w:tc>
          <w:tcPr>
            <w:cnfStyle w:val="001000000000" w:firstRow="0" w:lastRow="0" w:firstColumn="1" w:lastColumn="0" w:oddVBand="0" w:evenVBand="0" w:oddHBand="0" w:evenHBand="0" w:firstRowFirstColumn="0" w:firstRowLastColumn="0" w:lastRowFirstColumn="0" w:lastRowLastColumn="0"/>
            <w:tcW w:w="0" w:type="auto"/>
            <w:hideMark/>
          </w:tcPr>
          <w:p w14:paraId="05DF4A48" w14:textId="77777777" w:rsidR="003942DC" w:rsidRPr="006018FB" w:rsidRDefault="003942DC" w:rsidP="002D5686">
            <w:r w:rsidRPr="006018FB">
              <w:t>Multidisciplinary communication</w:t>
            </w:r>
          </w:p>
        </w:tc>
        <w:tc>
          <w:tcPr>
            <w:tcW w:w="0" w:type="auto"/>
            <w:hideMark/>
          </w:tcPr>
          <w:p w14:paraId="6231683F"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Observe team meetings and contribute relevant observations</w:t>
            </w:r>
          </w:p>
        </w:tc>
        <w:tc>
          <w:tcPr>
            <w:tcW w:w="0" w:type="auto"/>
            <w:hideMark/>
          </w:tcPr>
          <w:p w14:paraId="1C792CA7"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Six months</w:t>
            </w:r>
          </w:p>
        </w:tc>
        <w:tc>
          <w:tcPr>
            <w:tcW w:w="0" w:type="auto"/>
            <w:hideMark/>
          </w:tcPr>
          <w:p w14:paraId="6FB2CE7E"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Supervisor feedback</w:t>
            </w:r>
          </w:p>
        </w:tc>
        <w:tc>
          <w:tcPr>
            <w:tcW w:w="0" w:type="auto"/>
            <w:hideMark/>
          </w:tcPr>
          <w:p w14:paraId="39A8B115"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Clearer coordination and escalation</w:t>
            </w:r>
          </w:p>
        </w:tc>
      </w:tr>
      <w:tr w:rsidR="003942DC" w:rsidRPr="006018FB" w14:paraId="2E000625" w14:textId="77777777" w:rsidTr="00965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5B6418" w14:textId="77777777" w:rsidR="003942DC" w:rsidRPr="006018FB" w:rsidRDefault="003942DC" w:rsidP="002D5686">
            <w:r w:rsidRPr="006018FB">
              <w:t>Record-keeping</w:t>
            </w:r>
          </w:p>
        </w:tc>
        <w:tc>
          <w:tcPr>
            <w:tcW w:w="0" w:type="auto"/>
            <w:hideMark/>
          </w:tcPr>
          <w:p w14:paraId="601BBAB8"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Review documentation standards and request two record audits</w:t>
            </w:r>
          </w:p>
        </w:tc>
        <w:tc>
          <w:tcPr>
            <w:tcW w:w="0" w:type="auto"/>
            <w:hideMark/>
          </w:tcPr>
          <w:p w14:paraId="22D7020F"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Three months</w:t>
            </w:r>
          </w:p>
        </w:tc>
        <w:tc>
          <w:tcPr>
            <w:tcW w:w="0" w:type="auto"/>
            <w:hideMark/>
          </w:tcPr>
          <w:p w14:paraId="2D76AB6E"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Improved audit feedback</w:t>
            </w:r>
          </w:p>
        </w:tc>
        <w:tc>
          <w:tcPr>
            <w:tcW w:w="0" w:type="auto"/>
            <w:hideMark/>
          </w:tcPr>
          <w:p w14:paraId="3C9B545B"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Safer continuity of care</w:t>
            </w:r>
          </w:p>
        </w:tc>
      </w:tr>
      <w:tr w:rsidR="003942DC" w:rsidRPr="006018FB" w14:paraId="11B88986" w14:textId="77777777" w:rsidTr="00965C38">
        <w:tc>
          <w:tcPr>
            <w:cnfStyle w:val="001000000000" w:firstRow="0" w:lastRow="0" w:firstColumn="1" w:lastColumn="0" w:oddVBand="0" w:evenVBand="0" w:oddHBand="0" w:evenHBand="0" w:firstRowFirstColumn="0" w:firstRowLastColumn="0" w:lastRowFirstColumn="0" w:lastRowLastColumn="0"/>
            <w:tcW w:w="0" w:type="auto"/>
            <w:hideMark/>
          </w:tcPr>
          <w:p w14:paraId="51F8802C" w14:textId="77777777" w:rsidR="003942DC" w:rsidRPr="006018FB" w:rsidRDefault="003942DC" w:rsidP="002D5686">
            <w:r w:rsidRPr="006018FB">
              <w:t>Ethical reasoning</w:t>
            </w:r>
          </w:p>
        </w:tc>
        <w:tc>
          <w:tcPr>
            <w:tcW w:w="0" w:type="auto"/>
            <w:hideMark/>
          </w:tcPr>
          <w:p w14:paraId="455A03CE"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Discuss one ethical dilemma during monthly supervision</w:t>
            </w:r>
          </w:p>
        </w:tc>
        <w:tc>
          <w:tcPr>
            <w:tcW w:w="0" w:type="auto"/>
            <w:hideMark/>
          </w:tcPr>
          <w:p w14:paraId="2950DE4A"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Monthly</w:t>
            </w:r>
          </w:p>
        </w:tc>
        <w:tc>
          <w:tcPr>
            <w:tcW w:w="0" w:type="auto"/>
            <w:hideMark/>
          </w:tcPr>
          <w:p w14:paraId="1E6C784E"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Supervision records</w:t>
            </w:r>
          </w:p>
        </w:tc>
        <w:tc>
          <w:tcPr>
            <w:tcW w:w="0" w:type="auto"/>
            <w:hideMark/>
          </w:tcPr>
          <w:p w14:paraId="424FFD63" w14:textId="77777777" w:rsidR="003942DC" w:rsidRPr="006018FB" w:rsidRDefault="003942DC" w:rsidP="002D5686">
            <w:pPr>
              <w:cnfStyle w:val="000000000000" w:firstRow="0" w:lastRow="0" w:firstColumn="0" w:lastColumn="0" w:oddVBand="0" w:evenVBand="0" w:oddHBand="0" w:evenHBand="0" w:firstRowFirstColumn="0" w:firstRowLastColumn="0" w:lastRowFirstColumn="0" w:lastRowLastColumn="0"/>
            </w:pPr>
            <w:r w:rsidRPr="006018FB">
              <w:t>Better-justified decisions</w:t>
            </w:r>
          </w:p>
        </w:tc>
      </w:tr>
      <w:tr w:rsidR="003942DC" w:rsidRPr="006018FB" w14:paraId="5CCA850E" w14:textId="77777777" w:rsidTr="00965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8082E3" w14:textId="77777777" w:rsidR="003942DC" w:rsidRPr="006018FB" w:rsidRDefault="003942DC" w:rsidP="002D5686">
            <w:r w:rsidRPr="006018FB">
              <w:t>Person-centred communication</w:t>
            </w:r>
          </w:p>
        </w:tc>
        <w:tc>
          <w:tcPr>
            <w:tcW w:w="0" w:type="auto"/>
            <w:hideMark/>
          </w:tcPr>
          <w:p w14:paraId="302A3AEC"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Complete communication training and obtain feedback</w:t>
            </w:r>
          </w:p>
        </w:tc>
        <w:tc>
          <w:tcPr>
            <w:tcW w:w="0" w:type="auto"/>
            <w:hideMark/>
          </w:tcPr>
          <w:p w14:paraId="5F233E55"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Six months</w:t>
            </w:r>
          </w:p>
        </w:tc>
        <w:tc>
          <w:tcPr>
            <w:tcW w:w="0" w:type="auto"/>
            <w:hideMark/>
          </w:tcPr>
          <w:p w14:paraId="661B3179"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Training record and feedback</w:t>
            </w:r>
          </w:p>
        </w:tc>
        <w:tc>
          <w:tcPr>
            <w:tcW w:w="0" w:type="auto"/>
            <w:hideMark/>
          </w:tcPr>
          <w:p w14:paraId="3C45CCB1" w14:textId="77777777" w:rsidR="003942DC" w:rsidRPr="006018FB" w:rsidRDefault="003942DC" w:rsidP="002D5686">
            <w:pPr>
              <w:cnfStyle w:val="000000100000" w:firstRow="0" w:lastRow="0" w:firstColumn="0" w:lastColumn="0" w:oddVBand="0" w:evenVBand="0" w:oddHBand="1" w:evenHBand="0" w:firstRowFirstColumn="0" w:firstRowLastColumn="0" w:lastRowFirstColumn="0" w:lastRowLastColumn="0"/>
            </w:pPr>
            <w:r w:rsidRPr="006018FB">
              <w:t>Greater involvement and trust</w:t>
            </w:r>
          </w:p>
        </w:tc>
      </w:tr>
    </w:tbl>
    <w:p w14:paraId="605F535C" w14:textId="77777777" w:rsidR="000C5F46" w:rsidRPr="006018FB" w:rsidRDefault="000C5F46" w:rsidP="000C5F46">
      <w:r w:rsidRPr="006018FB">
        <w:t xml:space="preserve">These actions are realistic in the sense that they have a specific activity, deadline and measure of evidence. Reflection must create positive changes in the professional practice and service users instead of being a report of what has occurred in the past (HCPC, 2021). </w:t>
      </w:r>
    </w:p>
    <w:p w14:paraId="440DD221" w14:textId="77777777" w:rsidR="000C5F46" w:rsidRPr="006018FB" w:rsidRDefault="000C5F46" w:rsidP="00965C38">
      <w:pPr>
        <w:pStyle w:val="Heading1"/>
      </w:pPr>
      <w:bookmarkStart w:id="18" w:name="_Toc235540276"/>
      <w:r w:rsidRPr="006018FB">
        <w:t>Conclusion</w:t>
      </w:r>
      <w:bookmarkEnd w:id="18"/>
    </w:p>
    <w:p w14:paraId="6143106E" w14:textId="77777777" w:rsidR="003942DC" w:rsidRPr="006018FB" w:rsidRDefault="000C5F46" w:rsidP="000C5F46">
      <w:r w:rsidRPr="006018FB">
        <w:t xml:space="preserve">Person-centred care overall safeguards dignity, autonomy and involvement by making sure that support is tailored to individual needs and preferences. The collaboration working enhances </w:t>
      </w:r>
      <w:r w:rsidRPr="006018FB">
        <w:lastRenderedPageBreak/>
        <w:t xml:space="preserve">coordination, continuity and responsibility, and ethical principles assist professionals in making complex decisions openly. Professional interpretation is still needed in practice, despite legislative and policy standards. This reflection revealed positive aspects in the field of empathy and communication, as well as areas of development such as legal knowledge, confidence and documentation. </w:t>
      </w:r>
    </w:p>
    <w:p w14:paraId="64DA40FF" w14:textId="77777777" w:rsidR="00965C38" w:rsidRPr="006018FB" w:rsidRDefault="00965C38">
      <w:pPr>
        <w:spacing w:line="259" w:lineRule="auto"/>
        <w:jc w:val="left"/>
      </w:pPr>
      <w:r w:rsidRPr="006018FB">
        <w:br w:type="page"/>
      </w:r>
    </w:p>
    <w:p w14:paraId="23FC6C34" w14:textId="77777777" w:rsidR="00965C38" w:rsidRPr="006018FB" w:rsidRDefault="00965C38" w:rsidP="00965C38">
      <w:pPr>
        <w:pStyle w:val="Heading1"/>
      </w:pPr>
      <w:bookmarkStart w:id="19" w:name="_Toc235540277"/>
      <w:r w:rsidRPr="006018FB">
        <w:lastRenderedPageBreak/>
        <w:t>References</w:t>
      </w:r>
      <w:bookmarkEnd w:id="19"/>
      <w:r w:rsidRPr="006018FB">
        <w:t xml:space="preserve"> </w:t>
      </w:r>
    </w:p>
    <w:p w14:paraId="25CFBA25" w14:textId="77777777" w:rsidR="00400F79" w:rsidRPr="006018FB" w:rsidRDefault="00400F79" w:rsidP="00511FC4">
      <w:pPr>
        <w:rPr>
          <w:shd w:val="clear" w:color="auto" w:fill="FFFFFF"/>
        </w:rPr>
      </w:pPr>
      <w:r w:rsidRPr="006018FB">
        <w:rPr>
          <w:shd w:val="clear" w:color="auto" w:fill="FFFFFF"/>
        </w:rPr>
        <w:t>Banks, S., 2020. </w:t>
      </w:r>
      <w:r w:rsidRPr="006018FB">
        <w:rPr>
          <w:i/>
          <w:iCs/>
          <w:shd w:val="clear" w:color="auto" w:fill="FFFFFF"/>
        </w:rPr>
        <w:t>Ethics and values in social work</w:t>
      </w:r>
      <w:r w:rsidRPr="006018FB">
        <w:rPr>
          <w:shd w:val="clear" w:color="auto" w:fill="FFFFFF"/>
        </w:rPr>
        <w:t>. Bloomsbury Publishing.</w:t>
      </w:r>
    </w:p>
    <w:p w14:paraId="2D24DA36" w14:textId="77777777" w:rsidR="00400F79" w:rsidRPr="006018FB" w:rsidRDefault="00400F79" w:rsidP="00511FC4">
      <w:r w:rsidRPr="006018FB">
        <w:t xml:space="preserve">Beauchamp, T.L. and Childress, J.F. (2019) </w:t>
      </w:r>
      <w:r w:rsidRPr="006018FB">
        <w:rPr>
          <w:rStyle w:val="Emphasis"/>
          <w:rFonts w:cstheme="minorHAnsi"/>
          <w:szCs w:val="24"/>
        </w:rPr>
        <w:t>Principles of biomedical ethics</w:t>
      </w:r>
      <w:r w:rsidRPr="006018FB">
        <w:t xml:space="preserve">. 8th </w:t>
      </w:r>
      <w:proofErr w:type="spellStart"/>
      <w:r w:rsidRPr="006018FB">
        <w:t>edn</w:t>
      </w:r>
      <w:proofErr w:type="spellEnd"/>
      <w:r w:rsidRPr="006018FB">
        <w:t>. New York: Oxford University Press.</w:t>
      </w:r>
    </w:p>
    <w:p w14:paraId="79D40901"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CQC (2025). </w:t>
      </w:r>
      <w:r w:rsidRPr="006018FB">
        <w:rPr>
          <w:rFonts w:eastAsia="Times New Roman"/>
          <w:i/>
          <w:iCs/>
          <w:color w:val="000000"/>
          <w:kern w:val="0"/>
          <w:lang w:eastAsia="en-GB" w:bidi="bn-BD"/>
          <w14:ligatures w14:val="none"/>
        </w:rPr>
        <w:t>Regulation 9: Person-centred care - Care Quality Commission</w:t>
      </w:r>
      <w:r w:rsidRPr="006018FB">
        <w:rPr>
          <w:rFonts w:eastAsia="Times New Roman"/>
          <w:color w:val="000000"/>
          <w:kern w:val="0"/>
          <w:lang w:eastAsia="en-GB" w:bidi="bn-BD"/>
          <w14:ligatures w14:val="none"/>
        </w:rPr>
        <w:t xml:space="preserve">. [online] Cqc.org.uk. Available at: </w:t>
      </w:r>
      <w:hyperlink r:id="rId8" w:history="1">
        <w:r w:rsidRPr="006018FB">
          <w:rPr>
            <w:rStyle w:val="Hyperlink"/>
            <w:rFonts w:eastAsia="Times New Roman" w:cstheme="minorHAnsi"/>
            <w:kern w:val="0"/>
            <w:szCs w:val="24"/>
            <w:lang w:eastAsia="en-GB" w:bidi="bn-BD"/>
            <w14:ligatures w14:val="none"/>
          </w:rPr>
          <w:t>https://www.cqc.org.uk/guidance-regulation/providers/regulations-service-providers-and-managers/health-social-care-act/regulation-9</w:t>
        </w:r>
      </w:hyperlink>
      <w:r w:rsidRPr="006018FB">
        <w:rPr>
          <w:rFonts w:eastAsia="Times New Roman"/>
          <w:color w:val="000000"/>
          <w:kern w:val="0"/>
          <w:lang w:eastAsia="en-GB" w:bidi="bn-BD"/>
          <w14:ligatures w14:val="none"/>
        </w:rPr>
        <w:t xml:space="preserve">  [Accessed 21 July 2026].</w:t>
      </w:r>
    </w:p>
    <w:p w14:paraId="566A5ED4" w14:textId="77777777" w:rsidR="00400F79" w:rsidRPr="006018FB" w:rsidRDefault="00400F79" w:rsidP="00511FC4">
      <w:pPr>
        <w:rPr>
          <w:rFonts w:eastAsia="Times New Roman"/>
          <w:color w:val="000000"/>
          <w:kern w:val="0"/>
          <w:lang w:eastAsia="en-GB" w:bidi="bn-BD"/>
          <w14:ligatures w14:val="none"/>
        </w:rPr>
      </w:pPr>
      <w:r w:rsidRPr="006018FB">
        <w:t>DHSC</w:t>
      </w:r>
      <w:r w:rsidRPr="006018FB">
        <w:rPr>
          <w:rFonts w:eastAsia="Times New Roman"/>
          <w:color w:val="000000"/>
          <w:kern w:val="0"/>
          <w:lang w:eastAsia="en-GB" w:bidi="bn-BD"/>
          <w14:ligatures w14:val="none"/>
        </w:rPr>
        <w:t xml:space="preserve"> (2016). </w:t>
      </w:r>
      <w:r w:rsidRPr="006018FB">
        <w:rPr>
          <w:rFonts w:eastAsia="Times New Roman"/>
          <w:i/>
          <w:iCs/>
          <w:color w:val="000000"/>
          <w:kern w:val="0"/>
          <w:lang w:eastAsia="en-GB" w:bidi="bn-BD"/>
          <w14:ligatures w14:val="none"/>
        </w:rPr>
        <w:t>Care Act 2014: supporting implementation</w:t>
      </w:r>
      <w:r w:rsidRPr="006018FB">
        <w:rPr>
          <w:rFonts w:eastAsia="Times New Roman"/>
          <w:color w:val="000000"/>
          <w:kern w:val="0"/>
          <w:lang w:eastAsia="en-GB" w:bidi="bn-BD"/>
          <w14:ligatures w14:val="none"/>
        </w:rPr>
        <w:t xml:space="preserve">. [online] GOV.UK. Available at: </w:t>
      </w:r>
      <w:hyperlink r:id="rId9" w:history="1">
        <w:r w:rsidRPr="006018FB">
          <w:rPr>
            <w:rStyle w:val="Hyperlink"/>
            <w:rFonts w:eastAsia="Times New Roman" w:cstheme="minorHAnsi"/>
            <w:kern w:val="0"/>
            <w:szCs w:val="24"/>
            <w:lang w:eastAsia="en-GB" w:bidi="bn-BD"/>
            <w14:ligatures w14:val="none"/>
          </w:rPr>
          <w:t>https://www.gov.uk/government/publications/care-act-statutory-guidance</w:t>
        </w:r>
      </w:hyperlink>
      <w:r w:rsidRPr="006018FB">
        <w:rPr>
          <w:rFonts w:eastAsia="Times New Roman"/>
          <w:color w:val="000000"/>
          <w:kern w:val="0"/>
          <w:lang w:eastAsia="en-GB" w:bidi="bn-BD"/>
          <w14:ligatures w14:val="none"/>
        </w:rPr>
        <w:t xml:space="preserve">  [Accessed 21 July 2026].</w:t>
      </w:r>
    </w:p>
    <w:p w14:paraId="49C4C168" w14:textId="77777777" w:rsidR="00400F79" w:rsidRPr="006018FB" w:rsidRDefault="00400F79" w:rsidP="00511FC4">
      <w:pPr>
        <w:rPr>
          <w:shd w:val="clear" w:color="auto" w:fill="FFFFFF"/>
        </w:rPr>
      </w:pPr>
      <w:r w:rsidRPr="006018FB">
        <w:rPr>
          <w:shd w:val="clear" w:color="auto" w:fill="FFFFFF"/>
        </w:rPr>
        <w:t>Edwards, D. and Best, S. eds., 2020. </w:t>
      </w:r>
      <w:r w:rsidRPr="006018FB">
        <w:rPr>
          <w:i/>
          <w:iCs/>
          <w:shd w:val="clear" w:color="auto" w:fill="FFFFFF"/>
        </w:rPr>
        <w:t>The textbook of health and social care</w:t>
      </w:r>
      <w:r w:rsidRPr="006018FB">
        <w:rPr>
          <w:shd w:val="clear" w:color="auto" w:fill="FFFFFF"/>
        </w:rPr>
        <w:t>. Sage.</w:t>
      </w:r>
    </w:p>
    <w:p w14:paraId="1C3C9D2F" w14:textId="77777777" w:rsidR="00400F79" w:rsidRPr="006018FB" w:rsidRDefault="00400F79" w:rsidP="00511FC4">
      <w:pPr>
        <w:rPr>
          <w:rFonts w:eastAsia="Times New Roman"/>
          <w:color w:val="000000"/>
          <w:kern w:val="0"/>
          <w:lang w:eastAsia="en-GB" w:bidi="bn-BD"/>
          <w14:ligatures w14:val="none"/>
        </w:rPr>
      </w:pPr>
      <w:r w:rsidRPr="006018FB">
        <w:rPr>
          <w:shd w:val="clear" w:color="auto" w:fill="FFFFFF"/>
        </w:rPr>
        <w:t>Gonçalves‐Bradley, D.C., Lannin, N.A., Clemson, L.M., Cameron, I.D. and Shepperd, S., 2016. Discharge planning from hospital. </w:t>
      </w:r>
      <w:r w:rsidRPr="006018FB">
        <w:rPr>
          <w:i/>
          <w:iCs/>
          <w:shd w:val="clear" w:color="auto" w:fill="FFFFFF"/>
        </w:rPr>
        <w:t>Cochrane database of systematic reviews</w:t>
      </w:r>
      <w:r w:rsidRPr="006018FB">
        <w:rPr>
          <w:shd w:val="clear" w:color="auto" w:fill="FFFFFF"/>
        </w:rPr>
        <w:t>, (1).</w:t>
      </w:r>
    </w:p>
    <w:p w14:paraId="5C66C4DA"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GOV.UK (2022). </w:t>
      </w:r>
      <w:r w:rsidRPr="006018FB">
        <w:rPr>
          <w:rFonts w:eastAsia="Times New Roman"/>
          <w:i/>
          <w:iCs/>
          <w:color w:val="000000"/>
          <w:kern w:val="0"/>
          <w:lang w:eastAsia="en-GB" w:bidi="bn-BD"/>
          <w14:ligatures w14:val="none"/>
        </w:rPr>
        <w:t>Hospital discharge and community support guidance</w:t>
      </w:r>
      <w:r w:rsidRPr="006018FB">
        <w:rPr>
          <w:rFonts w:eastAsia="Times New Roman"/>
          <w:color w:val="000000"/>
          <w:kern w:val="0"/>
          <w:lang w:eastAsia="en-GB" w:bidi="bn-BD"/>
          <w14:ligatures w14:val="none"/>
        </w:rPr>
        <w:t xml:space="preserve">. [online] GOV.UK. Available at: </w:t>
      </w:r>
      <w:hyperlink r:id="rId10" w:history="1">
        <w:r w:rsidRPr="006018FB">
          <w:rPr>
            <w:rStyle w:val="Hyperlink"/>
            <w:rFonts w:eastAsia="Times New Roman" w:cstheme="minorHAnsi"/>
            <w:kern w:val="0"/>
            <w:szCs w:val="24"/>
            <w:lang w:eastAsia="en-GB" w:bidi="bn-BD"/>
            <w14:ligatures w14:val="none"/>
          </w:rPr>
          <w:t>https://www.gov.uk/government/publications/hospital-discharge-and-community-support-guidance</w:t>
        </w:r>
      </w:hyperlink>
      <w:r w:rsidRPr="006018FB">
        <w:rPr>
          <w:rFonts w:eastAsia="Times New Roman"/>
          <w:color w:val="000000"/>
          <w:kern w:val="0"/>
          <w:lang w:eastAsia="en-GB" w:bidi="bn-BD"/>
          <w14:ligatures w14:val="none"/>
        </w:rPr>
        <w:t xml:space="preserve">  [Accessed 21 July 2026].</w:t>
      </w:r>
    </w:p>
    <w:p w14:paraId="6D9AC28C"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‌HCPC (2018). </w:t>
      </w:r>
      <w:r w:rsidRPr="006018FB">
        <w:rPr>
          <w:rFonts w:eastAsia="Times New Roman"/>
          <w:i/>
          <w:iCs/>
          <w:color w:val="000000"/>
          <w:kern w:val="0"/>
          <w:lang w:eastAsia="en-GB" w:bidi="bn-BD"/>
          <w14:ligatures w14:val="none"/>
        </w:rPr>
        <w:t>Standards of conduct, performance and ethics | The HCPC</w:t>
      </w:r>
      <w:r w:rsidRPr="006018FB">
        <w:rPr>
          <w:rFonts w:eastAsia="Times New Roman"/>
          <w:color w:val="000000"/>
          <w:kern w:val="0"/>
          <w:lang w:eastAsia="en-GB" w:bidi="bn-BD"/>
          <w14:ligatures w14:val="none"/>
        </w:rPr>
        <w:t xml:space="preserve">. [online] </w:t>
      </w:r>
      <w:proofErr w:type="gramStart"/>
      <w:r w:rsidRPr="006018FB">
        <w:rPr>
          <w:rFonts w:eastAsia="Times New Roman"/>
          <w:color w:val="000000"/>
          <w:kern w:val="0"/>
          <w:lang w:eastAsia="en-GB" w:bidi="bn-BD"/>
          <w14:ligatures w14:val="none"/>
        </w:rPr>
        <w:t>The</w:t>
      </w:r>
      <w:proofErr w:type="gramEnd"/>
      <w:r w:rsidRPr="006018FB">
        <w:rPr>
          <w:rFonts w:eastAsia="Times New Roman"/>
          <w:color w:val="000000"/>
          <w:kern w:val="0"/>
          <w:lang w:eastAsia="en-GB" w:bidi="bn-BD"/>
          <w14:ligatures w14:val="none"/>
        </w:rPr>
        <w:t xml:space="preserve"> HCPC. Available at: </w:t>
      </w:r>
      <w:hyperlink r:id="rId11" w:history="1">
        <w:r w:rsidRPr="006018FB">
          <w:rPr>
            <w:rStyle w:val="Hyperlink"/>
            <w:rFonts w:eastAsia="Times New Roman" w:cstheme="minorHAnsi"/>
            <w:kern w:val="0"/>
            <w:szCs w:val="24"/>
            <w:lang w:eastAsia="en-GB" w:bidi="bn-BD"/>
            <w14:ligatures w14:val="none"/>
          </w:rPr>
          <w:t>https://www.hcpc-uk.org/standards/standards-of-conduct-performance-and-ethics/</w:t>
        </w:r>
      </w:hyperlink>
      <w:r w:rsidRPr="006018FB">
        <w:rPr>
          <w:rFonts w:eastAsia="Times New Roman"/>
          <w:color w:val="000000"/>
          <w:kern w:val="0"/>
          <w:lang w:eastAsia="en-GB" w:bidi="bn-BD"/>
          <w14:ligatures w14:val="none"/>
        </w:rPr>
        <w:t xml:space="preserve">  [Accessed 21 July 2026].</w:t>
      </w:r>
    </w:p>
    <w:p w14:paraId="65266F84"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HCPC (2021). </w:t>
      </w:r>
      <w:r w:rsidRPr="006018FB">
        <w:rPr>
          <w:rFonts w:eastAsia="Times New Roman"/>
          <w:i/>
          <w:iCs/>
          <w:color w:val="000000"/>
          <w:kern w:val="0"/>
          <w:lang w:eastAsia="en-GB" w:bidi="bn-BD"/>
          <w14:ligatures w14:val="none"/>
        </w:rPr>
        <w:t>What is reflection? | The HCPC</w:t>
      </w:r>
      <w:r w:rsidRPr="006018FB">
        <w:rPr>
          <w:rFonts w:eastAsia="Times New Roman"/>
          <w:color w:val="000000"/>
          <w:kern w:val="0"/>
          <w:lang w:eastAsia="en-GB" w:bidi="bn-BD"/>
          <w14:ligatures w14:val="none"/>
        </w:rPr>
        <w:t xml:space="preserve">. [online] </w:t>
      </w:r>
      <w:proofErr w:type="gramStart"/>
      <w:r w:rsidRPr="006018FB">
        <w:rPr>
          <w:rFonts w:eastAsia="Times New Roman"/>
          <w:color w:val="000000"/>
          <w:kern w:val="0"/>
          <w:lang w:eastAsia="en-GB" w:bidi="bn-BD"/>
          <w14:ligatures w14:val="none"/>
        </w:rPr>
        <w:t>The</w:t>
      </w:r>
      <w:proofErr w:type="gramEnd"/>
      <w:r w:rsidRPr="006018FB">
        <w:rPr>
          <w:rFonts w:eastAsia="Times New Roman"/>
          <w:color w:val="000000"/>
          <w:kern w:val="0"/>
          <w:lang w:eastAsia="en-GB" w:bidi="bn-BD"/>
          <w14:ligatures w14:val="none"/>
        </w:rPr>
        <w:t xml:space="preserve"> HCPC. Available at: </w:t>
      </w:r>
      <w:hyperlink r:id="rId12" w:history="1">
        <w:r w:rsidRPr="006018FB">
          <w:rPr>
            <w:rStyle w:val="Hyperlink"/>
            <w:rFonts w:eastAsia="Times New Roman" w:cstheme="minorHAnsi"/>
            <w:kern w:val="0"/>
            <w:szCs w:val="24"/>
            <w:lang w:eastAsia="en-GB" w:bidi="bn-BD"/>
            <w14:ligatures w14:val="none"/>
          </w:rPr>
          <w:t>https://www.hcpc-uk.org/standards/meeting-our-standards/reflective-practice/what-is-reflection/</w:t>
        </w:r>
      </w:hyperlink>
      <w:r w:rsidRPr="006018FB">
        <w:rPr>
          <w:rFonts w:eastAsia="Times New Roman"/>
          <w:color w:val="000000"/>
          <w:kern w:val="0"/>
          <w:lang w:eastAsia="en-GB" w:bidi="bn-BD"/>
          <w14:ligatures w14:val="none"/>
        </w:rPr>
        <w:t xml:space="preserve">  [Accessed 21 July 2026].</w:t>
      </w:r>
    </w:p>
    <w:p w14:paraId="0E910222"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Legislation.gov.uk. (2018). </w:t>
      </w:r>
      <w:r w:rsidRPr="006018FB">
        <w:rPr>
          <w:rFonts w:eastAsia="Times New Roman"/>
          <w:i/>
          <w:iCs/>
          <w:color w:val="000000"/>
          <w:kern w:val="0"/>
          <w:lang w:eastAsia="en-GB" w:bidi="bn-BD"/>
          <w14:ligatures w14:val="none"/>
        </w:rPr>
        <w:t>Data Protection Act 2018</w:t>
      </w:r>
      <w:r w:rsidRPr="006018FB">
        <w:rPr>
          <w:rFonts w:eastAsia="Times New Roman"/>
          <w:color w:val="000000"/>
          <w:kern w:val="0"/>
          <w:lang w:eastAsia="en-GB" w:bidi="bn-BD"/>
          <w14:ligatures w14:val="none"/>
        </w:rPr>
        <w:t xml:space="preserve">. [online] Available at: </w:t>
      </w:r>
      <w:hyperlink r:id="rId13" w:history="1">
        <w:r w:rsidRPr="006018FB">
          <w:rPr>
            <w:rStyle w:val="Hyperlink"/>
            <w:rFonts w:eastAsia="Times New Roman" w:cstheme="minorHAnsi"/>
            <w:kern w:val="0"/>
            <w:szCs w:val="24"/>
            <w:lang w:eastAsia="en-GB" w:bidi="bn-BD"/>
            <w14:ligatures w14:val="none"/>
          </w:rPr>
          <w:t>https://www.legislation.gov.uk/ukpga/2018/12/contents</w:t>
        </w:r>
      </w:hyperlink>
      <w:r w:rsidRPr="006018FB">
        <w:rPr>
          <w:rFonts w:eastAsia="Times New Roman"/>
          <w:color w:val="000000"/>
          <w:kern w:val="0"/>
          <w:lang w:eastAsia="en-GB" w:bidi="bn-BD"/>
          <w14:ligatures w14:val="none"/>
        </w:rPr>
        <w:t xml:space="preserve">  [Accessed 21 July 2026].</w:t>
      </w:r>
    </w:p>
    <w:p w14:paraId="6C0B8A65"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lastRenderedPageBreak/>
        <w:t>Legislation.gov.uk. (2026). </w:t>
      </w:r>
      <w:r w:rsidRPr="006018FB">
        <w:rPr>
          <w:rFonts w:eastAsia="Times New Roman"/>
          <w:i/>
          <w:iCs/>
          <w:color w:val="000000"/>
          <w:kern w:val="0"/>
          <w:lang w:eastAsia="en-GB" w:bidi="bn-BD"/>
          <w14:ligatures w14:val="none"/>
        </w:rPr>
        <w:t>Legislation.gov.uk</w:t>
      </w:r>
      <w:r w:rsidRPr="006018FB">
        <w:rPr>
          <w:rFonts w:eastAsia="Times New Roman"/>
          <w:color w:val="000000"/>
          <w:kern w:val="0"/>
          <w:lang w:eastAsia="en-GB" w:bidi="bn-BD"/>
          <w14:ligatures w14:val="none"/>
        </w:rPr>
        <w:t xml:space="preserve">. [online] Available at: </w:t>
      </w:r>
      <w:hyperlink r:id="rId14" w:history="1">
        <w:r w:rsidRPr="006018FB">
          <w:rPr>
            <w:rStyle w:val="Hyperlink"/>
            <w:rFonts w:eastAsia="Times New Roman" w:cstheme="minorHAnsi"/>
            <w:kern w:val="0"/>
            <w:szCs w:val="24"/>
            <w:lang w:eastAsia="en-GB" w:bidi="bn-BD"/>
            <w14:ligatures w14:val="none"/>
          </w:rPr>
          <w:t>https://www.legislation.gov.uk/ukpga</w:t>
        </w:r>
      </w:hyperlink>
      <w:r w:rsidRPr="006018FB">
        <w:rPr>
          <w:rFonts w:eastAsia="Times New Roman"/>
          <w:color w:val="000000"/>
          <w:kern w:val="0"/>
          <w:lang w:eastAsia="en-GB" w:bidi="bn-BD"/>
          <w14:ligatures w14:val="none"/>
        </w:rPr>
        <w:t xml:space="preserve">  [Accessed 21 July 2026].</w:t>
      </w:r>
    </w:p>
    <w:p w14:paraId="11C93FCD" w14:textId="77777777" w:rsidR="00400F79" w:rsidRPr="006018FB" w:rsidRDefault="00400F79" w:rsidP="00511FC4">
      <w:pPr>
        <w:rPr>
          <w:shd w:val="clear" w:color="auto" w:fill="FFFFFF"/>
        </w:rPr>
      </w:pPr>
      <w:r w:rsidRPr="006018FB">
        <w:rPr>
          <w:shd w:val="clear" w:color="auto" w:fill="FFFFFF"/>
        </w:rPr>
        <w:t>McCormack, B. and McCance, T. eds., 2016. Person-centred practice in nursing and health care: theory and practice. John Wiley &amp; Sons.</w:t>
      </w:r>
    </w:p>
    <w:p w14:paraId="70A15FBB"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NICE (2018a). </w:t>
      </w:r>
      <w:r w:rsidRPr="006018FB">
        <w:rPr>
          <w:rFonts w:eastAsia="Times New Roman"/>
          <w:i/>
          <w:iCs/>
          <w:color w:val="000000"/>
          <w:kern w:val="0"/>
          <w:lang w:eastAsia="en-GB" w:bidi="bn-BD"/>
          <w14:ligatures w14:val="none"/>
        </w:rPr>
        <w:t>Overview | Dementia: assessment, management and support for people living with dementia and their carers | Guidance | NICE</w:t>
      </w:r>
      <w:r w:rsidRPr="006018FB">
        <w:rPr>
          <w:rFonts w:eastAsia="Times New Roman"/>
          <w:color w:val="000000"/>
          <w:kern w:val="0"/>
          <w:lang w:eastAsia="en-GB" w:bidi="bn-BD"/>
          <w14:ligatures w14:val="none"/>
        </w:rPr>
        <w:t xml:space="preserve">. [online] Nice.org.uk. Available at: </w:t>
      </w:r>
      <w:hyperlink r:id="rId15" w:history="1">
        <w:r w:rsidRPr="006018FB">
          <w:rPr>
            <w:rStyle w:val="Hyperlink"/>
            <w:rFonts w:eastAsia="Times New Roman" w:cstheme="minorHAnsi"/>
            <w:kern w:val="0"/>
            <w:szCs w:val="24"/>
            <w:lang w:eastAsia="en-GB" w:bidi="bn-BD"/>
            <w14:ligatures w14:val="none"/>
          </w:rPr>
          <w:t>https://www.nice.org.uk/guidance/ng97</w:t>
        </w:r>
      </w:hyperlink>
      <w:r w:rsidRPr="006018FB">
        <w:rPr>
          <w:rFonts w:eastAsia="Times New Roman"/>
          <w:color w:val="000000"/>
          <w:kern w:val="0"/>
          <w:lang w:eastAsia="en-GB" w:bidi="bn-BD"/>
          <w14:ligatures w14:val="none"/>
        </w:rPr>
        <w:t xml:space="preserve">  [Accessed 21 July 2026].</w:t>
      </w:r>
    </w:p>
    <w:p w14:paraId="79E274FA"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‌NICE (2018b). </w:t>
      </w:r>
      <w:r w:rsidRPr="006018FB">
        <w:rPr>
          <w:rFonts w:eastAsia="Times New Roman"/>
          <w:i/>
          <w:iCs/>
          <w:color w:val="000000"/>
          <w:kern w:val="0"/>
          <w:lang w:eastAsia="en-GB" w:bidi="bn-BD"/>
          <w14:ligatures w14:val="none"/>
        </w:rPr>
        <w:t>Overview | Decision-making and mental capacity | Guidance | NICE</w:t>
      </w:r>
      <w:r w:rsidRPr="006018FB">
        <w:rPr>
          <w:rFonts w:eastAsia="Times New Roman"/>
          <w:color w:val="000000"/>
          <w:kern w:val="0"/>
          <w:lang w:eastAsia="en-GB" w:bidi="bn-BD"/>
          <w14:ligatures w14:val="none"/>
        </w:rPr>
        <w:t xml:space="preserve">. [online] Nice.org.uk. Available at: </w:t>
      </w:r>
      <w:hyperlink r:id="rId16" w:history="1">
        <w:r w:rsidRPr="006018FB">
          <w:rPr>
            <w:rStyle w:val="Hyperlink"/>
            <w:rFonts w:eastAsia="Times New Roman" w:cstheme="minorHAnsi"/>
            <w:kern w:val="0"/>
            <w:szCs w:val="24"/>
            <w:lang w:eastAsia="en-GB" w:bidi="bn-BD"/>
            <w14:ligatures w14:val="none"/>
          </w:rPr>
          <w:t>https://www.nice.org.uk/guidance/ng108</w:t>
        </w:r>
      </w:hyperlink>
      <w:r w:rsidRPr="006018FB">
        <w:rPr>
          <w:rFonts w:eastAsia="Times New Roman"/>
          <w:color w:val="000000"/>
          <w:kern w:val="0"/>
          <w:lang w:eastAsia="en-GB" w:bidi="bn-BD"/>
          <w14:ligatures w14:val="none"/>
        </w:rPr>
        <w:t xml:space="preserve">  [Accessed 21 July 2026].</w:t>
      </w:r>
    </w:p>
    <w:p w14:paraId="7FAE9852" w14:textId="77777777" w:rsidR="00400F79" w:rsidRPr="006018FB" w:rsidRDefault="00400F79" w:rsidP="00511FC4">
      <w:pPr>
        <w:rPr>
          <w:rFonts w:eastAsia="Times New Roman"/>
          <w:color w:val="000000"/>
          <w:kern w:val="0"/>
          <w:lang w:eastAsia="en-GB" w:bidi="bn-BD"/>
          <w14:ligatures w14:val="none"/>
        </w:rPr>
      </w:pPr>
      <w:r w:rsidRPr="006018FB">
        <w:rPr>
          <w:rFonts w:eastAsia="Times New Roman"/>
          <w:color w:val="000000"/>
          <w:kern w:val="0"/>
          <w:lang w:eastAsia="en-GB" w:bidi="bn-BD"/>
          <w14:ligatures w14:val="none"/>
        </w:rPr>
        <w:t>NICE (2021). </w:t>
      </w:r>
      <w:r w:rsidRPr="006018FB">
        <w:rPr>
          <w:rFonts w:eastAsia="Times New Roman"/>
          <w:i/>
          <w:iCs/>
          <w:color w:val="000000"/>
          <w:kern w:val="0"/>
          <w:lang w:eastAsia="en-GB" w:bidi="bn-BD"/>
          <w14:ligatures w14:val="none"/>
        </w:rPr>
        <w:t>Overview | Shared decision making | Guidance | NICE</w:t>
      </w:r>
      <w:r w:rsidRPr="006018FB">
        <w:rPr>
          <w:rFonts w:eastAsia="Times New Roman"/>
          <w:color w:val="000000"/>
          <w:kern w:val="0"/>
          <w:lang w:eastAsia="en-GB" w:bidi="bn-BD"/>
          <w14:ligatures w14:val="none"/>
        </w:rPr>
        <w:t xml:space="preserve">. [online] Nice.org.uk. Available at: </w:t>
      </w:r>
      <w:hyperlink r:id="rId17" w:history="1">
        <w:r w:rsidRPr="006018FB">
          <w:rPr>
            <w:rStyle w:val="Hyperlink"/>
            <w:rFonts w:eastAsia="Times New Roman" w:cstheme="minorHAnsi"/>
            <w:kern w:val="0"/>
            <w:szCs w:val="24"/>
            <w:lang w:eastAsia="en-GB" w:bidi="bn-BD"/>
            <w14:ligatures w14:val="none"/>
          </w:rPr>
          <w:t>https://www.nice.org.uk/guidance/ng197</w:t>
        </w:r>
      </w:hyperlink>
      <w:r w:rsidRPr="006018FB">
        <w:rPr>
          <w:rFonts w:eastAsia="Times New Roman"/>
          <w:color w:val="000000"/>
          <w:kern w:val="0"/>
          <w:lang w:eastAsia="en-GB" w:bidi="bn-BD"/>
          <w14:ligatures w14:val="none"/>
        </w:rPr>
        <w:t xml:space="preserve">  [Accessed 21 July 2026].</w:t>
      </w:r>
    </w:p>
    <w:p w14:paraId="68168B94" w14:textId="77777777" w:rsidR="00400F79" w:rsidRPr="006018FB" w:rsidRDefault="00400F79" w:rsidP="00511FC4">
      <w:r w:rsidRPr="006018FB">
        <w:t xml:space="preserve">Reeves, S., </w:t>
      </w:r>
      <w:proofErr w:type="spellStart"/>
      <w:r w:rsidRPr="006018FB">
        <w:t>Pelone</w:t>
      </w:r>
      <w:proofErr w:type="spellEnd"/>
      <w:r w:rsidRPr="006018FB">
        <w:t xml:space="preserve">, F., Harrison, R., Goldman, J. and </w:t>
      </w:r>
      <w:proofErr w:type="spellStart"/>
      <w:r w:rsidRPr="006018FB">
        <w:t>Zwarenstein</w:t>
      </w:r>
      <w:proofErr w:type="spellEnd"/>
      <w:r w:rsidRPr="006018FB">
        <w:t xml:space="preserve">, M. (2017) ‘Interprofessional collaboration to improve professional practice and healthcare outcomes’, </w:t>
      </w:r>
      <w:r w:rsidRPr="006018FB">
        <w:rPr>
          <w:rStyle w:val="Emphasis"/>
          <w:rFonts w:cstheme="minorHAnsi"/>
          <w:szCs w:val="24"/>
        </w:rPr>
        <w:t>Cochrane Database of Systematic Reviews</w:t>
      </w:r>
      <w:r w:rsidRPr="006018FB">
        <w:t xml:space="preserve">, 6, article CD000072. </w:t>
      </w:r>
    </w:p>
    <w:p w14:paraId="43F5AE77" w14:textId="77777777" w:rsidR="00400F79" w:rsidRPr="006018FB" w:rsidRDefault="00400F79" w:rsidP="00511FC4">
      <w:pPr>
        <w:rPr>
          <w:color w:val="222222"/>
          <w:shd w:val="clear" w:color="auto" w:fill="FFFFFF"/>
        </w:rPr>
      </w:pPr>
      <w:r w:rsidRPr="006018FB">
        <w:rPr>
          <w:color w:val="222222"/>
          <w:shd w:val="clear" w:color="auto" w:fill="FFFFFF"/>
        </w:rPr>
        <w:t>Santana, M.J., Manalili, K., Jolley, R.J., Zelinsky, S., Quan, H. and Lu, M., 2018. How to practice person‐centred care: A conceptual framework. </w:t>
      </w:r>
      <w:r w:rsidRPr="006018FB">
        <w:rPr>
          <w:i/>
          <w:iCs/>
          <w:color w:val="222222"/>
          <w:shd w:val="clear" w:color="auto" w:fill="FFFFFF"/>
        </w:rPr>
        <w:t>Health Expectations</w:t>
      </w:r>
      <w:r w:rsidRPr="006018FB">
        <w:rPr>
          <w:color w:val="222222"/>
          <w:shd w:val="clear" w:color="auto" w:fill="FFFFFF"/>
        </w:rPr>
        <w:t>, </w:t>
      </w:r>
      <w:r w:rsidRPr="006018FB">
        <w:rPr>
          <w:i/>
          <w:iCs/>
          <w:color w:val="222222"/>
          <w:shd w:val="clear" w:color="auto" w:fill="FFFFFF"/>
        </w:rPr>
        <w:t>21</w:t>
      </w:r>
      <w:r w:rsidRPr="006018FB">
        <w:rPr>
          <w:color w:val="222222"/>
          <w:shd w:val="clear" w:color="auto" w:fill="FFFFFF"/>
        </w:rPr>
        <w:t>(2), pp.429-440.</w:t>
      </w:r>
    </w:p>
    <w:p w14:paraId="4332F52E" w14:textId="77777777" w:rsidR="00400F79" w:rsidRPr="00965C38" w:rsidRDefault="00400F79" w:rsidP="00400F79">
      <w:pPr>
        <w:rPr>
          <w:color w:val="222222"/>
          <w:shd w:val="clear" w:color="auto" w:fill="FFFFFF"/>
        </w:rPr>
      </w:pPr>
      <w:r w:rsidRPr="006018FB">
        <w:rPr>
          <w:color w:val="222222"/>
          <w:shd w:val="clear" w:color="auto" w:fill="FFFFFF"/>
        </w:rPr>
        <w:t>Umoren, R., Kim, S., Gray, M.M., Best, J.A. and Robins, L., 2022. Interprofessional model on speaking up behaviour in healthcare professionals: a qualitative study. </w:t>
      </w:r>
      <w:r w:rsidRPr="006018FB">
        <w:rPr>
          <w:i/>
          <w:iCs/>
          <w:color w:val="222222"/>
          <w:shd w:val="clear" w:color="auto" w:fill="FFFFFF"/>
        </w:rPr>
        <w:t>BMJ leader</w:t>
      </w:r>
      <w:r w:rsidRPr="006018FB">
        <w:rPr>
          <w:color w:val="222222"/>
          <w:shd w:val="clear" w:color="auto" w:fill="FFFFFF"/>
        </w:rPr>
        <w:t>, </w:t>
      </w:r>
      <w:r w:rsidRPr="006018FB">
        <w:rPr>
          <w:i/>
          <w:iCs/>
          <w:color w:val="222222"/>
          <w:shd w:val="clear" w:color="auto" w:fill="FFFFFF"/>
        </w:rPr>
        <w:t>6</w:t>
      </w:r>
      <w:r w:rsidRPr="006018FB">
        <w:rPr>
          <w:color w:val="222222"/>
          <w:shd w:val="clear" w:color="auto" w:fill="FFFFFF"/>
        </w:rPr>
        <w:t>(1).</w:t>
      </w:r>
    </w:p>
    <w:p w14:paraId="14F4B969" w14:textId="77777777" w:rsidR="00965C38" w:rsidRPr="00965C38" w:rsidRDefault="00965C38" w:rsidP="00965C38">
      <w:pPr>
        <w:spacing w:line="360" w:lineRule="atLeast"/>
        <w:jc w:val="left"/>
        <w:rPr>
          <w:rFonts w:ascii="Times New Roman" w:eastAsia="Times New Roman" w:hAnsi="Times New Roman" w:cs="Times New Roman"/>
          <w:color w:val="000000"/>
          <w:kern w:val="0"/>
          <w:szCs w:val="24"/>
          <w:lang w:eastAsia="en-GB" w:bidi="bn-BD"/>
          <w14:ligatures w14:val="none"/>
        </w:rPr>
      </w:pPr>
    </w:p>
    <w:p w14:paraId="0B79A081" w14:textId="77777777" w:rsidR="00965C38" w:rsidRPr="00965C38" w:rsidRDefault="00965C38" w:rsidP="00965C38">
      <w:pPr>
        <w:spacing w:before="100" w:beforeAutospacing="1" w:after="100" w:afterAutospacing="1" w:line="240" w:lineRule="auto"/>
        <w:jc w:val="left"/>
        <w:rPr>
          <w:rFonts w:ascii="Times New Roman" w:eastAsia="Times New Roman" w:hAnsi="Times New Roman" w:cs="Times New Roman"/>
          <w:color w:val="000000"/>
          <w:kern w:val="0"/>
          <w:szCs w:val="24"/>
          <w:lang w:eastAsia="en-GB" w:bidi="bn-BD"/>
          <w14:ligatures w14:val="none"/>
        </w:rPr>
      </w:pPr>
      <w:r w:rsidRPr="00965C38">
        <w:rPr>
          <w:rFonts w:ascii="Times New Roman" w:eastAsia="Times New Roman" w:hAnsi="Times New Roman" w:cs="Times New Roman"/>
          <w:color w:val="000000"/>
          <w:kern w:val="0"/>
          <w:szCs w:val="24"/>
          <w:lang w:eastAsia="en-GB" w:bidi="bn-BD"/>
          <w14:ligatures w14:val="none"/>
        </w:rPr>
        <w:t>‌</w:t>
      </w:r>
    </w:p>
    <w:p w14:paraId="540F208C" w14:textId="77777777" w:rsidR="00965C38" w:rsidRPr="006018FB" w:rsidRDefault="00965C38" w:rsidP="00965C38"/>
    <w:p w14:paraId="636070BA" w14:textId="77777777" w:rsidR="00965C38" w:rsidRPr="006018FB" w:rsidRDefault="00965C38" w:rsidP="000C5F46"/>
    <w:sectPr w:rsidR="00965C38" w:rsidRPr="006018FB" w:rsidSect="003942DC">
      <w:footerReference w:type="default" r:id="rId18"/>
      <w:pgSz w:w="12240" w:h="15840" w:code="1"/>
      <w:pgMar w:top="1440" w:right="1440" w:bottom="1440" w:left="1440" w:header="0" w:footer="994"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ADEB5" w14:textId="77777777" w:rsidR="00F25796" w:rsidRDefault="00F25796" w:rsidP="003942DC">
      <w:pPr>
        <w:spacing w:after="0" w:line="240" w:lineRule="auto"/>
      </w:pPr>
      <w:r>
        <w:separator/>
      </w:r>
    </w:p>
  </w:endnote>
  <w:endnote w:type="continuationSeparator" w:id="0">
    <w:p w14:paraId="2DFAE7D9" w14:textId="77777777" w:rsidR="00F25796" w:rsidRDefault="00F25796" w:rsidP="00394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2235776"/>
      <w:docPartObj>
        <w:docPartGallery w:val="Page Numbers (Bottom of Page)"/>
        <w:docPartUnique/>
      </w:docPartObj>
    </w:sdtPr>
    <w:sdtEndPr>
      <w:rPr>
        <w:noProof/>
      </w:rPr>
    </w:sdtEndPr>
    <w:sdtContent>
      <w:p w14:paraId="4F9FA3EE" w14:textId="77777777" w:rsidR="00400F79" w:rsidRDefault="00400F79">
        <w:pPr>
          <w:pStyle w:val="Footer"/>
          <w:jc w:val="center"/>
        </w:pPr>
        <w:r>
          <w:fldChar w:fldCharType="begin"/>
        </w:r>
        <w:r>
          <w:instrText xml:space="preserve"> PAGE   \* MERGEFORMAT </w:instrText>
        </w:r>
        <w:r>
          <w:fldChar w:fldCharType="separate"/>
        </w:r>
        <w:r w:rsidR="00172048">
          <w:rPr>
            <w:noProof/>
          </w:rPr>
          <w:t>1</w:t>
        </w:r>
        <w:r>
          <w:rPr>
            <w:noProof/>
          </w:rPr>
          <w:fldChar w:fldCharType="end"/>
        </w:r>
      </w:p>
    </w:sdtContent>
  </w:sdt>
  <w:p w14:paraId="3A60B468" w14:textId="77777777" w:rsidR="00400F79" w:rsidRDefault="00400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4664C" w14:textId="77777777" w:rsidR="00F25796" w:rsidRDefault="00F25796" w:rsidP="003942DC">
      <w:pPr>
        <w:spacing w:after="0" w:line="240" w:lineRule="auto"/>
      </w:pPr>
      <w:r>
        <w:separator/>
      </w:r>
    </w:p>
  </w:footnote>
  <w:footnote w:type="continuationSeparator" w:id="0">
    <w:p w14:paraId="7F7C56D9" w14:textId="77777777" w:rsidR="00F25796" w:rsidRDefault="00F25796" w:rsidP="003942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B6D03"/>
    <w:multiLevelType w:val="hybridMultilevel"/>
    <w:tmpl w:val="A9F6D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0839D1"/>
    <w:multiLevelType w:val="hybridMultilevel"/>
    <w:tmpl w:val="68865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997890">
    <w:abstractNumId w:val="1"/>
  </w:num>
  <w:num w:numId="2" w16cid:durableId="1055619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004"/>
    <w:rsid w:val="000C5F46"/>
    <w:rsid w:val="000D5B28"/>
    <w:rsid w:val="001041B3"/>
    <w:rsid w:val="001519A9"/>
    <w:rsid w:val="00172048"/>
    <w:rsid w:val="001E05E3"/>
    <w:rsid w:val="002D5686"/>
    <w:rsid w:val="002E1E7E"/>
    <w:rsid w:val="003942DC"/>
    <w:rsid w:val="00400F79"/>
    <w:rsid w:val="00481DA2"/>
    <w:rsid w:val="00496F62"/>
    <w:rsid w:val="004C2D3F"/>
    <w:rsid w:val="00511FC4"/>
    <w:rsid w:val="00565A02"/>
    <w:rsid w:val="005F51FF"/>
    <w:rsid w:val="006018FB"/>
    <w:rsid w:val="007E5460"/>
    <w:rsid w:val="00965C38"/>
    <w:rsid w:val="00AA41F7"/>
    <w:rsid w:val="00B203F9"/>
    <w:rsid w:val="00B41CBB"/>
    <w:rsid w:val="00CE2AB1"/>
    <w:rsid w:val="00D81B4A"/>
    <w:rsid w:val="00DB63E4"/>
    <w:rsid w:val="00ED2090"/>
    <w:rsid w:val="00F25796"/>
    <w:rsid w:val="00F54FE2"/>
    <w:rsid w:val="00F8100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BCD9E"/>
  <w15:chartTrackingRefBased/>
  <w15:docId w15:val="{E203FE5A-2B87-474D-9927-4F775708B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2DC"/>
    <w:pPr>
      <w:spacing w:line="360" w:lineRule="auto"/>
      <w:jc w:val="both"/>
    </w:pPr>
    <w:rPr>
      <w:sz w:val="24"/>
      <w:lang w:val="en-GB"/>
    </w:rPr>
  </w:style>
  <w:style w:type="paragraph" w:styleId="Heading1">
    <w:name w:val="heading 1"/>
    <w:basedOn w:val="Normal"/>
    <w:next w:val="Normal"/>
    <w:link w:val="Heading1Char"/>
    <w:uiPriority w:val="9"/>
    <w:qFormat/>
    <w:rsid w:val="003942D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3942DC"/>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3942D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2DC"/>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3942DC"/>
    <w:rPr>
      <w:rFonts w:asciiTheme="majorHAnsi" w:eastAsiaTheme="majorEastAsia" w:hAnsiTheme="majorHAnsi" w:cstheme="majorBidi"/>
      <w:b/>
      <w:color w:val="2F5496" w:themeColor="accent1" w:themeShade="BF"/>
      <w:sz w:val="28"/>
      <w:szCs w:val="26"/>
      <w:lang w:val="en-GB"/>
    </w:rPr>
  </w:style>
  <w:style w:type="character" w:customStyle="1" w:styleId="Heading3Char">
    <w:name w:val="Heading 3 Char"/>
    <w:basedOn w:val="DefaultParagraphFont"/>
    <w:link w:val="Heading3"/>
    <w:uiPriority w:val="9"/>
    <w:semiHidden/>
    <w:rsid w:val="003942DC"/>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3942DC"/>
    <w:pPr>
      <w:spacing w:before="100" w:beforeAutospacing="1" w:after="100" w:afterAutospacing="1" w:line="240" w:lineRule="auto"/>
      <w:jc w:val="left"/>
    </w:pPr>
    <w:rPr>
      <w:rFonts w:ascii="Times New Roman" w:eastAsia="Times New Roman" w:hAnsi="Times New Roman" w:cs="Times New Roman"/>
      <w:kern w:val="0"/>
      <w:szCs w:val="24"/>
      <w:lang w:eastAsia="en-GB" w:bidi="bn-BD"/>
      <w14:ligatures w14:val="none"/>
    </w:rPr>
  </w:style>
  <w:style w:type="paragraph" w:styleId="Header">
    <w:name w:val="header"/>
    <w:basedOn w:val="Normal"/>
    <w:link w:val="HeaderChar"/>
    <w:uiPriority w:val="99"/>
    <w:unhideWhenUsed/>
    <w:rsid w:val="003942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2DC"/>
    <w:rPr>
      <w:sz w:val="24"/>
      <w:lang w:val="en-GB"/>
    </w:rPr>
  </w:style>
  <w:style w:type="paragraph" w:styleId="Footer">
    <w:name w:val="footer"/>
    <w:basedOn w:val="Normal"/>
    <w:link w:val="FooterChar"/>
    <w:uiPriority w:val="99"/>
    <w:unhideWhenUsed/>
    <w:rsid w:val="003942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2DC"/>
    <w:rPr>
      <w:sz w:val="24"/>
      <w:lang w:val="en-GB"/>
    </w:rPr>
  </w:style>
  <w:style w:type="character" w:styleId="Emphasis">
    <w:name w:val="Emphasis"/>
    <w:basedOn w:val="DefaultParagraphFont"/>
    <w:uiPriority w:val="20"/>
    <w:qFormat/>
    <w:rsid w:val="003942DC"/>
    <w:rPr>
      <w:i/>
      <w:iCs/>
    </w:rPr>
  </w:style>
  <w:style w:type="table" w:styleId="TableGridLight">
    <w:name w:val="Grid Table Light"/>
    <w:basedOn w:val="TableNormal"/>
    <w:uiPriority w:val="40"/>
    <w:rsid w:val="004C2D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5">
    <w:name w:val="Grid Table 4 Accent 5"/>
    <w:basedOn w:val="TableNormal"/>
    <w:uiPriority w:val="49"/>
    <w:rsid w:val="00965C3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965C38"/>
    <w:rPr>
      <w:color w:val="0563C1" w:themeColor="hyperlink"/>
      <w:u w:val="single"/>
    </w:rPr>
  </w:style>
  <w:style w:type="paragraph" w:styleId="ListParagraph">
    <w:name w:val="List Paragraph"/>
    <w:basedOn w:val="Normal"/>
    <w:uiPriority w:val="34"/>
    <w:qFormat/>
    <w:rsid w:val="00AA41F7"/>
    <w:pPr>
      <w:ind w:left="720"/>
      <w:contextualSpacing/>
    </w:pPr>
  </w:style>
  <w:style w:type="paragraph" w:styleId="NoSpacing">
    <w:name w:val="No Spacing"/>
    <w:uiPriority w:val="1"/>
    <w:qFormat/>
    <w:rsid w:val="00511FC4"/>
    <w:pPr>
      <w:spacing w:after="0" w:line="240" w:lineRule="auto"/>
      <w:jc w:val="both"/>
    </w:pPr>
    <w:rPr>
      <w:sz w:val="24"/>
      <w:lang w:val="en-GB"/>
    </w:rPr>
  </w:style>
  <w:style w:type="paragraph" w:styleId="TOCHeading">
    <w:name w:val="TOC Heading"/>
    <w:basedOn w:val="Heading1"/>
    <w:next w:val="Normal"/>
    <w:uiPriority w:val="39"/>
    <w:unhideWhenUsed/>
    <w:qFormat/>
    <w:rsid w:val="00481DA2"/>
    <w:pPr>
      <w:spacing w:line="259" w:lineRule="auto"/>
      <w:jc w:val="left"/>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481DA2"/>
    <w:pPr>
      <w:spacing w:after="100"/>
    </w:pPr>
  </w:style>
  <w:style w:type="paragraph" w:styleId="TOC2">
    <w:name w:val="toc 2"/>
    <w:basedOn w:val="Normal"/>
    <w:next w:val="Normal"/>
    <w:autoRedefine/>
    <w:uiPriority w:val="39"/>
    <w:unhideWhenUsed/>
    <w:rsid w:val="00481D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40173">
      <w:bodyDiv w:val="1"/>
      <w:marLeft w:val="0"/>
      <w:marRight w:val="0"/>
      <w:marTop w:val="0"/>
      <w:marBottom w:val="0"/>
      <w:divBdr>
        <w:top w:val="none" w:sz="0" w:space="0" w:color="auto"/>
        <w:left w:val="none" w:sz="0" w:space="0" w:color="auto"/>
        <w:bottom w:val="none" w:sz="0" w:space="0" w:color="auto"/>
        <w:right w:val="none" w:sz="0" w:space="0" w:color="auto"/>
      </w:divBdr>
      <w:divsChild>
        <w:div w:id="1132136048">
          <w:marLeft w:val="0"/>
          <w:marRight w:val="0"/>
          <w:marTop w:val="0"/>
          <w:marBottom w:val="240"/>
          <w:divBdr>
            <w:top w:val="none" w:sz="0" w:space="0" w:color="auto"/>
            <w:left w:val="none" w:sz="0" w:space="0" w:color="auto"/>
            <w:bottom w:val="none" w:sz="0" w:space="0" w:color="auto"/>
            <w:right w:val="none" w:sz="0" w:space="0" w:color="auto"/>
          </w:divBdr>
        </w:div>
      </w:divsChild>
    </w:div>
    <w:div w:id="124667943">
      <w:bodyDiv w:val="1"/>
      <w:marLeft w:val="0"/>
      <w:marRight w:val="0"/>
      <w:marTop w:val="0"/>
      <w:marBottom w:val="0"/>
      <w:divBdr>
        <w:top w:val="none" w:sz="0" w:space="0" w:color="auto"/>
        <w:left w:val="none" w:sz="0" w:space="0" w:color="auto"/>
        <w:bottom w:val="none" w:sz="0" w:space="0" w:color="auto"/>
        <w:right w:val="none" w:sz="0" w:space="0" w:color="auto"/>
      </w:divBdr>
    </w:div>
    <w:div w:id="333460265">
      <w:bodyDiv w:val="1"/>
      <w:marLeft w:val="0"/>
      <w:marRight w:val="0"/>
      <w:marTop w:val="0"/>
      <w:marBottom w:val="0"/>
      <w:divBdr>
        <w:top w:val="none" w:sz="0" w:space="0" w:color="auto"/>
        <w:left w:val="none" w:sz="0" w:space="0" w:color="auto"/>
        <w:bottom w:val="none" w:sz="0" w:space="0" w:color="auto"/>
        <w:right w:val="none" w:sz="0" w:space="0" w:color="auto"/>
      </w:divBdr>
      <w:divsChild>
        <w:div w:id="124204446">
          <w:marLeft w:val="0"/>
          <w:marRight w:val="0"/>
          <w:marTop w:val="0"/>
          <w:marBottom w:val="0"/>
          <w:divBdr>
            <w:top w:val="none" w:sz="0" w:space="0" w:color="auto"/>
            <w:left w:val="none" w:sz="0" w:space="0" w:color="auto"/>
            <w:bottom w:val="none" w:sz="0" w:space="0" w:color="auto"/>
            <w:right w:val="none" w:sz="0" w:space="0" w:color="auto"/>
          </w:divBdr>
          <w:divsChild>
            <w:div w:id="57246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20455">
      <w:bodyDiv w:val="1"/>
      <w:marLeft w:val="0"/>
      <w:marRight w:val="0"/>
      <w:marTop w:val="0"/>
      <w:marBottom w:val="0"/>
      <w:divBdr>
        <w:top w:val="none" w:sz="0" w:space="0" w:color="auto"/>
        <w:left w:val="none" w:sz="0" w:space="0" w:color="auto"/>
        <w:bottom w:val="none" w:sz="0" w:space="0" w:color="auto"/>
        <w:right w:val="none" w:sz="0" w:space="0" w:color="auto"/>
      </w:divBdr>
      <w:divsChild>
        <w:div w:id="73432264">
          <w:marLeft w:val="0"/>
          <w:marRight w:val="0"/>
          <w:marTop w:val="0"/>
          <w:marBottom w:val="240"/>
          <w:divBdr>
            <w:top w:val="none" w:sz="0" w:space="0" w:color="auto"/>
            <w:left w:val="none" w:sz="0" w:space="0" w:color="auto"/>
            <w:bottom w:val="none" w:sz="0" w:space="0" w:color="auto"/>
            <w:right w:val="none" w:sz="0" w:space="0" w:color="auto"/>
          </w:divBdr>
        </w:div>
      </w:divsChild>
    </w:div>
    <w:div w:id="679814150">
      <w:bodyDiv w:val="1"/>
      <w:marLeft w:val="0"/>
      <w:marRight w:val="0"/>
      <w:marTop w:val="0"/>
      <w:marBottom w:val="0"/>
      <w:divBdr>
        <w:top w:val="none" w:sz="0" w:space="0" w:color="auto"/>
        <w:left w:val="none" w:sz="0" w:space="0" w:color="auto"/>
        <w:bottom w:val="none" w:sz="0" w:space="0" w:color="auto"/>
        <w:right w:val="none" w:sz="0" w:space="0" w:color="auto"/>
      </w:divBdr>
      <w:divsChild>
        <w:div w:id="2115204605">
          <w:marLeft w:val="0"/>
          <w:marRight w:val="0"/>
          <w:marTop w:val="0"/>
          <w:marBottom w:val="240"/>
          <w:divBdr>
            <w:top w:val="none" w:sz="0" w:space="0" w:color="auto"/>
            <w:left w:val="none" w:sz="0" w:space="0" w:color="auto"/>
            <w:bottom w:val="none" w:sz="0" w:space="0" w:color="auto"/>
            <w:right w:val="none" w:sz="0" w:space="0" w:color="auto"/>
          </w:divBdr>
        </w:div>
      </w:divsChild>
    </w:div>
    <w:div w:id="752238806">
      <w:bodyDiv w:val="1"/>
      <w:marLeft w:val="0"/>
      <w:marRight w:val="0"/>
      <w:marTop w:val="0"/>
      <w:marBottom w:val="0"/>
      <w:divBdr>
        <w:top w:val="none" w:sz="0" w:space="0" w:color="auto"/>
        <w:left w:val="none" w:sz="0" w:space="0" w:color="auto"/>
        <w:bottom w:val="none" w:sz="0" w:space="0" w:color="auto"/>
        <w:right w:val="none" w:sz="0" w:space="0" w:color="auto"/>
      </w:divBdr>
    </w:div>
    <w:div w:id="840775182">
      <w:bodyDiv w:val="1"/>
      <w:marLeft w:val="0"/>
      <w:marRight w:val="0"/>
      <w:marTop w:val="0"/>
      <w:marBottom w:val="0"/>
      <w:divBdr>
        <w:top w:val="none" w:sz="0" w:space="0" w:color="auto"/>
        <w:left w:val="none" w:sz="0" w:space="0" w:color="auto"/>
        <w:bottom w:val="none" w:sz="0" w:space="0" w:color="auto"/>
        <w:right w:val="none" w:sz="0" w:space="0" w:color="auto"/>
      </w:divBdr>
      <w:divsChild>
        <w:div w:id="1737974272">
          <w:marLeft w:val="0"/>
          <w:marRight w:val="0"/>
          <w:marTop w:val="0"/>
          <w:marBottom w:val="240"/>
          <w:divBdr>
            <w:top w:val="none" w:sz="0" w:space="0" w:color="auto"/>
            <w:left w:val="none" w:sz="0" w:space="0" w:color="auto"/>
            <w:bottom w:val="none" w:sz="0" w:space="0" w:color="auto"/>
            <w:right w:val="none" w:sz="0" w:space="0" w:color="auto"/>
          </w:divBdr>
        </w:div>
      </w:divsChild>
    </w:div>
    <w:div w:id="1134517514">
      <w:bodyDiv w:val="1"/>
      <w:marLeft w:val="0"/>
      <w:marRight w:val="0"/>
      <w:marTop w:val="0"/>
      <w:marBottom w:val="0"/>
      <w:divBdr>
        <w:top w:val="none" w:sz="0" w:space="0" w:color="auto"/>
        <w:left w:val="none" w:sz="0" w:space="0" w:color="auto"/>
        <w:bottom w:val="none" w:sz="0" w:space="0" w:color="auto"/>
        <w:right w:val="none" w:sz="0" w:space="0" w:color="auto"/>
      </w:divBdr>
      <w:divsChild>
        <w:div w:id="2114397201">
          <w:marLeft w:val="0"/>
          <w:marRight w:val="0"/>
          <w:marTop w:val="0"/>
          <w:marBottom w:val="240"/>
          <w:divBdr>
            <w:top w:val="none" w:sz="0" w:space="0" w:color="auto"/>
            <w:left w:val="none" w:sz="0" w:space="0" w:color="auto"/>
            <w:bottom w:val="none" w:sz="0" w:space="0" w:color="auto"/>
            <w:right w:val="none" w:sz="0" w:space="0" w:color="auto"/>
          </w:divBdr>
        </w:div>
      </w:divsChild>
    </w:div>
    <w:div w:id="1579705588">
      <w:bodyDiv w:val="1"/>
      <w:marLeft w:val="0"/>
      <w:marRight w:val="0"/>
      <w:marTop w:val="0"/>
      <w:marBottom w:val="0"/>
      <w:divBdr>
        <w:top w:val="none" w:sz="0" w:space="0" w:color="auto"/>
        <w:left w:val="none" w:sz="0" w:space="0" w:color="auto"/>
        <w:bottom w:val="none" w:sz="0" w:space="0" w:color="auto"/>
        <w:right w:val="none" w:sz="0" w:space="0" w:color="auto"/>
      </w:divBdr>
      <w:divsChild>
        <w:div w:id="1139103759">
          <w:marLeft w:val="0"/>
          <w:marRight w:val="0"/>
          <w:marTop w:val="0"/>
          <w:marBottom w:val="240"/>
          <w:divBdr>
            <w:top w:val="none" w:sz="0" w:space="0" w:color="auto"/>
            <w:left w:val="none" w:sz="0" w:space="0" w:color="auto"/>
            <w:bottom w:val="none" w:sz="0" w:space="0" w:color="auto"/>
            <w:right w:val="none" w:sz="0" w:space="0" w:color="auto"/>
          </w:divBdr>
        </w:div>
      </w:divsChild>
    </w:div>
    <w:div w:id="1670601982">
      <w:bodyDiv w:val="1"/>
      <w:marLeft w:val="0"/>
      <w:marRight w:val="0"/>
      <w:marTop w:val="0"/>
      <w:marBottom w:val="0"/>
      <w:divBdr>
        <w:top w:val="none" w:sz="0" w:space="0" w:color="auto"/>
        <w:left w:val="none" w:sz="0" w:space="0" w:color="auto"/>
        <w:bottom w:val="none" w:sz="0" w:space="0" w:color="auto"/>
        <w:right w:val="none" w:sz="0" w:space="0" w:color="auto"/>
      </w:divBdr>
      <w:divsChild>
        <w:div w:id="2011175190">
          <w:marLeft w:val="0"/>
          <w:marRight w:val="0"/>
          <w:marTop w:val="0"/>
          <w:marBottom w:val="240"/>
          <w:divBdr>
            <w:top w:val="none" w:sz="0" w:space="0" w:color="auto"/>
            <w:left w:val="none" w:sz="0" w:space="0" w:color="auto"/>
            <w:bottom w:val="none" w:sz="0" w:space="0" w:color="auto"/>
            <w:right w:val="none" w:sz="0" w:space="0" w:color="auto"/>
          </w:divBdr>
        </w:div>
      </w:divsChild>
    </w:div>
    <w:div w:id="1712223959">
      <w:bodyDiv w:val="1"/>
      <w:marLeft w:val="0"/>
      <w:marRight w:val="0"/>
      <w:marTop w:val="0"/>
      <w:marBottom w:val="0"/>
      <w:divBdr>
        <w:top w:val="none" w:sz="0" w:space="0" w:color="auto"/>
        <w:left w:val="none" w:sz="0" w:space="0" w:color="auto"/>
        <w:bottom w:val="none" w:sz="0" w:space="0" w:color="auto"/>
        <w:right w:val="none" w:sz="0" w:space="0" w:color="auto"/>
      </w:divBdr>
      <w:divsChild>
        <w:div w:id="1168011114">
          <w:marLeft w:val="0"/>
          <w:marRight w:val="0"/>
          <w:marTop w:val="0"/>
          <w:marBottom w:val="0"/>
          <w:divBdr>
            <w:top w:val="none" w:sz="0" w:space="0" w:color="auto"/>
            <w:left w:val="none" w:sz="0" w:space="0" w:color="auto"/>
            <w:bottom w:val="none" w:sz="0" w:space="0" w:color="auto"/>
            <w:right w:val="none" w:sz="0" w:space="0" w:color="auto"/>
          </w:divBdr>
          <w:divsChild>
            <w:div w:id="1704749862">
              <w:marLeft w:val="0"/>
              <w:marRight w:val="0"/>
              <w:marTop w:val="0"/>
              <w:marBottom w:val="0"/>
              <w:divBdr>
                <w:top w:val="none" w:sz="0" w:space="0" w:color="auto"/>
                <w:left w:val="none" w:sz="0" w:space="0" w:color="auto"/>
                <w:bottom w:val="none" w:sz="0" w:space="0" w:color="auto"/>
                <w:right w:val="none" w:sz="0" w:space="0" w:color="auto"/>
              </w:divBdr>
              <w:divsChild>
                <w:div w:id="1132746604">
                  <w:marLeft w:val="0"/>
                  <w:marRight w:val="0"/>
                  <w:marTop w:val="0"/>
                  <w:marBottom w:val="0"/>
                  <w:divBdr>
                    <w:top w:val="none" w:sz="0" w:space="0" w:color="auto"/>
                    <w:left w:val="none" w:sz="0" w:space="0" w:color="auto"/>
                    <w:bottom w:val="none" w:sz="0" w:space="0" w:color="auto"/>
                    <w:right w:val="none" w:sz="0" w:space="0" w:color="auto"/>
                  </w:divBdr>
                  <w:divsChild>
                    <w:div w:id="871307618">
                      <w:marLeft w:val="0"/>
                      <w:marRight w:val="0"/>
                      <w:marTop w:val="0"/>
                      <w:marBottom w:val="0"/>
                      <w:divBdr>
                        <w:top w:val="none" w:sz="0" w:space="0" w:color="auto"/>
                        <w:left w:val="none" w:sz="0" w:space="0" w:color="auto"/>
                        <w:bottom w:val="none" w:sz="0" w:space="0" w:color="auto"/>
                        <w:right w:val="none" w:sz="0" w:space="0" w:color="auto"/>
                      </w:divBdr>
                      <w:divsChild>
                        <w:div w:id="581573875">
                          <w:marLeft w:val="0"/>
                          <w:marRight w:val="0"/>
                          <w:marTop w:val="0"/>
                          <w:marBottom w:val="0"/>
                          <w:divBdr>
                            <w:top w:val="none" w:sz="0" w:space="0" w:color="auto"/>
                            <w:left w:val="none" w:sz="0" w:space="0" w:color="auto"/>
                            <w:bottom w:val="none" w:sz="0" w:space="0" w:color="auto"/>
                            <w:right w:val="none" w:sz="0" w:space="0" w:color="auto"/>
                          </w:divBdr>
                          <w:divsChild>
                            <w:div w:id="406848259">
                              <w:marLeft w:val="0"/>
                              <w:marRight w:val="0"/>
                              <w:marTop w:val="0"/>
                              <w:marBottom w:val="0"/>
                              <w:divBdr>
                                <w:top w:val="none" w:sz="0" w:space="0" w:color="auto"/>
                                <w:left w:val="none" w:sz="0" w:space="0" w:color="auto"/>
                                <w:bottom w:val="none" w:sz="0" w:space="0" w:color="auto"/>
                                <w:right w:val="none" w:sz="0" w:space="0" w:color="auto"/>
                              </w:divBdr>
                              <w:divsChild>
                                <w:div w:id="1184784902">
                                  <w:marLeft w:val="0"/>
                                  <w:marRight w:val="0"/>
                                  <w:marTop w:val="0"/>
                                  <w:marBottom w:val="0"/>
                                  <w:divBdr>
                                    <w:top w:val="none" w:sz="0" w:space="0" w:color="auto"/>
                                    <w:left w:val="none" w:sz="0" w:space="0" w:color="auto"/>
                                    <w:bottom w:val="none" w:sz="0" w:space="0" w:color="auto"/>
                                    <w:right w:val="none" w:sz="0" w:space="0" w:color="auto"/>
                                  </w:divBdr>
                                  <w:divsChild>
                                    <w:div w:id="185507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1250920">
      <w:bodyDiv w:val="1"/>
      <w:marLeft w:val="0"/>
      <w:marRight w:val="0"/>
      <w:marTop w:val="0"/>
      <w:marBottom w:val="0"/>
      <w:divBdr>
        <w:top w:val="none" w:sz="0" w:space="0" w:color="auto"/>
        <w:left w:val="none" w:sz="0" w:space="0" w:color="auto"/>
        <w:bottom w:val="none" w:sz="0" w:space="0" w:color="auto"/>
        <w:right w:val="none" w:sz="0" w:space="0" w:color="auto"/>
      </w:divBdr>
      <w:divsChild>
        <w:div w:id="1547571070">
          <w:marLeft w:val="0"/>
          <w:marRight w:val="0"/>
          <w:marTop w:val="0"/>
          <w:marBottom w:val="240"/>
          <w:divBdr>
            <w:top w:val="none" w:sz="0" w:space="0" w:color="auto"/>
            <w:left w:val="none" w:sz="0" w:space="0" w:color="auto"/>
            <w:bottom w:val="none" w:sz="0" w:space="0" w:color="auto"/>
            <w:right w:val="none" w:sz="0" w:space="0" w:color="auto"/>
          </w:divBdr>
        </w:div>
      </w:divsChild>
    </w:div>
    <w:div w:id="1977418131">
      <w:bodyDiv w:val="1"/>
      <w:marLeft w:val="0"/>
      <w:marRight w:val="0"/>
      <w:marTop w:val="0"/>
      <w:marBottom w:val="0"/>
      <w:divBdr>
        <w:top w:val="none" w:sz="0" w:space="0" w:color="auto"/>
        <w:left w:val="none" w:sz="0" w:space="0" w:color="auto"/>
        <w:bottom w:val="none" w:sz="0" w:space="0" w:color="auto"/>
        <w:right w:val="none" w:sz="0" w:space="0" w:color="auto"/>
      </w:divBdr>
      <w:divsChild>
        <w:div w:id="1414938011">
          <w:marLeft w:val="0"/>
          <w:marRight w:val="0"/>
          <w:marTop w:val="0"/>
          <w:marBottom w:val="0"/>
          <w:divBdr>
            <w:top w:val="none" w:sz="0" w:space="0" w:color="auto"/>
            <w:left w:val="none" w:sz="0" w:space="0" w:color="auto"/>
            <w:bottom w:val="none" w:sz="0" w:space="0" w:color="auto"/>
            <w:right w:val="none" w:sz="0" w:space="0" w:color="auto"/>
          </w:divBdr>
          <w:divsChild>
            <w:div w:id="1785880955">
              <w:marLeft w:val="0"/>
              <w:marRight w:val="0"/>
              <w:marTop w:val="0"/>
              <w:marBottom w:val="0"/>
              <w:divBdr>
                <w:top w:val="none" w:sz="0" w:space="0" w:color="auto"/>
                <w:left w:val="none" w:sz="0" w:space="0" w:color="auto"/>
                <w:bottom w:val="none" w:sz="0" w:space="0" w:color="auto"/>
                <w:right w:val="none" w:sz="0" w:space="0" w:color="auto"/>
              </w:divBdr>
              <w:divsChild>
                <w:div w:id="1638536196">
                  <w:marLeft w:val="0"/>
                  <w:marRight w:val="0"/>
                  <w:marTop w:val="0"/>
                  <w:marBottom w:val="0"/>
                  <w:divBdr>
                    <w:top w:val="none" w:sz="0" w:space="0" w:color="auto"/>
                    <w:left w:val="none" w:sz="0" w:space="0" w:color="auto"/>
                    <w:bottom w:val="none" w:sz="0" w:space="0" w:color="auto"/>
                    <w:right w:val="none" w:sz="0" w:space="0" w:color="auto"/>
                  </w:divBdr>
                  <w:divsChild>
                    <w:div w:id="1559777628">
                      <w:marLeft w:val="0"/>
                      <w:marRight w:val="0"/>
                      <w:marTop w:val="0"/>
                      <w:marBottom w:val="0"/>
                      <w:divBdr>
                        <w:top w:val="none" w:sz="0" w:space="0" w:color="auto"/>
                        <w:left w:val="none" w:sz="0" w:space="0" w:color="auto"/>
                        <w:bottom w:val="none" w:sz="0" w:space="0" w:color="auto"/>
                        <w:right w:val="none" w:sz="0" w:space="0" w:color="auto"/>
                      </w:divBdr>
                      <w:divsChild>
                        <w:div w:id="2064869195">
                          <w:marLeft w:val="0"/>
                          <w:marRight w:val="0"/>
                          <w:marTop w:val="0"/>
                          <w:marBottom w:val="0"/>
                          <w:divBdr>
                            <w:top w:val="none" w:sz="0" w:space="0" w:color="auto"/>
                            <w:left w:val="none" w:sz="0" w:space="0" w:color="auto"/>
                            <w:bottom w:val="none" w:sz="0" w:space="0" w:color="auto"/>
                            <w:right w:val="none" w:sz="0" w:space="0" w:color="auto"/>
                          </w:divBdr>
                          <w:divsChild>
                            <w:div w:id="939917649">
                              <w:marLeft w:val="0"/>
                              <w:marRight w:val="0"/>
                              <w:marTop w:val="0"/>
                              <w:marBottom w:val="0"/>
                              <w:divBdr>
                                <w:top w:val="none" w:sz="0" w:space="0" w:color="auto"/>
                                <w:left w:val="none" w:sz="0" w:space="0" w:color="auto"/>
                                <w:bottom w:val="none" w:sz="0" w:space="0" w:color="auto"/>
                                <w:right w:val="none" w:sz="0" w:space="0" w:color="auto"/>
                              </w:divBdr>
                              <w:divsChild>
                                <w:div w:id="1192911870">
                                  <w:marLeft w:val="0"/>
                                  <w:marRight w:val="0"/>
                                  <w:marTop w:val="0"/>
                                  <w:marBottom w:val="0"/>
                                  <w:divBdr>
                                    <w:top w:val="none" w:sz="0" w:space="0" w:color="auto"/>
                                    <w:left w:val="none" w:sz="0" w:space="0" w:color="auto"/>
                                    <w:bottom w:val="none" w:sz="0" w:space="0" w:color="auto"/>
                                    <w:right w:val="none" w:sz="0" w:space="0" w:color="auto"/>
                                  </w:divBdr>
                                  <w:divsChild>
                                    <w:div w:id="187040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1760265">
      <w:bodyDiv w:val="1"/>
      <w:marLeft w:val="0"/>
      <w:marRight w:val="0"/>
      <w:marTop w:val="0"/>
      <w:marBottom w:val="0"/>
      <w:divBdr>
        <w:top w:val="none" w:sz="0" w:space="0" w:color="auto"/>
        <w:left w:val="none" w:sz="0" w:space="0" w:color="auto"/>
        <w:bottom w:val="none" w:sz="0" w:space="0" w:color="auto"/>
        <w:right w:val="none" w:sz="0" w:space="0" w:color="auto"/>
      </w:divBdr>
      <w:divsChild>
        <w:div w:id="770853793">
          <w:marLeft w:val="0"/>
          <w:marRight w:val="0"/>
          <w:marTop w:val="0"/>
          <w:marBottom w:val="240"/>
          <w:divBdr>
            <w:top w:val="none" w:sz="0" w:space="0" w:color="auto"/>
            <w:left w:val="none" w:sz="0" w:space="0" w:color="auto"/>
            <w:bottom w:val="none" w:sz="0" w:space="0" w:color="auto"/>
            <w:right w:val="none" w:sz="0" w:space="0" w:color="auto"/>
          </w:divBdr>
        </w:div>
      </w:divsChild>
    </w:div>
    <w:div w:id="2088528667">
      <w:bodyDiv w:val="1"/>
      <w:marLeft w:val="0"/>
      <w:marRight w:val="0"/>
      <w:marTop w:val="0"/>
      <w:marBottom w:val="0"/>
      <w:divBdr>
        <w:top w:val="none" w:sz="0" w:space="0" w:color="auto"/>
        <w:left w:val="none" w:sz="0" w:space="0" w:color="auto"/>
        <w:bottom w:val="none" w:sz="0" w:space="0" w:color="auto"/>
        <w:right w:val="none" w:sz="0" w:space="0" w:color="auto"/>
      </w:divBdr>
      <w:divsChild>
        <w:div w:id="1531797057">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www.legislation.gov.uk/ukpga/2018/12/conten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cpc-uk.org/standards/meeting-our-standards/reflective-practice/what-is-reflection/" TargetMode="External"/><Relationship Id="rId17" Type="http://schemas.openxmlformats.org/officeDocument/2006/relationships/hyperlink" Target="https://www.nice.org.uk/guidance/ng197" TargetMode="External"/><Relationship Id="rId2" Type="http://schemas.openxmlformats.org/officeDocument/2006/relationships/numbering" Target="numbering.xml"/><Relationship Id="rId16" Type="http://schemas.openxmlformats.org/officeDocument/2006/relationships/hyperlink" Target="https://www.nice.org.uk/guidance/ng10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standards/standards-of-conduct-performance-and-ethics/" TargetMode="External"/><Relationship Id="rId5" Type="http://schemas.openxmlformats.org/officeDocument/2006/relationships/webSettings" Target="webSettings.xml"/><Relationship Id="rId15" Type="http://schemas.openxmlformats.org/officeDocument/2006/relationships/hyperlink" Target="https://www.nice.org.uk/guidance/ng97" TargetMode="External"/><Relationship Id="rId10" Type="http://schemas.openxmlformats.org/officeDocument/2006/relationships/hyperlink" Target="https://www.gov.uk/government/publications/hospital-discharge-and-community-support-guida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ublications/care-act-statutory-guidance" TargetMode="External"/><Relationship Id="rId14" Type="http://schemas.openxmlformats.org/officeDocument/2006/relationships/hyperlink" Target="https://www.legislation.gov.uk/ukpg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96705-7015-4BC9-8C76-2F966A856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3186</Words>
  <Characters>18162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bernice afriyie</cp:lastModifiedBy>
  <cp:revision>3</cp:revision>
  <dcterms:created xsi:type="dcterms:W3CDTF">2026-07-23T15:20:00Z</dcterms:created>
  <dcterms:modified xsi:type="dcterms:W3CDTF">2026-07-23T15:20:00Z</dcterms:modified>
</cp:coreProperties>
</file>