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ECF74" w14:textId="64DCEA8F" w:rsidR="00940633" w:rsidRDefault="00940633">
      <w:pPr>
        <w:rPr>
          <w:b/>
          <w:bCs/>
        </w:rPr>
      </w:pPr>
      <w:r>
        <w:rPr>
          <w:b/>
          <w:bCs/>
        </w:rPr>
        <w:t>QUESTION 1</w:t>
      </w:r>
    </w:p>
    <w:p w14:paraId="39E8DCC4" w14:textId="3976AB1A" w:rsidR="008A0A89" w:rsidRPr="00A86E09" w:rsidRDefault="008A0A89">
      <w:pPr>
        <w:rPr>
          <w:b/>
          <w:bCs/>
        </w:rPr>
      </w:pPr>
      <w:r w:rsidRPr="00A86E09">
        <w:rPr>
          <w:b/>
          <w:bCs/>
        </w:rPr>
        <w:t>Why might some groups be unwilling to engage with the police, and to what extent do the police have a role in creating and maintaining community cohesion?</w:t>
      </w:r>
    </w:p>
    <w:p w14:paraId="295AC837" w14:textId="0EBD7011" w:rsidR="002517E8" w:rsidRDefault="002517E8">
      <w:r>
        <w:t>Over the last fourteen years, police forces in the UK have undergone a significant cut to their funding and resources (HMIC, 2017a). This has meant that they have had to develop more efficient ways of improving the service they provide to the public</w:t>
      </w:r>
      <w:r w:rsidR="00C2307C">
        <w:t>.</w:t>
      </w:r>
      <w:r>
        <w:t xml:space="preserve"> One of the </w:t>
      </w:r>
      <w:proofErr w:type="gramStart"/>
      <w:r>
        <w:t>key ways</w:t>
      </w:r>
      <w:proofErr w:type="gramEnd"/>
      <w:r>
        <w:t xml:space="preserve"> in which they have sought to do this is to try to improve community engagement through increasing the social capital in their communities (</w:t>
      </w:r>
      <w:r w:rsidR="00C73D09">
        <w:t>Lockey, Graham, Redman and Zheng, 2019</w:t>
      </w:r>
      <w:r>
        <w:t>).</w:t>
      </w:r>
      <w:r w:rsidR="000C3D92">
        <w:t xml:space="preserve"> </w:t>
      </w:r>
      <w:r>
        <w:t>Myhill (2012) defines community engagement as “the process of enabling the participation of citizens and communities in policing at their chosen level.” Lockey</w:t>
      </w:r>
      <w:r w:rsidR="00C73D09">
        <w:t xml:space="preserve">, Graham, Redman and Zheng </w:t>
      </w:r>
      <w:r>
        <w:t>argue</w:t>
      </w:r>
      <w:r w:rsidR="00C73D09">
        <w:t xml:space="preserve"> </w:t>
      </w:r>
      <w:r>
        <w:t>that the efforts of the police to engage their local communities enhance public perceptions of the service and that this is more effective than the more traditional reactive approach to policing in the UK. (Lockey</w:t>
      </w:r>
      <w:r w:rsidR="00C73D09">
        <w:t>, Graham, Redman, Zheng, 2019</w:t>
      </w:r>
      <w:r>
        <w:t xml:space="preserve">). According to HMIC, this has led police forces across the country to prioritise community engagement as a vital part of service delivery. (HMIC, 2017sa). </w:t>
      </w:r>
      <w:r w:rsidR="000C3D92">
        <w:t>Social capital is defined as “the goodwill available to individuals or groups [the source of which] lies in the structure and content of the actor’s social relations.” (Adler and Kwon, 2002) In other words, social capital is a measure of the strength and nature of communication among people within a social system (</w:t>
      </w:r>
      <w:r w:rsidR="00C73D09">
        <w:t xml:space="preserve">Lockey, Graham, </w:t>
      </w:r>
      <w:proofErr w:type="gramStart"/>
      <w:r w:rsidR="00C73D09">
        <w:t>Redman</w:t>
      </w:r>
      <w:proofErr w:type="gramEnd"/>
      <w:r w:rsidR="00C73D09">
        <w:t xml:space="preserve"> and Zheng, 2019). </w:t>
      </w:r>
    </w:p>
    <w:p w14:paraId="34BB06E5" w14:textId="603929B8" w:rsidR="00D2593F" w:rsidRDefault="006E1058">
      <w:r>
        <w:t>The benefits of the public engaging positively with the police a</w:t>
      </w:r>
      <w:r w:rsidR="000C3D92">
        <w:t>nd developing this social capital a</w:t>
      </w:r>
      <w:r>
        <w:t xml:space="preserve">re manifold, not least because a willing public can act as </w:t>
      </w:r>
      <w:r w:rsidR="00694A40">
        <w:t>t</w:t>
      </w:r>
      <w:r>
        <w:t xml:space="preserve">he ‘eyes and ears’ of the force, boosting crime prevention and reduction, and gathering information which can be used as intelligence. However, </w:t>
      </w:r>
      <w:r>
        <w:rPr>
          <w:vanish/>
        </w:rPr>
        <w:t>oHo</w:t>
      </w:r>
      <w:r w:rsidR="00696C69">
        <w:t xml:space="preserve"> some community groups are unwilling to engage with the police</w:t>
      </w:r>
      <w:r>
        <w:t xml:space="preserve">, and </w:t>
      </w:r>
      <w:r w:rsidR="00696C69">
        <w:t xml:space="preserve">this </w:t>
      </w:r>
      <w:r>
        <w:t xml:space="preserve">seems </w:t>
      </w:r>
      <w:r w:rsidR="00696C69">
        <w:t>intrinsically linked to levels of trust</w:t>
      </w:r>
      <w:r w:rsidR="001B4525">
        <w:t xml:space="preserve"> </w:t>
      </w:r>
      <w:r w:rsidR="00696C69">
        <w:t xml:space="preserve">and confidence in the service. </w:t>
      </w:r>
      <w:r w:rsidR="00BA5A78" w:rsidRPr="001B4525">
        <w:t>Evidence</w:t>
      </w:r>
      <w:r w:rsidR="00BA5A78">
        <w:t xml:space="preserve"> suggests that</w:t>
      </w:r>
      <w:r w:rsidR="006A4429">
        <w:t xml:space="preserve"> general</w:t>
      </w:r>
      <w:r w:rsidR="00BA5A78">
        <w:t xml:space="preserve"> levels of trust and confidence in the police in England and Wales ha</w:t>
      </w:r>
      <w:r w:rsidR="00112847">
        <w:t>ve</w:t>
      </w:r>
      <w:r w:rsidR="00BA5A78">
        <w:t xml:space="preserve"> fallen significantly in recent years</w:t>
      </w:r>
      <w:r w:rsidR="001B4525">
        <w:t xml:space="preserve">. </w:t>
      </w:r>
      <w:r w:rsidR="00821334">
        <w:t xml:space="preserve"> The Crime Survey of England and Wales (CSEW) found that confidence in the police declined from 78% to 69% between 2017/18 and 2021/22. (UK Parliament Post, 2023).  </w:t>
      </w:r>
      <w:r w:rsidR="00BA5A78">
        <w:t>Furthermore, research has identified that this trust and confidence varies both by gender and by ethnicity. (UK Parliament Post, 2023). For example, in 2020, people from Asian (77%), White (74%) and Other ethnic groups (75%) had greater confidence in the police than Black people (64%)</w:t>
      </w:r>
      <w:r w:rsidR="00696C69">
        <w:t xml:space="preserve">, while only 39% of Black Caribbean background thought their local force was doing a good job. </w:t>
      </w:r>
      <w:r w:rsidR="006A4429">
        <w:t xml:space="preserve">This figure is even lower among Black Caribbean children and teenagers, with 34% saying they trust the police. </w:t>
      </w:r>
      <w:r w:rsidR="00821334">
        <w:t>In addition</w:t>
      </w:r>
      <w:r w:rsidR="00BA5A78">
        <w:t xml:space="preserve">, since the murder of Sarah Everard, 47% of women have reported decreased levels of trust in the police (UK Parliament Post, 2023).  </w:t>
      </w:r>
    </w:p>
    <w:p w14:paraId="33815C96" w14:textId="503BEABC" w:rsidR="006E5552" w:rsidRDefault="00821334" w:rsidP="006E5552">
      <w:r>
        <w:t xml:space="preserve">Given that trust and confidence in the police is lower in these groups than in others, it stands to reason that people from </w:t>
      </w:r>
      <w:r w:rsidR="00696C69">
        <w:t>within t</w:t>
      </w:r>
      <w:r>
        <w:t>hese social groups may be less inclined t</w:t>
      </w:r>
      <w:r w:rsidR="00652EC5">
        <w:t xml:space="preserve">o </w:t>
      </w:r>
      <w:r>
        <w:t xml:space="preserve">co-operate with the police. </w:t>
      </w:r>
      <w:r w:rsidR="00696C69">
        <w:t>Yet, very often, the people who are most anti-police are exactly the people the police need to work alongside</w:t>
      </w:r>
      <w:r w:rsidR="006E1058">
        <w:t xml:space="preserve"> </w:t>
      </w:r>
      <w:proofErr w:type="gramStart"/>
      <w:r w:rsidR="006E1058">
        <w:t>in order to</w:t>
      </w:r>
      <w:proofErr w:type="gramEnd"/>
      <w:r w:rsidR="006E1058">
        <w:t xml:space="preserve"> prevent crime and solve it</w:t>
      </w:r>
      <w:r w:rsidR="00696C69">
        <w:t xml:space="preserve"> (Cosgrove and Rams</w:t>
      </w:r>
      <w:r w:rsidR="00E77D12">
        <w:t xml:space="preserve">haw, </w:t>
      </w:r>
      <w:r w:rsidR="00696C69">
        <w:t xml:space="preserve">2013). </w:t>
      </w:r>
      <w:r w:rsidR="006E5552">
        <w:t xml:space="preserve">Failure to work with </w:t>
      </w:r>
      <w:r w:rsidR="00112847">
        <w:t xml:space="preserve">apathetic or disaffected community </w:t>
      </w:r>
      <w:r w:rsidR="006E5552">
        <w:t xml:space="preserve">groups can </w:t>
      </w:r>
      <w:r w:rsidR="006E1058">
        <w:t xml:space="preserve">also </w:t>
      </w:r>
      <w:r w:rsidR="006E5552">
        <w:t xml:space="preserve">have disastrous consequences, as seen in the Brixton Riots during the 1980s and </w:t>
      </w:r>
      <w:proofErr w:type="gramStart"/>
      <w:r w:rsidR="006E5552">
        <w:t>a number of</w:t>
      </w:r>
      <w:proofErr w:type="gramEnd"/>
      <w:r w:rsidR="006E5552">
        <w:t xml:space="preserve"> major disturbances in the North of England in 2001, all of which led to policing reforms aimed at improving relations with the public. </w:t>
      </w:r>
    </w:p>
    <w:p w14:paraId="3088EA8F" w14:textId="40838CE7" w:rsidR="00C67743" w:rsidRDefault="000C3D92" w:rsidP="006E5552">
      <w:r>
        <w:t>According to Lister, Platts-Fowler and Staniforth, (</w:t>
      </w:r>
      <w:r w:rsidR="0078307A">
        <w:t xml:space="preserve">2014) </w:t>
      </w:r>
      <w:r>
        <w:t>barriers</w:t>
      </w:r>
      <w:r w:rsidR="006A4429">
        <w:t xml:space="preserve"> to engaging with the police are low levels of education and poor English. Lack of time, a belief that their involvement with the police will not make any difference and a lack of awareness of the ways in which they can get involved are other factors which contribute to some groups’ reluctance to engage with the </w:t>
      </w:r>
      <w:r w:rsidR="00652EC5">
        <w:t>service</w:t>
      </w:r>
      <w:r w:rsidR="006A4429">
        <w:t>. In addition, some communities have a lack of facilities where face-to-face interaction with the service can occur</w:t>
      </w:r>
      <w:r w:rsidR="003F12CA">
        <w:t xml:space="preserve"> (such </w:t>
      </w:r>
      <w:r w:rsidR="003F12CA">
        <w:lastRenderedPageBreak/>
        <w:t xml:space="preserve">as schools, doctors’ </w:t>
      </w:r>
      <w:proofErr w:type="gramStart"/>
      <w:r w:rsidR="003F12CA">
        <w:t>surgeries</w:t>
      </w:r>
      <w:proofErr w:type="gramEnd"/>
      <w:r w:rsidR="003F12CA">
        <w:t xml:space="preserve"> and community centres) </w:t>
      </w:r>
      <w:r w:rsidR="006A4429">
        <w:t xml:space="preserve">while lengthy bureaucratic processes also hamper efforts to engage certain community groups. </w:t>
      </w:r>
      <w:r w:rsidR="00C67743">
        <w:t>High levels of poverty, unemployment and deprivation, high population turnover and a low standard of public health in the area are also factors which negatively affect community cohesion</w:t>
      </w:r>
      <w:r w:rsidR="001A0108">
        <w:t>.</w:t>
      </w:r>
      <w:r w:rsidR="0078307A">
        <w:t xml:space="preserve"> (Lister, Platts-Fowler, Staniforth, 2014). </w:t>
      </w:r>
    </w:p>
    <w:p w14:paraId="43982747" w14:textId="6F37A029" w:rsidR="006C4ECF" w:rsidRDefault="0078307A" w:rsidP="006C4ECF">
      <w:pPr>
        <w:spacing w:before="240"/>
      </w:pPr>
      <w:r>
        <w:t>However, despite these barriers, the importance of creating and maintaining engagement in the community is vital. Without it, the traditional precept of policing by consent is undermined. (Lockey</w:t>
      </w:r>
      <w:r w:rsidR="00C73D09">
        <w:t xml:space="preserve">, Graham, </w:t>
      </w:r>
      <w:proofErr w:type="gramStart"/>
      <w:r w:rsidR="00C73D09">
        <w:t>Redman</w:t>
      </w:r>
      <w:proofErr w:type="gramEnd"/>
      <w:r w:rsidR="00C73D09">
        <w:t xml:space="preserve"> and Zheng</w:t>
      </w:r>
      <w:r>
        <w:t xml:space="preserve">, 2019). </w:t>
      </w:r>
      <w:r w:rsidR="006C4ECF">
        <w:t xml:space="preserve">Fisher and Richie (2015) conclude that increasing community participation through increasing social capital is the way to overcome many of these barriers. Lockey </w:t>
      </w:r>
      <w:r w:rsidR="00C73D09">
        <w:t xml:space="preserve">et al (2019) </w:t>
      </w:r>
      <w:r w:rsidR="006C4ECF">
        <w:t xml:space="preserve">also claim that there is a correlation between increased levels of social capital and improved levels of trust in the police, making community groups far more likely to engage voluntarily with the service. This is backed up by Myhill (2012) whose review of the literature on this topic found that the more engaged the community is with the work of the police, the less they worry about anti-social behaviour. (Myhill, 2012). </w:t>
      </w:r>
    </w:p>
    <w:p w14:paraId="553927EA" w14:textId="11DF326F" w:rsidR="006C4ECF" w:rsidRPr="00065856" w:rsidRDefault="006C4ECF" w:rsidP="00C67743">
      <w:pPr>
        <w:rPr>
          <w:vertAlign w:val="subscript"/>
        </w:rPr>
      </w:pPr>
      <w:r>
        <w:t xml:space="preserve">To test this theory, Lockey </w:t>
      </w:r>
      <w:r w:rsidR="00C73D09">
        <w:t>et al (2019)</w:t>
      </w:r>
      <w:r>
        <w:t xml:space="preserve"> studied an intervention programme carried out by Durham Constabulary in which </w:t>
      </w:r>
      <w:r w:rsidR="00065856">
        <w:t xml:space="preserve">there was an increased focus on community / police activities over a </w:t>
      </w:r>
      <w:proofErr w:type="gramStart"/>
      <w:r w:rsidR="00065856">
        <w:t>nine month</w:t>
      </w:r>
      <w:proofErr w:type="gramEnd"/>
      <w:r w:rsidR="00065856">
        <w:t xml:space="preserve"> period. These activities included football games, open days and leaflets aimed at promoting police-community engagement. Focus groups and social media platforms were also used to gauge the community’s feelings towards issues that concerned them (such as anti-social behaviour). Furthermore, the local community was consulted on how the local policing budget should be prioritised in their area. Ideas for improving the local area were discussed and eventually implemented. </w:t>
      </w:r>
      <w:r w:rsidR="00C73D09">
        <w:t>The research found</w:t>
      </w:r>
      <w:r w:rsidR="00065856">
        <w:t xml:space="preserve"> that in the community area where intervention had taken place, social capital had increased significantly as a result, proving their theory that increased social capital is closely linked to more positive perceptions of the police. Furthermore, they noticed that anti-social behaviour in the area in which interventions had taken place had reduced by 44.7%. (Lockey</w:t>
      </w:r>
      <w:r w:rsidR="00C73D09">
        <w:t>, Graham, Redman, Zheng, 2019</w:t>
      </w:r>
      <w:r w:rsidR="00065856">
        <w:t xml:space="preserve">). This supports the idea that community engagement increases social capital. Given the nature of the activities taking place during this period, it is likely that people were communicating more effectively and felt a sense of community cohesion </w:t>
      </w:r>
      <w:proofErr w:type="gramStart"/>
      <w:r w:rsidR="00065856">
        <w:t>as a result of</w:t>
      </w:r>
      <w:proofErr w:type="gramEnd"/>
      <w:r w:rsidR="00065856">
        <w:t xml:space="preserve"> shared positive experiences. Furthermore, the reduction in anti-social behaviour reflects Myhill’s study of 2012 which concludes that</w:t>
      </w:r>
      <w:r w:rsidR="00C73D09">
        <w:t xml:space="preserve"> an</w:t>
      </w:r>
      <w:r w:rsidR="00065856">
        <w:t xml:space="preserve"> increas</w:t>
      </w:r>
      <w:r w:rsidR="00C73D09">
        <w:t xml:space="preserve">e in </w:t>
      </w:r>
      <w:r w:rsidR="00065856">
        <w:t>c</w:t>
      </w:r>
      <w:r w:rsidR="00C73D09">
        <w:t xml:space="preserve">ommunity engagement can directly reduce this type of crime. (Myhill, 2012). </w:t>
      </w:r>
    </w:p>
    <w:p w14:paraId="4EE132BE" w14:textId="3BB7F810" w:rsidR="00D770DA" w:rsidRDefault="0078307A" w:rsidP="00C67743">
      <w:r>
        <w:t xml:space="preserve"> </w:t>
      </w:r>
      <w:r w:rsidR="00C73D09">
        <w:t>In terms of building community cohesion, it</w:t>
      </w:r>
      <w:r w:rsidR="00AC3BD8">
        <w:t xml:space="preserve"> is also vital that police officers respect difference, </w:t>
      </w:r>
      <w:proofErr w:type="gramStart"/>
      <w:r w:rsidR="00AC3BD8">
        <w:t>adapt their method of policing where necessary and act in a professional manner at all times</w:t>
      </w:r>
      <w:proofErr w:type="gramEnd"/>
      <w:r w:rsidR="00AC3BD8">
        <w:t xml:space="preserve">. Officers should take the time to establish what the problems are in their local </w:t>
      </w:r>
      <w:proofErr w:type="gramStart"/>
      <w:r w:rsidR="00AC3BD8">
        <w:t>area, and</w:t>
      </w:r>
      <w:proofErr w:type="gramEnd"/>
      <w:r w:rsidR="00AC3BD8">
        <w:t xml:space="preserve"> should consider what could be done to bring diverse groups of people together. </w:t>
      </w:r>
      <w:r w:rsidR="00D770DA">
        <w:t>Working closely with local schools and colleges to deliver messages about diversity and inclusion is another vital part of the police role, while participating in activities organised by the voluntary sector (e.g. community days / citizen</w:t>
      </w:r>
      <w:r w:rsidR="001A0108">
        <w:t>ship</w:t>
      </w:r>
      <w:r w:rsidR="00D770DA">
        <w:t xml:space="preserve"> ceremonies) can help to ensure that the police are viewed positively by </w:t>
      </w:r>
      <w:r w:rsidR="00C73D09">
        <w:t>g</w:t>
      </w:r>
      <w:r w:rsidR="00D770DA">
        <w:t xml:space="preserve">roups </w:t>
      </w:r>
      <w:r w:rsidR="00C73D09">
        <w:t xml:space="preserve">who are often reluctant to engage with the service </w:t>
      </w:r>
      <w:r w:rsidR="00D770DA">
        <w:t xml:space="preserve">within their area. </w:t>
      </w:r>
      <w:r w:rsidR="00652EC5">
        <w:t>(NPIA, 2021)</w:t>
      </w:r>
    </w:p>
    <w:p w14:paraId="0A831AD0" w14:textId="4AD35F1C" w:rsidR="00C67743" w:rsidRDefault="00B03C5F" w:rsidP="00D44E86">
      <w:r>
        <w:t>For communities in which there is a low level of trust in the police themselves, the service can take proactive steps to address this issue</w:t>
      </w:r>
      <w:r w:rsidR="00C73D09">
        <w:t xml:space="preserve"> and thus improve social capital and community cohesion.</w:t>
      </w:r>
      <w:r w:rsidR="001A0108">
        <w:t xml:space="preserve"> The introduction of Neighbourhood Policing Teams in 2005 was a key step in broaching the police-public </w:t>
      </w:r>
      <w:proofErr w:type="gramStart"/>
      <w:r w:rsidR="001A0108">
        <w:t>divide, and</w:t>
      </w:r>
      <w:proofErr w:type="gramEnd"/>
      <w:r w:rsidR="001A0108">
        <w:t xml:space="preserve"> was described as a ‘powerful force for protecting the vulnerable and tackling petty crime and anti-social behaviour’ by HMIC in 2017. </w:t>
      </w:r>
      <w:r>
        <w:t xml:space="preserve"> </w:t>
      </w:r>
      <w:r w:rsidR="00C73D09">
        <w:t xml:space="preserve">(HMIC, 2017). </w:t>
      </w:r>
      <w:r w:rsidR="001A0108">
        <w:t xml:space="preserve">To improve community cohesion, </w:t>
      </w:r>
      <w:r>
        <w:t xml:space="preserve">neighbourhood policing teams can meet with </w:t>
      </w:r>
      <w:r w:rsidR="001A0108">
        <w:t xml:space="preserve">representatives of minority groups </w:t>
      </w:r>
      <w:r>
        <w:t xml:space="preserve">to </w:t>
      </w:r>
      <w:r w:rsidR="001A0108">
        <w:t xml:space="preserve">listen to their concerns, thus allowing trust to develop between them. Collaborative approaches with voluntary </w:t>
      </w:r>
      <w:r w:rsidR="001A0108">
        <w:lastRenderedPageBreak/>
        <w:t xml:space="preserve">groups to develop solutions to local problems is also a fundamental part of the police role. However, formal police-community meetings </w:t>
      </w:r>
      <w:r w:rsidR="00C67743">
        <w:t xml:space="preserve">are typically </w:t>
      </w:r>
      <w:r w:rsidR="001A0108">
        <w:t xml:space="preserve">poorly </w:t>
      </w:r>
      <w:r w:rsidR="00C67743">
        <w:t xml:space="preserve">attended </w:t>
      </w:r>
      <w:r w:rsidR="001A0108">
        <w:t>and those that do attend are usually</w:t>
      </w:r>
      <w:r w:rsidR="00C67743">
        <w:t xml:space="preserve"> white, </w:t>
      </w:r>
      <w:proofErr w:type="gramStart"/>
      <w:r w:rsidR="00C67743">
        <w:t>middle class</w:t>
      </w:r>
      <w:proofErr w:type="gramEnd"/>
      <w:r w:rsidR="00C67743">
        <w:t xml:space="preserve"> residents who are often already invested in local politics and community matters. (Bullock, 2017). </w:t>
      </w:r>
      <w:r w:rsidR="001A0108">
        <w:t>Therefore, ‘softer’ approaches to engaging the public are also of value, such as police attendance at school Open Days or sports events. A</w:t>
      </w:r>
      <w:r w:rsidR="00C67743">
        <w:t>nother local policing strategy</w:t>
      </w:r>
      <w:r w:rsidR="001A0108">
        <w:t xml:space="preserve"> aimed at building trust</w:t>
      </w:r>
      <w:r w:rsidR="00C67743">
        <w:t xml:space="preserve"> is that of regular foot-patrols</w:t>
      </w:r>
      <w:r w:rsidR="001A0108">
        <w:t>. Indeed,</w:t>
      </w:r>
      <w:r w:rsidR="00C67743">
        <w:t xml:space="preserve"> </w:t>
      </w:r>
      <w:r w:rsidR="001A0108">
        <w:t>i</w:t>
      </w:r>
      <w:r w:rsidR="00C67743">
        <w:t>ncreased visibility in neighbourhoods is a consistent request from the public</w:t>
      </w:r>
      <w:r w:rsidR="00D770DA">
        <w:t xml:space="preserve"> in IPSOS polls</w:t>
      </w:r>
      <w:r w:rsidR="00C67743">
        <w:t xml:space="preserve"> and is seen as the </w:t>
      </w:r>
      <w:r w:rsidR="00D770DA">
        <w:t>single factor</w:t>
      </w:r>
      <w:r w:rsidR="00C67743">
        <w:t xml:space="preserve"> most likely to reduce neighbourhood crime. (Police Foundation, 2023). </w:t>
      </w:r>
    </w:p>
    <w:p w14:paraId="01C4426F" w14:textId="165544B2" w:rsidR="00696C69" w:rsidRDefault="00D770DA">
      <w:r>
        <w:t>A further strategy aimed at engaging the public</w:t>
      </w:r>
      <w:r w:rsidR="00694A40">
        <w:t xml:space="preserve">, improving social </w:t>
      </w:r>
      <w:proofErr w:type="gramStart"/>
      <w:r w:rsidR="00694A40">
        <w:t>capital</w:t>
      </w:r>
      <w:proofErr w:type="gramEnd"/>
      <w:r w:rsidR="00694A40">
        <w:t xml:space="preserve"> and</w:t>
      </w:r>
      <w:r>
        <w:t xml:space="preserve"> reinforcing community cohesion is linked to the use of social media</w:t>
      </w:r>
      <w:r w:rsidR="00652EC5">
        <w:t>, which is</w:t>
      </w:r>
      <w:r w:rsidR="00112847">
        <w:t xml:space="preserve"> now routinely used to keep communities in touch with local policing priorities and initiatives, and h</w:t>
      </w:r>
      <w:r w:rsidR="00652EC5">
        <w:t>as</w:t>
      </w:r>
      <w:r w:rsidR="00112847">
        <w:t xml:space="preserve"> become an integral part of force communication strategies throughout </w:t>
      </w:r>
      <w:r w:rsidR="00652EC5">
        <w:t>the UK</w:t>
      </w:r>
      <w:r w:rsidR="00112847">
        <w:t xml:space="preserve"> (Blackstone’s, 2021).</w:t>
      </w:r>
      <w:r w:rsidR="00B03C5F">
        <w:t xml:space="preserve"> For many hard-to-reach groups, this is a powerful tool which </w:t>
      </w:r>
      <w:r>
        <w:t xml:space="preserve">may </w:t>
      </w:r>
      <w:r w:rsidR="00C67743">
        <w:t>help make people feel that their voice is being heard</w:t>
      </w:r>
      <w:r w:rsidR="00B03C5F">
        <w:t xml:space="preserve">. Although there need to be protocols in place to ensure social media channels are not abused, the use of platforms like Facebook and Twitter </w:t>
      </w:r>
      <w:r>
        <w:t xml:space="preserve">are intended to </w:t>
      </w:r>
      <w:r w:rsidR="00B03C5F">
        <w:t xml:space="preserve">make people feel more connected with the policing issues within their community. </w:t>
      </w:r>
      <w:r w:rsidR="00C67743">
        <w:t xml:space="preserve">Most police forces now have Twitter and Facebook accounts, which enable them to communicate information rapidly, </w:t>
      </w:r>
      <w:proofErr w:type="gramStart"/>
      <w:r w:rsidR="00C67743">
        <w:t>regularly</w:t>
      </w:r>
      <w:proofErr w:type="gramEnd"/>
      <w:r w:rsidR="00C67743">
        <w:t xml:space="preserve"> and cheaply in their local areas. In addition, an increasing number of individual officers regularly post material about their day-to-day police roles on social media, allowing members of their community to feel that the police service is accessible and relatable to them. However, the efficacy of social media use in improving meaningful communication with the public is still unclear, with research suggesting that it is primarily a one-way method of communication, used primarily to disseminate information rather than to stimulate rich and meaningful dialogue. Furthermore, the degree to which different forces (and different individual staff</w:t>
      </w:r>
      <w:r>
        <w:t xml:space="preserve"> in their corporate capacity</w:t>
      </w:r>
      <w:r w:rsidR="00C67743">
        <w:t xml:space="preserve">) use social media as a tool to promote community cohesion varies depending on the level of support offered by senior staff. (Bullock, 2017). Some senior officers view social media as a distraction, while others actively engage with it themselves. </w:t>
      </w:r>
      <w:r w:rsidR="001A0108">
        <w:t>Despite the reluctance of some senior officers to embrace the opportunities offered by such platforms, h</w:t>
      </w:r>
      <w:r>
        <w:t xml:space="preserve">owever, a good example of how social media can improve community cohesion became apparent during the London riots of 2011. Mark Payne, a Superintendent in West Midlands Police, used Twitter to reassure citizens that there was no riot activity taking place in his area, resulting in a calmer and less frightened community. His approach was later recommended by the Home Affairs Select Committee in their report following the riots (House of Commons Home Affairs Select Committee, 2011). </w:t>
      </w:r>
    </w:p>
    <w:p w14:paraId="5BFA44E7" w14:textId="04E9E90B" w:rsidR="00616FE7" w:rsidRDefault="00D770DA" w:rsidP="00C73D09">
      <w:r>
        <w:t xml:space="preserve">In conclusion, </w:t>
      </w:r>
      <w:r w:rsidR="001A0108">
        <w:t xml:space="preserve">there are many challenges in engaging some community groups with their local police force, and these challenges will be ongoing as communities become increasingly complex and diverse. Fear, cynicism and mistrust are just some of the barriers police </w:t>
      </w:r>
      <w:proofErr w:type="gramStart"/>
      <w:r w:rsidR="001A0108">
        <w:t>face</w:t>
      </w:r>
      <w:proofErr w:type="gramEnd"/>
      <w:r w:rsidR="001A0108">
        <w:t xml:space="preserve"> when trying to manage communities which are rapidly changing. However, as outlined in the examples above, there are several ways in which the police can help to foster </w:t>
      </w:r>
      <w:r w:rsidR="00616FE7">
        <w:t>community cohesion</w:t>
      </w:r>
      <w:r w:rsidR="006A7666">
        <w:t xml:space="preserve"> and increase social capital in</w:t>
      </w:r>
      <w:r w:rsidR="00616FE7">
        <w:t xml:space="preserve"> </w:t>
      </w:r>
      <w:r w:rsidR="001A0108">
        <w:t xml:space="preserve">their local communities, </w:t>
      </w:r>
      <w:r w:rsidR="00616FE7">
        <w:t>helping more people feel safe and secure in their neighbourhoods. The way in which officers interact with the public helps to foster respect for the law and encourages social responsibility, by which diverse community members take responsibility for their own actions and understand how they can impact the lives of others.</w:t>
      </w:r>
      <w:r w:rsidR="00A668E5">
        <w:t xml:space="preserve"> This leads to better prevention and reduction</w:t>
      </w:r>
      <w:r w:rsidR="004955F9">
        <w:t xml:space="preserve"> of crime</w:t>
      </w:r>
      <w:r w:rsidR="00A668E5">
        <w:t xml:space="preserve"> and reduces the fear of crime in local areas. </w:t>
      </w:r>
    </w:p>
    <w:p w14:paraId="0CDA0315" w14:textId="691EE1B0" w:rsidR="0008465B" w:rsidRDefault="00694A40">
      <w:r>
        <w:t>191</w:t>
      </w:r>
      <w:r w:rsidR="00C2307C">
        <w:t>8</w:t>
      </w:r>
      <w:r>
        <w:t xml:space="preserve"> words </w:t>
      </w:r>
    </w:p>
    <w:p w14:paraId="315F3351" w14:textId="77777777" w:rsidR="00476DA8" w:rsidRDefault="00476DA8"/>
    <w:p w14:paraId="3F6FF549" w14:textId="77777777" w:rsidR="00476DA8" w:rsidRDefault="00476DA8"/>
    <w:p w14:paraId="049CE406" w14:textId="53C86C9D" w:rsidR="00476DA8" w:rsidRDefault="00476DA8">
      <w:pPr>
        <w:rPr>
          <w:b/>
          <w:bCs/>
          <w:sz w:val="24"/>
          <w:szCs w:val="24"/>
        </w:rPr>
      </w:pPr>
      <w:r>
        <w:rPr>
          <w:b/>
          <w:bCs/>
          <w:sz w:val="24"/>
          <w:szCs w:val="24"/>
        </w:rPr>
        <w:lastRenderedPageBreak/>
        <w:t>QUESTION 2</w:t>
      </w:r>
    </w:p>
    <w:p w14:paraId="6FEB8571" w14:textId="60C51AAA" w:rsidR="0008465B" w:rsidRPr="00A86E09" w:rsidRDefault="0008465B">
      <w:pPr>
        <w:rPr>
          <w:b/>
          <w:bCs/>
          <w:sz w:val="24"/>
          <w:szCs w:val="24"/>
        </w:rPr>
      </w:pPr>
      <w:r w:rsidRPr="00A86E09">
        <w:rPr>
          <w:b/>
          <w:bCs/>
          <w:sz w:val="24"/>
          <w:szCs w:val="24"/>
        </w:rPr>
        <w:t>What factors or circumstances affect the police’s role within joint emergency services operations? How has the police’s role changed to reflect best practice learned from previous high-profile major incidents?</w:t>
      </w:r>
    </w:p>
    <w:p w14:paraId="75D905DF" w14:textId="5E2B475E" w:rsidR="000C1C4C" w:rsidRPr="00C5570E" w:rsidRDefault="00CD700B">
      <w:pPr>
        <w:rPr>
          <w:sz w:val="24"/>
          <w:szCs w:val="24"/>
        </w:rPr>
      </w:pPr>
      <w:r>
        <w:rPr>
          <w:sz w:val="24"/>
          <w:szCs w:val="24"/>
        </w:rPr>
        <w:t>This paper will</w:t>
      </w:r>
      <w:r w:rsidR="000C1C4C" w:rsidRPr="00C5570E">
        <w:rPr>
          <w:sz w:val="24"/>
          <w:szCs w:val="24"/>
        </w:rPr>
        <w:t xml:space="preserve"> discuss the role of the police in joint emergency operations with other responders. </w:t>
      </w:r>
      <w:r w:rsidR="008A4DA3">
        <w:rPr>
          <w:sz w:val="24"/>
          <w:szCs w:val="24"/>
        </w:rPr>
        <w:t xml:space="preserve">It </w:t>
      </w:r>
      <w:r>
        <w:rPr>
          <w:sz w:val="24"/>
          <w:szCs w:val="24"/>
        </w:rPr>
        <w:t xml:space="preserve">will </w:t>
      </w:r>
      <w:r w:rsidR="00073AFD">
        <w:rPr>
          <w:sz w:val="24"/>
          <w:szCs w:val="24"/>
        </w:rPr>
        <w:t xml:space="preserve">outline the </w:t>
      </w:r>
      <w:r w:rsidR="000C1C4C" w:rsidRPr="00C5570E">
        <w:rPr>
          <w:sz w:val="24"/>
          <w:szCs w:val="24"/>
        </w:rPr>
        <w:t>remit of the Joint Emergency Services Interoperability Programme (JESIP, 2013, 2016a, 2021) and how its Joint Doctrine (2013, 2016a, 2021) sets out</w:t>
      </w:r>
      <w:r w:rsidR="00073AFD">
        <w:rPr>
          <w:sz w:val="24"/>
          <w:szCs w:val="24"/>
        </w:rPr>
        <w:t xml:space="preserve"> </w:t>
      </w:r>
      <w:r w:rsidR="000C1C4C" w:rsidRPr="00C5570E">
        <w:rPr>
          <w:sz w:val="24"/>
          <w:szCs w:val="24"/>
        </w:rPr>
        <w:t xml:space="preserve">guidelines for emergency services on how they should work together in an emergency or major incident. </w:t>
      </w:r>
      <w:r>
        <w:rPr>
          <w:sz w:val="24"/>
          <w:szCs w:val="24"/>
        </w:rPr>
        <w:t xml:space="preserve">The </w:t>
      </w:r>
      <w:r w:rsidR="000C1C4C" w:rsidRPr="00C5570E">
        <w:rPr>
          <w:sz w:val="24"/>
          <w:szCs w:val="24"/>
        </w:rPr>
        <w:t xml:space="preserve">challenges </w:t>
      </w:r>
      <w:r w:rsidR="00D55696">
        <w:rPr>
          <w:sz w:val="24"/>
          <w:szCs w:val="24"/>
        </w:rPr>
        <w:t xml:space="preserve">faced by </w:t>
      </w:r>
      <w:r w:rsidR="00B46094">
        <w:rPr>
          <w:sz w:val="24"/>
          <w:szCs w:val="24"/>
        </w:rPr>
        <w:t xml:space="preserve">multi-team systems (MTS) </w:t>
      </w:r>
      <w:r w:rsidR="000C1C4C" w:rsidRPr="00C5570E">
        <w:rPr>
          <w:sz w:val="24"/>
          <w:szCs w:val="24"/>
        </w:rPr>
        <w:t>and how the role of the police has changed following several high-profile major incidents in the UK</w:t>
      </w:r>
      <w:r>
        <w:rPr>
          <w:sz w:val="24"/>
          <w:szCs w:val="24"/>
        </w:rPr>
        <w:t xml:space="preserve"> will also be explored</w:t>
      </w:r>
      <w:r w:rsidR="008A4DA3">
        <w:rPr>
          <w:sz w:val="24"/>
          <w:szCs w:val="24"/>
        </w:rPr>
        <w:t xml:space="preserve">, together with developments in research in this field. </w:t>
      </w:r>
    </w:p>
    <w:p w14:paraId="7E559632" w14:textId="512BBABC" w:rsidR="00CD700B" w:rsidRDefault="00A061BB">
      <w:pPr>
        <w:rPr>
          <w:sz w:val="24"/>
          <w:szCs w:val="24"/>
        </w:rPr>
      </w:pPr>
      <w:r>
        <w:rPr>
          <w:sz w:val="24"/>
          <w:szCs w:val="24"/>
        </w:rPr>
        <w:t>An emergency is defined as “an event or situation that threatens serious damage to human welfare or to the environment in a place in the UK, or war/terrorism which threatens serious damage to the security of the U</w:t>
      </w:r>
      <w:r w:rsidR="00CD5D80">
        <w:rPr>
          <w:sz w:val="24"/>
          <w:szCs w:val="24"/>
        </w:rPr>
        <w:t>K</w:t>
      </w:r>
      <w:r>
        <w:rPr>
          <w:sz w:val="24"/>
          <w:szCs w:val="24"/>
        </w:rPr>
        <w:t xml:space="preserve">.” (Civil Contingencies Act, 2004, S1.1). </w:t>
      </w:r>
      <w:r w:rsidR="00073AFD">
        <w:rPr>
          <w:sz w:val="24"/>
          <w:szCs w:val="24"/>
        </w:rPr>
        <w:t xml:space="preserve">Many emergency calls require the attendance of more than one </w:t>
      </w:r>
      <w:r w:rsidR="00B46094">
        <w:rPr>
          <w:sz w:val="24"/>
          <w:szCs w:val="24"/>
        </w:rPr>
        <w:t>blue-light s</w:t>
      </w:r>
      <w:r w:rsidR="00073AFD">
        <w:rPr>
          <w:sz w:val="24"/>
          <w:szCs w:val="24"/>
        </w:rPr>
        <w:t>ervice</w:t>
      </w:r>
      <w:r w:rsidR="00B5388F">
        <w:rPr>
          <w:sz w:val="24"/>
          <w:szCs w:val="24"/>
        </w:rPr>
        <w:t>,</w:t>
      </w:r>
      <w:r w:rsidR="00073AFD">
        <w:rPr>
          <w:sz w:val="24"/>
          <w:szCs w:val="24"/>
        </w:rPr>
        <w:t xml:space="preserve"> </w:t>
      </w:r>
      <w:r w:rsidR="00B46094">
        <w:rPr>
          <w:sz w:val="24"/>
          <w:szCs w:val="24"/>
        </w:rPr>
        <w:t>but t</w:t>
      </w:r>
      <w:r w:rsidR="009439F6">
        <w:rPr>
          <w:sz w:val="24"/>
          <w:szCs w:val="24"/>
        </w:rPr>
        <w:t>he fundamental principle which underpins all joint operations is “working together, saving lives, reducing harm” (JESIP, 2021). To provide for such incidents, the</w:t>
      </w:r>
      <w:r w:rsidR="00280E20">
        <w:rPr>
          <w:sz w:val="24"/>
          <w:szCs w:val="24"/>
        </w:rPr>
        <w:t xml:space="preserve"> Joint Emergency Services Interoperability Programme (JESIP) </w:t>
      </w:r>
      <w:r w:rsidR="00E010AE">
        <w:rPr>
          <w:sz w:val="24"/>
          <w:szCs w:val="24"/>
        </w:rPr>
        <w:t xml:space="preserve">created its ‘Joint Doctrine: The Interoperability Framework’, which establishes a set of procedures for services to follow where multi-agency working is required. </w:t>
      </w:r>
      <w:r w:rsidR="00630DB6">
        <w:rPr>
          <w:sz w:val="24"/>
          <w:szCs w:val="24"/>
        </w:rPr>
        <w:t xml:space="preserve">Interoperability in the emergency services can be defined as “the way in which responders from different organisations can work together coherently as a matter of routine” (Davidson, Carter, Drury, </w:t>
      </w:r>
      <w:proofErr w:type="spellStart"/>
      <w:r w:rsidR="00630DB6">
        <w:rPr>
          <w:sz w:val="24"/>
          <w:szCs w:val="24"/>
        </w:rPr>
        <w:t>Amlot</w:t>
      </w:r>
      <w:proofErr w:type="spellEnd"/>
      <w:r w:rsidR="00630DB6">
        <w:rPr>
          <w:sz w:val="24"/>
          <w:szCs w:val="24"/>
        </w:rPr>
        <w:t xml:space="preserve"> and Haslam, 2022). </w:t>
      </w:r>
      <w:r w:rsidR="00E010AE">
        <w:rPr>
          <w:sz w:val="24"/>
          <w:szCs w:val="24"/>
        </w:rPr>
        <w:t xml:space="preserve">These </w:t>
      </w:r>
      <w:r w:rsidR="00630DB6">
        <w:rPr>
          <w:sz w:val="24"/>
          <w:szCs w:val="24"/>
        </w:rPr>
        <w:t xml:space="preserve">JESIP </w:t>
      </w:r>
      <w:r w:rsidR="00E010AE">
        <w:rPr>
          <w:sz w:val="24"/>
          <w:szCs w:val="24"/>
        </w:rPr>
        <w:t xml:space="preserve">procedures are based on five principles aimed at enabling emergency responders to collaborate effectively under pressure. They </w:t>
      </w:r>
      <w:proofErr w:type="gramStart"/>
      <w:r w:rsidR="00E010AE">
        <w:rPr>
          <w:sz w:val="24"/>
          <w:szCs w:val="24"/>
        </w:rPr>
        <w:t>are:</w:t>
      </w:r>
      <w:proofErr w:type="gramEnd"/>
      <w:r w:rsidR="00E010AE">
        <w:rPr>
          <w:sz w:val="24"/>
          <w:szCs w:val="24"/>
        </w:rPr>
        <w:t xml:space="preserve"> Co-locate at a safe and easily-identified location; Communicate using plain English, avoiding acronyms or technical terms; Co-ordinate by deciding on the lead service and work together to identify resources and operational priorities</w:t>
      </w:r>
      <w:r w:rsidR="00CD5D80">
        <w:rPr>
          <w:sz w:val="24"/>
          <w:szCs w:val="24"/>
        </w:rPr>
        <w:t xml:space="preserve">; </w:t>
      </w:r>
      <w:r w:rsidR="00E010AE">
        <w:rPr>
          <w:sz w:val="24"/>
          <w:szCs w:val="24"/>
        </w:rPr>
        <w:t>Jointly Understand Risk, whereby information about potential threats and hazards is shared, and Shared Situational Awareness by using M/ETHANE. This</w:t>
      </w:r>
      <w:r w:rsidR="00280E20">
        <w:rPr>
          <w:sz w:val="24"/>
          <w:szCs w:val="24"/>
        </w:rPr>
        <w:t xml:space="preserve"> acronym </w:t>
      </w:r>
      <w:r w:rsidR="00E010AE">
        <w:rPr>
          <w:sz w:val="24"/>
          <w:szCs w:val="24"/>
        </w:rPr>
        <w:t>allows staff to quickly remember the steps they should take when they need to</w:t>
      </w:r>
      <w:r w:rsidR="00280E20">
        <w:rPr>
          <w:sz w:val="24"/>
          <w:szCs w:val="24"/>
        </w:rPr>
        <w:t xml:space="preserve"> pass information between emergency services and their control rooms</w:t>
      </w:r>
      <w:r w:rsidR="007F1489">
        <w:rPr>
          <w:sz w:val="24"/>
          <w:szCs w:val="24"/>
        </w:rPr>
        <w:t xml:space="preserve"> and can be summarised as: Major incident / Exact location; Type of incident; Hazards; Access; Number of casualties and Emergency services that are present and required. (</w:t>
      </w:r>
      <w:r w:rsidR="00280E20">
        <w:rPr>
          <w:sz w:val="24"/>
          <w:szCs w:val="24"/>
        </w:rPr>
        <w:t>JESIP, 2021).</w:t>
      </w:r>
      <w:r w:rsidR="00307F90" w:rsidRPr="00307F90">
        <w:rPr>
          <w:sz w:val="24"/>
          <w:szCs w:val="24"/>
        </w:rPr>
        <w:t xml:space="preserve"> </w:t>
      </w:r>
      <w:r w:rsidR="00307F90">
        <w:rPr>
          <w:sz w:val="24"/>
          <w:szCs w:val="24"/>
        </w:rPr>
        <w:t xml:space="preserve">Current guidelines state that multi-team emergency services should co-ordinate their response to a major emergency in two distinct phases: response (when the incident is ongoing) and recovery (when there is no longer a direct </w:t>
      </w:r>
      <w:proofErr w:type="gramStart"/>
      <w:r w:rsidR="00307F90">
        <w:rPr>
          <w:sz w:val="24"/>
          <w:szCs w:val="24"/>
        </w:rPr>
        <w:t>threat</w:t>
      </w:r>
      <w:proofErr w:type="gramEnd"/>
      <w:r w:rsidR="00307F90">
        <w:rPr>
          <w:sz w:val="24"/>
          <w:szCs w:val="24"/>
        </w:rPr>
        <w:t xml:space="preserve"> but the aftermath of the incident still requires a response). (Brown, Power, Conchie, 2021). </w:t>
      </w:r>
      <w:r w:rsidR="0068395A">
        <w:rPr>
          <w:sz w:val="24"/>
          <w:szCs w:val="24"/>
        </w:rPr>
        <w:t xml:space="preserve">For example, during a terrorist attack, the response phase would entail neutralising the threat while the recovery phase deals with helping victims over a longer </w:t>
      </w:r>
      <w:proofErr w:type="gramStart"/>
      <w:r w:rsidR="0068395A">
        <w:rPr>
          <w:sz w:val="24"/>
          <w:szCs w:val="24"/>
        </w:rPr>
        <w:t>period of time</w:t>
      </w:r>
      <w:proofErr w:type="gramEnd"/>
      <w:r w:rsidR="0068395A">
        <w:rPr>
          <w:sz w:val="24"/>
          <w:szCs w:val="24"/>
        </w:rPr>
        <w:t xml:space="preserve"> and helping the community return to ‘normal’. (Brown et al, 2021). </w:t>
      </w:r>
    </w:p>
    <w:p w14:paraId="7AE84612" w14:textId="1931662C" w:rsidR="00D55696" w:rsidRDefault="008A4DA3">
      <w:pPr>
        <w:rPr>
          <w:sz w:val="24"/>
          <w:szCs w:val="24"/>
        </w:rPr>
      </w:pPr>
      <w:r>
        <w:rPr>
          <w:sz w:val="24"/>
          <w:szCs w:val="24"/>
        </w:rPr>
        <w:t>Major emergencies need responders to form multi-team systems</w:t>
      </w:r>
      <w:r w:rsidR="00D55696">
        <w:rPr>
          <w:sz w:val="24"/>
          <w:szCs w:val="24"/>
        </w:rPr>
        <w:t xml:space="preserve"> (MTS). </w:t>
      </w:r>
      <w:r>
        <w:rPr>
          <w:sz w:val="24"/>
          <w:szCs w:val="24"/>
        </w:rPr>
        <w:t>(Brown, Power, Conchie 2021)</w:t>
      </w:r>
      <w:r w:rsidR="008B5B3A">
        <w:rPr>
          <w:sz w:val="24"/>
          <w:szCs w:val="24"/>
        </w:rPr>
        <w:t>. MTSs are</w:t>
      </w:r>
      <w:r>
        <w:rPr>
          <w:sz w:val="24"/>
          <w:szCs w:val="24"/>
        </w:rPr>
        <w:t xml:space="preserve"> separate teams working together to achieve their own objectives while contributing to a common goal</w:t>
      </w:r>
      <w:r w:rsidR="00D55696">
        <w:rPr>
          <w:sz w:val="24"/>
          <w:szCs w:val="24"/>
        </w:rPr>
        <w:t xml:space="preserve"> to reduce harm and save life. The formation of </w:t>
      </w:r>
      <w:proofErr w:type="gramStart"/>
      <w:r w:rsidR="00D55696">
        <w:rPr>
          <w:sz w:val="24"/>
          <w:szCs w:val="24"/>
        </w:rPr>
        <w:t>a</w:t>
      </w:r>
      <w:proofErr w:type="gramEnd"/>
      <w:r w:rsidR="00D55696">
        <w:rPr>
          <w:sz w:val="24"/>
          <w:szCs w:val="24"/>
        </w:rPr>
        <w:t xml:space="preserve"> MTS </w:t>
      </w:r>
      <w:r>
        <w:rPr>
          <w:sz w:val="24"/>
          <w:szCs w:val="24"/>
        </w:rPr>
        <w:t xml:space="preserve">allows each service to bring its own particular skills to an emergency while working together.  </w:t>
      </w:r>
      <w:r w:rsidR="00D55696">
        <w:rPr>
          <w:sz w:val="24"/>
          <w:szCs w:val="24"/>
        </w:rPr>
        <w:lastRenderedPageBreak/>
        <w:t xml:space="preserve">This combination of skills and expertise allow multi-team systems to operate in fast-moving and challenging environments which present a risk to life. However, multi-team systems can also present some difficulties in communication and co-ordination, while there is also a risk that each service brings its own priorities to the </w:t>
      </w:r>
      <w:proofErr w:type="gramStart"/>
      <w:r w:rsidR="00D55696">
        <w:rPr>
          <w:sz w:val="24"/>
          <w:szCs w:val="24"/>
        </w:rPr>
        <w:t>incident</w:t>
      </w:r>
      <w:proofErr w:type="gramEnd"/>
      <w:r w:rsidR="00D55696">
        <w:rPr>
          <w:sz w:val="24"/>
          <w:szCs w:val="24"/>
        </w:rPr>
        <w:t xml:space="preserve"> and these can co</w:t>
      </w:r>
      <w:r w:rsidR="00307F90">
        <w:rPr>
          <w:sz w:val="24"/>
          <w:szCs w:val="24"/>
        </w:rPr>
        <w:t xml:space="preserve">mpete with the priorities of other responders. (Waring, Alison, Shortland, &amp; Humann, 2019). </w:t>
      </w:r>
      <w:proofErr w:type="gramStart"/>
      <w:r w:rsidR="00082A3B">
        <w:rPr>
          <w:sz w:val="24"/>
          <w:szCs w:val="24"/>
        </w:rPr>
        <w:t>However</w:t>
      </w:r>
      <w:proofErr w:type="gramEnd"/>
      <w:r w:rsidR="00082A3B">
        <w:rPr>
          <w:sz w:val="24"/>
          <w:szCs w:val="24"/>
        </w:rPr>
        <w:t xml:space="preserve"> there is some evidence to suggest that these conflicting priorities lessen as a result of increased familiarity between multi-team personnel. (Brown et. Al, 2021). This supports the findings of Cuijpers, </w:t>
      </w:r>
      <w:proofErr w:type="spellStart"/>
      <w:r w:rsidR="00082A3B">
        <w:rPr>
          <w:sz w:val="24"/>
          <w:szCs w:val="24"/>
        </w:rPr>
        <w:t>Uitdewilligen</w:t>
      </w:r>
      <w:proofErr w:type="spellEnd"/>
      <w:r w:rsidR="00082A3B">
        <w:rPr>
          <w:sz w:val="24"/>
          <w:szCs w:val="24"/>
        </w:rPr>
        <w:t xml:space="preserve"> &amp; Guenter in 2016 who found that the more time responders spend with one another, the stronger their performance becomes. </w:t>
      </w:r>
    </w:p>
    <w:p w14:paraId="7B01B437" w14:textId="315CD7D3" w:rsidR="002F69F7" w:rsidRDefault="008A4DA3">
      <w:pPr>
        <w:rPr>
          <w:sz w:val="24"/>
          <w:szCs w:val="24"/>
        </w:rPr>
      </w:pPr>
      <w:r>
        <w:rPr>
          <w:sz w:val="24"/>
          <w:szCs w:val="24"/>
        </w:rPr>
        <w:t xml:space="preserve">Luciano et al (2018) found that </w:t>
      </w:r>
      <w:proofErr w:type="gramStart"/>
      <w:r w:rsidR="00307F90">
        <w:rPr>
          <w:sz w:val="24"/>
          <w:szCs w:val="24"/>
        </w:rPr>
        <w:t>in order to</w:t>
      </w:r>
      <w:proofErr w:type="gramEnd"/>
      <w:r w:rsidR="00307F90">
        <w:rPr>
          <w:sz w:val="24"/>
          <w:szCs w:val="24"/>
        </w:rPr>
        <w:t xml:space="preserve"> counter-act</w:t>
      </w:r>
      <w:r w:rsidR="00082A3B">
        <w:rPr>
          <w:sz w:val="24"/>
          <w:szCs w:val="24"/>
        </w:rPr>
        <w:t xml:space="preserve"> some of the</w:t>
      </w:r>
      <w:r w:rsidR="00307F90">
        <w:rPr>
          <w:sz w:val="24"/>
          <w:szCs w:val="24"/>
        </w:rPr>
        <w:t xml:space="preserve"> difficulties</w:t>
      </w:r>
      <w:r w:rsidR="00082A3B">
        <w:rPr>
          <w:sz w:val="24"/>
          <w:szCs w:val="24"/>
        </w:rPr>
        <w:t xml:space="preserve"> inherent in </w:t>
      </w:r>
      <w:proofErr w:type="spellStart"/>
      <w:r w:rsidR="00082A3B">
        <w:rPr>
          <w:sz w:val="24"/>
          <w:szCs w:val="24"/>
        </w:rPr>
        <w:t>mutli</w:t>
      </w:r>
      <w:proofErr w:type="spellEnd"/>
      <w:r w:rsidR="00082A3B">
        <w:rPr>
          <w:sz w:val="24"/>
          <w:szCs w:val="24"/>
        </w:rPr>
        <w:t>-agency responses</w:t>
      </w:r>
      <w:r w:rsidR="00307F90">
        <w:rPr>
          <w:sz w:val="24"/>
          <w:szCs w:val="24"/>
        </w:rPr>
        <w:t xml:space="preserve">, </w:t>
      </w:r>
      <w:r w:rsidR="00ED21E7">
        <w:rPr>
          <w:sz w:val="24"/>
          <w:szCs w:val="24"/>
        </w:rPr>
        <w:t xml:space="preserve">MTSs need to work together effectively within their own teams and across different teams, something that is called a hierarchy of proximal and distal goals. (Mathieu et al., 2002). Proximal goals </w:t>
      </w:r>
      <w:r w:rsidR="002F69F7">
        <w:rPr>
          <w:sz w:val="24"/>
          <w:szCs w:val="24"/>
        </w:rPr>
        <w:t xml:space="preserve">are those that occur within an individual emergency service, while distal goals are those which happen between more than one responder. This complex system has been further explored in Luciano et </w:t>
      </w:r>
      <w:proofErr w:type="spellStart"/>
      <w:r w:rsidR="002F69F7">
        <w:rPr>
          <w:sz w:val="24"/>
          <w:szCs w:val="24"/>
        </w:rPr>
        <w:t>al’s</w:t>
      </w:r>
      <w:proofErr w:type="spellEnd"/>
      <w:r w:rsidR="002F69F7">
        <w:rPr>
          <w:sz w:val="24"/>
          <w:szCs w:val="24"/>
        </w:rPr>
        <w:t xml:space="preserve"> Meso-Theory of System Functioning (2018). This theory is based upon the idea that differentiation and dynamism are essential to the successful functioning of a multi-team system. Differentiation refers to the differences which exist between different services, while dynamism is the ability of the system to adapt to changing demands over time. (Luciano et al., 2018). This theory identifies that differentiation allows each service to bring its own skillset to a major incident, while dynamism means the relationship between the services adapts to the </w:t>
      </w:r>
      <w:proofErr w:type="gramStart"/>
      <w:r w:rsidR="002F69F7">
        <w:rPr>
          <w:sz w:val="24"/>
          <w:szCs w:val="24"/>
        </w:rPr>
        <w:t>particular demands</w:t>
      </w:r>
      <w:proofErr w:type="gramEnd"/>
      <w:r w:rsidR="002F69F7">
        <w:rPr>
          <w:sz w:val="24"/>
          <w:szCs w:val="24"/>
        </w:rPr>
        <w:t xml:space="preserve"> of the incident at different points in time. For example, the police may need to assume control during the response phase of an incident while another service takes control during the recovery phase. (Brown et al., 2021). </w:t>
      </w:r>
    </w:p>
    <w:p w14:paraId="7ADF7B8C" w14:textId="7C287C59" w:rsidR="00EC18EE" w:rsidRDefault="00EC18EE">
      <w:pPr>
        <w:rPr>
          <w:sz w:val="24"/>
          <w:szCs w:val="24"/>
        </w:rPr>
      </w:pPr>
      <w:proofErr w:type="gramStart"/>
      <w:r>
        <w:rPr>
          <w:sz w:val="24"/>
          <w:szCs w:val="24"/>
        </w:rPr>
        <w:t>However</w:t>
      </w:r>
      <w:proofErr w:type="gramEnd"/>
      <w:r>
        <w:rPr>
          <w:sz w:val="24"/>
          <w:szCs w:val="24"/>
        </w:rPr>
        <w:t xml:space="preserve"> the complexity of these multi-team systems means they face significant challenges during major incidents. </w:t>
      </w:r>
      <w:r w:rsidR="008B5B3A">
        <w:rPr>
          <w:sz w:val="24"/>
          <w:szCs w:val="24"/>
        </w:rPr>
        <w:t>(Luciano et al., 2018). These challenges lie in effective communication and co-ordination, both of which prove difficult during incidents that are complex and fast-moving. (Zaccaro et al., 2012).</w:t>
      </w:r>
      <w:r w:rsidR="0068395A">
        <w:rPr>
          <w:sz w:val="24"/>
          <w:szCs w:val="24"/>
        </w:rPr>
        <w:t xml:space="preserve"> Communication is defined as the “reciprocal process of sending and receiving information) (LePine, Piccolo, Jackson, Mathieu &amp; Saul, 2008) which co-ordination is defined as the “enactment of be</w:t>
      </w:r>
      <w:r w:rsidR="00082A3B">
        <w:rPr>
          <w:sz w:val="24"/>
          <w:szCs w:val="24"/>
        </w:rPr>
        <w:t>h</w:t>
      </w:r>
      <w:r w:rsidR="0068395A">
        <w:rPr>
          <w:sz w:val="24"/>
          <w:szCs w:val="24"/>
        </w:rPr>
        <w:t>avioural and cognitive mechanisms</w:t>
      </w:r>
      <w:r w:rsidR="00082A3B">
        <w:rPr>
          <w:sz w:val="24"/>
          <w:szCs w:val="24"/>
        </w:rPr>
        <w:t xml:space="preserve"> that enable teams to synchronize their efforts to achieve goal-related outcomes” (Dr Dreu &amp; Weingart, 2003). </w:t>
      </w:r>
      <w:r w:rsidR="008B5B3A">
        <w:rPr>
          <w:sz w:val="24"/>
          <w:szCs w:val="24"/>
        </w:rPr>
        <w:t xml:space="preserve">Luciano et al (2018) identified the main challenge of effective communication as being </w:t>
      </w:r>
      <w:r w:rsidR="008B5B3A">
        <w:rPr>
          <w:i/>
          <w:iCs/>
          <w:sz w:val="24"/>
          <w:szCs w:val="24"/>
        </w:rPr>
        <w:t>information opacity</w:t>
      </w:r>
      <w:r w:rsidR="008B5B3A">
        <w:rPr>
          <w:sz w:val="24"/>
          <w:szCs w:val="24"/>
        </w:rPr>
        <w:t xml:space="preserve">, which is a lack of clarity about what information needs to be shared with whom and when. Fodor and Fiesta (2016) also found that the use of inconsistent language between emergency responders led to difficulties in sharing information effectively. Furthermore, the dynamism of multi-team systems means that different team members join and leave the response at various points, which can make it challenging for teams to communicate effectively (Brown et al., 2021). This was highlighted in the Kerslake Report (2018) into the Manchester Arena bombing, which found that the police commander was faced with so many demands in the response phase to the incident that he did not communicate effectively with the Fire service about a suitable rendezvous point, leading to a two-hour delay in the Fire service arriving on scene. </w:t>
      </w:r>
    </w:p>
    <w:p w14:paraId="3E76AC91" w14:textId="5FEC3BA8" w:rsidR="007F1489" w:rsidRDefault="007F1489">
      <w:pPr>
        <w:rPr>
          <w:sz w:val="24"/>
          <w:szCs w:val="24"/>
        </w:rPr>
      </w:pPr>
      <w:r>
        <w:rPr>
          <w:sz w:val="24"/>
          <w:szCs w:val="24"/>
        </w:rPr>
        <w:lastRenderedPageBreak/>
        <w:t xml:space="preserve">Problems with co-ordination within MTSs are often due to what Luciano et al., (2018) refers to as </w:t>
      </w:r>
      <w:r>
        <w:rPr>
          <w:i/>
          <w:iCs/>
          <w:sz w:val="24"/>
          <w:szCs w:val="24"/>
        </w:rPr>
        <w:t>goal discordancy.</w:t>
      </w:r>
      <w:r>
        <w:rPr>
          <w:sz w:val="24"/>
          <w:szCs w:val="24"/>
        </w:rPr>
        <w:t xml:space="preserve"> This is defined as the “dissimilarity and incompatibility of goals across component teams” (Luciano et al., 2018). Power and Alison (2017) found during a simulated terrorist attack that while the police tried to prevent any emergency activities taking place in the ‘hot zone’</w:t>
      </w:r>
      <w:r w:rsidR="002C164D">
        <w:rPr>
          <w:sz w:val="24"/>
          <w:szCs w:val="24"/>
        </w:rPr>
        <w:t xml:space="preserve"> </w:t>
      </w:r>
      <w:r>
        <w:rPr>
          <w:sz w:val="24"/>
          <w:szCs w:val="24"/>
        </w:rPr>
        <w:t xml:space="preserve">so that they could ‘neutralise the threat’, ambulance crews prioritised saving lives in the hot zone and the fire service would not allow its crews into the hot zone until they could be sure the threat had been removed. (Power &amp; Alison, 2017). </w:t>
      </w:r>
      <w:r w:rsidR="002C164D">
        <w:rPr>
          <w:sz w:val="24"/>
          <w:szCs w:val="24"/>
        </w:rPr>
        <w:t xml:space="preserve">A hot zone is defined as “an area where terrorists are located and where the area is within the reach of the effects of terrorist activity whether through the use of firearms or explosives.”  </w:t>
      </w:r>
      <w:r>
        <w:rPr>
          <w:sz w:val="24"/>
          <w:szCs w:val="24"/>
        </w:rPr>
        <w:t xml:space="preserve">This highlights the challenges of differentiation and interoperability within a multi-team system in an emergency. </w:t>
      </w:r>
      <w:r w:rsidR="00C770DD">
        <w:rPr>
          <w:sz w:val="24"/>
          <w:szCs w:val="24"/>
        </w:rPr>
        <w:t xml:space="preserve">A change that has been implemented since the Manchester Arena bombing is that police can now use their own professional judgement and training when deciding whether to deploy unarmed and non-specialised staff to the ‘hot’ zone during a terrorist attack. At the time of the bombing, one of the rules under Operation PLATO was that only trained and </w:t>
      </w:r>
      <w:proofErr w:type="gramStart"/>
      <w:r w:rsidR="00C770DD">
        <w:rPr>
          <w:sz w:val="24"/>
          <w:szCs w:val="24"/>
        </w:rPr>
        <w:t>suitably-equipped</w:t>
      </w:r>
      <w:proofErr w:type="gramEnd"/>
      <w:r w:rsidR="00C770DD">
        <w:rPr>
          <w:sz w:val="24"/>
          <w:szCs w:val="24"/>
        </w:rPr>
        <w:t xml:space="preserve"> firearms officers should be permitted in the hot zone. However, the Force Duty Officer made the decision to allow non-firearms staff to remain in the hot zone to assist with casualties – a decision which was described as “one of the most crucial decisions made on the night” in terms of “protecting saveable lives</w:t>
      </w:r>
      <w:r w:rsidR="002C164D">
        <w:rPr>
          <w:sz w:val="24"/>
          <w:szCs w:val="24"/>
        </w:rPr>
        <w:t>.” (Kerslake Report, 2018).</w:t>
      </w:r>
    </w:p>
    <w:p w14:paraId="49B8AB37" w14:textId="7419B5FE" w:rsidR="00307F90" w:rsidRDefault="00B46094">
      <w:pPr>
        <w:rPr>
          <w:sz w:val="24"/>
          <w:szCs w:val="24"/>
        </w:rPr>
      </w:pPr>
      <w:r>
        <w:rPr>
          <w:sz w:val="24"/>
          <w:szCs w:val="24"/>
        </w:rPr>
        <w:t>To further investigate the challenges</w:t>
      </w:r>
      <w:r w:rsidR="002C164D">
        <w:rPr>
          <w:sz w:val="24"/>
          <w:szCs w:val="24"/>
        </w:rPr>
        <w:t xml:space="preserve"> faced by multi-team systems during major incidents</w:t>
      </w:r>
      <w:r>
        <w:rPr>
          <w:sz w:val="24"/>
          <w:szCs w:val="24"/>
        </w:rPr>
        <w:t xml:space="preserve">, Brown et al. (2021) simulated a terrorist attack in a busy shopping centre in the run-up to Christmas. They wanted to examine how the behaviours of emergency service teams changed during the different phases of the incident. They found that there were many examples of positive team behaviours </w:t>
      </w:r>
      <w:r w:rsidR="00307F90">
        <w:rPr>
          <w:sz w:val="24"/>
          <w:szCs w:val="24"/>
        </w:rPr>
        <w:t>including</w:t>
      </w:r>
      <w:r>
        <w:rPr>
          <w:sz w:val="24"/>
          <w:szCs w:val="24"/>
        </w:rPr>
        <w:t xml:space="preserve"> joint decision making, sharing of </w:t>
      </w:r>
      <w:proofErr w:type="gramStart"/>
      <w:r>
        <w:rPr>
          <w:sz w:val="24"/>
          <w:szCs w:val="24"/>
        </w:rPr>
        <w:t>resources</w:t>
      </w:r>
      <w:proofErr w:type="gramEnd"/>
      <w:r>
        <w:rPr>
          <w:sz w:val="24"/>
          <w:szCs w:val="24"/>
        </w:rPr>
        <w:t xml:space="preserve"> and sharing task-related information</w:t>
      </w:r>
      <w:r w:rsidR="00307F90">
        <w:rPr>
          <w:sz w:val="24"/>
          <w:szCs w:val="24"/>
        </w:rPr>
        <w:t xml:space="preserve">. For example, in the latter instance, the police Chair asked the National Health Service Chair to clarify the acronyms that had been used to triage casualties so that the group could improve its joint situational awareness. (Brown et al. 2021). However, negative behaviours among the three groups involved in the trial were also noted and were categorised as role uncertainty, decision uncertainty and conflicting priorities. For instance, the multi-team system involved in one aspect of the simulation failed to </w:t>
      </w:r>
      <w:proofErr w:type="gramStart"/>
      <w:r w:rsidR="00307F90">
        <w:rPr>
          <w:sz w:val="24"/>
          <w:szCs w:val="24"/>
        </w:rPr>
        <w:t>make a decision</w:t>
      </w:r>
      <w:proofErr w:type="gramEnd"/>
      <w:r w:rsidR="00307F90">
        <w:rPr>
          <w:sz w:val="24"/>
          <w:szCs w:val="24"/>
        </w:rPr>
        <w:t xml:space="preserve"> about where to locate 30,000 evacuated people from the shopping centre</w:t>
      </w:r>
      <w:r w:rsidR="004C12DB">
        <w:rPr>
          <w:sz w:val="24"/>
          <w:szCs w:val="24"/>
        </w:rPr>
        <w:t xml:space="preserve">. (Brown et. Al, 2021). </w:t>
      </w:r>
    </w:p>
    <w:p w14:paraId="1A98262D" w14:textId="22D552C2" w:rsidR="00F07EE7" w:rsidRDefault="004C12DB">
      <w:pPr>
        <w:rPr>
          <w:sz w:val="24"/>
          <w:szCs w:val="24"/>
        </w:rPr>
      </w:pPr>
      <w:r>
        <w:rPr>
          <w:sz w:val="24"/>
          <w:szCs w:val="24"/>
        </w:rPr>
        <w:t>This</w:t>
      </w:r>
      <w:r w:rsidR="00B46094">
        <w:rPr>
          <w:sz w:val="24"/>
          <w:szCs w:val="24"/>
        </w:rPr>
        <w:t xml:space="preserve"> research also found that </w:t>
      </w:r>
      <w:r w:rsidR="00C770DD">
        <w:rPr>
          <w:sz w:val="24"/>
          <w:szCs w:val="24"/>
        </w:rPr>
        <w:t xml:space="preserve">within their simulation, there was an over-reliance on the Chair of the Strategic Co-ordinating Group to manage the flow of communication (Brown et al., 2021). </w:t>
      </w:r>
      <w:r w:rsidR="00B46094">
        <w:rPr>
          <w:sz w:val="24"/>
          <w:szCs w:val="24"/>
        </w:rPr>
        <w:t>These findings are</w:t>
      </w:r>
      <w:r w:rsidR="002C164D">
        <w:rPr>
          <w:sz w:val="24"/>
          <w:szCs w:val="24"/>
        </w:rPr>
        <w:t xml:space="preserve"> also</w:t>
      </w:r>
      <w:r w:rsidR="00B46094">
        <w:rPr>
          <w:sz w:val="24"/>
          <w:szCs w:val="24"/>
        </w:rPr>
        <w:t xml:space="preserve"> reflected in the Kerslake Report (2018)</w:t>
      </w:r>
      <w:r w:rsidR="00C770DD">
        <w:rPr>
          <w:sz w:val="24"/>
          <w:szCs w:val="24"/>
        </w:rPr>
        <w:t xml:space="preserve">, which recognised that the demands placed on the </w:t>
      </w:r>
      <w:r w:rsidR="0078480C">
        <w:rPr>
          <w:sz w:val="24"/>
          <w:szCs w:val="24"/>
        </w:rPr>
        <w:t>Force Duty Officer for Greater Manchester Police</w:t>
      </w:r>
      <w:r w:rsidR="00210733">
        <w:rPr>
          <w:sz w:val="24"/>
          <w:szCs w:val="24"/>
        </w:rPr>
        <w:t xml:space="preserve"> (GMP)</w:t>
      </w:r>
      <w:r w:rsidR="00C770DD">
        <w:rPr>
          <w:sz w:val="24"/>
          <w:szCs w:val="24"/>
        </w:rPr>
        <w:t>in the response phase of the incident contributed to his failure</w:t>
      </w:r>
      <w:r w:rsidR="00566382">
        <w:rPr>
          <w:sz w:val="24"/>
          <w:szCs w:val="24"/>
        </w:rPr>
        <w:t xml:space="preserve"> to report a </w:t>
      </w:r>
      <w:r w:rsidR="00210733">
        <w:rPr>
          <w:sz w:val="24"/>
          <w:szCs w:val="24"/>
        </w:rPr>
        <w:t>m</w:t>
      </w:r>
      <w:r w:rsidR="00566382">
        <w:rPr>
          <w:sz w:val="24"/>
          <w:szCs w:val="24"/>
        </w:rPr>
        <w:t>ajor incident in line with JESIP protocols</w:t>
      </w:r>
      <w:r w:rsidR="00C770DD">
        <w:rPr>
          <w:sz w:val="24"/>
          <w:szCs w:val="24"/>
        </w:rPr>
        <w:t>. Furthermore, although h</w:t>
      </w:r>
      <w:r w:rsidR="00566382">
        <w:rPr>
          <w:sz w:val="24"/>
          <w:szCs w:val="24"/>
        </w:rPr>
        <w:t xml:space="preserve">e later </w:t>
      </w:r>
      <w:r w:rsidR="0078480C">
        <w:rPr>
          <w:sz w:val="24"/>
          <w:szCs w:val="24"/>
        </w:rPr>
        <w:t>declared Operation PLATO, allowing him to request assistance from other forces and from the military</w:t>
      </w:r>
      <w:r w:rsidR="00C770DD">
        <w:rPr>
          <w:sz w:val="24"/>
          <w:szCs w:val="24"/>
        </w:rPr>
        <w:t xml:space="preserve"> (</w:t>
      </w:r>
      <w:r w:rsidR="0078480C">
        <w:rPr>
          <w:sz w:val="24"/>
          <w:szCs w:val="24"/>
        </w:rPr>
        <w:t>Operation PLATO is the agreed common identifier of a spontaneous Marauding Terrorist and Firearms Attack (MTFA)</w:t>
      </w:r>
      <w:r w:rsidR="00C770DD">
        <w:rPr>
          <w:sz w:val="24"/>
          <w:szCs w:val="24"/>
        </w:rPr>
        <w:t>, he failed to share this information with other services</w:t>
      </w:r>
      <w:r w:rsidR="0078480C">
        <w:rPr>
          <w:sz w:val="24"/>
          <w:szCs w:val="24"/>
        </w:rPr>
        <w:t xml:space="preserve">. </w:t>
      </w:r>
      <w:r w:rsidR="00F07EE7">
        <w:rPr>
          <w:sz w:val="24"/>
          <w:szCs w:val="24"/>
        </w:rPr>
        <w:t xml:space="preserve">The role of the police in </w:t>
      </w:r>
      <w:r w:rsidR="003E5938">
        <w:rPr>
          <w:sz w:val="24"/>
          <w:szCs w:val="24"/>
        </w:rPr>
        <w:t xml:space="preserve">declaring this </w:t>
      </w:r>
      <w:r w:rsidR="00F07EE7">
        <w:rPr>
          <w:sz w:val="24"/>
          <w:szCs w:val="24"/>
        </w:rPr>
        <w:t xml:space="preserve">information </w:t>
      </w:r>
      <w:r w:rsidR="003E5938">
        <w:rPr>
          <w:sz w:val="24"/>
          <w:szCs w:val="24"/>
        </w:rPr>
        <w:t xml:space="preserve">and ensuring it </w:t>
      </w:r>
      <w:r w:rsidR="00F07EE7">
        <w:rPr>
          <w:sz w:val="24"/>
          <w:szCs w:val="24"/>
        </w:rPr>
        <w:t xml:space="preserve">is shared immediately has </w:t>
      </w:r>
      <w:r w:rsidR="003E5938">
        <w:rPr>
          <w:sz w:val="24"/>
          <w:szCs w:val="24"/>
        </w:rPr>
        <w:t xml:space="preserve">subsequently </w:t>
      </w:r>
      <w:r w:rsidR="00F07EE7">
        <w:rPr>
          <w:sz w:val="24"/>
          <w:szCs w:val="24"/>
        </w:rPr>
        <w:t xml:space="preserve">been strengthened </w:t>
      </w:r>
      <w:proofErr w:type="gramStart"/>
      <w:r w:rsidR="00F07EE7">
        <w:rPr>
          <w:sz w:val="24"/>
          <w:szCs w:val="24"/>
        </w:rPr>
        <w:t>as a result of</w:t>
      </w:r>
      <w:proofErr w:type="gramEnd"/>
      <w:r w:rsidR="00F07EE7">
        <w:rPr>
          <w:sz w:val="24"/>
          <w:szCs w:val="24"/>
        </w:rPr>
        <w:t xml:space="preserve"> the inquiry. </w:t>
      </w:r>
      <w:r w:rsidR="00AC03C4">
        <w:rPr>
          <w:sz w:val="24"/>
          <w:szCs w:val="24"/>
        </w:rPr>
        <w:t>(</w:t>
      </w:r>
      <w:r w:rsidR="00B36A14">
        <w:rPr>
          <w:sz w:val="24"/>
          <w:szCs w:val="24"/>
        </w:rPr>
        <w:t>GOV.uk, 2022</w:t>
      </w:r>
      <w:r w:rsidR="00AC03C4">
        <w:rPr>
          <w:sz w:val="24"/>
          <w:szCs w:val="24"/>
        </w:rPr>
        <w:t>).</w:t>
      </w:r>
    </w:p>
    <w:p w14:paraId="32F0D897" w14:textId="5D4B1DDA" w:rsidR="002C164D" w:rsidRDefault="002C164D">
      <w:pPr>
        <w:rPr>
          <w:sz w:val="24"/>
          <w:szCs w:val="24"/>
        </w:rPr>
      </w:pPr>
      <w:r>
        <w:rPr>
          <w:sz w:val="24"/>
          <w:szCs w:val="24"/>
        </w:rPr>
        <w:lastRenderedPageBreak/>
        <w:t xml:space="preserve">Brown et al.’s (2021) research also found that the procedural guidelines which require MTSs to work in two phases – response and recovery – did not fully support the behaviours they observed in their study. They recommend a three-phase approach – response / resolve / recovery which recognises the changes which occur at different points between an ongoing incident and shortly afterwards. (Brown et al., 2021). The research also concluded that communications should be decentralized at the start of the response phase to avoid placing unrealistic demands on strategic lead personnel. </w:t>
      </w:r>
      <w:r w:rsidR="00D55696">
        <w:rPr>
          <w:sz w:val="24"/>
          <w:szCs w:val="24"/>
        </w:rPr>
        <w:t>This research reflects the findings of both the Kerslake Report (2018) and the inquiry into the Grenfell Tower disaster. At the time of the Arena bombing, there was no radio talk group that operated between the control rooms of the police, fire and rescue and ambulance service. (GOV.uk, 2022). Such a group now exists, making it easier for emergency workers to share information with each other. Similarly, a recommendation made in the Grenfell inquiry was to establish a single point of contact in major incidents so that communications between control rooms would be more streamlined. (Grenfell Inquiry Phase 1), while the inquiry panel also felt that each emergency service should be able to read one another’s messages, thus making it easier to clarify roles and responsibilities in a chaotic and fast-paced incident. (Grenfell Inquiry Phase 1, London.gov.uk).</w:t>
      </w:r>
    </w:p>
    <w:p w14:paraId="65797199" w14:textId="6DA1CD59" w:rsidR="00543D11" w:rsidRDefault="00760801" w:rsidP="00CB46A3">
      <w:pPr>
        <w:rPr>
          <w:sz w:val="24"/>
          <w:szCs w:val="24"/>
        </w:rPr>
      </w:pPr>
      <w:r>
        <w:rPr>
          <w:sz w:val="24"/>
          <w:szCs w:val="24"/>
        </w:rPr>
        <w:t>In conclusion, w</w:t>
      </w:r>
      <w:r w:rsidR="00543D11">
        <w:rPr>
          <w:sz w:val="24"/>
          <w:szCs w:val="24"/>
        </w:rPr>
        <w:t>ork to improve joint emergency services operations continues</w:t>
      </w:r>
      <w:r>
        <w:rPr>
          <w:sz w:val="24"/>
          <w:szCs w:val="24"/>
        </w:rPr>
        <w:t xml:space="preserve"> </w:t>
      </w:r>
      <w:r w:rsidR="00543D11">
        <w:rPr>
          <w:sz w:val="24"/>
          <w:szCs w:val="24"/>
        </w:rPr>
        <w:t xml:space="preserve">with the work </w:t>
      </w:r>
      <w:r w:rsidR="004D42B7">
        <w:rPr>
          <w:sz w:val="24"/>
          <w:szCs w:val="24"/>
        </w:rPr>
        <w:t xml:space="preserve">of the Civil Contingencies Secretariat at a national level and local </w:t>
      </w:r>
      <w:r w:rsidR="00B9328D">
        <w:rPr>
          <w:sz w:val="24"/>
          <w:szCs w:val="24"/>
        </w:rPr>
        <w:t xml:space="preserve">Resilience forums across the country. </w:t>
      </w:r>
      <w:r w:rsidR="00F85C62">
        <w:rPr>
          <w:sz w:val="24"/>
          <w:szCs w:val="24"/>
        </w:rPr>
        <w:t>Multi-agency operations</w:t>
      </w:r>
      <w:r w:rsidR="00082A3B">
        <w:rPr>
          <w:sz w:val="24"/>
          <w:szCs w:val="24"/>
        </w:rPr>
        <w:t xml:space="preserve"> must always</w:t>
      </w:r>
      <w:r w:rsidR="00F85C62">
        <w:rPr>
          <w:sz w:val="24"/>
          <w:szCs w:val="24"/>
        </w:rPr>
        <w:t xml:space="preserve"> “put people at the centre of the incident” (JESIP)</w:t>
      </w:r>
      <w:r>
        <w:rPr>
          <w:sz w:val="24"/>
          <w:szCs w:val="24"/>
        </w:rPr>
        <w:t xml:space="preserve"> and must always bear in mind their overarching aim of ‘working together, saving lives, reducing harm.’</w:t>
      </w:r>
      <w:r w:rsidR="00082A3B">
        <w:rPr>
          <w:sz w:val="24"/>
          <w:szCs w:val="24"/>
        </w:rPr>
        <w:t xml:space="preserve"> Although the challenges of working effectively within multi-team systems has been well-documented, Brown et al. (2021) recommend further research into the complex structures of MTSs </w:t>
      </w:r>
      <w:proofErr w:type="gramStart"/>
      <w:r w:rsidR="00082A3B">
        <w:rPr>
          <w:sz w:val="24"/>
          <w:szCs w:val="24"/>
        </w:rPr>
        <w:t>in order to</w:t>
      </w:r>
      <w:proofErr w:type="gramEnd"/>
      <w:r w:rsidR="00082A3B">
        <w:rPr>
          <w:sz w:val="24"/>
          <w:szCs w:val="24"/>
        </w:rPr>
        <w:t xml:space="preserve"> better understand </w:t>
      </w:r>
      <w:r w:rsidR="004B7B3D">
        <w:rPr>
          <w:sz w:val="24"/>
          <w:szCs w:val="24"/>
        </w:rPr>
        <w:t xml:space="preserve">these complex structures and how they can improve their response to major inter-agency emergencies. </w:t>
      </w:r>
    </w:p>
    <w:p w14:paraId="275E837E" w14:textId="77777777" w:rsidR="00543D11" w:rsidRDefault="00543D11">
      <w:pPr>
        <w:rPr>
          <w:sz w:val="24"/>
          <w:szCs w:val="24"/>
        </w:rPr>
      </w:pPr>
    </w:p>
    <w:p w14:paraId="14990DE8" w14:textId="53F86011" w:rsidR="00543D11" w:rsidRDefault="004B7B3D">
      <w:pPr>
        <w:rPr>
          <w:sz w:val="24"/>
          <w:szCs w:val="24"/>
        </w:rPr>
      </w:pPr>
      <w:r>
        <w:rPr>
          <w:sz w:val="24"/>
          <w:szCs w:val="24"/>
        </w:rPr>
        <w:t>1970</w:t>
      </w:r>
      <w:r w:rsidR="00760801">
        <w:rPr>
          <w:sz w:val="24"/>
          <w:szCs w:val="24"/>
        </w:rPr>
        <w:t xml:space="preserve"> words</w:t>
      </w:r>
    </w:p>
    <w:p w14:paraId="22A9F469" w14:textId="77777777" w:rsidR="00B15ABD" w:rsidRDefault="00B15ABD">
      <w:pPr>
        <w:rPr>
          <w:sz w:val="24"/>
          <w:szCs w:val="24"/>
        </w:rPr>
      </w:pPr>
    </w:p>
    <w:p w14:paraId="264AF204" w14:textId="719E6563" w:rsidR="004B7B3D" w:rsidRDefault="004B7B3D">
      <w:pPr>
        <w:rPr>
          <w:sz w:val="24"/>
          <w:szCs w:val="24"/>
        </w:rPr>
      </w:pPr>
      <w:r>
        <w:rPr>
          <w:sz w:val="24"/>
          <w:szCs w:val="24"/>
        </w:rPr>
        <w:t xml:space="preserve">Bibliography </w:t>
      </w:r>
    </w:p>
    <w:p w14:paraId="6DE174DC" w14:textId="77777777" w:rsidR="00476DA8" w:rsidRPr="00476DA8" w:rsidRDefault="00476DA8" w:rsidP="00476DA8">
      <w:pPr>
        <w:rPr>
          <w:rFonts w:cstheme="minorHAnsi"/>
        </w:rPr>
      </w:pPr>
      <w:r w:rsidRPr="00476DA8">
        <w:rPr>
          <w:rFonts w:cstheme="minorHAnsi"/>
        </w:rPr>
        <w:t xml:space="preserve">Adler, P.S., &amp; Kwon, S. (2002). Social Capital: Prospects for a New Concept. </w:t>
      </w:r>
      <w:r w:rsidRPr="00476DA8">
        <w:rPr>
          <w:rFonts w:cstheme="minorHAnsi"/>
          <w:i/>
          <w:iCs/>
        </w:rPr>
        <w:t xml:space="preserve">Academy of Management Review, </w:t>
      </w:r>
      <w:r w:rsidRPr="00476DA8">
        <w:rPr>
          <w:rFonts w:cstheme="minorHAnsi"/>
        </w:rPr>
        <w:t>27 (1), 17-40.</w:t>
      </w:r>
    </w:p>
    <w:p w14:paraId="7D4CFB74" w14:textId="77777777" w:rsidR="00476DA8" w:rsidRPr="00476DA8" w:rsidRDefault="00476DA8" w:rsidP="00476DA8">
      <w:pPr>
        <w:rPr>
          <w:rFonts w:cstheme="minorHAnsi"/>
        </w:rPr>
      </w:pPr>
      <w:r w:rsidRPr="00476DA8">
        <w:rPr>
          <w:rFonts w:cstheme="minorHAnsi"/>
        </w:rPr>
        <w:t xml:space="preserve">Beating Crime Plan – GOV.UK retrieved from </w:t>
      </w:r>
      <w:hyperlink r:id="rId6" w:history="1">
        <w:r w:rsidRPr="00476DA8">
          <w:rPr>
            <w:rStyle w:val="Hyperlink"/>
            <w:rFonts w:cstheme="minorHAnsi"/>
          </w:rPr>
          <w:t>https://www.gov.uk/government/publications/beating-crime-plan/beating-crime-plan</w:t>
        </w:r>
      </w:hyperlink>
    </w:p>
    <w:p w14:paraId="0D5781C3" w14:textId="77777777" w:rsidR="00476DA8" w:rsidRPr="00476DA8" w:rsidRDefault="00476DA8" w:rsidP="00476DA8">
      <w:pPr>
        <w:rPr>
          <w:rFonts w:cstheme="minorHAnsi"/>
        </w:rPr>
      </w:pPr>
      <w:r w:rsidRPr="00476DA8">
        <w:rPr>
          <w:rFonts w:cstheme="minorHAnsi"/>
        </w:rPr>
        <w:t>Blackstone’s Handbook for Policing Students, 2002.</w:t>
      </w:r>
    </w:p>
    <w:p w14:paraId="7119C99D" w14:textId="77777777" w:rsidR="00476DA8" w:rsidRPr="00476DA8" w:rsidRDefault="00476DA8">
      <w:pPr>
        <w:rPr>
          <w:rFonts w:cstheme="minorHAnsi"/>
          <w:i/>
          <w:iCs/>
        </w:rPr>
      </w:pPr>
      <w:r w:rsidRPr="00476DA8">
        <w:rPr>
          <w:rFonts w:cstheme="minorHAnsi"/>
        </w:rPr>
        <w:t xml:space="preserve">Brown, O., Power, N., Conchie, S., (2021) </w:t>
      </w:r>
      <w:r w:rsidRPr="00476DA8">
        <w:rPr>
          <w:rFonts w:cstheme="minorHAnsi"/>
          <w:i/>
          <w:iCs/>
        </w:rPr>
        <w:t>Communication and co-ordination across event phases: A multi-team system emergency response</w:t>
      </w:r>
    </w:p>
    <w:p w14:paraId="05587996" w14:textId="77777777" w:rsidR="00476DA8" w:rsidRPr="00476DA8" w:rsidRDefault="00476DA8" w:rsidP="00476DA8">
      <w:pPr>
        <w:rPr>
          <w:rFonts w:cstheme="minorHAnsi"/>
        </w:rPr>
      </w:pPr>
      <w:r w:rsidRPr="00476DA8">
        <w:rPr>
          <w:rFonts w:cstheme="minorHAnsi"/>
        </w:rPr>
        <w:t xml:space="preserve">Bullock, K., 2017, The Police Use of </w:t>
      </w:r>
      <w:proofErr w:type="gramStart"/>
      <w:r w:rsidRPr="00476DA8">
        <w:rPr>
          <w:rFonts w:cstheme="minorHAnsi"/>
        </w:rPr>
        <w:t>Social Media</w:t>
      </w:r>
      <w:proofErr w:type="gramEnd"/>
      <w:r w:rsidRPr="00476DA8">
        <w:rPr>
          <w:rFonts w:cstheme="minorHAnsi"/>
        </w:rPr>
        <w:t xml:space="preserve">: Transformative or Normative? Cambridge University Press. Retrieved from </w:t>
      </w:r>
      <w:hyperlink r:id="rId7" w:history="1">
        <w:r w:rsidRPr="00476DA8">
          <w:rPr>
            <w:rStyle w:val="Hyperlink"/>
            <w:rFonts w:cstheme="minorHAnsi"/>
          </w:rPr>
          <w:t>https://www.cambridge.org/core/journals/social-policy-and-society/article/police-use-of-social-media-transformation-or-normalisation/19E5C6727038F01129B51CE4287D0FFB</w:t>
        </w:r>
      </w:hyperlink>
      <w:r w:rsidRPr="00476DA8">
        <w:rPr>
          <w:rFonts w:cstheme="minorHAnsi"/>
        </w:rPr>
        <w:t xml:space="preserve"> </w:t>
      </w:r>
    </w:p>
    <w:p w14:paraId="2E3D122F" w14:textId="77777777" w:rsidR="00476DA8" w:rsidRPr="00476DA8" w:rsidRDefault="00476DA8" w:rsidP="00476DA8">
      <w:pPr>
        <w:rPr>
          <w:rFonts w:cstheme="minorHAnsi"/>
        </w:rPr>
      </w:pPr>
      <w:r w:rsidRPr="00476DA8">
        <w:rPr>
          <w:rFonts w:cstheme="minorHAnsi"/>
        </w:rPr>
        <w:lastRenderedPageBreak/>
        <w:t xml:space="preserve">College of policing </w:t>
      </w:r>
    </w:p>
    <w:p w14:paraId="77EF72BB" w14:textId="77777777" w:rsidR="00476DA8" w:rsidRPr="00476DA8" w:rsidRDefault="00476DA8">
      <w:pPr>
        <w:rPr>
          <w:rFonts w:cstheme="minorHAnsi"/>
        </w:rPr>
      </w:pPr>
      <w:r w:rsidRPr="00476DA8">
        <w:rPr>
          <w:rFonts w:cstheme="minorHAnsi"/>
        </w:rPr>
        <w:t xml:space="preserve">College of policing </w:t>
      </w:r>
      <w:hyperlink r:id="rId8" w:history="1">
        <w:r w:rsidRPr="00476DA8">
          <w:rPr>
            <w:rStyle w:val="Hyperlink"/>
            <w:rFonts w:cstheme="minorHAnsi"/>
          </w:rPr>
          <w:t>www.college.police.uk/app/civil-emergencies/civil-contingencies/supporting-material</w:t>
        </w:r>
      </w:hyperlink>
      <w:r w:rsidRPr="00476DA8">
        <w:rPr>
          <w:rFonts w:cstheme="minorHAnsi"/>
        </w:rPr>
        <w:t xml:space="preserve"> </w:t>
      </w:r>
    </w:p>
    <w:p w14:paraId="38117216" w14:textId="77777777" w:rsidR="00476DA8" w:rsidRPr="00476DA8" w:rsidRDefault="00476DA8" w:rsidP="00476DA8">
      <w:pPr>
        <w:rPr>
          <w:rFonts w:cstheme="minorHAnsi"/>
        </w:rPr>
      </w:pPr>
      <w:r w:rsidRPr="00476DA8">
        <w:rPr>
          <w:rFonts w:cstheme="minorHAnsi"/>
        </w:rPr>
        <w:t xml:space="preserve">Cosgrove, F., &amp; Ramshaw, P, (2014) It is what you do as well as the way you do it: The Value and Deployment of PCSOs in achieving Public Engagement, </w:t>
      </w:r>
      <w:r w:rsidRPr="00476DA8">
        <w:rPr>
          <w:rFonts w:cstheme="minorHAnsi"/>
          <w:i/>
          <w:iCs/>
        </w:rPr>
        <w:t xml:space="preserve">Policing and Society, 25(1), </w:t>
      </w:r>
      <w:r w:rsidRPr="00476DA8">
        <w:rPr>
          <w:rFonts w:cstheme="minorHAnsi"/>
        </w:rPr>
        <w:t>77-96.</w:t>
      </w:r>
    </w:p>
    <w:p w14:paraId="10527D1A" w14:textId="77777777" w:rsidR="00476DA8" w:rsidRPr="00476DA8" w:rsidRDefault="00476DA8">
      <w:pPr>
        <w:rPr>
          <w:rFonts w:cstheme="minorHAnsi"/>
          <w:i/>
          <w:iCs/>
        </w:rPr>
      </w:pPr>
      <w:r w:rsidRPr="00476DA8">
        <w:rPr>
          <w:rFonts w:cstheme="minorHAnsi"/>
        </w:rPr>
        <w:t xml:space="preserve">Cuijpers, M., </w:t>
      </w:r>
      <w:proofErr w:type="spellStart"/>
      <w:r w:rsidRPr="00476DA8">
        <w:rPr>
          <w:rFonts w:cstheme="minorHAnsi"/>
        </w:rPr>
        <w:t>Uitdewilligen</w:t>
      </w:r>
      <w:proofErr w:type="spellEnd"/>
      <w:r w:rsidRPr="00476DA8">
        <w:rPr>
          <w:rFonts w:cstheme="minorHAnsi"/>
        </w:rPr>
        <w:t xml:space="preserve">, S., &amp; Guenter, H. (2016) Effects of dual identification and </w:t>
      </w:r>
      <w:proofErr w:type="spellStart"/>
      <w:r w:rsidRPr="00476DA8">
        <w:rPr>
          <w:rFonts w:cstheme="minorHAnsi"/>
        </w:rPr>
        <w:t>interteam</w:t>
      </w:r>
      <w:proofErr w:type="spellEnd"/>
      <w:r w:rsidRPr="00476DA8">
        <w:rPr>
          <w:rFonts w:cstheme="minorHAnsi"/>
        </w:rPr>
        <w:t xml:space="preserve"> conflict on multiteam system performance. </w:t>
      </w:r>
      <w:r w:rsidRPr="00476DA8">
        <w:rPr>
          <w:rFonts w:cstheme="minorHAnsi"/>
          <w:i/>
          <w:iCs/>
        </w:rPr>
        <w:t>Journal of Occupational and Organizational Psychology, 89(1), 141-171.</w:t>
      </w:r>
    </w:p>
    <w:p w14:paraId="47961062" w14:textId="77777777" w:rsidR="00476DA8" w:rsidRPr="00476DA8" w:rsidRDefault="00476DA8">
      <w:pPr>
        <w:rPr>
          <w:rFonts w:cstheme="minorHAnsi"/>
        </w:rPr>
      </w:pPr>
      <w:r w:rsidRPr="00476DA8">
        <w:rPr>
          <w:rFonts w:cstheme="minorHAnsi"/>
        </w:rPr>
        <w:t xml:space="preserve">Davidson, L., Carter, H., Drury, J., </w:t>
      </w:r>
      <w:proofErr w:type="spellStart"/>
      <w:r w:rsidRPr="00476DA8">
        <w:rPr>
          <w:rFonts w:cstheme="minorHAnsi"/>
        </w:rPr>
        <w:t>Amlot</w:t>
      </w:r>
      <w:proofErr w:type="spellEnd"/>
      <w:r w:rsidRPr="00476DA8">
        <w:rPr>
          <w:rFonts w:cstheme="minorHAnsi"/>
        </w:rPr>
        <w:t xml:space="preserve">, R., Haslam, S., 2022, International Journal of Disaster Risk Reduction, </w:t>
      </w:r>
      <w:r w:rsidRPr="00476DA8">
        <w:rPr>
          <w:rFonts w:cstheme="minorHAnsi"/>
          <w:i/>
          <w:iCs/>
        </w:rPr>
        <w:t>Advancing a social identity perspective on interoperability in the emergency services: Evidence from the Pandemic Multi-Agency Response Teams during the UK Covid-19 Response</w:t>
      </w:r>
      <w:r w:rsidRPr="00476DA8">
        <w:rPr>
          <w:rFonts w:cstheme="minorHAnsi"/>
        </w:rPr>
        <w:t xml:space="preserve">. </w:t>
      </w:r>
    </w:p>
    <w:p w14:paraId="62FF5372" w14:textId="77777777" w:rsidR="00476DA8" w:rsidRPr="00476DA8" w:rsidRDefault="00476DA8">
      <w:pPr>
        <w:rPr>
          <w:rFonts w:cstheme="minorHAnsi"/>
        </w:rPr>
      </w:pPr>
      <w:r w:rsidRPr="00476DA8">
        <w:rPr>
          <w:rFonts w:cstheme="minorHAnsi"/>
        </w:rPr>
        <w:t xml:space="preserve">De Dreu, C. K., &amp; Weingart, L. R., (2003) A contingency theory of task conflict and performance in groups and organisational teams. </w:t>
      </w:r>
      <w:r w:rsidRPr="00476DA8">
        <w:rPr>
          <w:rFonts w:cstheme="minorHAnsi"/>
          <w:i/>
          <w:iCs/>
        </w:rPr>
        <w:t xml:space="preserve">International Handbook of Organizational Teamwork and Co-operative Working, 88, </w:t>
      </w:r>
      <w:r w:rsidRPr="00476DA8">
        <w:rPr>
          <w:rFonts w:cstheme="minorHAnsi"/>
        </w:rPr>
        <w:t>151-166.</w:t>
      </w:r>
    </w:p>
    <w:p w14:paraId="78312011" w14:textId="77777777" w:rsidR="00476DA8" w:rsidRPr="00476DA8" w:rsidRDefault="00476DA8" w:rsidP="00476DA8">
      <w:pPr>
        <w:rPr>
          <w:rStyle w:val="Hyperlink"/>
          <w:rFonts w:cstheme="minorHAnsi"/>
        </w:rPr>
      </w:pPr>
      <w:r w:rsidRPr="00476DA8">
        <w:rPr>
          <w:rFonts w:cstheme="minorHAnsi"/>
        </w:rPr>
        <w:t xml:space="preserve">Durham Constabulary, (2015), </w:t>
      </w:r>
      <w:r w:rsidRPr="00476DA8">
        <w:rPr>
          <w:rFonts w:cstheme="minorHAnsi"/>
          <w:i/>
          <w:iCs/>
        </w:rPr>
        <w:t xml:space="preserve">Durham Constabulary Performance. </w:t>
      </w:r>
      <w:r w:rsidRPr="00476DA8">
        <w:rPr>
          <w:rFonts w:cstheme="minorHAnsi"/>
        </w:rPr>
        <w:t xml:space="preserve">Retrieved from </w:t>
      </w:r>
      <w:hyperlink r:id="rId9" w:history="1">
        <w:r w:rsidRPr="00476DA8">
          <w:rPr>
            <w:rStyle w:val="Hyperlink"/>
            <w:rFonts w:cstheme="minorHAnsi"/>
          </w:rPr>
          <w:t>https://www,durham.police.uk</w:t>
        </w:r>
      </w:hyperlink>
    </w:p>
    <w:p w14:paraId="0FA81C59" w14:textId="77777777" w:rsidR="00476DA8" w:rsidRPr="00476DA8" w:rsidRDefault="00476DA8" w:rsidP="00476DA8">
      <w:pPr>
        <w:rPr>
          <w:rStyle w:val="Hyperlink"/>
          <w:rFonts w:cstheme="minorHAnsi"/>
        </w:rPr>
      </w:pPr>
      <w:r w:rsidRPr="00476DA8">
        <w:rPr>
          <w:rFonts w:cstheme="minorHAnsi"/>
          <w:color w:val="333333"/>
          <w:shd w:val="clear" w:color="auto" w:fill="FFFFFF"/>
        </w:rPr>
        <w:t>Fisher A, Ritchie S (2015) A functional shift: building a new model of engagement. </w:t>
      </w:r>
      <w:r w:rsidRPr="00476DA8">
        <w:rPr>
          <w:rStyle w:val="Emphasis"/>
          <w:rFonts w:cstheme="minorHAnsi"/>
          <w:color w:val="333333"/>
          <w:shd w:val="clear" w:color="auto" w:fill="FFFFFF"/>
        </w:rPr>
        <w:t>Policing</w:t>
      </w:r>
      <w:r w:rsidRPr="00476DA8">
        <w:rPr>
          <w:rFonts w:cstheme="minorHAnsi"/>
          <w:color w:val="333333"/>
          <w:shd w:val="clear" w:color="auto" w:fill="FFFFFF"/>
        </w:rPr>
        <w:t> 9(1): 101–114.</w:t>
      </w:r>
    </w:p>
    <w:p w14:paraId="3F5432A9" w14:textId="77777777" w:rsidR="00476DA8" w:rsidRPr="00476DA8" w:rsidRDefault="00476DA8">
      <w:pPr>
        <w:rPr>
          <w:rFonts w:cstheme="minorHAnsi"/>
        </w:rPr>
      </w:pPr>
      <w:r w:rsidRPr="00476DA8">
        <w:rPr>
          <w:rFonts w:cstheme="minorHAnsi"/>
        </w:rPr>
        <w:t xml:space="preserve">Fodor, O.C., &amp; </w:t>
      </w:r>
      <w:proofErr w:type="spellStart"/>
      <w:r w:rsidRPr="00476DA8">
        <w:rPr>
          <w:rFonts w:cstheme="minorHAnsi"/>
        </w:rPr>
        <w:t>Flestea</w:t>
      </w:r>
      <w:proofErr w:type="spellEnd"/>
      <w:r w:rsidRPr="00476DA8">
        <w:rPr>
          <w:rFonts w:cstheme="minorHAnsi"/>
        </w:rPr>
        <w:t xml:space="preserve">, A. M. (2016) When fluid structures fail: A social network approach to multi-team systems’ effectiveness. </w:t>
      </w:r>
      <w:r w:rsidRPr="00476DA8">
        <w:rPr>
          <w:rFonts w:cstheme="minorHAnsi"/>
          <w:i/>
          <w:iCs/>
        </w:rPr>
        <w:t xml:space="preserve">Team Performance Management, </w:t>
      </w:r>
      <w:r w:rsidRPr="00476DA8">
        <w:rPr>
          <w:rFonts w:cstheme="minorHAnsi"/>
        </w:rPr>
        <w:t xml:space="preserve">22, 156-180. </w:t>
      </w:r>
    </w:p>
    <w:p w14:paraId="1C285D4E" w14:textId="77777777" w:rsidR="00476DA8" w:rsidRPr="00476DA8" w:rsidRDefault="00476DA8" w:rsidP="00476DA8">
      <w:pPr>
        <w:rPr>
          <w:rFonts w:cstheme="minorHAnsi"/>
        </w:rPr>
      </w:pPr>
      <w:r w:rsidRPr="00476DA8">
        <w:rPr>
          <w:rFonts w:cstheme="minorHAnsi"/>
        </w:rPr>
        <w:t xml:space="preserve">GOV.uk, </w:t>
      </w:r>
      <w:hyperlink r:id="rId10" w:history="1">
        <w:r w:rsidRPr="00476DA8">
          <w:rPr>
            <w:rStyle w:val="Hyperlink"/>
            <w:rFonts w:cstheme="minorHAnsi"/>
          </w:rPr>
          <w:t>https://assets.publishing.service.gov.uk/media/6363d113e90e0705a7012946/_HC_757-II__-_Manchester_Arena_Inquiry_Report___Volume_2__Volume_2-II_.pdf</w:t>
        </w:r>
      </w:hyperlink>
      <w:r w:rsidRPr="00476DA8">
        <w:rPr>
          <w:rFonts w:cstheme="minorHAnsi"/>
        </w:rPr>
        <w:t xml:space="preserve"> </w:t>
      </w:r>
    </w:p>
    <w:p w14:paraId="53903FFE" w14:textId="77777777" w:rsidR="00476DA8" w:rsidRPr="00476DA8" w:rsidRDefault="00476DA8" w:rsidP="00476DA8">
      <w:pPr>
        <w:rPr>
          <w:rStyle w:val="Hyperlink"/>
          <w:rFonts w:cstheme="minorHAnsi"/>
        </w:rPr>
      </w:pPr>
      <w:r w:rsidRPr="00476DA8">
        <w:rPr>
          <w:rFonts w:cstheme="minorHAnsi"/>
          <w:color w:val="333333"/>
          <w:shd w:val="clear" w:color="auto" w:fill="FFFFFF"/>
        </w:rPr>
        <w:t>Her Majesty’s Inspectorate of Constabulary (2017a) </w:t>
      </w:r>
      <w:r w:rsidRPr="00476DA8">
        <w:rPr>
          <w:rStyle w:val="Emphasis"/>
          <w:rFonts w:cstheme="minorHAnsi"/>
          <w:color w:val="333333"/>
          <w:shd w:val="clear" w:color="auto" w:fill="FFFFFF"/>
        </w:rPr>
        <w:t>State of Policing: The Annual Assessment of Policing in England and Wales 2016</w:t>
      </w:r>
      <w:r w:rsidRPr="00476DA8">
        <w:rPr>
          <w:rFonts w:cstheme="minorHAnsi"/>
          <w:color w:val="333333"/>
          <w:shd w:val="clear" w:color="auto" w:fill="FFFFFF"/>
        </w:rPr>
        <w:t>. London; Author.</w:t>
      </w:r>
    </w:p>
    <w:p w14:paraId="5FF3D820" w14:textId="77777777" w:rsidR="00476DA8" w:rsidRPr="00476DA8" w:rsidRDefault="00476DA8" w:rsidP="00476DA8">
      <w:pPr>
        <w:rPr>
          <w:rFonts w:cstheme="minorHAnsi"/>
        </w:rPr>
      </w:pPr>
      <w:r w:rsidRPr="00476DA8">
        <w:rPr>
          <w:rFonts w:cstheme="minorHAnsi"/>
          <w:color w:val="333333"/>
          <w:shd w:val="clear" w:color="auto" w:fill="FFFFFF"/>
        </w:rPr>
        <w:t>Her Majesty’s Inspectorate of Constabulary (2017b) </w:t>
      </w:r>
      <w:r w:rsidRPr="00476DA8">
        <w:rPr>
          <w:rStyle w:val="Emphasis"/>
          <w:rFonts w:cstheme="minorHAnsi"/>
          <w:color w:val="333333"/>
          <w:shd w:val="clear" w:color="auto" w:fill="FFFFFF"/>
        </w:rPr>
        <w:t>PEEL – Police Effectiveness 2016: A National Overview</w:t>
      </w:r>
      <w:r w:rsidRPr="00476DA8">
        <w:rPr>
          <w:rFonts w:cstheme="minorHAnsi"/>
          <w:color w:val="333333"/>
          <w:shd w:val="clear" w:color="auto" w:fill="FFFFFF"/>
        </w:rPr>
        <w:t>. London: Author.</w:t>
      </w:r>
    </w:p>
    <w:p w14:paraId="28B73033" w14:textId="77777777" w:rsidR="00476DA8" w:rsidRPr="00476DA8" w:rsidRDefault="00476DA8" w:rsidP="00476DA8">
      <w:pPr>
        <w:rPr>
          <w:rFonts w:cstheme="minorHAnsi"/>
        </w:rPr>
      </w:pPr>
      <w:r w:rsidRPr="00476DA8">
        <w:rPr>
          <w:rFonts w:cstheme="minorHAnsi"/>
        </w:rPr>
        <w:t xml:space="preserve">Higgins, Andy, (2018) The Police Foundation: The Future of Neighbourhood policing. </w:t>
      </w:r>
    </w:p>
    <w:p w14:paraId="16C0CF93" w14:textId="77777777" w:rsidR="00476DA8" w:rsidRPr="00476DA8" w:rsidRDefault="00476DA8" w:rsidP="00476DA8">
      <w:pPr>
        <w:rPr>
          <w:rFonts w:cstheme="minorHAnsi"/>
        </w:rPr>
      </w:pPr>
      <w:hyperlink r:id="rId11" w:anchor="whom-the-police-should-engage-with" w:history="1">
        <w:r w:rsidRPr="00476DA8">
          <w:rPr>
            <w:rStyle w:val="Hyperlink"/>
            <w:rFonts w:cstheme="minorHAnsi"/>
          </w:rPr>
          <w:t>https://www.college.police.uk/app/engagement-and-communication/engagement#whom-the-police-should-engage-with</w:t>
        </w:r>
      </w:hyperlink>
    </w:p>
    <w:p w14:paraId="7DE7F2F8" w14:textId="77777777" w:rsidR="00476DA8" w:rsidRPr="00476DA8" w:rsidRDefault="00476DA8">
      <w:pPr>
        <w:rPr>
          <w:rFonts w:cstheme="minorHAnsi"/>
          <w:sz w:val="24"/>
          <w:szCs w:val="24"/>
        </w:rPr>
      </w:pPr>
      <w:r w:rsidRPr="00476DA8">
        <w:rPr>
          <w:rFonts w:cstheme="minorHAnsi"/>
          <w:sz w:val="24"/>
          <w:szCs w:val="24"/>
        </w:rPr>
        <w:t xml:space="preserve">Kerslake Report (2018) </w:t>
      </w:r>
      <w:r w:rsidRPr="00476DA8">
        <w:rPr>
          <w:rFonts w:cstheme="minorHAnsi"/>
          <w:i/>
          <w:iCs/>
          <w:sz w:val="24"/>
          <w:szCs w:val="24"/>
        </w:rPr>
        <w:t>An independent review into the preparedness for, and emergency response to, the Manchester Arena attack on 22</w:t>
      </w:r>
      <w:r w:rsidRPr="00476DA8">
        <w:rPr>
          <w:rFonts w:cstheme="minorHAnsi"/>
          <w:i/>
          <w:iCs/>
          <w:sz w:val="24"/>
          <w:szCs w:val="24"/>
          <w:vertAlign w:val="superscript"/>
        </w:rPr>
        <w:t>nd</w:t>
      </w:r>
      <w:r w:rsidRPr="00476DA8">
        <w:rPr>
          <w:rFonts w:cstheme="minorHAnsi"/>
          <w:i/>
          <w:iCs/>
          <w:sz w:val="24"/>
          <w:szCs w:val="24"/>
        </w:rPr>
        <w:t xml:space="preserve"> May 2017. </w:t>
      </w:r>
      <w:r w:rsidRPr="00476DA8">
        <w:rPr>
          <w:rFonts w:cstheme="minorHAnsi"/>
          <w:sz w:val="24"/>
          <w:szCs w:val="24"/>
        </w:rPr>
        <w:t xml:space="preserve">Retrieved from </w:t>
      </w:r>
      <w:hyperlink r:id="rId12" w:history="1">
        <w:r w:rsidRPr="00476DA8">
          <w:rPr>
            <w:rStyle w:val="Hyperlink"/>
            <w:rFonts w:cstheme="minorHAnsi"/>
            <w:sz w:val="24"/>
            <w:szCs w:val="24"/>
          </w:rPr>
          <w:t>www.kerslakearenareview.co.uk</w:t>
        </w:r>
      </w:hyperlink>
    </w:p>
    <w:p w14:paraId="4661199E" w14:textId="77777777" w:rsidR="00476DA8" w:rsidRPr="00476DA8" w:rsidRDefault="00476DA8">
      <w:pPr>
        <w:rPr>
          <w:rFonts w:cstheme="minorHAnsi"/>
          <w:sz w:val="24"/>
          <w:szCs w:val="24"/>
        </w:rPr>
      </w:pPr>
      <w:r w:rsidRPr="00476DA8">
        <w:rPr>
          <w:rFonts w:cstheme="minorHAnsi"/>
          <w:sz w:val="24"/>
          <w:szCs w:val="24"/>
        </w:rPr>
        <w:t xml:space="preserve">LePine, J. A., Piccolo, R. F., Jackson, C., Mathieu, J. E., &amp; Saul, J. R., (2008). The double-edged sword of decentralized planning in multi-team systems. </w:t>
      </w:r>
      <w:r w:rsidRPr="00476DA8">
        <w:rPr>
          <w:rFonts w:cstheme="minorHAnsi"/>
          <w:i/>
          <w:iCs/>
          <w:sz w:val="24"/>
          <w:szCs w:val="24"/>
        </w:rPr>
        <w:t xml:space="preserve">Academy of Management Journal, 56, </w:t>
      </w:r>
      <w:r w:rsidRPr="00476DA8">
        <w:rPr>
          <w:rFonts w:cstheme="minorHAnsi"/>
          <w:sz w:val="24"/>
          <w:szCs w:val="24"/>
        </w:rPr>
        <w:t>735-757.</w:t>
      </w:r>
    </w:p>
    <w:p w14:paraId="16209040" w14:textId="77777777" w:rsidR="00476DA8" w:rsidRPr="00476DA8" w:rsidRDefault="00476DA8" w:rsidP="00476DA8">
      <w:pPr>
        <w:rPr>
          <w:rFonts w:cstheme="minorHAnsi"/>
        </w:rPr>
      </w:pPr>
      <w:r w:rsidRPr="00476DA8">
        <w:rPr>
          <w:rFonts w:cstheme="minorHAnsi"/>
        </w:rPr>
        <w:t xml:space="preserve">Lister, S., Adams, B., Phillips, S., Evaluation of Police-Community Engagement Practices, </w:t>
      </w:r>
      <w:r w:rsidRPr="00476DA8">
        <w:rPr>
          <w:rFonts w:cstheme="minorHAnsi"/>
          <w:i/>
          <w:iCs/>
        </w:rPr>
        <w:t>Economic and Social Research Council,</w:t>
      </w:r>
      <w:r w:rsidRPr="00476DA8">
        <w:rPr>
          <w:rFonts w:cstheme="minorHAnsi"/>
        </w:rPr>
        <w:t xml:space="preserve"> 2015</w:t>
      </w:r>
    </w:p>
    <w:p w14:paraId="7A4AB685" w14:textId="77777777" w:rsidR="00476DA8" w:rsidRPr="00476DA8" w:rsidRDefault="00476DA8" w:rsidP="00476DA8">
      <w:pPr>
        <w:rPr>
          <w:rFonts w:cstheme="minorHAnsi"/>
        </w:rPr>
      </w:pPr>
      <w:r w:rsidRPr="00476DA8">
        <w:rPr>
          <w:rFonts w:cstheme="minorHAnsi"/>
        </w:rPr>
        <w:lastRenderedPageBreak/>
        <w:t xml:space="preserve">Lockey, S., Graham, L., Redman, T., Zheng, Y., Routledge, G., &amp; Purves, L. (2019). The impact of a local community engagement intervention on residents’ fear of crime and perceptions of the police. International Journal of Police Science &amp; Management, 21(3), 168-180. Retrieved from </w:t>
      </w:r>
      <w:hyperlink r:id="rId13" w:history="1">
        <w:r w:rsidRPr="00476DA8">
          <w:rPr>
            <w:rStyle w:val="Hyperlink"/>
            <w:rFonts w:cstheme="minorHAnsi"/>
          </w:rPr>
          <w:t>https://doi.org/10.1177/1461355719856039</w:t>
        </w:r>
      </w:hyperlink>
    </w:p>
    <w:p w14:paraId="1F491344" w14:textId="77777777" w:rsidR="00476DA8" w:rsidRPr="00476DA8" w:rsidRDefault="00476DA8">
      <w:pPr>
        <w:rPr>
          <w:rFonts w:cstheme="minorHAnsi"/>
          <w:sz w:val="24"/>
          <w:szCs w:val="24"/>
        </w:rPr>
      </w:pPr>
      <w:r w:rsidRPr="00476DA8">
        <w:rPr>
          <w:rFonts w:cstheme="minorHAnsi"/>
          <w:sz w:val="24"/>
          <w:szCs w:val="24"/>
        </w:rPr>
        <w:t xml:space="preserve">Luciano, M. M., DeChurch, L. A., &amp; Mathieu, J. E., (2018) Multiteam systems: A structural framework and meso-theory of system functioning. </w:t>
      </w:r>
      <w:r w:rsidRPr="00476DA8">
        <w:rPr>
          <w:rFonts w:cstheme="minorHAnsi"/>
          <w:i/>
          <w:iCs/>
          <w:sz w:val="24"/>
          <w:szCs w:val="24"/>
        </w:rPr>
        <w:t xml:space="preserve">Journal of Management, 44, </w:t>
      </w:r>
      <w:r w:rsidRPr="00476DA8">
        <w:rPr>
          <w:rFonts w:cstheme="minorHAnsi"/>
          <w:sz w:val="24"/>
          <w:szCs w:val="24"/>
        </w:rPr>
        <w:t>1065-1096.</w:t>
      </w:r>
    </w:p>
    <w:p w14:paraId="5174D06C" w14:textId="77777777" w:rsidR="00476DA8" w:rsidRPr="00476DA8" w:rsidRDefault="00476DA8" w:rsidP="00476DA8">
      <w:pPr>
        <w:rPr>
          <w:rFonts w:cstheme="minorHAnsi"/>
          <w:color w:val="333333"/>
          <w:shd w:val="clear" w:color="auto" w:fill="FFFFFF"/>
        </w:rPr>
      </w:pPr>
      <w:r w:rsidRPr="00476DA8">
        <w:rPr>
          <w:rFonts w:cstheme="minorHAnsi"/>
          <w:color w:val="333333"/>
          <w:shd w:val="clear" w:color="auto" w:fill="FFFFFF"/>
        </w:rPr>
        <w:t>Myhill A (2012) </w:t>
      </w:r>
      <w:r w:rsidRPr="00476DA8">
        <w:rPr>
          <w:rStyle w:val="Emphasis"/>
          <w:rFonts w:cstheme="minorHAnsi"/>
          <w:color w:val="333333"/>
          <w:shd w:val="clear" w:color="auto" w:fill="FFFFFF"/>
        </w:rPr>
        <w:t>Community Engagement in Policing: Lessons from the Literature</w:t>
      </w:r>
      <w:r w:rsidRPr="00476DA8">
        <w:rPr>
          <w:rFonts w:cstheme="minorHAnsi"/>
          <w:color w:val="333333"/>
          <w:shd w:val="clear" w:color="auto" w:fill="FFFFFF"/>
        </w:rPr>
        <w:t>. London: National Policing Improvement Agency.</w:t>
      </w:r>
    </w:p>
    <w:p w14:paraId="096CAC55" w14:textId="77777777" w:rsidR="00476DA8" w:rsidRPr="00476DA8" w:rsidRDefault="00476DA8" w:rsidP="00476DA8">
      <w:pPr>
        <w:rPr>
          <w:rFonts w:cstheme="minorHAnsi"/>
        </w:rPr>
      </w:pPr>
      <w:r w:rsidRPr="00476DA8">
        <w:rPr>
          <w:rFonts w:cstheme="minorHAnsi"/>
          <w:color w:val="333333"/>
          <w:shd w:val="clear" w:color="auto" w:fill="FFFFFF"/>
        </w:rPr>
        <w:t xml:space="preserve">National Policing Improvement Agency (2021), Cohesion Guide. Retrieved from </w:t>
      </w:r>
      <w:proofErr w:type="gramStart"/>
      <w:r w:rsidRPr="00476DA8">
        <w:rPr>
          <w:rFonts w:cstheme="minorHAnsi"/>
          <w:color w:val="333333"/>
          <w:shd w:val="clear" w:color="auto" w:fill="FFFFFF"/>
        </w:rPr>
        <w:t>www.npia.police.uk</w:t>
      </w:r>
      <w:proofErr w:type="gramEnd"/>
    </w:p>
    <w:p w14:paraId="291BFE57" w14:textId="77777777" w:rsidR="00476DA8" w:rsidRPr="00476DA8" w:rsidRDefault="00476DA8" w:rsidP="00476DA8">
      <w:pPr>
        <w:rPr>
          <w:rFonts w:cstheme="minorHAnsi"/>
        </w:rPr>
      </w:pPr>
      <w:r w:rsidRPr="00476DA8">
        <w:rPr>
          <w:rFonts w:cstheme="minorHAnsi"/>
        </w:rPr>
        <w:t xml:space="preserve">Police Foundation Social Media Briefing retrieved from </w:t>
      </w:r>
      <w:hyperlink r:id="rId14" w:history="1">
        <w:r w:rsidRPr="00476DA8">
          <w:rPr>
            <w:rStyle w:val="Hyperlink"/>
            <w:rFonts w:cstheme="minorHAnsi"/>
          </w:rPr>
          <w:t>https://www.police-foundation.org.uk/wp-content/uploads/2017/08/Social_media_briefing_FINAL.pdf</w:t>
        </w:r>
      </w:hyperlink>
      <w:r w:rsidRPr="00476DA8">
        <w:rPr>
          <w:rFonts w:cstheme="minorHAnsi"/>
        </w:rPr>
        <w:t xml:space="preserve"> </w:t>
      </w:r>
    </w:p>
    <w:p w14:paraId="31F911B2" w14:textId="77777777" w:rsidR="00476DA8" w:rsidRPr="00476DA8" w:rsidRDefault="00476DA8">
      <w:pPr>
        <w:rPr>
          <w:rFonts w:cstheme="minorHAnsi"/>
          <w:sz w:val="24"/>
          <w:szCs w:val="24"/>
        </w:rPr>
      </w:pPr>
      <w:r w:rsidRPr="00476DA8">
        <w:rPr>
          <w:rFonts w:cstheme="minorHAnsi"/>
          <w:sz w:val="24"/>
          <w:szCs w:val="24"/>
        </w:rPr>
        <w:t xml:space="preserve">Power, N., &amp; Alison, L. (2017a) Offence or defence? Approach and avoid goals in the multi-agency emergency response to a simulated terrorist attack. </w:t>
      </w:r>
      <w:r w:rsidRPr="00476DA8">
        <w:rPr>
          <w:rFonts w:cstheme="minorHAnsi"/>
          <w:i/>
          <w:iCs/>
          <w:sz w:val="24"/>
          <w:szCs w:val="24"/>
        </w:rPr>
        <w:t xml:space="preserve">Journal of Occupational and Organizational Psychology, 90(1), </w:t>
      </w:r>
      <w:r w:rsidRPr="00476DA8">
        <w:rPr>
          <w:rFonts w:cstheme="minorHAnsi"/>
          <w:sz w:val="24"/>
          <w:szCs w:val="24"/>
        </w:rPr>
        <w:t>51-76</w:t>
      </w:r>
    </w:p>
    <w:p w14:paraId="3B289515" w14:textId="77777777" w:rsidR="00476DA8" w:rsidRPr="00476DA8" w:rsidRDefault="00476DA8" w:rsidP="00476DA8">
      <w:pPr>
        <w:rPr>
          <w:rFonts w:cstheme="minorHAnsi"/>
        </w:rPr>
      </w:pPr>
      <w:r w:rsidRPr="00476DA8">
        <w:rPr>
          <w:rFonts w:cstheme="minorHAnsi"/>
        </w:rPr>
        <w:t xml:space="preserve">Rowley, L., (2019) Working with community tensions in the UK: towards a new narrative. Retrieved from </w:t>
      </w:r>
      <w:proofErr w:type="gramStart"/>
      <w:r w:rsidRPr="00476DA8">
        <w:rPr>
          <w:rFonts w:cstheme="minorHAnsi"/>
        </w:rPr>
        <w:t>https://pure.coventry.ac.uk/ws/portalfiles/portal/44115232/Rowley2020.pdf</w:t>
      </w:r>
      <w:proofErr w:type="gramEnd"/>
      <w:r w:rsidRPr="00476DA8">
        <w:rPr>
          <w:rFonts w:cstheme="minorHAnsi"/>
        </w:rPr>
        <w:t xml:space="preserve"> </w:t>
      </w:r>
    </w:p>
    <w:p w14:paraId="1EEC220B" w14:textId="77777777" w:rsidR="00476DA8" w:rsidRPr="00476DA8" w:rsidRDefault="00476DA8" w:rsidP="00476DA8">
      <w:pPr>
        <w:rPr>
          <w:rFonts w:cstheme="minorHAnsi"/>
        </w:rPr>
      </w:pPr>
      <w:r w:rsidRPr="00476DA8">
        <w:rPr>
          <w:rFonts w:cstheme="minorHAnsi"/>
        </w:rPr>
        <w:t>UK Parliament Post 2023.</w:t>
      </w:r>
    </w:p>
    <w:p w14:paraId="63E2CA8C" w14:textId="77777777" w:rsidR="00476DA8" w:rsidRPr="00476DA8" w:rsidRDefault="00476DA8">
      <w:pPr>
        <w:rPr>
          <w:rFonts w:cstheme="minorHAnsi"/>
          <w:sz w:val="24"/>
          <w:szCs w:val="24"/>
        </w:rPr>
      </w:pPr>
      <w:r w:rsidRPr="00476DA8">
        <w:rPr>
          <w:rFonts w:cstheme="minorHAnsi"/>
          <w:sz w:val="24"/>
          <w:szCs w:val="24"/>
        </w:rPr>
        <w:t xml:space="preserve">Waring, S., Alison, L., Shortland, N., &amp; Humann, M., (2019). The role of information sharing on decision delay during multiteam disaster response. </w:t>
      </w:r>
      <w:r w:rsidRPr="00476DA8">
        <w:rPr>
          <w:rFonts w:cstheme="minorHAnsi"/>
          <w:i/>
          <w:iCs/>
          <w:sz w:val="24"/>
          <w:szCs w:val="24"/>
        </w:rPr>
        <w:t xml:space="preserve">Cognition, Technology &amp; Work, 22, </w:t>
      </w:r>
      <w:r w:rsidRPr="00476DA8">
        <w:rPr>
          <w:rFonts w:cstheme="minorHAnsi"/>
          <w:sz w:val="24"/>
          <w:szCs w:val="24"/>
        </w:rPr>
        <w:t xml:space="preserve">263-279. </w:t>
      </w:r>
    </w:p>
    <w:p w14:paraId="0E8152CD" w14:textId="77777777" w:rsidR="00476DA8" w:rsidRPr="00476DA8" w:rsidRDefault="00476DA8" w:rsidP="00476DA8">
      <w:pPr>
        <w:rPr>
          <w:rFonts w:cstheme="minorHAnsi"/>
        </w:rPr>
      </w:pPr>
      <w:hyperlink r:id="rId15" w:history="1">
        <w:r w:rsidRPr="00476DA8">
          <w:rPr>
            <w:rStyle w:val="Hyperlink"/>
            <w:rFonts w:cstheme="minorHAnsi"/>
          </w:rPr>
          <w:t>www.parliament.uk</w:t>
        </w:r>
      </w:hyperlink>
      <w:r w:rsidRPr="00476DA8">
        <w:rPr>
          <w:rFonts w:cstheme="minorHAnsi"/>
        </w:rPr>
        <w:t xml:space="preserve"> ‘Confidence in policing among BME communities’, 2020.</w:t>
      </w:r>
    </w:p>
    <w:p w14:paraId="12523235" w14:textId="77777777" w:rsidR="00476DA8" w:rsidRPr="00476DA8" w:rsidRDefault="00476DA8" w:rsidP="00476DA8">
      <w:pPr>
        <w:rPr>
          <w:rFonts w:cstheme="minorHAnsi"/>
        </w:rPr>
      </w:pPr>
      <w:proofErr w:type="spellStart"/>
      <w:r w:rsidRPr="00476DA8">
        <w:rPr>
          <w:rFonts w:cstheme="minorHAnsi"/>
        </w:rPr>
        <w:t>Yesberg</w:t>
      </w:r>
      <w:proofErr w:type="spellEnd"/>
      <w:r w:rsidRPr="00476DA8">
        <w:rPr>
          <w:rFonts w:cstheme="minorHAnsi"/>
        </w:rPr>
        <w:t>, J., Brunton-Smith, I., Bradford, B. European Journal of Criminology, 2023, Vol. 20 (2) 712-737, ‘Police Visibility, trust in police fairness and collective efficacy: A multilevel Structural Equation Model’</w:t>
      </w:r>
    </w:p>
    <w:p w14:paraId="091FA33C" w14:textId="3F9021F1" w:rsidR="00B15ABD" w:rsidRPr="00630DB6" w:rsidRDefault="00B15ABD"/>
    <w:sectPr w:rsidR="00B15ABD" w:rsidRPr="00630D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8BAA1" w14:textId="77777777" w:rsidR="002E0CC4" w:rsidRDefault="002E0CC4" w:rsidP="00CD700B">
      <w:pPr>
        <w:spacing w:after="0" w:line="240" w:lineRule="auto"/>
      </w:pPr>
      <w:r>
        <w:separator/>
      </w:r>
    </w:p>
  </w:endnote>
  <w:endnote w:type="continuationSeparator" w:id="0">
    <w:p w14:paraId="380F6223" w14:textId="77777777" w:rsidR="002E0CC4" w:rsidRDefault="002E0CC4" w:rsidP="00CD7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02D10" w14:textId="77777777" w:rsidR="002E0CC4" w:rsidRDefault="002E0CC4" w:rsidP="00CD700B">
      <w:pPr>
        <w:spacing w:after="0" w:line="240" w:lineRule="auto"/>
      </w:pPr>
      <w:r>
        <w:separator/>
      </w:r>
    </w:p>
  </w:footnote>
  <w:footnote w:type="continuationSeparator" w:id="0">
    <w:p w14:paraId="04128295" w14:textId="77777777" w:rsidR="002E0CC4" w:rsidRDefault="002E0CC4" w:rsidP="00CD70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A89"/>
    <w:rsid w:val="00065856"/>
    <w:rsid w:val="00073AFD"/>
    <w:rsid w:val="00082A3B"/>
    <w:rsid w:val="0008465B"/>
    <w:rsid w:val="000B145A"/>
    <w:rsid w:val="000C1C4C"/>
    <w:rsid w:val="000C3D92"/>
    <w:rsid w:val="00112847"/>
    <w:rsid w:val="001A0108"/>
    <w:rsid w:val="001B4525"/>
    <w:rsid w:val="00210733"/>
    <w:rsid w:val="00246A96"/>
    <w:rsid w:val="002517E8"/>
    <w:rsid w:val="00277A6D"/>
    <w:rsid w:val="002801EC"/>
    <w:rsid w:val="00280E20"/>
    <w:rsid w:val="002A5D3C"/>
    <w:rsid w:val="002C164D"/>
    <w:rsid w:val="002C3D75"/>
    <w:rsid w:val="002D6BBC"/>
    <w:rsid w:val="002E0CC4"/>
    <w:rsid w:val="002E63CB"/>
    <w:rsid w:val="002F69F7"/>
    <w:rsid w:val="00307F90"/>
    <w:rsid w:val="003E5938"/>
    <w:rsid w:val="003F12CA"/>
    <w:rsid w:val="004039CA"/>
    <w:rsid w:val="0043654F"/>
    <w:rsid w:val="00437263"/>
    <w:rsid w:val="00470823"/>
    <w:rsid w:val="00476DA8"/>
    <w:rsid w:val="004955F9"/>
    <w:rsid w:val="004B7B3D"/>
    <w:rsid w:val="004C12DB"/>
    <w:rsid w:val="004D42B7"/>
    <w:rsid w:val="00543D11"/>
    <w:rsid w:val="00553A04"/>
    <w:rsid w:val="00566382"/>
    <w:rsid w:val="00570570"/>
    <w:rsid w:val="00616FE7"/>
    <w:rsid w:val="006205FE"/>
    <w:rsid w:val="006238CD"/>
    <w:rsid w:val="00630DB6"/>
    <w:rsid w:val="00652EC5"/>
    <w:rsid w:val="0068395A"/>
    <w:rsid w:val="00694A40"/>
    <w:rsid w:val="00696C69"/>
    <w:rsid w:val="006A4429"/>
    <w:rsid w:val="006A7666"/>
    <w:rsid w:val="006C4ECF"/>
    <w:rsid w:val="006D5FA9"/>
    <w:rsid w:val="006E1058"/>
    <w:rsid w:val="006E5552"/>
    <w:rsid w:val="006F133C"/>
    <w:rsid w:val="00760801"/>
    <w:rsid w:val="0078307A"/>
    <w:rsid w:val="0078480C"/>
    <w:rsid w:val="007F1489"/>
    <w:rsid w:val="00813AD3"/>
    <w:rsid w:val="00821334"/>
    <w:rsid w:val="00851182"/>
    <w:rsid w:val="008A0A89"/>
    <w:rsid w:val="008A4DA3"/>
    <w:rsid w:val="008B5B3A"/>
    <w:rsid w:val="008C500D"/>
    <w:rsid w:val="00940633"/>
    <w:rsid w:val="009439F6"/>
    <w:rsid w:val="00961C5B"/>
    <w:rsid w:val="009C0905"/>
    <w:rsid w:val="009E5271"/>
    <w:rsid w:val="009F1C0B"/>
    <w:rsid w:val="00A061BB"/>
    <w:rsid w:val="00A668E5"/>
    <w:rsid w:val="00A86E09"/>
    <w:rsid w:val="00A92C84"/>
    <w:rsid w:val="00AC03C4"/>
    <w:rsid w:val="00AC3BD8"/>
    <w:rsid w:val="00B03C5F"/>
    <w:rsid w:val="00B103DA"/>
    <w:rsid w:val="00B15ABD"/>
    <w:rsid w:val="00B17051"/>
    <w:rsid w:val="00B31879"/>
    <w:rsid w:val="00B36A14"/>
    <w:rsid w:val="00B41BA6"/>
    <w:rsid w:val="00B46094"/>
    <w:rsid w:val="00B5388F"/>
    <w:rsid w:val="00B9328D"/>
    <w:rsid w:val="00BA5A78"/>
    <w:rsid w:val="00C2307C"/>
    <w:rsid w:val="00C5570E"/>
    <w:rsid w:val="00C67743"/>
    <w:rsid w:val="00C73D09"/>
    <w:rsid w:val="00C770DD"/>
    <w:rsid w:val="00CA53C1"/>
    <w:rsid w:val="00CB46A3"/>
    <w:rsid w:val="00CC64B8"/>
    <w:rsid w:val="00CD0418"/>
    <w:rsid w:val="00CD1DBC"/>
    <w:rsid w:val="00CD5D80"/>
    <w:rsid w:val="00CD700B"/>
    <w:rsid w:val="00CF17F9"/>
    <w:rsid w:val="00D2593F"/>
    <w:rsid w:val="00D356BF"/>
    <w:rsid w:val="00D44E86"/>
    <w:rsid w:val="00D55696"/>
    <w:rsid w:val="00D770DA"/>
    <w:rsid w:val="00D958B1"/>
    <w:rsid w:val="00E010AE"/>
    <w:rsid w:val="00E508F1"/>
    <w:rsid w:val="00E77D12"/>
    <w:rsid w:val="00EC18EE"/>
    <w:rsid w:val="00ED21E7"/>
    <w:rsid w:val="00F07EE7"/>
    <w:rsid w:val="00F85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4DC5"/>
  <w15:chartTrackingRefBased/>
  <w15:docId w15:val="{7496B9B0-0877-488F-B8C5-3A60C59AB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C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1">
    <w:name w:val="para1"/>
    <w:basedOn w:val="Normal"/>
    <w:rsid w:val="00696C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ootnote-reference">
    <w:name w:val="footnote-reference"/>
    <w:basedOn w:val="DefaultParagraphFont"/>
    <w:rsid w:val="00696C69"/>
  </w:style>
  <w:style w:type="character" w:styleId="Hyperlink">
    <w:name w:val="Hyperlink"/>
    <w:basedOn w:val="DefaultParagraphFont"/>
    <w:uiPriority w:val="99"/>
    <w:unhideWhenUsed/>
    <w:rsid w:val="00696C69"/>
    <w:rPr>
      <w:color w:val="0000FF"/>
      <w:u w:val="single"/>
    </w:rPr>
  </w:style>
  <w:style w:type="character" w:customStyle="1" w:styleId="para1span">
    <w:name w:val="para1span"/>
    <w:basedOn w:val="DefaultParagraphFont"/>
    <w:rsid w:val="00696C69"/>
  </w:style>
  <w:style w:type="paragraph" w:customStyle="1" w:styleId="Caption1">
    <w:name w:val="Caption1"/>
    <w:basedOn w:val="Normal"/>
    <w:rsid w:val="00696C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96C69"/>
    <w:rPr>
      <w:color w:val="605E5C"/>
      <w:shd w:val="clear" w:color="auto" w:fill="E1DFDD"/>
    </w:rPr>
  </w:style>
  <w:style w:type="character" w:customStyle="1" w:styleId="Heading1Char">
    <w:name w:val="Heading 1 Char"/>
    <w:basedOn w:val="DefaultParagraphFont"/>
    <w:link w:val="Heading1"/>
    <w:uiPriority w:val="9"/>
    <w:rsid w:val="00B03C5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D7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00B"/>
  </w:style>
  <w:style w:type="paragraph" w:styleId="Footer">
    <w:name w:val="footer"/>
    <w:basedOn w:val="Normal"/>
    <w:link w:val="FooterChar"/>
    <w:uiPriority w:val="99"/>
    <w:unhideWhenUsed/>
    <w:rsid w:val="00CD7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00B"/>
  </w:style>
  <w:style w:type="character" w:styleId="Emphasis">
    <w:name w:val="Emphasis"/>
    <w:basedOn w:val="DefaultParagraphFont"/>
    <w:uiPriority w:val="20"/>
    <w:qFormat/>
    <w:rsid w:val="00C2307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690136">
      <w:bodyDiv w:val="1"/>
      <w:marLeft w:val="0"/>
      <w:marRight w:val="0"/>
      <w:marTop w:val="0"/>
      <w:marBottom w:val="0"/>
      <w:divBdr>
        <w:top w:val="none" w:sz="0" w:space="0" w:color="auto"/>
        <w:left w:val="none" w:sz="0" w:space="0" w:color="auto"/>
        <w:bottom w:val="none" w:sz="0" w:space="0" w:color="auto"/>
        <w:right w:val="none" w:sz="0" w:space="0" w:color="auto"/>
      </w:divBdr>
    </w:div>
    <w:div w:id="134705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app/civil-emergencies/civil-contingencies/supporting-material" TargetMode="External"/><Relationship Id="rId13" Type="http://schemas.openxmlformats.org/officeDocument/2006/relationships/hyperlink" Target="https://doi.org/10.1177/1461355719856039" TargetMode="External"/><Relationship Id="rId3" Type="http://schemas.openxmlformats.org/officeDocument/2006/relationships/webSettings" Target="webSettings.xml"/><Relationship Id="rId7" Type="http://schemas.openxmlformats.org/officeDocument/2006/relationships/hyperlink" Target="https://www.cambridge.org/core/journals/social-policy-and-society/article/police-use-of-social-media-transformation-or-normalisation/19E5C6727038F01129B51CE4287D0FFB" TargetMode="External"/><Relationship Id="rId12" Type="http://schemas.openxmlformats.org/officeDocument/2006/relationships/hyperlink" Target="http://www.kerslakearenareview.co.uk"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v.uk/government/publications/beating-crime-plan/beating-crime-plan" TargetMode="External"/><Relationship Id="rId11" Type="http://schemas.openxmlformats.org/officeDocument/2006/relationships/hyperlink" Target="https://www.college.police.uk/app/engagement-and-communication/engagement" TargetMode="External"/><Relationship Id="rId5" Type="http://schemas.openxmlformats.org/officeDocument/2006/relationships/endnotes" Target="endnotes.xml"/><Relationship Id="rId15" Type="http://schemas.openxmlformats.org/officeDocument/2006/relationships/hyperlink" Target="http://www.parliament.uk" TargetMode="External"/><Relationship Id="rId10" Type="http://schemas.openxmlformats.org/officeDocument/2006/relationships/hyperlink" Target="https://assets.publishing.service.gov.uk/media/6363d113e90e0705a7012946/_HC_757-II__-_Manchester_Arena_Inquiry_Report___Volume_2__Volume_2-II_.pdf" TargetMode="External"/><Relationship Id="rId4" Type="http://schemas.openxmlformats.org/officeDocument/2006/relationships/footnotes" Target="footnotes.xml"/><Relationship Id="rId9" Type="http://schemas.openxmlformats.org/officeDocument/2006/relationships/hyperlink" Target="https://www,durham.police.uk" TargetMode="External"/><Relationship Id="rId14" Type="http://schemas.openxmlformats.org/officeDocument/2006/relationships/hyperlink" Target="https://www.police-foundation.org.uk/wp-content/uploads/2017/08/Social_media_briefing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4715</Words>
  <Characters>26880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Markey</dc:creator>
  <cp:keywords/>
  <dc:description/>
  <cp:lastModifiedBy>Markey,Joseph swp8318</cp:lastModifiedBy>
  <cp:revision>2</cp:revision>
  <cp:lastPrinted>2024-03-03T15:59:00Z</cp:lastPrinted>
  <dcterms:created xsi:type="dcterms:W3CDTF">2024-03-04T05:42:00Z</dcterms:created>
  <dcterms:modified xsi:type="dcterms:W3CDTF">2024-03-04T05:42:00Z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2024-03-04T05:34:29Z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cd1711dc-8381-4a1f-a25c-c6ff9bf9f4c2</vt:lpwstr>
  </property>
  <property fmtid="{D5CDD505-2E9C-101B-9397-08002B2CF9AE}" pid="8" name="MSIP_Label_66cf8fe5-b7b7-4df7-b38d-1c61ac2f6639_ContentBits">
    <vt:lpwstr>0</vt:lpwstr>
  </property>
</Properties>
</file>