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F09CD" w14:textId="77777777" w:rsidR="007C29BD" w:rsidRPr="00326609" w:rsidRDefault="007C29BD" w:rsidP="00326609">
      <w:pPr>
        <w:spacing w:line="360" w:lineRule="auto"/>
        <w:jc w:val="center"/>
        <w:rPr>
          <w:rFonts w:ascii="Arial" w:hAnsi="Arial" w:cs="Arial"/>
          <w:b/>
          <w:bCs/>
          <w:sz w:val="36"/>
          <w:szCs w:val="36"/>
          <w:lang w:eastAsia="ja-JP"/>
        </w:rPr>
      </w:pPr>
      <w:r w:rsidRPr="00326609">
        <w:rPr>
          <w:rFonts w:ascii="Arial" w:hAnsi="Arial" w:cs="Arial"/>
          <w:b/>
          <w:bCs/>
          <w:sz w:val="36"/>
          <w:szCs w:val="36"/>
          <w:lang w:eastAsia="ja-JP"/>
        </w:rPr>
        <w:t>Student Name: Mercy Tshikombwe</w:t>
      </w:r>
    </w:p>
    <w:p w14:paraId="0087E4CE" w14:textId="6AE90459" w:rsidR="007C29BD" w:rsidRPr="00326609" w:rsidRDefault="007C29BD" w:rsidP="00326609">
      <w:pPr>
        <w:spacing w:line="360" w:lineRule="auto"/>
        <w:jc w:val="center"/>
        <w:rPr>
          <w:rFonts w:ascii="Arial" w:hAnsi="Arial" w:cs="Arial"/>
          <w:b/>
          <w:bCs/>
          <w:sz w:val="36"/>
          <w:szCs w:val="36"/>
          <w:lang w:eastAsia="ja-JP"/>
        </w:rPr>
      </w:pPr>
      <w:r w:rsidRPr="00326609">
        <w:rPr>
          <w:rFonts w:ascii="Arial" w:hAnsi="Arial" w:cs="Arial"/>
          <w:b/>
          <w:bCs/>
          <w:sz w:val="36"/>
          <w:szCs w:val="36"/>
          <w:lang w:eastAsia="ja-JP"/>
        </w:rPr>
        <w:t>Student number: 2424792</w:t>
      </w:r>
    </w:p>
    <w:p w14:paraId="78615274" w14:textId="0858B748" w:rsidR="007C29BD" w:rsidRPr="00326609" w:rsidRDefault="007C29BD" w:rsidP="00326609">
      <w:pPr>
        <w:spacing w:line="360" w:lineRule="auto"/>
        <w:jc w:val="center"/>
        <w:rPr>
          <w:rFonts w:ascii="Arial" w:hAnsi="Arial" w:cs="Arial"/>
          <w:b/>
          <w:bCs/>
          <w:sz w:val="36"/>
          <w:szCs w:val="36"/>
          <w:lang w:eastAsia="ja-JP"/>
        </w:rPr>
      </w:pPr>
      <w:r w:rsidRPr="00326609">
        <w:rPr>
          <w:rFonts w:ascii="Arial" w:hAnsi="Arial" w:cs="Arial"/>
          <w:b/>
          <w:bCs/>
          <w:sz w:val="36"/>
          <w:szCs w:val="36"/>
          <w:lang w:eastAsia="ja-JP"/>
        </w:rPr>
        <w:t>Module name: Principles of health and social care practice</w:t>
      </w:r>
    </w:p>
    <w:p w14:paraId="48A51F02" w14:textId="77777777" w:rsidR="007C29BD" w:rsidRPr="00326609" w:rsidRDefault="007C29BD" w:rsidP="00326609">
      <w:pPr>
        <w:spacing w:line="360" w:lineRule="auto"/>
        <w:jc w:val="center"/>
        <w:rPr>
          <w:rFonts w:ascii="Arial" w:hAnsi="Arial" w:cs="Arial"/>
          <w:b/>
          <w:bCs/>
          <w:sz w:val="36"/>
          <w:szCs w:val="36"/>
          <w:lang w:eastAsia="ja-JP"/>
        </w:rPr>
      </w:pPr>
      <w:r w:rsidRPr="00326609">
        <w:rPr>
          <w:rFonts w:ascii="Arial" w:hAnsi="Arial" w:cs="Arial"/>
          <w:b/>
          <w:bCs/>
          <w:sz w:val="36"/>
          <w:szCs w:val="36"/>
          <w:lang w:eastAsia="ja-JP"/>
        </w:rPr>
        <w:t>Module Code: BMHP5016</w:t>
      </w:r>
    </w:p>
    <w:p w14:paraId="73B14162" w14:textId="4E7C0B10" w:rsidR="007C29BD" w:rsidRPr="00326609" w:rsidRDefault="007C29BD" w:rsidP="00326609">
      <w:pPr>
        <w:spacing w:line="360" w:lineRule="auto"/>
        <w:jc w:val="center"/>
        <w:rPr>
          <w:rFonts w:ascii="Arial" w:hAnsi="Arial" w:cs="Arial"/>
          <w:b/>
          <w:bCs/>
          <w:sz w:val="36"/>
          <w:szCs w:val="36"/>
          <w:lang w:eastAsia="ja-JP"/>
        </w:rPr>
      </w:pPr>
      <w:r w:rsidRPr="00326609">
        <w:rPr>
          <w:rFonts w:ascii="Arial" w:hAnsi="Arial" w:cs="Arial"/>
          <w:b/>
          <w:bCs/>
          <w:sz w:val="36"/>
          <w:szCs w:val="36"/>
          <w:lang w:eastAsia="ja-JP"/>
        </w:rPr>
        <w:t xml:space="preserve">Assignment title: Component 2 written </w:t>
      </w:r>
      <w:r w:rsidR="00326609" w:rsidRPr="00326609">
        <w:rPr>
          <w:rFonts w:ascii="Arial" w:hAnsi="Arial" w:cs="Arial"/>
          <w:b/>
          <w:bCs/>
          <w:sz w:val="36"/>
          <w:szCs w:val="36"/>
          <w:lang w:eastAsia="ja-JP"/>
        </w:rPr>
        <w:t>assignment report</w:t>
      </w:r>
    </w:p>
    <w:p w14:paraId="72263247" w14:textId="07C150B7" w:rsidR="007C29BD" w:rsidRPr="00326609" w:rsidRDefault="007C29BD" w:rsidP="00326609">
      <w:pPr>
        <w:spacing w:line="360" w:lineRule="auto"/>
        <w:jc w:val="center"/>
        <w:rPr>
          <w:rFonts w:ascii="Arial" w:hAnsi="Arial" w:cs="Arial"/>
          <w:b/>
          <w:bCs/>
          <w:sz w:val="36"/>
          <w:szCs w:val="36"/>
          <w:lang w:eastAsia="ja-JP"/>
        </w:rPr>
      </w:pPr>
      <w:r w:rsidRPr="00326609">
        <w:rPr>
          <w:rFonts w:ascii="Arial" w:hAnsi="Arial" w:cs="Arial"/>
          <w:b/>
          <w:bCs/>
          <w:sz w:val="36"/>
          <w:szCs w:val="36"/>
          <w:lang w:eastAsia="ja-JP"/>
        </w:rPr>
        <w:t>Lecturers name: Azida Zainol</w:t>
      </w:r>
    </w:p>
    <w:p w14:paraId="3E63C5E7" w14:textId="19D303AA" w:rsidR="007C29BD" w:rsidRPr="00326609" w:rsidRDefault="007C29BD" w:rsidP="00326609">
      <w:pPr>
        <w:spacing w:line="360" w:lineRule="auto"/>
        <w:jc w:val="center"/>
        <w:rPr>
          <w:rFonts w:ascii="Arial" w:hAnsi="Arial" w:cs="Arial"/>
          <w:b/>
          <w:bCs/>
          <w:sz w:val="36"/>
          <w:szCs w:val="36"/>
          <w:lang w:eastAsia="ja-JP"/>
        </w:rPr>
      </w:pPr>
      <w:r w:rsidRPr="00326609">
        <w:rPr>
          <w:rFonts w:ascii="Arial" w:hAnsi="Arial" w:cs="Arial"/>
          <w:b/>
          <w:bCs/>
          <w:sz w:val="36"/>
          <w:szCs w:val="36"/>
          <w:lang w:eastAsia="ja-JP"/>
        </w:rPr>
        <w:t xml:space="preserve">Date </w:t>
      </w:r>
      <w:r w:rsidR="00326609" w:rsidRPr="00326609">
        <w:rPr>
          <w:rFonts w:ascii="Arial" w:hAnsi="Arial" w:cs="Arial"/>
          <w:b/>
          <w:bCs/>
          <w:sz w:val="36"/>
          <w:szCs w:val="36"/>
          <w:lang w:eastAsia="ja-JP"/>
        </w:rPr>
        <w:t>26</w:t>
      </w:r>
      <w:r w:rsidRPr="00326609">
        <w:rPr>
          <w:rFonts w:ascii="Arial" w:hAnsi="Arial" w:cs="Arial"/>
          <w:b/>
          <w:bCs/>
          <w:sz w:val="36"/>
          <w:szCs w:val="36"/>
          <w:lang w:eastAsia="ja-JP"/>
        </w:rPr>
        <w:t>/07/2026</w:t>
      </w:r>
    </w:p>
    <w:p w14:paraId="4141BB87" w14:textId="77777777" w:rsidR="00501B4D" w:rsidRDefault="00501B4D" w:rsidP="00094A96">
      <w:pPr>
        <w:spacing w:line="360" w:lineRule="auto"/>
        <w:rPr>
          <w:rFonts w:ascii="Arial" w:hAnsi="Arial" w:cs="Arial"/>
          <w:lang w:val="en-US" w:eastAsia="ja-JP"/>
        </w:rPr>
      </w:pPr>
    </w:p>
    <w:p w14:paraId="55158D85" w14:textId="77777777" w:rsidR="007C29BD" w:rsidRDefault="007C29BD" w:rsidP="00094A96">
      <w:pPr>
        <w:spacing w:line="360" w:lineRule="auto"/>
        <w:rPr>
          <w:rFonts w:ascii="Arial" w:hAnsi="Arial" w:cs="Arial"/>
          <w:lang w:val="en-US" w:eastAsia="ja-JP"/>
        </w:rPr>
      </w:pPr>
    </w:p>
    <w:p w14:paraId="4092EBF7" w14:textId="77777777" w:rsidR="007C29BD" w:rsidRDefault="007C29BD" w:rsidP="00094A96">
      <w:pPr>
        <w:spacing w:line="360" w:lineRule="auto"/>
        <w:rPr>
          <w:rFonts w:ascii="Arial" w:hAnsi="Arial" w:cs="Arial"/>
          <w:lang w:val="en-US" w:eastAsia="ja-JP"/>
        </w:rPr>
      </w:pPr>
    </w:p>
    <w:p w14:paraId="6518057E" w14:textId="77777777" w:rsidR="007C29BD" w:rsidRDefault="007C29BD" w:rsidP="00094A96">
      <w:pPr>
        <w:spacing w:line="360" w:lineRule="auto"/>
        <w:rPr>
          <w:rFonts w:ascii="Arial" w:hAnsi="Arial" w:cs="Arial"/>
          <w:lang w:val="en-US" w:eastAsia="ja-JP"/>
        </w:rPr>
      </w:pPr>
    </w:p>
    <w:p w14:paraId="69B2B8A4" w14:textId="77777777" w:rsidR="00326609" w:rsidRDefault="00326609" w:rsidP="00094A96">
      <w:pPr>
        <w:spacing w:line="360" w:lineRule="auto"/>
        <w:rPr>
          <w:rFonts w:ascii="Arial" w:hAnsi="Arial" w:cs="Arial"/>
          <w:lang w:val="en-US" w:eastAsia="ja-JP"/>
        </w:rPr>
      </w:pPr>
    </w:p>
    <w:p w14:paraId="431865F7" w14:textId="77777777" w:rsidR="00326609" w:rsidRDefault="00326609" w:rsidP="00094A96">
      <w:pPr>
        <w:spacing w:line="360" w:lineRule="auto"/>
        <w:rPr>
          <w:rFonts w:ascii="Arial" w:hAnsi="Arial" w:cs="Arial"/>
          <w:lang w:val="en-US" w:eastAsia="ja-JP"/>
        </w:rPr>
      </w:pPr>
    </w:p>
    <w:p w14:paraId="6FE5BBC7" w14:textId="77777777" w:rsidR="00326609" w:rsidRDefault="00326609" w:rsidP="00094A96">
      <w:pPr>
        <w:spacing w:line="360" w:lineRule="auto"/>
        <w:rPr>
          <w:rFonts w:ascii="Arial" w:hAnsi="Arial" w:cs="Arial"/>
          <w:lang w:val="en-US" w:eastAsia="ja-JP"/>
        </w:rPr>
      </w:pPr>
    </w:p>
    <w:p w14:paraId="4BF368CE" w14:textId="77777777" w:rsidR="00326609" w:rsidRDefault="00326609" w:rsidP="00094A96">
      <w:pPr>
        <w:spacing w:line="360" w:lineRule="auto"/>
        <w:rPr>
          <w:rFonts w:ascii="Arial" w:hAnsi="Arial" w:cs="Arial"/>
          <w:lang w:val="en-US" w:eastAsia="ja-JP"/>
        </w:rPr>
      </w:pPr>
    </w:p>
    <w:p w14:paraId="023691FF" w14:textId="77777777" w:rsidR="007C29BD" w:rsidRDefault="007C29BD" w:rsidP="00094A96">
      <w:pPr>
        <w:spacing w:line="360" w:lineRule="auto"/>
        <w:rPr>
          <w:rFonts w:ascii="Arial" w:hAnsi="Arial" w:cs="Arial"/>
          <w:lang w:val="en-US" w:eastAsia="ja-JP"/>
        </w:rPr>
      </w:pPr>
    </w:p>
    <w:p w14:paraId="3EA736ED" w14:textId="77777777" w:rsidR="007C29BD" w:rsidRDefault="007C29BD" w:rsidP="00094A96">
      <w:pPr>
        <w:spacing w:line="360" w:lineRule="auto"/>
        <w:rPr>
          <w:rFonts w:ascii="Arial" w:hAnsi="Arial" w:cs="Arial"/>
          <w:lang w:val="en-US" w:eastAsia="ja-JP"/>
        </w:rPr>
      </w:pPr>
    </w:p>
    <w:p w14:paraId="197835AE" w14:textId="77777777" w:rsidR="007C29BD" w:rsidRDefault="007C29BD" w:rsidP="00094A96">
      <w:pPr>
        <w:spacing w:line="360" w:lineRule="auto"/>
        <w:rPr>
          <w:rFonts w:ascii="Arial" w:hAnsi="Arial" w:cs="Arial"/>
          <w:lang w:val="en-US" w:eastAsia="ja-JP"/>
        </w:rPr>
      </w:pPr>
    </w:p>
    <w:p w14:paraId="072E8E0E" w14:textId="77777777" w:rsidR="007C29BD" w:rsidRDefault="007C29BD" w:rsidP="00094A96">
      <w:pPr>
        <w:spacing w:line="360" w:lineRule="auto"/>
        <w:rPr>
          <w:rFonts w:ascii="Arial" w:hAnsi="Arial" w:cs="Arial"/>
          <w:lang w:val="en-US" w:eastAsia="ja-JP"/>
        </w:rPr>
      </w:pPr>
    </w:p>
    <w:p w14:paraId="38C7EE0F" w14:textId="77777777" w:rsidR="00326609" w:rsidRDefault="00326609" w:rsidP="00094A96">
      <w:pPr>
        <w:spacing w:line="360" w:lineRule="auto"/>
        <w:rPr>
          <w:rFonts w:ascii="Arial" w:hAnsi="Arial" w:cs="Arial"/>
          <w:lang w:val="en-US" w:eastAsia="ja-JP"/>
        </w:rPr>
      </w:pPr>
    </w:p>
    <w:sdt>
      <w:sdtPr>
        <w:rPr>
          <w:rFonts w:asciiTheme="minorHAnsi" w:eastAsiaTheme="minorHAnsi" w:hAnsiTheme="minorHAnsi" w:cstheme="minorBidi"/>
          <w:color w:val="auto"/>
          <w:kern w:val="2"/>
          <w:sz w:val="22"/>
          <w:szCs w:val="22"/>
          <w:lang w:eastAsia="en-US"/>
          <w14:ligatures w14:val="standardContextual"/>
        </w:rPr>
        <w:id w:val="-1417930864"/>
        <w:docPartObj>
          <w:docPartGallery w:val="Table of Contents"/>
          <w:docPartUnique/>
        </w:docPartObj>
      </w:sdtPr>
      <w:sdtEndPr>
        <w:rPr>
          <w:b/>
          <w:bCs/>
        </w:rPr>
      </w:sdtEndPr>
      <w:sdtContent>
        <w:p w14:paraId="18511B29" w14:textId="27E4102D" w:rsidR="00BC0C11" w:rsidRPr="00BC0C11" w:rsidRDefault="00BC0C11" w:rsidP="00BC0C11">
          <w:pPr>
            <w:pStyle w:val="TOCHeading"/>
            <w:spacing w:line="360" w:lineRule="auto"/>
            <w:rPr>
              <w:sz w:val="22"/>
              <w:szCs w:val="22"/>
            </w:rPr>
          </w:pPr>
          <w:r w:rsidRPr="00BC0C11">
            <w:rPr>
              <w:sz w:val="22"/>
              <w:szCs w:val="22"/>
            </w:rPr>
            <w:t>Contents</w:t>
          </w:r>
        </w:p>
        <w:p w14:paraId="5F26610B" w14:textId="50A5EC28" w:rsidR="00BC0C11" w:rsidRPr="00BC0C11" w:rsidRDefault="00BC0C11" w:rsidP="00BC0C11">
          <w:pPr>
            <w:pStyle w:val="TOC1"/>
            <w:tabs>
              <w:tab w:val="right" w:leader="dot" w:pos="9016"/>
            </w:tabs>
            <w:spacing w:line="360" w:lineRule="auto"/>
            <w:rPr>
              <w:noProof/>
            </w:rPr>
          </w:pPr>
          <w:r w:rsidRPr="00BC0C11">
            <w:fldChar w:fldCharType="begin"/>
          </w:r>
          <w:r w:rsidRPr="00BC0C11">
            <w:instrText xml:space="preserve"> TOC \o "1-3" \h \z \u </w:instrText>
          </w:r>
          <w:r w:rsidRPr="00BC0C11">
            <w:fldChar w:fldCharType="separate"/>
          </w:r>
          <w:hyperlink w:anchor="_Toc235900004" w:history="1">
            <w:r w:rsidRPr="00BC0C11">
              <w:rPr>
                <w:rStyle w:val="Hyperlink"/>
                <w:noProof/>
              </w:rPr>
              <w:t>Person-Centered Care and Partnership Working Report: Mental Health Services</w:t>
            </w:r>
            <w:r w:rsidRPr="00BC0C11">
              <w:rPr>
                <w:noProof/>
                <w:webHidden/>
              </w:rPr>
              <w:tab/>
            </w:r>
            <w:r w:rsidRPr="00BC0C11">
              <w:rPr>
                <w:noProof/>
                <w:webHidden/>
              </w:rPr>
              <w:fldChar w:fldCharType="begin"/>
            </w:r>
            <w:r w:rsidRPr="00BC0C11">
              <w:rPr>
                <w:noProof/>
                <w:webHidden/>
              </w:rPr>
              <w:instrText xml:space="preserve"> PAGEREF _Toc235900004 \h </w:instrText>
            </w:r>
            <w:r w:rsidRPr="00BC0C11">
              <w:rPr>
                <w:noProof/>
                <w:webHidden/>
              </w:rPr>
            </w:r>
            <w:r w:rsidRPr="00BC0C11">
              <w:rPr>
                <w:noProof/>
                <w:webHidden/>
              </w:rPr>
              <w:fldChar w:fldCharType="separate"/>
            </w:r>
            <w:r w:rsidRPr="00BC0C11">
              <w:rPr>
                <w:noProof/>
                <w:webHidden/>
              </w:rPr>
              <w:t>2</w:t>
            </w:r>
            <w:r w:rsidRPr="00BC0C11">
              <w:rPr>
                <w:noProof/>
                <w:webHidden/>
              </w:rPr>
              <w:fldChar w:fldCharType="end"/>
            </w:r>
          </w:hyperlink>
        </w:p>
        <w:p w14:paraId="5E65D3C3" w14:textId="259F2E7E" w:rsidR="00BC0C11" w:rsidRPr="00BC0C11" w:rsidRDefault="00BC0C11" w:rsidP="00BC0C11">
          <w:pPr>
            <w:pStyle w:val="TOC1"/>
            <w:tabs>
              <w:tab w:val="right" w:leader="dot" w:pos="9016"/>
            </w:tabs>
            <w:spacing w:line="360" w:lineRule="auto"/>
            <w:rPr>
              <w:noProof/>
            </w:rPr>
          </w:pPr>
          <w:hyperlink w:anchor="_Toc235900005" w:history="1">
            <w:r w:rsidRPr="00BC0C11">
              <w:rPr>
                <w:rStyle w:val="Hyperlink"/>
                <w:noProof/>
              </w:rPr>
              <w:t>Introduction</w:t>
            </w:r>
            <w:r w:rsidRPr="00BC0C11">
              <w:rPr>
                <w:noProof/>
                <w:webHidden/>
              </w:rPr>
              <w:tab/>
            </w:r>
            <w:r w:rsidRPr="00BC0C11">
              <w:rPr>
                <w:noProof/>
                <w:webHidden/>
              </w:rPr>
              <w:fldChar w:fldCharType="begin"/>
            </w:r>
            <w:r w:rsidRPr="00BC0C11">
              <w:rPr>
                <w:noProof/>
                <w:webHidden/>
              </w:rPr>
              <w:instrText xml:space="preserve"> PAGEREF _Toc235900005 \h </w:instrText>
            </w:r>
            <w:r w:rsidRPr="00BC0C11">
              <w:rPr>
                <w:noProof/>
                <w:webHidden/>
              </w:rPr>
            </w:r>
            <w:r w:rsidRPr="00BC0C11">
              <w:rPr>
                <w:noProof/>
                <w:webHidden/>
              </w:rPr>
              <w:fldChar w:fldCharType="separate"/>
            </w:r>
            <w:r w:rsidRPr="00BC0C11">
              <w:rPr>
                <w:noProof/>
                <w:webHidden/>
              </w:rPr>
              <w:t>3</w:t>
            </w:r>
            <w:r w:rsidRPr="00BC0C11">
              <w:rPr>
                <w:noProof/>
                <w:webHidden/>
              </w:rPr>
              <w:fldChar w:fldCharType="end"/>
            </w:r>
          </w:hyperlink>
        </w:p>
        <w:p w14:paraId="0379C7D8" w14:textId="0892D16C" w:rsidR="00BC0C11" w:rsidRPr="00BC0C11" w:rsidRDefault="00BC0C11" w:rsidP="00BC0C11">
          <w:pPr>
            <w:pStyle w:val="TOC1"/>
            <w:tabs>
              <w:tab w:val="right" w:leader="dot" w:pos="9016"/>
            </w:tabs>
            <w:spacing w:line="360" w:lineRule="auto"/>
            <w:rPr>
              <w:noProof/>
            </w:rPr>
          </w:pPr>
          <w:hyperlink w:anchor="_Toc235900006" w:history="1">
            <w:r w:rsidRPr="00BC0C11">
              <w:rPr>
                <w:rStyle w:val="Hyperlink"/>
                <w:noProof/>
              </w:rPr>
              <w:t>Definition of Person-Centred Care</w:t>
            </w:r>
            <w:r w:rsidRPr="00BC0C11">
              <w:rPr>
                <w:noProof/>
                <w:webHidden/>
              </w:rPr>
              <w:tab/>
            </w:r>
            <w:r w:rsidRPr="00BC0C11">
              <w:rPr>
                <w:noProof/>
                <w:webHidden/>
              </w:rPr>
              <w:fldChar w:fldCharType="begin"/>
            </w:r>
            <w:r w:rsidRPr="00BC0C11">
              <w:rPr>
                <w:noProof/>
                <w:webHidden/>
              </w:rPr>
              <w:instrText xml:space="preserve"> PAGEREF _Toc235900006 \h </w:instrText>
            </w:r>
            <w:r w:rsidRPr="00BC0C11">
              <w:rPr>
                <w:noProof/>
                <w:webHidden/>
              </w:rPr>
            </w:r>
            <w:r w:rsidRPr="00BC0C11">
              <w:rPr>
                <w:noProof/>
                <w:webHidden/>
              </w:rPr>
              <w:fldChar w:fldCharType="separate"/>
            </w:r>
            <w:r w:rsidRPr="00BC0C11">
              <w:rPr>
                <w:noProof/>
                <w:webHidden/>
              </w:rPr>
              <w:t>4</w:t>
            </w:r>
            <w:r w:rsidRPr="00BC0C11">
              <w:rPr>
                <w:noProof/>
                <w:webHidden/>
              </w:rPr>
              <w:fldChar w:fldCharType="end"/>
            </w:r>
          </w:hyperlink>
        </w:p>
        <w:p w14:paraId="71F46170" w14:textId="4E7A3722" w:rsidR="00BC0C11" w:rsidRPr="00BC0C11" w:rsidRDefault="00BC0C11" w:rsidP="00BC0C11">
          <w:pPr>
            <w:pStyle w:val="TOC1"/>
            <w:tabs>
              <w:tab w:val="right" w:leader="dot" w:pos="9016"/>
            </w:tabs>
            <w:spacing w:line="360" w:lineRule="auto"/>
            <w:rPr>
              <w:noProof/>
            </w:rPr>
          </w:pPr>
          <w:hyperlink w:anchor="_Toc235900007" w:history="1">
            <w:r w:rsidRPr="00BC0C11">
              <w:rPr>
                <w:rStyle w:val="Hyperlink"/>
                <w:noProof/>
              </w:rPr>
              <w:t>Theories Underpinning Person-Centered Care: Analysis and Application in Mental Health Practice</w:t>
            </w:r>
            <w:r w:rsidRPr="00BC0C11">
              <w:rPr>
                <w:noProof/>
                <w:webHidden/>
              </w:rPr>
              <w:tab/>
            </w:r>
            <w:r w:rsidRPr="00BC0C11">
              <w:rPr>
                <w:noProof/>
                <w:webHidden/>
              </w:rPr>
              <w:fldChar w:fldCharType="begin"/>
            </w:r>
            <w:r w:rsidRPr="00BC0C11">
              <w:rPr>
                <w:noProof/>
                <w:webHidden/>
              </w:rPr>
              <w:instrText xml:space="preserve"> PAGEREF _Toc235900007 \h </w:instrText>
            </w:r>
            <w:r w:rsidRPr="00BC0C11">
              <w:rPr>
                <w:noProof/>
                <w:webHidden/>
              </w:rPr>
            </w:r>
            <w:r w:rsidRPr="00BC0C11">
              <w:rPr>
                <w:noProof/>
                <w:webHidden/>
              </w:rPr>
              <w:fldChar w:fldCharType="separate"/>
            </w:r>
            <w:r w:rsidRPr="00BC0C11">
              <w:rPr>
                <w:noProof/>
                <w:webHidden/>
              </w:rPr>
              <w:t>6</w:t>
            </w:r>
            <w:r w:rsidRPr="00BC0C11">
              <w:rPr>
                <w:noProof/>
                <w:webHidden/>
              </w:rPr>
              <w:fldChar w:fldCharType="end"/>
            </w:r>
          </w:hyperlink>
        </w:p>
        <w:p w14:paraId="474AF9D4" w14:textId="7A2118F9" w:rsidR="00BC0C11" w:rsidRPr="00BC0C11" w:rsidRDefault="00BC0C11" w:rsidP="00BC0C11">
          <w:pPr>
            <w:pStyle w:val="TOC1"/>
            <w:tabs>
              <w:tab w:val="right" w:leader="dot" w:pos="9016"/>
            </w:tabs>
            <w:spacing w:line="360" w:lineRule="auto"/>
            <w:rPr>
              <w:noProof/>
            </w:rPr>
          </w:pPr>
          <w:hyperlink w:anchor="_Toc235900008" w:history="1">
            <w:r w:rsidRPr="00BC0C11">
              <w:rPr>
                <w:rStyle w:val="Hyperlink"/>
                <w:noProof/>
              </w:rPr>
              <w:t>Policy and Legislation: Implications for PCC and Partnership Working in Mental Health</w:t>
            </w:r>
            <w:r w:rsidRPr="00BC0C11">
              <w:rPr>
                <w:noProof/>
                <w:webHidden/>
              </w:rPr>
              <w:tab/>
            </w:r>
            <w:r w:rsidRPr="00BC0C11">
              <w:rPr>
                <w:noProof/>
                <w:webHidden/>
              </w:rPr>
              <w:fldChar w:fldCharType="begin"/>
            </w:r>
            <w:r w:rsidRPr="00BC0C11">
              <w:rPr>
                <w:noProof/>
                <w:webHidden/>
              </w:rPr>
              <w:instrText xml:space="preserve"> PAGEREF _Toc235900008 \h </w:instrText>
            </w:r>
            <w:r w:rsidRPr="00BC0C11">
              <w:rPr>
                <w:noProof/>
                <w:webHidden/>
              </w:rPr>
            </w:r>
            <w:r w:rsidRPr="00BC0C11">
              <w:rPr>
                <w:noProof/>
                <w:webHidden/>
              </w:rPr>
              <w:fldChar w:fldCharType="separate"/>
            </w:r>
            <w:r w:rsidRPr="00BC0C11">
              <w:rPr>
                <w:noProof/>
                <w:webHidden/>
              </w:rPr>
              <w:t>9</w:t>
            </w:r>
            <w:r w:rsidRPr="00BC0C11">
              <w:rPr>
                <w:noProof/>
                <w:webHidden/>
              </w:rPr>
              <w:fldChar w:fldCharType="end"/>
            </w:r>
          </w:hyperlink>
        </w:p>
        <w:p w14:paraId="225F0279" w14:textId="2D29A25A" w:rsidR="00BC0C11" w:rsidRPr="00BC0C11" w:rsidRDefault="00BC0C11" w:rsidP="00BC0C11">
          <w:pPr>
            <w:pStyle w:val="TOC1"/>
            <w:tabs>
              <w:tab w:val="right" w:leader="dot" w:pos="9016"/>
            </w:tabs>
            <w:spacing w:line="360" w:lineRule="auto"/>
            <w:rPr>
              <w:noProof/>
            </w:rPr>
          </w:pPr>
          <w:hyperlink w:anchor="_Toc235900009" w:history="1">
            <w:r w:rsidRPr="00BC0C11">
              <w:rPr>
                <w:rStyle w:val="Hyperlink"/>
                <w:noProof/>
              </w:rPr>
              <w:t>Conclusion</w:t>
            </w:r>
            <w:r w:rsidRPr="00BC0C11">
              <w:rPr>
                <w:noProof/>
                <w:webHidden/>
              </w:rPr>
              <w:tab/>
            </w:r>
            <w:r w:rsidRPr="00BC0C11">
              <w:rPr>
                <w:noProof/>
                <w:webHidden/>
              </w:rPr>
              <w:fldChar w:fldCharType="begin"/>
            </w:r>
            <w:r w:rsidRPr="00BC0C11">
              <w:rPr>
                <w:noProof/>
                <w:webHidden/>
              </w:rPr>
              <w:instrText xml:space="preserve"> PAGEREF _Toc235900009 \h </w:instrText>
            </w:r>
            <w:r w:rsidRPr="00BC0C11">
              <w:rPr>
                <w:noProof/>
                <w:webHidden/>
              </w:rPr>
            </w:r>
            <w:r w:rsidRPr="00BC0C11">
              <w:rPr>
                <w:noProof/>
                <w:webHidden/>
              </w:rPr>
              <w:fldChar w:fldCharType="separate"/>
            </w:r>
            <w:r w:rsidRPr="00BC0C11">
              <w:rPr>
                <w:noProof/>
                <w:webHidden/>
              </w:rPr>
              <w:t>11</w:t>
            </w:r>
            <w:r w:rsidRPr="00BC0C11">
              <w:rPr>
                <w:noProof/>
                <w:webHidden/>
              </w:rPr>
              <w:fldChar w:fldCharType="end"/>
            </w:r>
          </w:hyperlink>
        </w:p>
        <w:p w14:paraId="31EEA83C" w14:textId="6B877789" w:rsidR="00BC0C11" w:rsidRPr="00BC0C11" w:rsidRDefault="00BC0C11" w:rsidP="00BC0C11">
          <w:pPr>
            <w:pStyle w:val="TOC1"/>
            <w:tabs>
              <w:tab w:val="right" w:leader="dot" w:pos="9016"/>
            </w:tabs>
            <w:spacing w:line="360" w:lineRule="auto"/>
            <w:rPr>
              <w:noProof/>
            </w:rPr>
          </w:pPr>
          <w:hyperlink w:anchor="_Toc235900010" w:history="1">
            <w:r w:rsidRPr="00BC0C11">
              <w:rPr>
                <w:rStyle w:val="Hyperlink"/>
                <w:noProof/>
              </w:rPr>
              <w:t>Reference</w:t>
            </w:r>
            <w:r w:rsidRPr="00BC0C11">
              <w:rPr>
                <w:noProof/>
                <w:webHidden/>
              </w:rPr>
              <w:tab/>
            </w:r>
            <w:r w:rsidRPr="00BC0C11">
              <w:rPr>
                <w:noProof/>
                <w:webHidden/>
              </w:rPr>
              <w:fldChar w:fldCharType="begin"/>
            </w:r>
            <w:r w:rsidRPr="00BC0C11">
              <w:rPr>
                <w:noProof/>
                <w:webHidden/>
              </w:rPr>
              <w:instrText xml:space="preserve"> PAGEREF _Toc235900010 \h </w:instrText>
            </w:r>
            <w:r w:rsidRPr="00BC0C11">
              <w:rPr>
                <w:noProof/>
                <w:webHidden/>
              </w:rPr>
            </w:r>
            <w:r w:rsidRPr="00BC0C11">
              <w:rPr>
                <w:noProof/>
                <w:webHidden/>
              </w:rPr>
              <w:fldChar w:fldCharType="separate"/>
            </w:r>
            <w:r w:rsidRPr="00BC0C11">
              <w:rPr>
                <w:noProof/>
                <w:webHidden/>
              </w:rPr>
              <w:t>12</w:t>
            </w:r>
            <w:r w:rsidRPr="00BC0C11">
              <w:rPr>
                <w:noProof/>
                <w:webHidden/>
              </w:rPr>
              <w:fldChar w:fldCharType="end"/>
            </w:r>
          </w:hyperlink>
        </w:p>
        <w:p w14:paraId="7A8BA7F7" w14:textId="4701B75C" w:rsidR="00BC0C11" w:rsidRPr="00BC0C11" w:rsidRDefault="00BC0C11" w:rsidP="00BC0C11">
          <w:pPr>
            <w:spacing w:line="360" w:lineRule="auto"/>
          </w:pPr>
          <w:r w:rsidRPr="00BC0C11">
            <w:rPr>
              <w:b/>
              <w:bCs/>
            </w:rPr>
            <w:fldChar w:fldCharType="end"/>
          </w:r>
        </w:p>
      </w:sdtContent>
    </w:sdt>
    <w:p w14:paraId="359A96FA" w14:textId="77777777" w:rsidR="002E5E61" w:rsidRPr="00BC0C11" w:rsidRDefault="002E5E61" w:rsidP="00BC0C11">
      <w:pPr>
        <w:spacing w:line="360" w:lineRule="auto"/>
        <w:rPr>
          <w:rFonts w:ascii="Arial" w:hAnsi="Arial" w:cs="Arial"/>
          <w:lang w:val="en-US" w:eastAsia="ja-JP"/>
        </w:rPr>
      </w:pPr>
    </w:p>
    <w:p w14:paraId="744DE0D6" w14:textId="77777777" w:rsidR="00BC0C11" w:rsidRPr="00BC0C11" w:rsidRDefault="00BC0C11" w:rsidP="00BC0C11">
      <w:pPr>
        <w:spacing w:line="360" w:lineRule="auto"/>
        <w:rPr>
          <w:rFonts w:ascii="Arial" w:hAnsi="Arial" w:cs="Arial"/>
          <w:lang w:val="en-US" w:eastAsia="ja-JP"/>
        </w:rPr>
      </w:pPr>
    </w:p>
    <w:p w14:paraId="18B83864" w14:textId="77777777" w:rsidR="00BC0C11" w:rsidRPr="00BC0C11" w:rsidRDefault="00BC0C11" w:rsidP="00BC0C11">
      <w:pPr>
        <w:spacing w:line="360" w:lineRule="auto"/>
        <w:rPr>
          <w:rFonts w:ascii="Arial" w:hAnsi="Arial" w:cs="Arial"/>
          <w:lang w:val="en-US" w:eastAsia="ja-JP"/>
        </w:rPr>
      </w:pPr>
    </w:p>
    <w:p w14:paraId="436F4D27" w14:textId="77777777" w:rsidR="00BC0C11" w:rsidRPr="00BC0C11" w:rsidRDefault="00BC0C11" w:rsidP="00BC0C11">
      <w:pPr>
        <w:spacing w:line="360" w:lineRule="auto"/>
        <w:rPr>
          <w:rFonts w:ascii="Arial" w:hAnsi="Arial" w:cs="Arial"/>
          <w:lang w:val="en-US" w:eastAsia="ja-JP"/>
        </w:rPr>
      </w:pPr>
    </w:p>
    <w:p w14:paraId="48E1F900" w14:textId="77777777" w:rsidR="00BC0C11" w:rsidRPr="00BC0C11" w:rsidRDefault="00BC0C11" w:rsidP="00BC0C11">
      <w:pPr>
        <w:spacing w:line="360" w:lineRule="auto"/>
        <w:rPr>
          <w:rFonts w:ascii="Arial" w:hAnsi="Arial" w:cs="Arial"/>
          <w:lang w:val="en-US" w:eastAsia="ja-JP"/>
        </w:rPr>
      </w:pPr>
    </w:p>
    <w:p w14:paraId="2E3DC989" w14:textId="77777777" w:rsidR="00BC0C11" w:rsidRPr="00BC0C11" w:rsidRDefault="00BC0C11" w:rsidP="00BC0C11">
      <w:pPr>
        <w:spacing w:line="360" w:lineRule="auto"/>
        <w:rPr>
          <w:rFonts w:ascii="Arial" w:hAnsi="Arial" w:cs="Arial"/>
          <w:lang w:val="en-US" w:eastAsia="ja-JP"/>
        </w:rPr>
      </w:pPr>
    </w:p>
    <w:p w14:paraId="4AC3A0AD" w14:textId="77777777" w:rsidR="00BC0C11" w:rsidRPr="00BC0C11" w:rsidRDefault="00BC0C11" w:rsidP="00BC0C11">
      <w:pPr>
        <w:spacing w:line="360" w:lineRule="auto"/>
        <w:rPr>
          <w:rFonts w:ascii="Arial" w:hAnsi="Arial" w:cs="Arial"/>
          <w:lang w:val="en-US" w:eastAsia="ja-JP"/>
        </w:rPr>
      </w:pPr>
    </w:p>
    <w:p w14:paraId="3973C9F5" w14:textId="77777777" w:rsidR="00BC0C11" w:rsidRPr="00BC0C11" w:rsidRDefault="00BC0C11" w:rsidP="00BC0C11">
      <w:pPr>
        <w:spacing w:line="360" w:lineRule="auto"/>
        <w:rPr>
          <w:rFonts w:ascii="Arial" w:hAnsi="Arial" w:cs="Arial"/>
          <w:lang w:val="en-US" w:eastAsia="ja-JP"/>
        </w:rPr>
      </w:pPr>
    </w:p>
    <w:p w14:paraId="63752CD1" w14:textId="77777777" w:rsidR="00BC0C11" w:rsidRPr="00BC0C11" w:rsidRDefault="00BC0C11" w:rsidP="00BC0C11">
      <w:pPr>
        <w:spacing w:line="360" w:lineRule="auto"/>
        <w:rPr>
          <w:rFonts w:ascii="Arial" w:hAnsi="Arial" w:cs="Arial"/>
          <w:lang w:val="en-US" w:eastAsia="ja-JP"/>
        </w:rPr>
      </w:pPr>
    </w:p>
    <w:p w14:paraId="74F0DD6D" w14:textId="77777777" w:rsidR="00BC0C11" w:rsidRPr="00BC0C11" w:rsidRDefault="00BC0C11" w:rsidP="00BC0C11">
      <w:pPr>
        <w:spacing w:line="360" w:lineRule="auto"/>
        <w:rPr>
          <w:rFonts w:ascii="Arial" w:hAnsi="Arial" w:cs="Arial"/>
          <w:lang w:val="en-US" w:eastAsia="ja-JP"/>
        </w:rPr>
      </w:pPr>
    </w:p>
    <w:p w14:paraId="52906012" w14:textId="77777777" w:rsidR="00BC0C11" w:rsidRPr="00BC0C11" w:rsidRDefault="00BC0C11" w:rsidP="00BC0C11">
      <w:pPr>
        <w:spacing w:line="360" w:lineRule="auto"/>
        <w:rPr>
          <w:rFonts w:ascii="Arial" w:hAnsi="Arial" w:cs="Arial"/>
          <w:lang w:val="en-US" w:eastAsia="ja-JP"/>
        </w:rPr>
      </w:pPr>
    </w:p>
    <w:p w14:paraId="0CD016A6" w14:textId="77777777" w:rsidR="002E5E61" w:rsidRPr="00BC0C11" w:rsidRDefault="002E5E61" w:rsidP="00BC0C11">
      <w:pPr>
        <w:spacing w:line="360" w:lineRule="auto"/>
        <w:rPr>
          <w:rFonts w:ascii="Arial" w:hAnsi="Arial" w:cs="Arial"/>
          <w:lang w:val="en-US" w:eastAsia="ja-JP"/>
        </w:rPr>
      </w:pPr>
    </w:p>
    <w:p w14:paraId="27649EC2" w14:textId="77777777" w:rsidR="002E5E61" w:rsidRPr="00BC0C11" w:rsidRDefault="002E5E61" w:rsidP="00BC0C11">
      <w:pPr>
        <w:spacing w:line="360" w:lineRule="auto"/>
        <w:rPr>
          <w:rFonts w:ascii="Arial" w:hAnsi="Arial" w:cs="Arial"/>
          <w:lang w:val="en-US" w:eastAsia="ja-JP"/>
        </w:rPr>
      </w:pPr>
    </w:p>
    <w:p w14:paraId="4894DB08" w14:textId="77777777" w:rsidR="002E5E61" w:rsidRPr="00BC0C11" w:rsidRDefault="002E5E61" w:rsidP="00BC0C11">
      <w:pPr>
        <w:spacing w:line="360" w:lineRule="auto"/>
        <w:rPr>
          <w:rFonts w:ascii="Arial" w:hAnsi="Arial" w:cs="Arial"/>
          <w:lang w:val="en-US" w:eastAsia="ja-JP"/>
        </w:rPr>
      </w:pPr>
    </w:p>
    <w:p w14:paraId="4848FC79" w14:textId="77777777" w:rsidR="00BC0C11" w:rsidRPr="00BC0C11" w:rsidRDefault="00BC0C11" w:rsidP="00BC0C11">
      <w:pPr>
        <w:spacing w:line="360" w:lineRule="auto"/>
        <w:rPr>
          <w:rFonts w:ascii="Arial" w:hAnsi="Arial" w:cs="Arial"/>
          <w:lang w:val="en-US" w:eastAsia="ja-JP"/>
        </w:rPr>
      </w:pPr>
    </w:p>
    <w:p w14:paraId="33C6A8C7" w14:textId="77777777" w:rsidR="00BC0C11" w:rsidRPr="00BC0C11" w:rsidRDefault="00BC0C11" w:rsidP="00BC0C11">
      <w:pPr>
        <w:spacing w:line="360" w:lineRule="auto"/>
        <w:rPr>
          <w:rFonts w:ascii="Arial" w:hAnsi="Arial" w:cs="Arial"/>
          <w:lang w:val="en-US" w:eastAsia="ja-JP"/>
        </w:rPr>
      </w:pPr>
    </w:p>
    <w:p w14:paraId="299D7629" w14:textId="77777777" w:rsidR="002E5E61" w:rsidRPr="00BC0C11" w:rsidRDefault="002E5E61" w:rsidP="00BC0C11">
      <w:pPr>
        <w:spacing w:line="360" w:lineRule="auto"/>
        <w:rPr>
          <w:rFonts w:ascii="Arial" w:hAnsi="Arial" w:cs="Arial"/>
          <w:lang w:val="en-US" w:eastAsia="ja-JP"/>
        </w:rPr>
      </w:pPr>
    </w:p>
    <w:p w14:paraId="221C157B" w14:textId="246C4E4E" w:rsidR="006D2628" w:rsidRPr="00D11443" w:rsidRDefault="00F94A25" w:rsidP="00BC0C11">
      <w:pPr>
        <w:pStyle w:val="Heading1"/>
        <w:spacing w:line="360" w:lineRule="auto"/>
        <w:rPr>
          <w:b/>
          <w:bCs/>
          <w:color w:val="auto"/>
          <w:sz w:val="22"/>
          <w:szCs w:val="22"/>
        </w:rPr>
      </w:pPr>
      <w:bookmarkStart w:id="0" w:name="_Toc235900004"/>
      <w:r w:rsidRPr="00D11443">
        <w:rPr>
          <w:b/>
          <w:bCs/>
          <w:color w:val="auto"/>
          <w:sz w:val="22"/>
          <w:szCs w:val="22"/>
        </w:rPr>
        <w:lastRenderedPageBreak/>
        <w:t>Person-</w:t>
      </w:r>
      <w:r w:rsidR="00326609" w:rsidRPr="00D11443">
        <w:rPr>
          <w:b/>
          <w:bCs/>
          <w:color w:val="auto"/>
          <w:sz w:val="22"/>
          <w:szCs w:val="22"/>
        </w:rPr>
        <w:t>Centered</w:t>
      </w:r>
      <w:r w:rsidRPr="00D11443">
        <w:rPr>
          <w:b/>
          <w:bCs/>
          <w:color w:val="auto"/>
          <w:sz w:val="22"/>
          <w:szCs w:val="22"/>
        </w:rPr>
        <w:t xml:space="preserve"> Care and Partnership Working Report: Mental Health Services</w:t>
      </w:r>
      <w:bookmarkEnd w:id="0"/>
    </w:p>
    <w:p w14:paraId="60DA25D6" w14:textId="77777777" w:rsidR="00BD3870" w:rsidRPr="00D11443" w:rsidRDefault="00BD3870" w:rsidP="00BC0C11">
      <w:pPr>
        <w:pStyle w:val="Subtitle"/>
        <w:spacing w:line="360" w:lineRule="auto"/>
        <w:rPr>
          <w:b/>
          <w:bCs/>
          <w:color w:val="auto"/>
        </w:rPr>
      </w:pPr>
      <w:r w:rsidRPr="00D11443">
        <w:rPr>
          <w:b/>
          <w:bCs/>
          <w:color w:val="auto"/>
        </w:rPr>
        <w:t>Abstract</w:t>
      </w:r>
    </w:p>
    <w:p w14:paraId="2BEA7B31" w14:textId="2DF85434" w:rsidR="00BD3870" w:rsidRPr="00BC0C11" w:rsidRDefault="00BD3870" w:rsidP="00BC0C11">
      <w:pPr>
        <w:pStyle w:val="NoSpacing"/>
        <w:spacing w:line="360" w:lineRule="auto"/>
        <w:jc w:val="both"/>
        <w:rPr>
          <w:rFonts w:ascii="Arial" w:eastAsia="Arial" w:hAnsi="Arial" w:cs="Arial"/>
          <w14:textOutline w14:w="9525" w14:cap="rnd" w14:cmpd="sng" w14:algn="ctr">
            <w14:noFill/>
            <w14:prstDash w14:val="solid"/>
            <w14:bevel/>
          </w14:textOutline>
        </w:rPr>
      </w:pPr>
      <w:r w:rsidRPr="00BC0C11">
        <w:rPr>
          <w:rFonts w:ascii="Arial" w:eastAsia="Arial" w:hAnsi="Arial" w:cs="Arial"/>
          <w14:textOutline w14:w="9525" w14:cap="rnd" w14:cmpd="sng" w14:algn="ctr">
            <w14:noFill/>
            <w14:prstDash w14:val="solid"/>
            <w14:bevel/>
          </w14:textOutline>
        </w:rPr>
        <w:t>This report examines the principles of person</w:t>
      </w:r>
      <w:r w:rsidRPr="00BC0C11">
        <w:rPr>
          <w:rFonts w:ascii="Arial" w:eastAsia="Arial" w:hAnsi="Arial" w:cs="Arial"/>
          <w14:textOutline w14:w="9525" w14:cap="rnd" w14:cmpd="sng" w14:algn="ctr">
            <w14:noFill/>
            <w14:prstDash w14:val="solid"/>
            <w14:bevel/>
          </w14:textOutline>
        </w:rPr>
        <w:noBreakHyphen/>
        <w:t>centred care (PCC) and partnership working (PW) within UK mental health services. PCC emphasises placing individuals’ needs, values, and preferences at the centre of care, while PW promotes collaboration across multidisciplinary teams and organisations. The report outlines the benefits of PCC, including improved satisfaction, engagement, and recovery, alongside challenges such as staff shortages,</w:t>
      </w:r>
      <w:r w:rsidR="009407F5" w:rsidRPr="00BC0C11">
        <w:rPr>
          <w:rFonts w:ascii="Arial" w:eastAsia="Arial" w:hAnsi="Arial" w:cs="Arial"/>
          <w14:textOutline w14:w="9525" w14:cap="rnd" w14:cmpd="sng" w14:algn="ctr">
            <w14:noFill/>
            <w14:prstDash w14:val="solid"/>
            <w14:bevel/>
          </w14:textOutline>
        </w:rPr>
        <w:t xml:space="preserve"> </w:t>
      </w:r>
      <w:r w:rsidRPr="00BC0C11">
        <w:rPr>
          <w:rFonts w:ascii="Arial" w:eastAsia="Arial" w:hAnsi="Arial" w:cs="Arial"/>
          <w14:textOutline w14:w="9525" w14:cap="rnd" w14:cmpd="sng" w14:algn="ctr">
            <w14:noFill/>
            <w14:prstDash w14:val="solid"/>
            <w14:bevel/>
          </w14:textOutline>
        </w:rPr>
        <w:t>and organisational constraints. Key theories underpinning PCC</w:t>
      </w:r>
      <w:r w:rsidR="00F94A25" w:rsidRPr="00BC0C11">
        <w:rPr>
          <w:rFonts w:ascii="Arial" w:eastAsia="Arial" w:hAnsi="Arial" w:cs="Arial"/>
          <w14:textOutline w14:w="9525" w14:cap="rnd" w14:cmpd="sng" w14:algn="ctr">
            <w14:noFill/>
            <w14:prstDash w14:val="solid"/>
            <w14:bevel/>
          </w14:textOutline>
        </w:rPr>
        <w:t xml:space="preserve"> </w:t>
      </w:r>
      <w:r w:rsidRPr="00BC0C11">
        <w:rPr>
          <w:rFonts w:ascii="Arial" w:eastAsia="Arial" w:hAnsi="Arial" w:cs="Arial"/>
          <w14:textOutline w14:w="9525" w14:cap="rnd" w14:cmpd="sng" w14:algn="ctr">
            <w14:noFill/>
            <w14:prstDash w14:val="solid"/>
            <w14:bevel/>
          </w14:textOutline>
        </w:rPr>
        <w:t>such as the Person</w:t>
      </w:r>
      <w:r w:rsidRPr="00BC0C11">
        <w:rPr>
          <w:rFonts w:ascii="Arial" w:eastAsia="Arial" w:hAnsi="Arial" w:cs="Arial"/>
          <w14:textOutline w14:w="9525" w14:cap="rnd" w14:cmpd="sng" w14:algn="ctr">
            <w14:noFill/>
            <w14:prstDash w14:val="solid"/>
            <w14:bevel/>
          </w14:textOutline>
        </w:rPr>
        <w:noBreakHyphen/>
        <w:t>Centred Nursing Framework and Rogers’ Person</w:t>
      </w:r>
      <w:r w:rsidRPr="00BC0C11">
        <w:rPr>
          <w:rFonts w:ascii="Arial" w:eastAsia="Arial" w:hAnsi="Arial" w:cs="Arial"/>
          <w14:textOutline w14:w="9525" w14:cap="rnd" w14:cmpd="sng" w14:algn="ctr">
            <w14:noFill/>
            <w14:prstDash w14:val="solid"/>
            <w14:bevel/>
          </w14:textOutline>
        </w:rPr>
        <w:noBreakHyphen/>
        <w:t>Centred Theory</w:t>
      </w:r>
      <w:r w:rsidR="009407F5" w:rsidRPr="00BC0C11">
        <w:rPr>
          <w:rFonts w:ascii="Arial" w:eastAsia="Arial" w:hAnsi="Arial" w:cs="Arial"/>
          <w14:textOutline w14:w="9525" w14:cap="rnd" w14:cmpd="sng" w14:algn="ctr">
            <w14:noFill/>
            <w14:prstDash w14:val="solid"/>
            <w14:bevel/>
          </w14:textOutline>
        </w:rPr>
        <w:t xml:space="preserve"> </w:t>
      </w:r>
      <w:r w:rsidRPr="00BC0C11">
        <w:rPr>
          <w:rFonts w:ascii="Arial" w:eastAsia="Arial" w:hAnsi="Arial" w:cs="Arial"/>
          <w14:textOutline w14:w="9525" w14:cap="rnd" w14:cmpd="sng" w14:algn="ctr">
            <w14:noFill/>
            <w14:prstDash w14:val="solid"/>
            <w14:bevel/>
          </w14:textOutline>
        </w:rPr>
        <w:t>highlight the importance of therapeutic relationships, empathy, and supportive environments. Ethical principles of autonomy, beneficence, non</w:t>
      </w:r>
      <w:r w:rsidRPr="00BC0C11">
        <w:rPr>
          <w:rFonts w:ascii="Arial" w:eastAsia="Arial" w:hAnsi="Arial" w:cs="Arial"/>
          <w14:textOutline w14:w="9525" w14:cap="rnd" w14:cmpd="sng" w14:algn="ctr">
            <w14:noFill/>
            <w14:prstDash w14:val="solid"/>
            <w14:bevel/>
          </w14:textOutline>
        </w:rPr>
        <w:noBreakHyphen/>
        <w:t>maleficence, and justice are explored, demonstrating tensions between patient choice, safety, and equitable access. The evaluation of PW shows that integrated approaches enhance communication, continuity, and holistic care, though barriers such as role ambiguity, funding pressures, and system incompatibility persist. Relevant UK legislation, including the Health and Care Act 2022, Care Act 2014, Human Rights Act 1998, and Equality Act 2010, provides strong support for PCC and PW but is limited by workforce and resource pressures. The report concludes with recommendations focused on workforce development, digital integration, stronger cross</w:t>
      </w:r>
      <w:r w:rsidRPr="00BC0C11">
        <w:rPr>
          <w:rFonts w:ascii="Arial" w:eastAsia="Arial" w:hAnsi="Arial" w:cs="Arial"/>
          <w14:textOutline w14:w="9525" w14:cap="rnd" w14:cmpd="sng" w14:algn="ctr">
            <w14:noFill/>
            <w14:prstDash w14:val="solid"/>
            <w14:bevel/>
          </w14:textOutline>
        </w:rPr>
        <w:noBreakHyphen/>
        <w:t>sector partnerships, and meaningful service</w:t>
      </w:r>
      <w:r w:rsidRPr="00BC0C11">
        <w:rPr>
          <w:rFonts w:ascii="Arial" w:eastAsia="Arial" w:hAnsi="Arial" w:cs="Arial"/>
          <w14:textOutline w14:w="9525" w14:cap="rnd" w14:cmpd="sng" w14:algn="ctr">
            <w14:noFill/>
            <w14:prstDash w14:val="solid"/>
            <w14:bevel/>
          </w14:textOutline>
        </w:rPr>
        <w:noBreakHyphen/>
        <w:t>user involvement.</w:t>
      </w:r>
    </w:p>
    <w:p w14:paraId="29DD5B1A"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1C013E03"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110731E8"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428BA7AB"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20608B0F"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12B0CED7"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0CBF9CFC"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578D84A2"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31D75ABD"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57984F0A"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3A129407"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39155B12"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381839F3" w14:textId="77777777" w:rsidR="00326609" w:rsidRPr="00BC0C11" w:rsidRDefault="00326609" w:rsidP="00BC0C11">
      <w:pPr>
        <w:pStyle w:val="NoSpacing"/>
        <w:spacing w:line="360" w:lineRule="auto"/>
        <w:jc w:val="both"/>
        <w:rPr>
          <w:rFonts w:ascii="Arial" w:eastAsia="Arial" w:hAnsi="Arial" w:cs="Arial"/>
          <w14:textOutline w14:w="9525" w14:cap="rnd" w14:cmpd="sng" w14:algn="ctr">
            <w14:noFill/>
            <w14:prstDash w14:val="solid"/>
            <w14:bevel/>
          </w14:textOutline>
        </w:rPr>
      </w:pPr>
    </w:p>
    <w:p w14:paraId="437D27BF" w14:textId="77777777" w:rsidR="006D2628" w:rsidRPr="00BC0C11" w:rsidRDefault="006D2628" w:rsidP="00BC0C11">
      <w:pPr>
        <w:pStyle w:val="NoSpacing"/>
        <w:spacing w:line="360" w:lineRule="auto"/>
        <w:rPr>
          <w:rFonts w:ascii="Arial" w:eastAsia="Arial" w:hAnsi="Arial" w:cs="Arial"/>
        </w:rPr>
      </w:pPr>
    </w:p>
    <w:p w14:paraId="1E0E2C87" w14:textId="21FCD4A3" w:rsidR="006D2628" w:rsidRPr="00BC0C11" w:rsidRDefault="006D2628" w:rsidP="00BC0C11">
      <w:pPr>
        <w:pStyle w:val="NoSpacing"/>
        <w:spacing w:line="360" w:lineRule="auto"/>
        <w:rPr>
          <w:rFonts w:ascii="Arial" w:eastAsia="Arial" w:hAnsi="Arial" w:cs="Arial"/>
        </w:rPr>
      </w:pPr>
    </w:p>
    <w:p w14:paraId="57E1FCA2" w14:textId="77777777" w:rsidR="006D2628" w:rsidRPr="00D11443" w:rsidRDefault="006D2628" w:rsidP="00BC0C11">
      <w:pPr>
        <w:pStyle w:val="Heading1"/>
        <w:spacing w:line="360" w:lineRule="auto"/>
        <w:rPr>
          <w:b/>
          <w:bCs/>
          <w:color w:val="auto"/>
          <w:sz w:val="22"/>
          <w:szCs w:val="22"/>
        </w:rPr>
      </w:pPr>
      <w:bookmarkStart w:id="1" w:name="_Toc235900005"/>
      <w:r w:rsidRPr="00D11443">
        <w:rPr>
          <w:b/>
          <w:bCs/>
          <w:color w:val="auto"/>
          <w:sz w:val="22"/>
          <w:szCs w:val="22"/>
        </w:rPr>
        <w:lastRenderedPageBreak/>
        <w:t>Introduction</w:t>
      </w:r>
      <w:bookmarkEnd w:id="1"/>
    </w:p>
    <w:p w14:paraId="214B19D4" w14:textId="2B1837B1" w:rsidR="00AA1B49" w:rsidRPr="00BC0C11" w:rsidRDefault="00AA1B49" w:rsidP="00BC0C11">
      <w:pPr>
        <w:spacing w:line="360" w:lineRule="auto"/>
        <w:jc w:val="both"/>
        <w:rPr>
          <w:rFonts w:ascii="Arial" w:hAnsi="Arial" w:cs="Arial"/>
          <w:lang w:eastAsia="en-GB"/>
          <w14:textOutline w14:w="9525" w14:cap="rnd" w14:cmpd="sng" w14:algn="ctr">
            <w14:noFill/>
            <w14:prstDash w14:val="solid"/>
            <w14:bevel/>
          </w14:textOutline>
        </w:rPr>
      </w:pPr>
      <w:r w:rsidRPr="00BC0C11">
        <w:rPr>
          <w:rFonts w:ascii="Arial" w:hAnsi="Arial" w:cs="Arial"/>
          <w:lang w:eastAsia="en-GB"/>
          <w14:textOutline w14:w="9525" w14:cap="rnd" w14:cmpd="sng" w14:algn="ctr">
            <w14:noFill/>
            <w14:prstDash w14:val="solid"/>
            <w14:bevel/>
          </w14:textOutline>
        </w:rPr>
        <w:t>Person</w:t>
      </w:r>
      <w:r w:rsidRPr="00BC0C11">
        <w:rPr>
          <w:rFonts w:ascii="Arial" w:hAnsi="Arial" w:cs="Arial"/>
          <w:lang w:eastAsia="en-GB"/>
          <w14:textOutline w14:w="9525" w14:cap="rnd" w14:cmpd="sng" w14:algn="ctr">
            <w14:noFill/>
            <w14:prstDash w14:val="solid"/>
            <w14:bevel/>
          </w14:textOutline>
        </w:rPr>
        <w:noBreakHyphen/>
        <w:t xml:space="preserve">centred care (PCC) and partnership working (PW) are </w:t>
      </w:r>
      <w:r w:rsidR="00C47F26" w:rsidRPr="00BC0C11">
        <w:rPr>
          <w:rFonts w:ascii="Arial" w:hAnsi="Arial" w:cs="Arial"/>
          <w:lang w:eastAsia="en-GB"/>
          <w14:textOutline w14:w="9525" w14:cap="rnd" w14:cmpd="sng" w14:algn="ctr">
            <w14:noFill/>
            <w14:prstDash w14:val="solid"/>
            <w14:bevel/>
          </w14:textOutline>
        </w:rPr>
        <w:t xml:space="preserve">key </w:t>
      </w:r>
      <w:r w:rsidRPr="00BC0C11">
        <w:rPr>
          <w:rFonts w:ascii="Arial" w:hAnsi="Arial" w:cs="Arial"/>
          <w:lang w:eastAsia="en-GB"/>
          <w14:textOutline w14:w="9525" w14:cap="rnd" w14:cmpd="sng" w14:algn="ctr">
            <w14:noFill/>
            <w14:prstDash w14:val="solid"/>
            <w14:bevel/>
          </w14:textOutline>
        </w:rPr>
        <w:t xml:space="preserve">principles guiding contemporary health and social care practice in the United Kingdom. As mental health needs become increasingly complex, there is growing recognition that care must be shaped around </w:t>
      </w:r>
      <w:r w:rsidR="00C47F26" w:rsidRPr="00BC0C11">
        <w:rPr>
          <w:rFonts w:ascii="Arial" w:hAnsi="Arial" w:cs="Arial"/>
          <w:lang w:eastAsia="en-GB"/>
          <w14:textOutline w14:w="9525" w14:cap="rnd" w14:cmpd="sng" w14:algn="ctr">
            <w14:noFill/>
            <w14:prstDash w14:val="solid"/>
            <w14:bevel/>
          </w14:textOutline>
        </w:rPr>
        <w:t>service user</w:t>
      </w:r>
      <w:r w:rsidRPr="00BC0C11">
        <w:rPr>
          <w:rFonts w:ascii="Arial" w:hAnsi="Arial" w:cs="Arial"/>
          <w:lang w:eastAsia="en-GB"/>
          <w14:textOutline w14:w="9525" w14:cap="rnd" w14:cmpd="sng" w14:algn="ctr">
            <w14:noFill/>
            <w14:prstDash w14:val="solid"/>
            <w14:bevel/>
          </w14:textOutline>
        </w:rPr>
        <w:t>s’ preferences, values, and lived experiences, while professionals and organisations collaborate effectively to deliver integrated support (Fridberg et al., 2021). PCC emphasises treating people as active participants in their care, whereas PW highlights the importance of multidisciplinary and multi</w:t>
      </w:r>
      <w:r w:rsidRPr="00BC0C11">
        <w:rPr>
          <w:rFonts w:ascii="Arial" w:hAnsi="Arial" w:cs="Arial"/>
          <w:lang w:eastAsia="en-GB"/>
          <w14:textOutline w14:w="9525" w14:cap="rnd" w14:cmpd="sng" w14:algn="ctr">
            <w14:noFill/>
            <w14:prstDash w14:val="solid"/>
            <w14:bevel/>
          </w14:textOutline>
        </w:rPr>
        <w:noBreakHyphen/>
        <w:t>agency cooperation. Together, these approaches aim to improve outcomes, enhance service</w:t>
      </w:r>
      <w:r w:rsidRPr="00BC0C11">
        <w:rPr>
          <w:rFonts w:ascii="Arial" w:hAnsi="Arial" w:cs="Arial"/>
          <w:lang w:eastAsia="en-GB"/>
          <w14:textOutline w14:w="9525" w14:cap="rnd" w14:cmpd="sng" w14:algn="ctr">
            <w14:noFill/>
            <w14:prstDash w14:val="solid"/>
            <w14:bevel/>
          </w14:textOutline>
        </w:rPr>
        <w:noBreakHyphen/>
        <w:t>user experience, and promote recovery</w:t>
      </w:r>
      <w:r w:rsidRPr="00BC0C11">
        <w:rPr>
          <w:rFonts w:ascii="Arial" w:hAnsi="Arial" w:cs="Arial"/>
          <w:lang w:eastAsia="en-GB"/>
          <w14:textOutline w14:w="9525" w14:cap="rnd" w14:cmpd="sng" w14:algn="ctr">
            <w14:noFill/>
            <w14:prstDash w14:val="solid"/>
            <w14:bevel/>
          </w14:textOutline>
        </w:rPr>
        <w:noBreakHyphen/>
        <w:t>focused practice (Ross et al., 2015).</w:t>
      </w:r>
    </w:p>
    <w:p w14:paraId="592A9C8D" w14:textId="77777777" w:rsidR="00AA1B49" w:rsidRPr="00BC0C11" w:rsidRDefault="00AA1B49" w:rsidP="00BC0C11">
      <w:pPr>
        <w:spacing w:line="360" w:lineRule="auto"/>
        <w:jc w:val="both"/>
        <w:rPr>
          <w:rFonts w:ascii="Arial" w:hAnsi="Arial" w:cs="Arial"/>
          <w:lang w:eastAsia="en-GB"/>
          <w14:textOutline w14:w="9525" w14:cap="rnd" w14:cmpd="sng" w14:algn="ctr">
            <w14:noFill/>
            <w14:prstDash w14:val="solid"/>
            <w14:bevel/>
          </w14:textOutline>
        </w:rPr>
      </w:pPr>
      <w:r w:rsidRPr="00BC0C11">
        <w:rPr>
          <w:rFonts w:ascii="Arial" w:hAnsi="Arial" w:cs="Arial"/>
          <w:lang w:eastAsia="en-GB"/>
          <w14:textOutline w14:w="9525" w14:cap="rnd" w14:cmpd="sng" w14:algn="ctr">
            <w14:noFill/>
            <w14:prstDash w14:val="solid"/>
            <w14:bevel/>
          </w14:textOutline>
        </w:rPr>
        <w:t>This report examines PCC and PW within mental health services by exploring definitions, benefits, limitations, underpinning theories, ethical considerations, partnership models, and relevant UK policy frameworks. It concludes with recommendations for strengthening PCC and PW across mental health systems.</w:t>
      </w:r>
    </w:p>
    <w:p w14:paraId="3C2F4A5B"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41B49DD7"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3D8C3F0D"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7FD57FB5"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294FDEF2"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4C8C1013"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34179B75"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700C159F"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7DAB8771"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6C781090"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56471313"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2C764DA6" w14:textId="77777777" w:rsidR="00326609" w:rsidRPr="00BC0C11" w:rsidRDefault="00326609" w:rsidP="00BC0C11">
      <w:pPr>
        <w:spacing w:line="360" w:lineRule="auto"/>
        <w:jc w:val="both"/>
        <w:rPr>
          <w:rFonts w:ascii="Arial" w:hAnsi="Arial" w:cs="Arial"/>
          <w:lang w:eastAsia="en-GB"/>
          <w14:textOutline w14:w="9525" w14:cap="rnd" w14:cmpd="sng" w14:algn="ctr">
            <w14:noFill/>
            <w14:prstDash w14:val="solid"/>
            <w14:bevel/>
          </w14:textOutline>
        </w:rPr>
      </w:pPr>
    </w:p>
    <w:p w14:paraId="6A971000" w14:textId="77777777" w:rsidR="00BC0C11" w:rsidRPr="00BC0C11" w:rsidRDefault="00BC0C11" w:rsidP="00BC0C11">
      <w:pPr>
        <w:spacing w:line="360" w:lineRule="auto"/>
        <w:jc w:val="both"/>
        <w:rPr>
          <w:rFonts w:ascii="Arial" w:hAnsi="Arial" w:cs="Arial"/>
          <w:lang w:eastAsia="en-GB"/>
          <w14:textOutline w14:w="9525" w14:cap="rnd" w14:cmpd="sng" w14:algn="ctr">
            <w14:noFill/>
            <w14:prstDash w14:val="solid"/>
            <w14:bevel/>
          </w14:textOutline>
        </w:rPr>
      </w:pPr>
    </w:p>
    <w:p w14:paraId="1E9B771E" w14:textId="45B9EAC3" w:rsidR="00552732" w:rsidRPr="00D11443" w:rsidRDefault="006D2628" w:rsidP="00BC0C11">
      <w:pPr>
        <w:pStyle w:val="Heading1"/>
        <w:spacing w:line="360" w:lineRule="auto"/>
        <w:rPr>
          <w:b/>
          <w:bCs/>
          <w:color w:val="auto"/>
          <w:sz w:val="22"/>
          <w:szCs w:val="22"/>
        </w:rPr>
      </w:pPr>
      <w:bookmarkStart w:id="2" w:name="_Toc235900006"/>
      <w:r w:rsidRPr="00D11443">
        <w:rPr>
          <w:b/>
          <w:bCs/>
          <w:color w:val="auto"/>
          <w:sz w:val="22"/>
          <w:szCs w:val="22"/>
        </w:rPr>
        <w:lastRenderedPageBreak/>
        <w:t>Definition of Person-Centred Care</w:t>
      </w:r>
      <w:bookmarkEnd w:id="2"/>
    </w:p>
    <w:p w14:paraId="3284B30D" w14:textId="4A5CABBE" w:rsidR="00552732" w:rsidRPr="00BC0C11" w:rsidRDefault="00552732" w:rsidP="00BC0C11">
      <w:pPr>
        <w:spacing w:after="0" w:line="360" w:lineRule="auto"/>
        <w:jc w:val="both"/>
        <w:rPr>
          <w:rFonts w:ascii="Arial" w:eastAsia="Times New Roman" w:hAnsi="Arial" w:cs="Arial"/>
          <w:kern w:val="0"/>
          <w:lang w:eastAsia="en-GB"/>
          <w14:textOutline w14:w="9525" w14:cap="rnd" w14:cmpd="sng" w14:algn="ctr">
            <w14:noFill/>
            <w14:prstDash w14:val="solid"/>
            <w14:bevel/>
          </w14:textOutline>
          <w14:ligatures w14:val="none"/>
        </w:rPr>
      </w:pPr>
      <w:r w:rsidRPr="00BC0C11">
        <w:rPr>
          <w:rFonts w:ascii="Arial" w:eastAsia="Times New Roman" w:hAnsi="Arial" w:cs="Arial"/>
          <w:kern w:val="0"/>
          <w:lang w:eastAsia="en-GB"/>
          <w14:textOutline w14:w="9525" w14:cap="rnd" w14:cmpd="sng" w14:algn="ctr">
            <w14:noFill/>
            <w14:prstDash w14:val="solid"/>
            <w14:bevel/>
          </w14:textOutline>
          <w14:ligatures w14:val="none"/>
        </w:rPr>
        <w:t>Person</w:t>
      </w:r>
      <w:r w:rsidRPr="00BC0C11">
        <w:rPr>
          <w:rFonts w:ascii="Arial" w:eastAsia="Times New Roman" w:hAnsi="Arial" w:cs="Arial"/>
          <w:kern w:val="0"/>
          <w:lang w:eastAsia="en-GB"/>
          <w14:textOutline w14:w="9525" w14:cap="rnd" w14:cmpd="sng" w14:algn="ctr">
            <w14:noFill/>
            <w14:prstDash w14:val="solid"/>
            <w14:bevel/>
          </w14:textOutline>
          <w14:ligatures w14:val="none"/>
        </w:rPr>
        <w:noBreakHyphen/>
        <w:t>centred care is an approach that places individuals’ needs, preferences, and values at the centre of decision</w:t>
      </w:r>
      <w:r w:rsidRPr="00BC0C11">
        <w:rPr>
          <w:rFonts w:ascii="Arial" w:eastAsia="Times New Roman" w:hAnsi="Arial" w:cs="Arial"/>
          <w:kern w:val="0"/>
          <w:lang w:eastAsia="en-GB"/>
          <w14:textOutline w14:w="9525" w14:cap="rnd" w14:cmpd="sng" w14:algn="ctr">
            <w14:noFill/>
            <w14:prstDash w14:val="solid"/>
            <w14:bevel/>
          </w14:textOutline>
          <w14:ligatures w14:val="none"/>
        </w:rPr>
        <w:noBreakHyphen/>
        <w:t>making. McCormack and McCance (2016) describe PCC as care that respect’s personal identity, promotes autonomy, and ensures that clinical decisions reflect what matters most to the individual. Fridberg et al. (2021) similarly argue that PCC is an innovation designed to deliver ethical, equitable, and personalised care.</w:t>
      </w:r>
    </w:p>
    <w:p w14:paraId="1561512C" w14:textId="77777777" w:rsidR="00552732" w:rsidRPr="00BC0C11" w:rsidRDefault="00552732" w:rsidP="00BC0C11">
      <w:pPr>
        <w:spacing w:after="0" w:line="360" w:lineRule="auto"/>
        <w:jc w:val="both"/>
        <w:rPr>
          <w:rFonts w:ascii="Arial" w:eastAsia="Times New Roman" w:hAnsi="Arial" w:cs="Arial"/>
          <w:kern w:val="0"/>
          <w:lang w:eastAsia="en-GB"/>
          <w14:textOutline w14:w="9525" w14:cap="rnd" w14:cmpd="sng" w14:algn="ctr">
            <w14:noFill/>
            <w14:prstDash w14:val="solid"/>
            <w14:bevel/>
          </w14:textOutline>
          <w14:ligatures w14:val="none"/>
        </w:rPr>
      </w:pPr>
    </w:p>
    <w:p w14:paraId="27D5B66B" w14:textId="77777777" w:rsidR="00552732" w:rsidRPr="00BC0C11" w:rsidRDefault="00552732" w:rsidP="00BC0C11">
      <w:pPr>
        <w:spacing w:after="0" w:line="360" w:lineRule="auto"/>
        <w:jc w:val="both"/>
        <w:rPr>
          <w:rFonts w:ascii="Arial" w:eastAsia="Times New Roman" w:hAnsi="Arial" w:cs="Arial"/>
          <w:kern w:val="0"/>
          <w:lang w:eastAsia="en-GB"/>
          <w14:textOutline w14:w="9525" w14:cap="rnd" w14:cmpd="sng" w14:algn="ctr">
            <w14:noFill/>
            <w14:prstDash w14:val="solid"/>
            <w14:bevel/>
          </w14:textOutline>
          <w14:ligatures w14:val="none"/>
        </w:rPr>
      </w:pPr>
      <w:r w:rsidRPr="00BC0C11">
        <w:rPr>
          <w:rFonts w:ascii="Arial" w:eastAsia="Times New Roman" w:hAnsi="Arial" w:cs="Arial"/>
          <w:kern w:val="0"/>
          <w:lang w:eastAsia="en-GB"/>
          <w14:textOutline w14:w="9525" w14:cap="rnd" w14:cmpd="sng" w14:algn="ctr">
            <w14:noFill/>
            <w14:prstDash w14:val="solid"/>
            <w14:bevel/>
          </w14:textOutline>
          <w14:ligatures w14:val="none"/>
        </w:rPr>
        <w:t>Regulatory bodies reinforce these principles. The Nursing and Midwifery Council (NMC, 2018) emphasises understanding what makes each person unique, while the Care Quality Commission (CQC, 2023) requires providers to involve people actively in planning and reviewing their care. In mental health settings, PCC involves shared decision</w:t>
      </w:r>
      <w:r w:rsidRPr="00BC0C11">
        <w:rPr>
          <w:rFonts w:ascii="Arial" w:eastAsia="Times New Roman" w:hAnsi="Arial" w:cs="Arial"/>
          <w:kern w:val="0"/>
          <w:lang w:eastAsia="en-GB"/>
          <w14:textOutline w14:w="9525" w14:cap="rnd" w14:cmpd="sng" w14:algn="ctr">
            <w14:noFill/>
            <w14:prstDash w14:val="solid"/>
            <w14:bevel/>
          </w14:textOutline>
          <w14:ligatures w14:val="none"/>
        </w:rPr>
        <w:noBreakHyphen/>
        <w:t>making, collaborative care planning, and recognising lived experience as central to recovery.</w:t>
      </w:r>
    </w:p>
    <w:p w14:paraId="52B43B32" w14:textId="77777777" w:rsidR="00552732" w:rsidRPr="00BC0C11" w:rsidRDefault="00552732" w:rsidP="00BC0C11">
      <w:pPr>
        <w:spacing w:after="0" w:line="360" w:lineRule="auto"/>
        <w:jc w:val="both"/>
        <w:rPr>
          <w:rFonts w:ascii="Arial" w:eastAsia="Times New Roman" w:hAnsi="Arial" w:cs="Arial"/>
          <w:kern w:val="0"/>
          <w:lang w:eastAsia="en-GB"/>
          <w14:textOutline w14:w="9525" w14:cap="rnd" w14:cmpd="sng" w14:algn="ctr">
            <w14:noFill/>
            <w14:prstDash w14:val="solid"/>
            <w14:bevel/>
          </w14:textOutline>
          <w14:ligatures w14:val="none"/>
        </w:rPr>
      </w:pPr>
    </w:p>
    <w:p w14:paraId="212140FF" w14:textId="77777777" w:rsidR="005D7AB6" w:rsidRPr="00BC0C11" w:rsidRDefault="005D7AB6" w:rsidP="00BC0C11">
      <w:pPr>
        <w:spacing w:after="0" w:line="360" w:lineRule="auto"/>
        <w:rPr>
          <w:rFonts w:ascii="Arial" w:eastAsia="Times New Roman" w:hAnsi="Arial" w:cs="Arial"/>
          <w:b/>
          <w:bCs/>
          <w:kern w:val="0"/>
          <w:lang w:eastAsia="en-GB"/>
          <w14:ligatures w14:val="none"/>
        </w:rPr>
      </w:pPr>
    </w:p>
    <w:p w14:paraId="644ACCBF" w14:textId="18879F43" w:rsidR="005A6090" w:rsidRPr="00D11443" w:rsidRDefault="006D2628" w:rsidP="00BC0C11">
      <w:pPr>
        <w:pStyle w:val="Subtitle"/>
        <w:spacing w:line="360" w:lineRule="auto"/>
        <w:rPr>
          <w:b/>
          <w:bCs/>
          <w:color w:val="auto"/>
        </w:rPr>
      </w:pPr>
      <w:r w:rsidRPr="00D11443">
        <w:rPr>
          <w:b/>
          <w:bCs/>
          <w:color w:val="auto"/>
        </w:rPr>
        <w:t>Benefits of Person-Centred Care</w:t>
      </w:r>
    </w:p>
    <w:p w14:paraId="1D8622FA" w14:textId="50632343" w:rsidR="005A6090" w:rsidRPr="00BC0C11" w:rsidRDefault="008811F9" w:rsidP="00BC0C11">
      <w:pPr>
        <w:spacing w:line="360" w:lineRule="auto"/>
        <w:jc w:val="both"/>
        <w:rPr>
          <w:rFonts w:ascii="Arial" w:hAnsi="Arial" w:cs="Arial"/>
          <w14:textOutline w14:w="9525" w14:cap="rnd" w14:cmpd="sng" w14:algn="ctr">
            <w14:noFill/>
            <w14:prstDash w14:val="solid"/>
            <w14:bevel/>
          </w14:textOutline>
        </w:rPr>
      </w:pPr>
      <w:r w:rsidRPr="00BC0C11">
        <w:rPr>
          <w:rFonts w:ascii="Arial" w:hAnsi="Arial" w:cs="Arial"/>
          <w14:textOutline w14:w="9525" w14:cap="rnd" w14:cmpd="sng" w14:algn="ctr">
            <w14:noFill/>
            <w14:prstDash w14:val="solid"/>
            <w14:bevel/>
          </w14:textOutline>
        </w:rPr>
        <w:t>Research shows</w:t>
      </w:r>
      <w:r w:rsidR="005A6090" w:rsidRPr="00BC0C11">
        <w:rPr>
          <w:rFonts w:ascii="Arial" w:hAnsi="Arial" w:cs="Arial"/>
          <w14:textOutline w14:w="9525" w14:cap="rnd" w14:cmpd="sng" w14:algn="ctr">
            <w14:noFill/>
            <w14:prstDash w14:val="solid"/>
            <w14:bevel/>
          </w14:textOutline>
        </w:rPr>
        <w:t xml:space="preserve"> that PCC improves service</w:t>
      </w:r>
      <w:r w:rsidR="005A6090" w:rsidRPr="00BC0C11">
        <w:rPr>
          <w:rFonts w:ascii="Arial" w:hAnsi="Arial" w:cs="Arial"/>
          <w14:textOutline w14:w="9525" w14:cap="rnd" w14:cmpd="sng" w14:algn="ctr">
            <w14:noFill/>
            <w14:prstDash w14:val="solid"/>
            <w14:bevel/>
          </w14:textOutline>
        </w:rPr>
        <w:noBreakHyphen/>
        <w:t>user experience and clinical outcomes. Wolf et al. (2017) found that individuals value human connection and feel more empowered when involved in decisions about their care. Sharma et al. (2015) reported that active involvement increases engagement with treatment and enhances wellbeing.</w:t>
      </w:r>
      <w:r w:rsidR="00BA474B" w:rsidRPr="00BC0C11">
        <w:rPr>
          <w:rFonts w:ascii="Arial" w:hAnsi="Arial" w:cs="Arial"/>
          <w14:textOutline w14:w="9525" w14:cap="rnd" w14:cmpd="sng" w14:algn="ctr">
            <w14:noFill/>
            <w14:prstDash w14:val="solid"/>
            <w14:bevel/>
          </w14:textOutline>
        </w:rPr>
        <w:t xml:space="preserve"> Furthermore, Fridberg et al. (2021) argued that recognising the psychological, social, cultural, and spiritual dimensions of patients promotes holistic assessment and enhances patient engagement. This supports the principles of person-centred care, whereby patients realise that, despite experiencing difficulties with their mental health, it is possible to lead a productive and meaningful life</w:t>
      </w:r>
    </w:p>
    <w:p w14:paraId="02D3E116" w14:textId="77777777" w:rsidR="00326609" w:rsidRPr="00BC0C11" w:rsidRDefault="00326609" w:rsidP="00BC0C11">
      <w:pPr>
        <w:spacing w:line="360" w:lineRule="auto"/>
        <w:jc w:val="both"/>
        <w:rPr>
          <w:rFonts w:ascii="Arial" w:hAnsi="Arial" w:cs="Arial"/>
          <w14:textOutline w14:w="9525" w14:cap="rnd" w14:cmpd="sng" w14:algn="ctr">
            <w14:noFill/>
            <w14:prstDash w14:val="solid"/>
            <w14:bevel/>
          </w14:textOutline>
        </w:rPr>
      </w:pPr>
    </w:p>
    <w:p w14:paraId="56C21C6D" w14:textId="77777777" w:rsidR="00326609" w:rsidRPr="00BC0C11" w:rsidRDefault="00326609" w:rsidP="00BC0C11">
      <w:pPr>
        <w:spacing w:line="360" w:lineRule="auto"/>
        <w:jc w:val="both"/>
        <w:rPr>
          <w:rFonts w:ascii="Arial" w:hAnsi="Arial" w:cs="Arial"/>
          <w14:textOutline w14:w="9525" w14:cap="rnd" w14:cmpd="sng" w14:algn="ctr">
            <w14:noFill/>
            <w14:prstDash w14:val="solid"/>
            <w14:bevel/>
          </w14:textOutline>
        </w:rPr>
      </w:pPr>
    </w:p>
    <w:p w14:paraId="1E68FF76" w14:textId="77777777" w:rsidR="00326609" w:rsidRPr="00BC0C11" w:rsidRDefault="00326609" w:rsidP="00BC0C11">
      <w:pPr>
        <w:spacing w:line="360" w:lineRule="auto"/>
        <w:jc w:val="both"/>
        <w:rPr>
          <w:rFonts w:ascii="Arial" w:hAnsi="Arial" w:cs="Arial"/>
          <w14:textOutline w14:w="9525" w14:cap="rnd" w14:cmpd="sng" w14:algn="ctr">
            <w14:noFill/>
            <w14:prstDash w14:val="solid"/>
            <w14:bevel/>
          </w14:textOutline>
        </w:rPr>
      </w:pPr>
    </w:p>
    <w:p w14:paraId="1E76C63A" w14:textId="77777777" w:rsidR="00326609" w:rsidRPr="00BC0C11" w:rsidRDefault="00326609" w:rsidP="00BC0C11">
      <w:pPr>
        <w:spacing w:line="360" w:lineRule="auto"/>
        <w:jc w:val="both"/>
        <w:rPr>
          <w:rFonts w:ascii="Arial" w:hAnsi="Arial" w:cs="Arial"/>
          <w14:textOutline w14:w="9525" w14:cap="rnd" w14:cmpd="sng" w14:algn="ctr">
            <w14:noFill/>
            <w14:prstDash w14:val="solid"/>
            <w14:bevel/>
          </w14:textOutline>
        </w:rPr>
      </w:pPr>
    </w:p>
    <w:p w14:paraId="781129C8" w14:textId="77777777" w:rsidR="00326609" w:rsidRPr="00BC0C11" w:rsidRDefault="00326609" w:rsidP="00BC0C11">
      <w:pPr>
        <w:spacing w:line="360" w:lineRule="auto"/>
        <w:jc w:val="both"/>
        <w:rPr>
          <w:rFonts w:ascii="Arial" w:hAnsi="Arial" w:cs="Arial"/>
          <w14:textOutline w14:w="9525" w14:cap="rnd" w14:cmpd="sng" w14:algn="ctr">
            <w14:noFill/>
            <w14:prstDash w14:val="solid"/>
            <w14:bevel/>
          </w14:textOutline>
        </w:rPr>
      </w:pPr>
    </w:p>
    <w:p w14:paraId="4E3BD7E1" w14:textId="77777777" w:rsidR="00326609" w:rsidRPr="00BC0C11" w:rsidRDefault="00326609" w:rsidP="00BC0C11">
      <w:pPr>
        <w:spacing w:line="360" w:lineRule="auto"/>
        <w:jc w:val="both"/>
        <w:rPr>
          <w:rFonts w:ascii="Arial" w:hAnsi="Arial" w:cs="Arial"/>
          <w14:textOutline w14:w="9525" w14:cap="rnd" w14:cmpd="sng" w14:algn="ctr">
            <w14:noFill/>
            <w14:prstDash w14:val="solid"/>
            <w14:bevel/>
          </w14:textOutline>
        </w:rPr>
      </w:pPr>
    </w:p>
    <w:p w14:paraId="614F9E91" w14:textId="77777777" w:rsidR="00326609" w:rsidRPr="00BC0C11" w:rsidRDefault="00326609" w:rsidP="00BC0C11">
      <w:pPr>
        <w:spacing w:line="360" w:lineRule="auto"/>
        <w:jc w:val="both"/>
        <w:rPr>
          <w:rFonts w:ascii="Arial" w:hAnsi="Arial" w:cs="Arial"/>
          <w14:textOutline w14:w="9525" w14:cap="rnd" w14:cmpd="sng" w14:algn="ctr">
            <w14:noFill/>
            <w14:prstDash w14:val="solid"/>
            <w14:bevel/>
          </w14:textOutline>
        </w:rPr>
      </w:pPr>
    </w:p>
    <w:p w14:paraId="119F02C1" w14:textId="77777777" w:rsidR="002E5E61" w:rsidRPr="00BC0C11" w:rsidRDefault="002E5E61" w:rsidP="00BC0C11">
      <w:pPr>
        <w:pStyle w:val="Subtitle"/>
        <w:spacing w:line="360" w:lineRule="auto"/>
      </w:pPr>
    </w:p>
    <w:p w14:paraId="5F76A44B" w14:textId="77777777" w:rsidR="002E5E61" w:rsidRPr="00BC0C11" w:rsidRDefault="002E5E61" w:rsidP="00BC0C11">
      <w:pPr>
        <w:pStyle w:val="Subtitle"/>
        <w:spacing w:line="360" w:lineRule="auto"/>
      </w:pPr>
    </w:p>
    <w:p w14:paraId="261BAE03" w14:textId="6589B6B2" w:rsidR="002E5E61" w:rsidRPr="00D11443" w:rsidRDefault="006D2628" w:rsidP="00BC0C11">
      <w:pPr>
        <w:pStyle w:val="Subtitle"/>
        <w:spacing w:line="360" w:lineRule="auto"/>
        <w:rPr>
          <w:b/>
          <w:bCs/>
          <w:color w:val="auto"/>
        </w:rPr>
      </w:pPr>
      <w:r w:rsidRPr="00D11443">
        <w:rPr>
          <w:b/>
          <w:bCs/>
          <w:color w:val="auto"/>
        </w:rPr>
        <w:lastRenderedPageBreak/>
        <w:t>Limitations of Person-Centred Care</w:t>
      </w:r>
    </w:p>
    <w:p w14:paraId="7142D6C6" w14:textId="365CEDCD" w:rsidR="00786825" w:rsidRPr="00BC0C11" w:rsidRDefault="00786825"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Despite its benefits, PCC is not always fully implemented. Some professionals struggle to move away from traditional, clinician</w:t>
      </w:r>
      <w:r w:rsidRPr="00BC0C11">
        <w:rPr>
          <w:rFonts w:ascii="Arial" w:hAnsi="Arial" w:cs="Arial"/>
          <w:sz w:val="22"/>
          <w:szCs w:val="22"/>
          <w14:textOutline w14:w="9525" w14:cap="rnd" w14:cmpd="sng" w14:algn="ctr">
            <w14:noFill/>
            <w14:prstDash w14:val="solid"/>
            <w14:bevel/>
          </w14:textOutline>
        </w:rPr>
        <w:noBreakHyphen/>
        <w:t>led models of care, making shared decision</w:t>
      </w:r>
      <w:r w:rsidRPr="00BC0C11">
        <w:rPr>
          <w:rFonts w:ascii="Arial" w:hAnsi="Arial" w:cs="Arial"/>
          <w:sz w:val="22"/>
          <w:szCs w:val="22"/>
          <w14:textOutline w14:w="9525" w14:cap="rnd" w14:cmpd="sng" w14:algn="ctr">
            <w14:noFill/>
            <w14:prstDash w14:val="solid"/>
            <w14:bevel/>
          </w14:textOutline>
        </w:rPr>
        <w:noBreakHyphen/>
        <w:t>making less common in practice (Smith &amp; Williams, 2016). Staff shortages and high workloads further limit opportunities for meaningful engagement (McCormack &amp; McCance, 2016).</w:t>
      </w:r>
    </w:p>
    <w:p w14:paraId="2C365049" w14:textId="0F5E496A" w:rsidR="00786825" w:rsidRPr="00BC0C11" w:rsidRDefault="00786825"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 xml:space="preserve">Tokenistic involvement is another challenge. Stomski and Morrison (2017) found that service users often request more information and involvement, yet decisions may still be made without genuine collaboration. Ocloo and Matthews (2016) argue that tokenism occurs when patients are asked for their </w:t>
      </w:r>
      <w:r w:rsidR="00E34E27" w:rsidRPr="00BC0C11">
        <w:rPr>
          <w:rFonts w:ascii="Arial" w:hAnsi="Arial" w:cs="Arial"/>
          <w:sz w:val="22"/>
          <w:szCs w:val="22"/>
          <w14:textOutline w14:w="9525" w14:cap="rnd" w14:cmpd="sng" w14:algn="ctr">
            <w14:noFill/>
            <w14:prstDash w14:val="solid"/>
            <w14:bevel/>
          </w14:textOutline>
        </w:rPr>
        <w:t>views,</w:t>
      </w:r>
      <w:r w:rsidRPr="00BC0C11">
        <w:rPr>
          <w:rFonts w:ascii="Arial" w:hAnsi="Arial" w:cs="Arial"/>
          <w:sz w:val="22"/>
          <w:szCs w:val="22"/>
          <w14:textOutline w14:w="9525" w14:cap="rnd" w14:cmpd="sng" w14:algn="ctr">
            <w14:noFill/>
            <w14:prstDash w14:val="solid"/>
            <w14:bevel/>
          </w14:textOutline>
        </w:rPr>
        <w:t xml:space="preserve"> but these do not influence final decisions.</w:t>
      </w:r>
    </w:p>
    <w:p w14:paraId="0A25D3E7" w14:textId="64C9A8C8" w:rsidR="00376D85" w:rsidRPr="00BC0C11" w:rsidRDefault="00786825"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In mental health settings, tensions frequently arise between respecting autonomy and ensuring safety, particularly during crises or compulsory treatment. Cultural and language barriers may also limit involvement for some individuals. These challenges highlight the need for supportive organisational cultures, adequate staffing, and strong leadership to embed PCC meaningfully.</w:t>
      </w:r>
    </w:p>
    <w:p w14:paraId="56BD1FAB"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096DDBF3"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2BC0EAFD"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5E9BB866"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2D65DD20"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49601177"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3B8E0BAF"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1C168F0D"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04BE0F66"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6AB75F80" w14:textId="77777777" w:rsidR="00326609" w:rsidRPr="00BC0C11" w:rsidRDefault="00326609" w:rsidP="00BC0C11">
      <w:pPr>
        <w:pStyle w:val="Heading1"/>
        <w:spacing w:line="360" w:lineRule="auto"/>
        <w:jc w:val="both"/>
        <w:rPr>
          <w:rFonts w:ascii="Arial" w:hAnsi="Arial" w:cs="Arial"/>
          <w:b/>
          <w:bCs/>
          <w:color w:val="auto"/>
          <w:sz w:val="22"/>
          <w:szCs w:val="22"/>
          <w14:textOutline w14:w="9525" w14:cap="rnd" w14:cmpd="sng" w14:algn="ctr">
            <w14:noFill/>
            <w14:prstDash w14:val="solid"/>
            <w14:bevel/>
          </w14:textOutline>
        </w:rPr>
      </w:pPr>
    </w:p>
    <w:p w14:paraId="48B138E2" w14:textId="68D5BCC2" w:rsidR="00376D85" w:rsidRPr="00D11443" w:rsidRDefault="00376D85" w:rsidP="00BC0C11">
      <w:pPr>
        <w:pStyle w:val="Heading1"/>
        <w:spacing w:line="360" w:lineRule="auto"/>
        <w:rPr>
          <w:b/>
          <w:bCs/>
          <w:color w:val="auto"/>
          <w:sz w:val="22"/>
          <w:szCs w:val="22"/>
        </w:rPr>
      </w:pPr>
      <w:bookmarkStart w:id="3" w:name="_Toc235900007"/>
      <w:r w:rsidRPr="009F1B6A">
        <w:rPr>
          <w:b/>
          <w:bCs/>
          <w:color w:val="auto"/>
          <w:sz w:val="22"/>
          <w:szCs w:val="22"/>
        </w:rPr>
        <w:t>Theories Underpinning Person-</w:t>
      </w:r>
      <w:r w:rsidR="00326609" w:rsidRPr="009F1B6A">
        <w:rPr>
          <w:b/>
          <w:bCs/>
          <w:color w:val="auto"/>
          <w:sz w:val="22"/>
          <w:szCs w:val="22"/>
        </w:rPr>
        <w:t>Centered</w:t>
      </w:r>
      <w:r w:rsidRPr="009F1B6A">
        <w:rPr>
          <w:b/>
          <w:bCs/>
          <w:color w:val="auto"/>
          <w:sz w:val="22"/>
          <w:szCs w:val="22"/>
        </w:rPr>
        <w:t xml:space="preserve"> Care: Analysis and Application in Mental Health Pract</w:t>
      </w:r>
      <w:r w:rsidRPr="00D11443">
        <w:rPr>
          <w:b/>
          <w:bCs/>
          <w:color w:val="auto"/>
          <w:sz w:val="22"/>
          <w:szCs w:val="22"/>
        </w:rPr>
        <w:t>ice</w:t>
      </w:r>
      <w:bookmarkEnd w:id="3"/>
    </w:p>
    <w:p w14:paraId="42B0BF8E" w14:textId="77777777" w:rsidR="00BC0C11" w:rsidRPr="00BC0C11" w:rsidRDefault="00D9501D" w:rsidP="00BC0C11">
      <w:pPr>
        <w:pStyle w:val="Subtitle"/>
        <w:spacing w:line="360" w:lineRule="auto"/>
        <w:rPr>
          <w:b/>
          <w:bCs/>
          <w:color w:val="000000" w:themeColor="text1"/>
        </w:rPr>
      </w:pPr>
      <w:r w:rsidRPr="00BC0C11">
        <w:rPr>
          <w:b/>
          <w:bCs/>
          <w:color w:val="000000" w:themeColor="text1"/>
        </w:rPr>
        <w:t>Person</w:t>
      </w:r>
      <w:r w:rsidRPr="00BC0C11">
        <w:rPr>
          <w:b/>
          <w:bCs/>
          <w:color w:val="000000" w:themeColor="text1"/>
        </w:rPr>
        <w:noBreakHyphen/>
        <w:t>Centred Nursing Framework</w:t>
      </w:r>
    </w:p>
    <w:p w14:paraId="27103AEA" w14:textId="65A6950B" w:rsidR="00D9501D" w:rsidRPr="009F1B6A" w:rsidRDefault="00D9501D" w:rsidP="00BC0C11">
      <w:pPr>
        <w:pStyle w:val="Subtitle"/>
        <w:spacing w:line="360" w:lineRule="auto"/>
        <w:rPr>
          <w:b/>
          <w:bCs/>
          <w:color w:val="auto"/>
        </w:rPr>
      </w:pPr>
      <w:r w:rsidRPr="009F1B6A">
        <w:rPr>
          <w:color w:val="auto"/>
        </w:rPr>
        <w:t xml:space="preserve">Several theories have been used to underpin the person-centred care approach and guide its implementation in </w:t>
      </w:r>
      <w:r w:rsidR="008811F9" w:rsidRPr="009F1B6A">
        <w:rPr>
          <w:color w:val="auto"/>
        </w:rPr>
        <w:t>practice. The</w:t>
      </w:r>
      <w:r w:rsidRPr="009F1B6A">
        <w:rPr>
          <w:color w:val="auto"/>
        </w:rPr>
        <w:t xml:space="preserve"> Person</w:t>
      </w:r>
      <w:r w:rsidRPr="009F1B6A">
        <w:rPr>
          <w:color w:val="auto"/>
        </w:rPr>
        <w:noBreakHyphen/>
        <w:t>Centred Nursing Framework (McCormack &amp; McCance, 2016; McCance &amp; McCormack, 2025) provides a structured model for implementing PCC. It emphasises the importance of professional competence, therapeutic relationships, shared values, and supportive environments. When these conditions are present, service users are more likely to feel respected, involved, and empowered</w:t>
      </w:r>
      <w:r w:rsidRPr="009F1B6A">
        <w:rPr>
          <w:rFonts w:ascii="Arial" w:hAnsi="Arial" w:cs="Arial"/>
          <w:color w:val="auto"/>
          <w14:textOutline w14:w="9525" w14:cap="rnd" w14:cmpd="sng" w14:algn="ctr">
            <w14:noFill/>
            <w14:prstDash w14:val="solid"/>
            <w14:bevel/>
          </w14:textOutline>
        </w:rPr>
        <w:t>.</w:t>
      </w:r>
    </w:p>
    <w:p w14:paraId="34B0F6EE" w14:textId="77777777" w:rsidR="00D9501D" w:rsidRPr="00BC0C11" w:rsidRDefault="00D9501D" w:rsidP="00BC0C11">
      <w:pPr>
        <w:pStyle w:val="NormalWeb"/>
        <w:spacing w:line="360" w:lineRule="auto"/>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The framework aligns closely with personal recovery in mental health, which emphasises living a meaningful life despite mental health challenges (Van Weeghel et al., 2019). Person</w:t>
      </w:r>
      <w:r w:rsidRPr="00BC0C11">
        <w:rPr>
          <w:rFonts w:ascii="Arial" w:hAnsi="Arial" w:cs="Arial"/>
          <w:sz w:val="22"/>
          <w:szCs w:val="22"/>
          <w14:textOutline w14:w="9525" w14:cap="rnd" w14:cmpd="sng" w14:algn="ctr">
            <w14:noFill/>
            <w14:prstDash w14:val="solid"/>
            <w14:bevel/>
          </w14:textOutline>
        </w:rPr>
        <w:noBreakHyphen/>
        <w:t>centred outcomes include wellbeing, involvement, empowerment, and satisfaction—not only symptom reduction.</w:t>
      </w:r>
    </w:p>
    <w:p w14:paraId="03FDCCB9" w14:textId="77777777" w:rsidR="00D9501D" w:rsidRPr="00BC0C11" w:rsidRDefault="00D9501D" w:rsidP="00BC0C11">
      <w:pPr>
        <w:pStyle w:val="NormalWeb"/>
        <w:spacing w:line="360" w:lineRule="auto"/>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However, organisational pressures such as waiting</w:t>
      </w:r>
      <w:r w:rsidRPr="00BC0C11">
        <w:rPr>
          <w:rFonts w:ascii="Arial" w:hAnsi="Arial" w:cs="Arial"/>
          <w:sz w:val="22"/>
          <w:szCs w:val="22"/>
          <w14:textOutline w14:w="9525" w14:cap="rnd" w14:cmpd="sng" w14:algn="ctr">
            <w14:noFill/>
            <w14:prstDash w14:val="solid"/>
            <w14:bevel/>
          </w14:textOutline>
        </w:rPr>
        <w:noBreakHyphen/>
        <w:t>time targets and risk management can limit opportunities for relationship</w:t>
      </w:r>
      <w:r w:rsidRPr="00BC0C11">
        <w:rPr>
          <w:rFonts w:ascii="Arial" w:hAnsi="Arial" w:cs="Arial"/>
          <w:sz w:val="22"/>
          <w:szCs w:val="22"/>
          <w14:textOutline w14:w="9525" w14:cap="rnd" w14:cmpd="sng" w14:algn="ctr">
            <w14:noFill/>
            <w14:prstDash w14:val="solid"/>
            <w14:bevel/>
          </w14:textOutline>
        </w:rPr>
        <w:noBreakHyphen/>
        <w:t>building and holistic assessment (Summer Meranius et al., 2020). Leadership is therefore crucial; managers who promote person</w:t>
      </w:r>
      <w:r w:rsidRPr="00BC0C11">
        <w:rPr>
          <w:rFonts w:ascii="Arial" w:hAnsi="Arial" w:cs="Arial"/>
          <w:sz w:val="22"/>
          <w:szCs w:val="22"/>
          <w14:textOutline w14:w="9525" w14:cap="rnd" w14:cmpd="sng" w14:algn="ctr">
            <w14:noFill/>
            <w14:prstDash w14:val="solid"/>
            <w14:bevel/>
          </w14:textOutline>
        </w:rPr>
        <w:noBreakHyphen/>
        <w:t>centred values help create cultures where PCC can flourish (Backman et al., 2020).</w:t>
      </w:r>
    </w:p>
    <w:p w14:paraId="3AA39AE4" w14:textId="77777777" w:rsidR="00D9501D" w:rsidRPr="00D11443" w:rsidRDefault="00D9501D" w:rsidP="00BC0C11">
      <w:pPr>
        <w:pStyle w:val="Subtitle"/>
        <w:spacing w:line="360" w:lineRule="auto"/>
        <w:rPr>
          <w:b/>
          <w:bCs/>
          <w:color w:val="auto"/>
        </w:rPr>
      </w:pPr>
      <w:r w:rsidRPr="00D11443">
        <w:rPr>
          <w:b/>
          <w:bCs/>
          <w:color w:val="auto"/>
        </w:rPr>
        <w:t>Carl Rogers’ Person</w:t>
      </w:r>
      <w:r w:rsidRPr="00D11443">
        <w:rPr>
          <w:b/>
          <w:bCs/>
          <w:color w:val="auto"/>
        </w:rPr>
        <w:noBreakHyphen/>
        <w:t>Centred Theory</w:t>
      </w:r>
    </w:p>
    <w:p w14:paraId="3179F3D2" w14:textId="77777777" w:rsidR="00D9501D" w:rsidRPr="00BC0C11" w:rsidRDefault="00D9501D" w:rsidP="00BC0C11">
      <w:pPr>
        <w:pStyle w:val="NormalWeb"/>
        <w:spacing w:line="360" w:lineRule="auto"/>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Rogers’ theory (1961, cited in McLeod, 2025) proposes that individuals grow and recover when supported with empathy, unconditional positive regard, and genuineness. These principles underpin PCC by emphasising non</w:t>
      </w:r>
      <w:r w:rsidRPr="00BC0C11">
        <w:rPr>
          <w:rFonts w:ascii="Arial" w:hAnsi="Arial" w:cs="Arial"/>
          <w:sz w:val="22"/>
          <w:szCs w:val="22"/>
          <w14:textOutline w14:w="9525" w14:cap="rnd" w14:cmpd="sng" w14:algn="ctr">
            <w14:noFill/>
            <w14:prstDash w14:val="solid"/>
            <w14:bevel/>
          </w14:textOutline>
        </w:rPr>
        <w:noBreakHyphen/>
        <w:t>judgemental listening and respect for subjective experience.</w:t>
      </w:r>
    </w:p>
    <w:p w14:paraId="14519765" w14:textId="42DB1A2A" w:rsidR="006D2628" w:rsidRPr="00BC0C11" w:rsidRDefault="00D9501D" w:rsidP="00BC0C11">
      <w:pPr>
        <w:pStyle w:val="NormalWeb"/>
        <w:spacing w:line="360" w:lineRule="auto"/>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 xml:space="preserve">In mental health practice, empathic communication helps professionals understand how conditions affect daily life and personal goals, improving engagement and adherence. However, critics argue that Rogers’ model may be overly optimistic for individuals experiencing severe psychosis or cognitive impairment, who may require more structured interventions (Tudor &amp; Rogers, 2021). </w:t>
      </w:r>
      <w:r w:rsidR="004F4424" w:rsidRPr="00BC0C11">
        <w:rPr>
          <w:rFonts w:ascii="Arial" w:hAnsi="Arial" w:cs="Arial"/>
          <w:sz w:val="22"/>
          <w:szCs w:val="22"/>
          <w14:textOutline w14:w="9525" w14:cap="rnd" w14:cmpd="sng" w14:algn="ctr">
            <w14:noFill/>
            <w14:prstDash w14:val="solid"/>
            <w14:bevel/>
          </w14:textOutline>
        </w:rPr>
        <w:t>However</w:t>
      </w:r>
      <w:r w:rsidRPr="00BC0C11">
        <w:rPr>
          <w:rFonts w:ascii="Arial" w:hAnsi="Arial" w:cs="Arial"/>
          <w:sz w:val="22"/>
          <w:szCs w:val="22"/>
          <w14:textOutline w14:w="9525" w14:cap="rnd" w14:cmpd="sng" w14:algn="ctr">
            <w14:noFill/>
            <w14:prstDash w14:val="solid"/>
            <w14:bevel/>
          </w14:textOutline>
        </w:rPr>
        <w:t xml:space="preserve">, the theory remains </w:t>
      </w:r>
      <w:r w:rsidR="004F4424" w:rsidRPr="00BC0C11">
        <w:rPr>
          <w:rFonts w:ascii="Arial" w:hAnsi="Arial" w:cs="Arial"/>
          <w:sz w:val="22"/>
          <w:szCs w:val="22"/>
          <w14:textOutline w14:w="9525" w14:cap="rnd" w14:cmpd="sng" w14:algn="ctr">
            <w14:noFill/>
            <w14:prstDash w14:val="solid"/>
            <w14:bevel/>
          </w14:textOutline>
        </w:rPr>
        <w:t>significant</w:t>
      </w:r>
      <w:r w:rsidRPr="00BC0C11">
        <w:rPr>
          <w:rFonts w:ascii="Arial" w:hAnsi="Arial" w:cs="Arial"/>
          <w:sz w:val="22"/>
          <w:szCs w:val="22"/>
          <w14:textOutline w14:w="9525" w14:cap="rnd" w14:cmpd="sng" w14:algn="ctr">
            <w14:noFill/>
            <w14:prstDash w14:val="solid"/>
            <w14:bevel/>
          </w14:textOutline>
        </w:rPr>
        <w:t xml:space="preserve"> and aligns with contemporary nursing practice.</w:t>
      </w:r>
    </w:p>
    <w:p w14:paraId="539A74F2" w14:textId="77777777" w:rsidR="00BC0C11" w:rsidRPr="00BC0C11" w:rsidRDefault="00BC0C11" w:rsidP="00BC0C11">
      <w:pPr>
        <w:pStyle w:val="NormalWeb"/>
        <w:spacing w:line="360" w:lineRule="auto"/>
        <w:rPr>
          <w:rFonts w:ascii="Arial" w:hAnsi="Arial" w:cs="Arial"/>
          <w:sz w:val="22"/>
          <w:szCs w:val="22"/>
          <w14:textOutline w14:w="9525" w14:cap="rnd" w14:cmpd="sng" w14:algn="ctr">
            <w14:noFill/>
            <w14:prstDash w14:val="solid"/>
            <w14:bevel/>
          </w14:textOutline>
        </w:rPr>
      </w:pPr>
    </w:p>
    <w:p w14:paraId="1929BBBC" w14:textId="77777777" w:rsidR="006D2628" w:rsidRPr="00BC0C11" w:rsidRDefault="006D2628" w:rsidP="00BC0C11">
      <w:pPr>
        <w:pStyle w:val="Subtitle"/>
        <w:spacing w:line="360" w:lineRule="auto"/>
        <w:rPr>
          <w:b/>
          <w:bCs/>
          <w:color w:val="000000" w:themeColor="text1"/>
        </w:rPr>
      </w:pPr>
      <w:r w:rsidRPr="00BC0C11">
        <w:rPr>
          <w:b/>
          <w:bCs/>
          <w:color w:val="000000" w:themeColor="text1"/>
        </w:rPr>
        <w:lastRenderedPageBreak/>
        <w:t>Ethical Fundamentals of Health and Social Care</w:t>
      </w:r>
    </w:p>
    <w:p w14:paraId="73BC69E7" w14:textId="27C10C52" w:rsidR="009756D7" w:rsidRPr="00BC0C11" w:rsidRDefault="00221726"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Ethical principles in health and social care form the foundation of professional practice and guide decision</w:t>
      </w:r>
      <w:r w:rsidRPr="00BC0C11">
        <w:rPr>
          <w:rFonts w:ascii="Arial" w:hAnsi="Arial" w:cs="Arial"/>
          <w:sz w:val="22"/>
          <w:szCs w:val="22"/>
          <w14:textOutline w14:w="9525" w14:cap="rnd" w14:cmpd="sng" w14:algn="ctr">
            <w14:noFill/>
            <w14:prstDash w14:val="solid"/>
            <w14:bevel/>
          </w14:textOutline>
        </w:rPr>
        <w:noBreakHyphen/>
        <w:t xml:space="preserve">making when competing interests arise. </w:t>
      </w:r>
      <w:r w:rsidR="009756D7" w:rsidRPr="00BC0C11">
        <w:rPr>
          <w:rFonts w:ascii="Arial" w:hAnsi="Arial" w:cs="Arial"/>
          <w:sz w:val="22"/>
          <w:szCs w:val="22"/>
          <w14:textOutline w14:w="9525" w14:cap="rnd" w14:cmpd="sng" w14:algn="ctr">
            <w14:noFill/>
            <w14:prstDash w14:val="solid"/>
            <w14:bevel/>
          </w14:textOutline>
        </w:rPr>
        <w:t>Ethical principles guide decision</w:t>
      </w:r>
      <w:r w:rsidR="009756D7" w:rsidRPr="00BC0C11">
        <w:rPr>
          <w:rFonts w:ascii="Arial" w:hAnsi="Arial" w:cs="Arial"/>
          <w:sz w:val="22"/>
          <w:szCs w:val="22"/>
          <w14:textOutline w14:w="9525" w14:cap="rnd" w14:cmpd="sng" w14:algn="ctr">
            <w14:noFill/>
            <w14:prstDash w14:val="solid"/>
            <w14:bevel/>
          </w14:textOutline>
        </w:rPr>
        <w:noBreakHyphen/>
        <w:t>making when competing interests arise. Beauchamp and Childress (2012) identify four key principles:</w:t>
      </w:r>
    </w:p>
    <w:p w14:paraId="1E37C36C" w14:textId="77777777" w:rsidR="009756D7" w:rsidRPr="00BC0C11" w:rsidRDefault="009756D7" w:rsidP="00BC0C11">
      <w:pPr>
        <w:pStyle w:val="Subtitle"/>
        <w:spacing w:line="360" w:lineRule="auto"/>
        <w:rPr>
          <w:b/>
          <w:bCs/>
          <w:color w:val="000000" w:themeColor="text1"/>
        </w:rPr>
      </w:pPr>
      <w:r w:rsidRPr="00BC0C11">
        <w:rPr>
          <w:b/>
          <w:bCs/>
          <w:color w:val="000000" w:themeColor="text1"/>
        </w:rPr>
        <w:t>Autonomy</w:t>
      </w:r>
    </w:p>
    <w:p w14:paraId="5C50CD7D"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Autonomy involves respecting individuals’ right to make informed decisions. In mental health services, this includes involvement in treatment planning and medication decisions. However, autonomy may be limited when capacity is impaired or risks to self or others exist (Howe, 2009). In such cases, decisions should be made in the person’s best interests, ideally involving family or advocates.</w:t>
      </w:r>
    </w:p>
    <w:p w14:paraId="22E82AA6" w14:textId="77777777" w:rsidR="009756D7" w:rsidRPr="00BC0C11" w:rsidRDefault="009756D7" w:rsidP="00BC0C11">
      <w:pPr>
        <w:pStyle w:val="Subtitle"/>
        <w:spacing w:line="360" w:lineRule="auto"/>
        <w:rPr>
          <w:b/>
          <w:bCs/>
          <w:color w:val="000000" w:themeColor="text1"/>
        </w:rPr>
      </w:pPr>
      <w:r w:rsidRPr="00BC0C11">
        <w:rPr>
          <w:b/>
          <w:bCs/>
          <w:color w:val="000000" w:themeColor="text1"/>
        </w:rPr>
        <w:t>Beneficence</w:t>
      </w:r>
    </w:p>
    <w:p w14:paraId="3FB8EDE8"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Beneficence requires acting in the service user’s best interests. In mental health practice, this includes providing interventions that support recovery and enhance quality of life (Bifarin &amp; Stonehouse, 2022).</w:t>
      </w:r>
    </w:p>
    <w:p w14:paraId="348BC1B0" w14:textId="77777777" w:rsidR="009756D7" w:rsidRPr="00BC0C11" w:rsidRDefault="009756D7" w:rsidP="00BC0C11">
      <w:pPr>
        <w:pStyle w:val="Subtitle"/>
        <w:spacing w:line="360" w:lineRule="auto"/>
        <w:rPr>
          <w:b/>
          <w:bCs/>
          <w:color w:val="000000" w:themeColor="text1"/>
        </w:rPr>
      </w:pPr>
      <w:r w:rsidRPr="00BC0C11">
        <w:rPr>
          <w:b/>
          <w:bCs/>
          <w:color w:val="000000" w:themeColor="text1"/>
        </w:rPr>
        <w:t>Non</w:t>
      </w:r>
      <w:r w:rsidRPr="00BC0C11">
        <w:rPr>
          <w:b/>
          <w:bCs/>
          <w:color w:val="000000" w:themeColor="text1"/>
        </w:rPr>
        <w:noBreakHyphen/>
        <w:t>Maleficence</w:t>
      </w:r>
    </w:p>
    <w:p w14:paraId="70923FB2"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Non</w:t>
      </w:r>
      <w:r w:rsidRPr="00BC0C11">
        <w:rPr>
          <w:rFonts w:ascii="Arial" w:hAnsi="Arial" w:cs="Arial"/>
          <w:sz w:val="22"/>
          <w:szCs w:val="22"/>
          <w14:textOutline w14:w="9525" w14:cap="rnd" w14:cmpd="sng" w14:algn="ctr">
            <w14:noFill/>
            <w14:prstDash w14:val="solid"/>
            <w14:bevel/>
          </w14:textOutline>
        </w:rPr>
        <w:noBreakHyphen/>
        <w:t>maleficence involves avoiding harm. Professionals often balance autonomy with the need to protect individuals from self</w:t>
      </w:r>
      <w:r w:rsidRPr="00BC0C11">
        <w:rPr>
          <w:rFonts w:ascii="Arial" w:hAnsi="Arial" w:cs="Arial"/>
          <w:sz w:val="22"/>
          <w:szCs w:val="22"/>
          <w14:textOutline w14:w="9525" w14:cap="rnd" w14:cmpd="sng" w14:algn="ctr">
            <w14:noFill/>
            <w14:prstDash w14:val="solid"/>
            <w14:bevel/>
          </w14:textOutline>
        </w:rPr>
        <w:noBreakHyphen/>
        <w:t>harm or neglect. Compulsory admission under the Mental Health Act may restrict autonomy but can be justified when risk is significant (Wessely, 2018).</w:t>
      </w:r>
    </w:p>
    <w:p w14:paraId="35A289CC" w14:textId="77777777" w:rsidR="009756D7" w:rsidRPr="00BC0C11" w:rsidRDefault="009756D7" w:rsidP="00BC0C11">
      <w:pPr>
        <w:pStyle w:val="Subtitle"/>
        <w:spacing w:line="360" w:lineRule="auto"/>
        <w:rPr>
          <w:b/>
          <w:bCs/>
          <w:color w:val="000000" w:themeColor="text1"/>
        </w:rPr>
      </w:pPr>
      <w:r w:rsidRPr="00BC0C11">
        <w:rPr>
          <w:b/>
          <w:bCs/>
          <w:color w:val="000000" w:themeColor="text1"/>
        </w:rPr>
        <w:t>Justice</w:t>
      </w:r>
    </w:p>
    <w:p w14:paraId="378D33F2"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Justice concerns fairness and equitable access. Mental health services must ensure equal treatment regardless of age, ethnicity, disability, gender, or socioeconomic status. However, evidence shows persistent inequalities, particularly for ethnic minority groups (NHS Race and Health Observatory, 2022).</w:t>
      </w:r>
    </w:p>
    <w:p w14:paraId="3F0EA6C7"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Balancing these principles requires ethical reflection and collaborative decision</w:t>
      </w:r>
      <w:r w:rsidRPr="00BC0C11">
        <w:rPr>
          <w:rFonts w:ascii="Arial" w:hAnsi="Arial" w:cs="Arial"/>
          <w:sz w:val="22"/>
          <w:szCs w:val="22"/>
          <w14:textOutline w14:w="9525" w14:cap="rnd" w14:cmpd="sng" w14:algn="ctr">
            <w14:noFill/>
            <w14:prstDash w14:val="solid"/>
            <w14:bevel/>
          </w14:textOutline>
        </w:rPr>
        <w:noBreakHyphen/>
        <w:t>making, especially when autonomy conflicts with safety.</w:t>
      </w:r>
    </w:p>
    <w:p w14:paraId="6F79EDFB"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58F1BA37"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13BD281D" w14:textId="77777777" w:rsidR="002E5E61" w:rsidRPr="00BC0C11" w:rsidRDefault="002E5E61"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3020EE4B" w14:textId="77777777" w:rsidR="009756D7" w:rsidRPr="00F42698" w:rsidRDefault="009756D7" w:rsidP="00BC0C11">
      <w:pPr>
        <w:pStyle w:val="Title"/>
        <w:spacing w:line="360" w:lineRule="auto"/>
        <w:rPr>
          <w:b/>
          <w:bCs/>
          <w:sz w:val="22"/>
          <w:szCs w:val="22"/>
        </w:rPr>
      </w:pPr>
      <w:r w:rsidRPr="00F42698">
        <w:rPr>
          <w:b/>
          <w:bCs/>
          <w:sz w:val="22"/>
          <w:szCs w:val="22"/>
        </w:rPr>
        <w:t>Evaluation of Partnership Working</w:t>
      </w:r>
    </w:p>
    <w:p w14:paraId="7A629074"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F42698">
        <w:t>Partnership working involves collaboration between individuals, professionals, organisations, and agencies to achieve shared goals (Glasby &amp; Dickinson, 2021). It is essential in mental health due to the complexity of service users’ needs</w:t>
      </w:r>
      <w:r w:rsidRPr="00BC0C11">
        <w:rPr>
          <w:rFonts w:ascii="Arial" w:hAnsi="Arial" w:cs="Arial"/>
          <w:sz w:val="22"/>
          <w:szCs w:val="22"/>
          <w14:textOutline w14:w="9525" w14:cap="rnd" w14:cmpd="sng" w14:algn="ctr">
            <w14:noFill/>
            <w14:prstDash w14:val="solid"/>
            <w14:bevel/>
          </w14:textOutline>
        </w:rPr>
        <w:t>.</w:t>
      </w:r>
    </w:p>
    <w:p w14:paraId="324CB0D8" w14:textId="77777777" w:rsidR="009756D7" w:rsidRPr="00BC0C11" w:rsidRDefault="009756D7" w:rsidP="00BC0C11">
      <w:pPr>
        <w:pStyle w:val="Subtitle"/>
        <w:spacing w:line="360" w:lineRule="auto"/>
        <w:rPr>
          <w:b/>
          <w:bCs/>
          <w:color w:val="000000" w:themeColor="text1"/>
        </w:rPr>
      </w:pPr>
      <w:r w:rsidRPr="00BC0C11">
        <w:rPr>
          <w:b/>
          <w:bCs/>
          <w:color w:val="000000" w:themeColor="text1"/>
        </w:rPr>
        <w:t>Importance and Benefits</w:t>
      </w:r>
    </w:p>
    <w:p w14:paraId="43292E4D"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The Health and Care Act 2022 formalised Integrated Care Systems (ICSs), promoting collaboration between NHS organisations, local authorities, social care providers, and voluntary organisations. Effective PW improves communication, reduces duplication, and enhances continuity of care.</w:t>
      </w:r>
    </w:p>
    <w:p w14:paraId="1DE22607"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In mental health, the Care Programme Approach (CPA) exemplifies PW through coordinated assessment, care planning, risk management, and review involving multiple stakeholders (Department of Health, 2008). Multidisciplinary teams bring diverse expertise, supporting holistic care. Partnership approaches also strengthen PCC by encouraging genuine collaboration between professionals and service users (Wolf et al., 2017).</w:t>
      </w:r>
    </w:p>
    <w:p w14:paraId="07D99D28" w14:textId="77777777" w:rsidR="009756D7" w:rsidRPr="00BC0C11" w:rsidRDefault="009756D7" w:rsidP="00BC0C11">
      <w:pPr>
        <w:pStyle w:val="Subtitle"/>
        <w:spacing w:line="360" w:lineRule="auto"/>
        <w:rPr>
          <w:b/>
          <w:bCs/>
          <w:color w:val="000000" w:themeColor="text1"/>
        </w:rPr>
      </w:pPr>
      <w:r w:rsidRPr="00BC0C11">
        <w:rPr>
          <w:b/>
          <w:bCs/>
          <w:color w:val="000000" w:themeColor="text1"/>
        </w:rPr>
        <w:t>Challenges</w:t>
      </w:r>
    </w:p>
    <w:p w14:paraId="426ECD5D" w14:textId="77777777" w:rsidR="009756D7"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Despite its benefits, PW faces barriers. Communication failures remain common, particularly when organisations use incompatible systems or face confidentiality constraints (Thomson et al., 2024). Role ambiguity can lead to duplication or gaps in care. Funding pressures also create tension, as organisations may compete for resources while being expected to collaborate (Thomson &amp; Waterson, 2024).</w:t>
      </w:r>
    </w:p>
    <w:p w14:paraId="28E6DFB8" w14:textId="28EB2450" w:rsidR="00207D76" w:rsidRPr="00BC0C11" w:rsidRDefault="009756D7"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Poor partnership working undermines continuity, increases fragmentation, and negatively affects service</w:t>
      </w:r>
      <w:r w:rsidRPr="00BC0C11">
        <w:rPr>
          <w:rFonts w:ascii="Arial" w:hAnsi="Arial" w:cs="Arial"/>
          <w:sz w:val="22"/>
          <w:szCs w:val="22"/>
          <w14:textOutline w14:w="9525" w14:cap="rnd" w14:cmpd="sng" w14:algn="ctr">
            <w14:noFill/>
            <w14:prstDash w14:val="solid"/>
            <w14:bevel/>
          </w14:textOutline>
        </w:rPr>
        <w:noBreakHyphen/>
        <w:t>user experience and safety.</w:t>
      </w:r>
    </w:p>
    <w:p w14:paraId="7C71958C" w14:textId="77777777" w:rsidR="002E5E61" w:rsidRPr="00BC0C11" w:rsidRDefault="002E5E61"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3ECC8D0F" w14:textId="77777777" w:rsidR="002E5E61" w:rsidRPr="00BC0C11" w:rsidRDefault="002E5E61"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2FFE3516" w14:textId="77777777" w:rsidR="002E5E61" w:rsidRPr="00BC0C11" w:rsidRDefault="002E5E61"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65E90326" w14:textId="77777777" w:rsidR="000D3C75" w:rsidRDefault="00207D76" w:rsidP="000D3C75">
      <w:pPr>
        <w:pStyle w:val="Heading1"/>
        <w:spacing w:line="360" w:lineRule="auto"/>
        <w:rPr>
          <w:b/>
          <w:bCs/>
          <w:color w:val="auto"/>
          <w:sz w:val="22"/>
          <w:szCs w:val="22"/>
        </w:rPr>
      </w:pPr>
      <w:bookmarkStart w:id="4" w:name="_Toc235900008"/>
      <w:r w:rsidRPr="000D3C75">
        <w:rPr>
          <w:b/>
          <w:bCs/>
          <w:color w:val="auto"/>
          <w:sz w:val="22"/>
          <w:szCs w:val="22"/>
        </w:rPr>
        <w:lastRenderedPageBreak/>
        <w:t>Policy and Legislation: Implications for PCC and Partnership Working in Mental Health</w:t>
      </w:r>
      <w:bookmarkEnd w:id="4"/>
    </w:p>
    <w:p w14:paraId="02853883" w14:textId="4C43F3B3" w:rsidR="00207D76" w:rsidRPr="000D3C75" w:rsidRDefault="00207D76" w:rsidP="000D3C75">
      <w:pPr>
        <w:pStyle w:val="Heading1"/>
        <w:spacing w:line="360" w:lineRule="auto"/>
        <w:rPr>
          <w:b/>
          <w:bCs/>
          <w:color w:val="auto"/>
          <w:sz w:val="22"/>
          <w:szCs w:val="22"/>
        </w:rPr>
      </w:pPr>
      <w:r w:rsidRPr="000D3C75">
        <w:rPr>
          <w:rFonts w:ascii="Arial" w:hAnsi="Arial" w:cs="Arial"/>
          <w:color w:val="auto"/>
          <w:sz w:val="22"/>
          <w:szCs w:val="22"/>
          <w14:textOutline w14:w="9525" w14:cap="rnd" w14:cmpd="sng" w14:algn="ctr">
            <w14:noFill/>
            <w14:prstDash w14:val="solid"/>
            <w14:bevel/>
          </w14:textOutline>
        </w:rPr>
        <w:t>A range of UK policies and laws shape how person</w:t>
      </w:r>
      <w:r w:rsidRPr="000D3C75">
        <w:rPr>
          <w:rFonts w:ascii="Arial" w:hAnsi="Arial" w:cs="Arial"/>
          <w:color w:val="auto"/>
          <w:sz w:val="22"/>
          <w:szCs w:val="22"/>
          <w14:textOutline w14:w="9525" w14:cap="rnd" w14:cmpd="sng" w14:algn="ctr">
            <w14:noFill/>
            <w14:prstDash w14:val="solid"/>
            <w14:bevel/>
          </w14:textOutline>
        </w:rPr>
        <w:noBreakHyphen/>
        <w:t>centred care (PCC) and partnership working (PW) are delivered in mental health settings. Overall, these frameworks aim to strengthen collaboration, protect individual rights, and ensure care is tailored to personal needs. However, practical challenges such as workforce shortages and inconsistent funding can limit their impact.</w:t>
      </w:r>
    </w:p>
    <w:p w14:paraId="4BD5996F" w14:textId="5857ED82" w:rsidR="00207D76" w:rsidRPr="00BC0C11" w:rsidRDefault="00207D76"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 xml:space="preserve">The Health and Care Act 2022 </w:t>
      </w:r>
      <w:r w:rsidR="00CB2977" w:rsidRPr="00BC0C11">
        <w:rPr>
          <w:rFonts w:ascii="Arial" w:hAnsi="Arial" w:cs="Arial"/>
          <w:sz w:val="22"/>
          <w:szCs w:val="22"/>
          <w14:textOutline w14:w="9525" w14:cap="rnd" w14:cmpd="sng" w14:algn="ctr">
            <w14:noFill/>
            <w14:prstDash w14:val="solid"/>
            <w14:bevel/>
          </w14:textOutline>
        </w:rPr>
        <w:t>promote</w:t>
      </w:r>
      <w:r w:rsidRPr="00BC0C11">
        <w:rPr>
          <w:rFonts w:ascii="Arial" w:hAnsi="Arial" w:cs="Arial"/>
          <w:sz w:val="22"/>
          <w:szCs w:val="22"/>
          <w14:textOutline w14:w="9525" w14:cap="rnd" w14:cmpd="sng" w14:algn="ctr">
            <w14:noFill/>
            <w14:prstDash w14:val="solid"/>
            <w14:bevel/>
          </w14:textOutline>
        </w:rPr>
        <w:t xml:space="preserve"> integration through Integrated Care Systems, encouraging NHS, social care, and voluntary organisations to work together (Department of Health and Social Care, 2022). This supports PW by reducing fragmented care and improving coordination. For example, mental health teams can work more closely with housing and social care services to support safe discharge planning.</w:t>
      </w:r>
    </w:p>
    <w:p w14:paraId="5C6C18BB" w14:textId="7605AAA9" w:rsidR="00207D76" w:rsidRPr="00BC0C11" w:rsidRDefault="00207D76"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 xml:space="preserve">The Health and Social Care Act 2012 </w:t>
      </w:r>
      <w:r w:rsidR="00AA6E94" w:rsidRPr="00BC0C11">
        <w:rPr>
          <w:rFonts w:ascii="Arial" w:hAnsi="Arial" w:cs="Arial"/>
          <w:sz w:val="22"/>
          <w:szCs w:val="22"/>
          <w14:textOutline w14:w="9525" w14:cap="rnd" w14:cmpd="sng" w14:algn="ctr">
            <w14:noFill/>
            <w14:prstDash w14:val="solid"/>
            <w14:bevel/>
          </w14:textOutline>
        </w:rPr>
        <w:t>emphasise</w:t>
      </w:r>
      <w:r w:rsidRPr="00BC0C11">
        <w:rPr>
          <w:rFonts w:ascii="Arial" w:hAnsi="Arial" w:cs="Arial"/>
          <w:sz w:val="22"/>
          <w:szCs w:val="22"/>
          <w14:textOutline w14:w="9525" w14:cap="rnd" w14:cmpd="sng" w14:algn="ctr">
            <w14:noFill/>
            <w14:prstDash w14:val="solid"/>
            <w14:bevel/>
          </w14:textOutline>
        </w:rPr>
        <w:t xml:space="preserve"> patient choice and involvement, reinforcing PCC by encouraging shared decision</w:t>
      </w:r>
      <w:r w:rsidRPr="00BC0C11">
        <w:rPr>
          <w:rFonts w:ascii="Arial" w:hAnsi="Arial" w:cs="Arial"/>
          <w:sz w:val="22"/>
          <w:szCs w:val="22"/>
          <w14:textOutline w14:w="9525" w14:cap="rnd" w14:cmpd="sng" w14:algn="ctr">
            <w14:noFill/>
            <w14:prstDash w14:val="solid"/>
            <w14:bevel/>
          </w14:textOutline>
        </w:rPr>
        <w:noBreakHyphen/>
        <w:t>making (DHSC, 2012). In practice, this is seen when service users are involved in selecting psychological therapies or discussing medication options with clinicians.</w:t>
      </w:r>
    </w:p>
    <w:p w14:paraId="39FDB3DF" w14:textId="7AB37316" w:rsidR="00207D76" w:rsidRPr="00BC0C11" w:rsidRDefault="00207D76"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 xml:space="preserve">The Care Act 2014 places wellbeing at the centre of adult social care and requires </w:t>
      </w:r>
      <w:r w:rsidR="00326609" w:rsidRPr="00BC0C11">
        <w:rPr>
          <w:rFonts w:ascii="Arial" w:hAnsi="Arial" w:cs="Arial"/>
          <w:sz w:val="22"/>
          <w:szCs w:val="22"/>
          <w14:textOutline w14:w="9525" w14:cap="rnd" w14:cmpd="sng" w14:algn="ctr">
            <w14:noFill/>
            <w14:prstDash w14:val="solid"/>
            <w14:bevel/>
          </w14:textOutline>
        </w:rPr>
        <w:t>agencies and</w:t>
      </w:r>
      <w:r w:rsidR="00243D06" w:rsidRPr="00BC0C11">
        <w:rPr>
          <w:rFonts w:ascii="Arial" w:hAnsi="Arial" w:cs="Arial"/>
          <w:sz w:val="22"/>
          <w:szCs w:val="22"/>
          <w14:textOutline w14:w="9525" w14:cap="rnd" w14:cmpd="sng" w14:algn="ctr">
            <w14:noFill/>
            <w14:prstDash w14:val="solid"/>
            <w14:bevel/>
          </w14:textOutline>
        </w:rPr>
        <w:t xml:space="preserve"> organisations </w:t>
      </w:r>
      <w:r w:rsidRPr="00BC0C11">
        <w:rPr>
          <w:rFonts w:ascii="Arial" w:hAnsi="Arial" w:cs="Arial"/>
          <w:sz w:val="22"/>
          <w:szCs w:val="22"/>
          <w14:textOutline w14:w="9525" w14:cap="rnd" w14:cmpd="sng" w14:algn="ctr">
            <w14:noFill/>
            <w14:prstDash w14:val="solid"/>
            <w14:bevel/>
          </w14:textOutline>
        </w:rPr>
        <w:t>to cooperate (Department of Health, 2014). This supports holistic mental health practice, such as joint assessments between social workers and community mental health teams to address social needs alongside clinical care.</w:t>
      </w:r>
    </w:p>
    <w:p w14:paraId="54EA481A" w14:textId="7E3E2C29" w:rsidR="00207D76" w:rsidRPr="00BC0C11" w:rsidRDefault="00207D76"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 xml:space="preserve"> The Human Rights Act 1998 protects dignity, liberty, and privacy, guiding ethical decision</w:t>
      </w:r>
      <w:r w:rsidRPr="00BC0C11">
        <w:rPr>
          <w:rFonts w:ascii="Arial" w:hAnsi="Arial" w:cs="Arial"/>
          <w:sz w:val="22"/>
          <w:szCs w:val="22"/>
          <w14:textOutline w14:w="9525" w14:cap="rnd" w14:cmpd="sng" w14:algn="ctr">
            <w14:noFill/>
            <w14:prstDash w14:val="solid"/>
            <w14:bevel/>
          </w14:textOutline>
        </w:rPr>
        <w:noBreakHyphen/>
        <w:t>making in situations such as compulsory admission (Ministry of Justice, 1998). The Equality Act 2010 requires services to eliminate discrimination and make reasonable adjustments, supporting equitable access</w:t>
      </w:r>
      <w:r w:rsidR="005B5FD0" w:rsidRPr="00BC0C11">
        <w:rPr>
          <w:rFonts w:ascii="Arial" w:hAnsi="Arial" w:cs="Arial"/>
          <w:sz w:val="22"/>
          <w:szCs w:val="22"/>
          <w14:textOutline w14:w="9525" w14:cap="rnd" w14:cmpd="sng" w14:algn="ctr">
            <w14:noFill/>
            <w14:prstDash w14:val="solid"/>
            <w14:bevel/>
          </w14:textOutline>
        </w:rPr>
        <w:t>. F</w:t>
      </w:r>
      <w:r w:rsidRPr="00BC0C11">
        <w:rPr>
          <w:rFonts w:ascii="Arial" w:hAnsi="Arial" w:cs="Arial"/>
          <w:sz w:val="22"/>
          <w:szCs w:val="22"/>
          <w14:textOutline w14:w="9525" w14:cap="rnd" w14:cmpd="sng" w14:algn="ctr">
            <w14:noFill/>
            <w14:prstDash w14:val="solid"/>
            <w14:bevel/>
          </w14:textOutline>
        </w:rPr>
        <w:t>or example, providing interpreters or culturally appropriate services</w:t>
      </w:r>
      <w:r w:rsidR="00A67BFE" w:rsidRPr="00BC0C11">
        <w:rPr>
          <w:rFonts w:ascii="Arial" w:hAnsi="Arial" w:cs="Arial"/>
          <w:sz w:val="22"/>
          <w:szCs w:val="22"/>
          <w14:textOutline w14:w="9525" w14:cap="rnd" w14:cmpd="sng" w14:algn="ctr">
            <w14:noFill/>
            <w14:prstDash w14:val="solid"/>
            <w14:bevel/>
          </w14:textOutline>
        </w:rPr>
        <w:t>.</w:t>
      </w:r>
    </w:p>
    <w:p w14:paraId="3ADD0256" w14:textId="23459479" w:rsidR="00207D76" w:rsidRPr="00BC0C11" w:rsidRDefault="00207D76"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The Mental Capacity Act 2005 strengthens PCC by ensuring individuals are supported to make their own decisions wherever possible, and that any decisions made on their behalf are in their best interests (Department of Health, 2005). In mental health, this influences how clinicians assess capacity during crises or treatment discussions</w:t>
      </w:r>
      <w:r w:rsidR="00A67BFE" w:rsidRPr="00BC0C11">
        <w:rPr>
          <w:rFonts w:ascii="Arial" w:hAnsi="Arial" w:cs="Arial"/>
          <w:sz w:val="22"/>
          <w:szCs w:val="22"/>
          <w14:textOutline w14:w="9525" w14:cap="rnd" w14:cmpd="sng" w14:algn="ctr">
            <w14:noFill/>
            <w14:prstDash w14:val="solid"/>
            <w14:bevel/>
          </w14:textOutline>
        </w:rPr>
        <w:t xml:space="preserve"> where </w:t>
      </w:r>
      <w:r w:rsidR="00FC3692" w:rsidRPr="00BC0C11">
        <w:rPr>
          <w:rFonts w:ascii="Arial" w:hAnsi="Arial" w:cs="Arial"/>
          <w:sz w:val="22"/>
          <w:szCs w:val="22"/>
          <w14:textOutline w14:w="9525" w14:cap="rnd" w14:cmpd="sng" w14:algn="ctr">
            <w14:noFill/>
            <w14:prstDash w14:val="solid"/>
            <w14:bevel/>
          </w14:textOutline>
        </w:rPr>
        <w:t xml:space="preserve">patients for example with dementia may lack capacity. </w:t>
      </w:r>
    </w:p>
    <w:p w14:paraId="4BAF5E81" w14:textId="77777777" w:rsidR="00207D76" w:rsidRPr="00BC0C11" w:rsidRDefault="00207D76"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 xml:space="preserve">Professional and regulatory frameworks also reinforce PCC. The NMC Code (2018) requires nurses to prioritise people, practise safely, and work collaboratively. Similarly, CQC </w:t>
      </w:r>
      <w:r w:rsidRPr="00BC0C11">
        <w:rPr>
          <w:rFonts w:ascii="Arial" w:hAnsi="Arial" w:cs="Arial"/>
          <w:sz w:val="22"/>
          <w:szCs w:val="22"/>
          <w14:textOutline w14:w="9525" w14:cap="rnd" w14:cmpd="sng" w14:algn="ctr">
            <w14:noFill/>
            <w14:prstDash w14:val="solid"/>
            <w14:bevel/>
          </w14:textOutline>
        </w:rPr>
        <w:lastRenderedPageBreak/>
        <w:t>Regulation 9 mandates person</w:t>
      </w:r>
      <w:r w:rsidRPr="00BC0C11">
        <w:rPr>
          <w:rFonts w:ascii="Arial" w:hAnsi="Arial" w:cs="Arial"/>
          <w:sz w:val="22"/>
          <w:szCs w:val="22"/>
          <w14:textOutline w14:w="9525" w14:cap="rnd" w14:cmpd="sng" w14:algn="ctr">
            <w14:noFill/>
            <w14:prstDash w14:val="solid"/>
            <w14:bevel/>
          </w14:textOutline>
        </w:rPr>
        <w:noBreakHyphen/>
        <w:t>centred care and involvement in planning and review (CQC, 2017). These standards shape everyday practice, such as involving service users in Care Programme Approach (CPA) reviews.</w:t>
      </w:r>
    </w:p>
    <w:p w14:paraId="69C09E81" w14:textId="5BAEFCA5" w:rsidR="00207D76" w:rsidRPr="00BC0C11" w:rsidRDefault="00207D76"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Despite strong policy support, implementation can be hindered by staffing pressures, rising demand, and variation between local services. These challenges can limit the consistency of PCC and reduce opportunities for meaningful partnership working.</w:t>
      </w:r>
    </w:p>
    <w:p w14:paraId="2ABFFAAC" w14:textId="733EB43B" w:rsidR="006D2628" w:rsidRPr="00BC0C11" w:rsidRDefault="006D2628" w:rsidP="00BC0C11">
      <w:pPr>
        <w:spacing w:line="360" w:lineRule="auto"/>
        <w:rPr>
          <w:rFonts w:ascii="Arial" w:hAnsi="Arial" w:cs="Arial"/>
        </w:rPr>
      </w:pPr>
    </w:p>
    <w:p w14:paraId="22006165" w14:textId="77777777" w:rsidR="006D2628" w:rsidRPr="00BC0C11" w:rsidRDefault="006D2628" w:rsidP="00BC0C11">
      <w:pPr>
        <w:pStyle w:val="Subtitle"/>
        <w:spacing w:line="360" w:lineRule="auto"/>
        <w:rPr>
          <w:b/>
          <w:bCs/>
          <w:color w:val="000000" w:themeColor="text1"/>
        </w:rPr>
      </w:pPr>
      <w:r w:rsidRPr="00BC0C11">
        <w:rPr>
          <w:b/>
          <w:bCs/>
          <w:color w:val="000000" w:themeColor="text1"/>
        </w:rPr>
        <w:t>Recommendations for Future Development</w:t>
      </w:r>
    </w:p>
    <w:p w14:paraId="03A5200F" w14:textId="77777777" w:rsidR="006D2628" w:rsidRPr="00BC0C11" w:rsidRDefault="006D2628"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Future development of PCC and partnership working within UK mental health services should focus on strengthening workforce capability, digital integration, and service-user involvement. Greater investment in staff education is required to enhance understanding of person-centred communication, collaborative decision-making, and recovery-focused practice. Training should extend beyond clinical competencies to include cultural competence, trauma-informed care, and co-production approaches.</w:t>
      </w:r>
    </w:p>
    <w:p w14:paraId="70CB940C" w14:textId="77777777" w:rsidR="006D2628" w:rsidRPr="00BC0C11" w:rsidRDefault="006D2628"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Technology offers significant opportunities for enhancing PCC and PW. Integrated electronic health records shared across organisations could improve communication, reduce duplication, and support coordinated care. However, implementation may be constrained by funding limitations, information governance concerns, and technological incompatibilities.</w:t>
      </w:r>
    </w:p>
    <w:p w14:paraId="4CFB7DD4" w14:textId="77777777" w:rsidR="006D2628" w:rsidRPr="00BC0C11" w:rsidRDefault="006D2628"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Mental health services should further strengthen collaborative partnerships with voluntary and community organisations. These agencies frequently provide support addressing social determinants of health, including housing, employment, and social connectedness. Formalising these partnerships could improve continuity of care and recovery outcomes.</w:t>
      </w:r>
    </w:p>
    <w:p w14:paraId="1C756CD2" w14:textId="77777777" w:rsidR="00BC0C11" w:rsidRPr="00BC0C11" w:rsidRDefault="006D2628"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Research should continue examining service-user experiences of PCC, particularly among underserved populations</w:t>
      </w:r>
      <w:r w:rsidR="00E80040" w:rsidRPr="00BC0C11">
        <w:rPr>
          <w:rFonts w:ascii="Arial" w:hAnsi="Arial" w:cs="Arial"/>
          <w:sz w:val="22"/>
          <w:szCs w:val="22"/>
          <w14:textOutline w14:w="9525" w14:cap="rnd" w14:cmpd="sng" w14:algn="ctr">
            <w14:noFill/>
            <w14:prstDash w14:val="solid"/>
            <w14:bevel/>
          </w14:textOutline>
        </w:rPr>
        <w:t xml:space="preserve"> such as ethnic minorities.</w:t>
      </w:r>
      <w:r w:rsidRPr="00BC0C11">
        <w:rPr>
          <w:rFonts w:ascii="Arial" w:hAnsi="Arial" w:cs="Arial"/>
          <w:sz w:val="22"/>
          <w:szCs w:val="22"/>
          <w14:textOutline w14:w="9525" w14:cap="rnd" w14:cmpd="sng" w14:algn="ctr">
            <w14:noFill/>
            <w14:prstDash w14:val="solid"/>
            <w14:bevel/>
          </w14:textOutline>
        </w:rPr>
        <w:t xml:space="preserve"> Future policy should ensur</w:t>
      </w:r>
      <w:r w:rsidR="00E80040" w:rsidRPr="00BC0C11">
        <w:rPr>
          <w:rFonts w:ascii="Arial" w:hAnsi="Arial" w:cs="Arial"/>
          <w:sz w:val="22"/>
          <w:szCs w:val="22"/>
          <w14:textOutline w14:w="9525" w14:cap="rnd" w14:cmpd="sng" w14:algn="ctr">
            <w14:noFill/>
            <w14:prstDash w14:val="solid"/>
            <w14:bevel/>
          </w14:textOutline>
        </w:rPr>
        <w:t>e</w:t>
      </w:r>
      <w:r w:rsidRPr="00BC0C11">
        <w:rPr>
          <w:rFonts w:ascii="Arial" w:hAnsi="Arial" w:cs="Arial"/>
          <w:sz w:val="22"/>
          <w:szCs w:val="22"/>
          <w14:textOutline w14:w="9525" w14:cap="rnd" w14:cmpd="sng" w14:algn="ctr">
            <w14:noFill/>
            <w14:prstDash w14:val="solid"/>
            <w14:bevel/>
          </w14:textOutline>
        </w:rPr>
        <w:t xml:space="preserve"> service users participate meaningfully in service design, delivery, and evaluation.</w:t>
      </w:r>
      <w:bookmarkStart w:id="5" w:name="_Toc235900009"/>
    </w:p>
    <w:p w14:paraId="2790C457" w14:textId="77777777" w:rsidR="00BC0C11" w:rsidRDefault="00BC0C11"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361C6A4C" w14:textId="77777777" w:rsidR="000D3C75" w:rsidRDefault="000D3C75"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16B405A9" w14:textId="77777777" w:rsidR="000D3C75" w:rsidRDefault="000D3C75"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166C2F56" w14:textId="77777777" w:rsidR="000D3C75" w:rsidRPr="00BC0C11" w:rsidRDefault="000D3C75"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1519424B" w14:textId="5FDC7566" w:rsidR="006D2628" w:rsidRPr="00BC0C11" w:rsidRDefault="006D2628" w:rsidP="00BC0C11">
      <w:pPr>
        <w:pStyle w:val="NormalWeb"/>
        <w:spacing w:line="360" w:lineRule="auto"/>
        <w:jc w:val="both"/>
        <w:rPr>
          <w:rFonts w:ascii="Arial" w:hAnsi="Arial" w:cs="Arial"/>
          <w:b/>
          <w:bCs/>
          <w:sz w:val="22"/>
          <w:szCs w:val="22"/>
          <w14:textOutline w14:w="9525" w14:cap="rnd" w14:cmpd="sng" w14:algn="ctr">
            <w14:noFill/>
            <w14:prstDash w14:val="solid"/>
            <w14:bevel/>
          </w14:textOutline>
        </w:rPr>
      </w:pPr>
      <w:r w:rsidRPr="00BC0C11">
        <w:rPr>
          <w:b/>
          <w:bCs/>
          <w:sz w:val="22"/>
          <w:szCs w:val="22"/>
        </w:rPr>
        <w:lastRenderedPageBreak/>
        <w:t>Conclusion</w:t>
      </w:r>
      <w:bookmarkEnd w:id="5"/>
    </w:p>
    <w:p w14:paraId="0510EB07" w14:textId="77777777" w:rsidR="006D2628" w:rsidRPr="00BC0C11" w:rsidRDefault="006D2628"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This report has examined person-centred care and partnership working within mental health services. PCC involves placing individuals' needs, values, and preferences at the centre of healthcare delivery. Although PCC is associated with improved satisfaction, engagement, and outcomes, implementation remains challenging due to organisational, cultural, and resource constraints.</w:t>
      </w:r>
    </w:p>
    <w:p w14:paraId="75150C5C" w14:textId="77777777" w:rsidR="006D2628" w:rsidRPr="00BC0C11" w:rsidRDefault="006D2628"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The Person-Centred Nursing Framework provides a valuable theoretical foundation for PCC by emphasising relationships, supportive environments, and collaborative processes. Ethical principles of autonomy, beneficence, non-maleficence, and justice strongly support person-centred approaches while highlighting important tensions within practice.</w:t>
      </w:r>
    </w:p>
    <w:p w14:paraId="438814B1" w14:textId="77777777" w:rsidR="006D2628" w:rsidRPr="00BC0C11" w:rsidRDefault="006D2628"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Partnership working has become increasingly important through the development of Integrated Care Systems and multidisciplinary approaches to service delivery. Effective partnerships improve coordination, communication, and outcomes, particularly within mental health services.</w:t>
      </w:r>
    </w:p>
    <w:p w14:paraId="568E9A19" w14:textId="77777777" w:rsidR="006D2628" w:rsidRPr="00BC0C11" w:rsidRDefault="006D2628"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r w:rsidRPr="00BC0C11">
        <w:rPr>
          <w:rFonts w:ascii="Arial" w:hAnsi="Arial" w:cs="Arial"/>
          <w:sz w:val="22"/>
          <w:szCs w:val="22"/>
          <w14:textOutline w14:w="9525" w14:cap="rnd" w14:cmpd="sng" w14:algn="ctr">
            <w14:noFill/>
            <w14:prstDash w14:val="solid"/>
            <w14:bevel/>
          </w14:textOutline>
        </w:rPr>
        <w:t>UK legislation including the Health and Care Act 2022, Care Act 2014, Human Rights Act 1998, Equality Act 2010, NMC Code, and CQC Regulation 9 provides a strong policy framework supporting PCC and PW. Continued investment in training, technology, collaborative practice, and service-user involvement will be essential to further strengthen person-centred and integrated care across the UK.</w:t>
      </w:r>
    </w:p>
    <w:p w14:paraId="5030793C"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35120A05" w14:textId="77777777" w:rsidR="00326609" w:rsidRPr="00BC0C11" w:rsidRDefault="00326609" w:rsidP="00BC0C11">
      <w:pPr>
        <w:pStyle w:val="NormalWeb"/>
        <w:spacing w:line="360" w:lineRule="auto"/>
        <w:jc w:val="both"/>
        <w:rPr>
          <w:rFonts w:ascii="Arial" w:hAnsi="Arial" w:cs="Arial"/>
          <w:sz w:val="22"/>
          <w:szCs w:val="22"/>
          <w14:textOutline w14:w="9525" w14:cap="rnd" w14:cmpd="sng" w14:algn="ctr">
            <w14:noFill/>
            <w14:prstDash w14:val="solid"/>
            <w14:bevel/>
          </w14:textOutline>
        </w:rPr>
      </w:pPr>
    </w:p>
    <w:p w14:paraId="4348A299" w14:textId="77777777" w:rsidR="002E5E61" w:rsidRPr="00BC0C11" w:rsidRDefault="002E5E61" w:rsidP="00BC0C11">
      <w:pPr>
        <w:spacing w:line="360" w:lineRule="auto"/>
        <w:rPr>
          <w:rFonts w:ascii="Arial" w:hAnsi="Arial" w:cs="Arial"/>
          <w:b/>
          <w:bCs/>
        </w:rPr>
      </w:pPr>
    </w:p>
    <w:p w14:paraId="75596754" w14:textId="77777777" w:rsidR="00BC0C11" w:rsidRPr="00BC0C11" w:rsidRDefault="00BC0C11" w:rsidP="00BC0C11">
      <w:pPr>
        <w:spacing w:line="360" w:lineRule="auto"/>
        <w:rPr>
          <w:rFonts w:ascii="Arial" w:hAnsi="Arial" w:cs="Arial"/>
          <w:b/>
          <w:bCs/>
        </w:rPr>
      </w:pPr>
    </w:p>
    <w:p w14:paraId="3C8D463F" w14:textId="77777777" w:rsidR="00BC0C11" w:rsidRPr="00BC0C11" w:rsidRDefault="00BC0C11" w:rsidP="00BC0C11">
      <w:pPr>
        <w:spacing w:line="360" w:lineRule="auto"/>
        <w:rPr>
          <w:rFonts w:ascii="Arial" w:hAnsi="Arial" w:cs="Arial"/>
          <w:b/>
          <w:bCs/>
        </w:rPr>
      </w:pPr>
    </w:p>
    <w:p w14:paraId="2FFE7834" w14:textId="77777777" w:rsidR="00BC0C11" w:rsidRDefault="00BC0C11" w:rsidP="00BC0C11">
      <w:pPr>
        <w:spacing w:line="360" w:lineRule="auto"/>
        <w:rPr>
          <w:rFonts w:ascii="Arial" w:hAnsi="Arial" w:cs="Arial"/>
          <w:b/>
          <w:bCs/>
        </w:rPr>
      </w:pPr>
    </w:p>
    <w:p w14:paraId="40334D98" w14:textId="77777777" w:rsidR="00D11443" w:rsidRPr="00BC0C11" w:rsidRDefault="00D11443" w:rsidP="00BC0C11">
      <w:pPr>
        <w:spacing w:line="360" w:lineRule="auto"/>
        <w:rPr>
          <w:rFonts w:ascii="Arial" w:hAnsi="Arial" w:cs="Arial"/>
          <w:b/>
          <w:bCs/>
        </w:rPr>
      </w:pPr>
    </w:p>
    <w:p w14:paraId="2EE81432" w14:textId="77777777" w:rsidR="00BC0C11" w:rsidRPr="00BC0C11" w:rsidRDefault="00BC0C11" w:rsidP="00BC0C11">
      <w:pPr>
        <w:spacing w:line="360" w:lineRule="auto"/>
        <w:rPr>
          <w:rFonts w:ascii="Arial" w:hAnsi="Arial" w:cs="Arial"/>
          <w:b/>
          <w:bCs/>
        </w:rPr>
      </w:pPr>
    </w:p>
    <w:p w14:paraId="2077722D" w14:textId="66E5AD04" w:rsidR="008B3D2D" w:rsidRPr="00D11443" w:rsidRDefault="00CF578D" w:rsidP="00BC0C11">
      <w:pPr>
        <w:pStyle w:val="Heading1"/>
        <w:spacing w:line="360" w:lineRule="auto"/>
        <w:rPr>
          <w:b/>
          <w:bCs/>
          <w:color w:val="auto"/>
          <w:sz w:val="22"/>
          <w:szCs w:val="22"/>
        </w:rPr>
      </w:pPr>
      <w:bookmarkStart w:id="6" w:name="_Toc235900010"/>
      <w:r w:rsidRPr="00D11443">
        <w:rPr>
          <w:b/>
          <w:bCs/>
          <w:color w:val="auto"/>
          <w:sz w:val="22"/>
          <w:szCs w:val="22"/>
        </w:rPr>
        <w:lastRenderedPageBreak/>
        <w:t>Reference</w:t>
      </w:r>
      <w:bookmarkEnd w:id="6"/>
      <w:r w:rsidRPr="00D11443">
        <w:rPr>
          <w:b/>
          <w:bCs/>
          <w:color w:val="auto"/>
          <w:sz w:val="22"/>
          <w:szCs w:val="22"/>
        </w:rPr>
        <w:t xml:space="preserve"> </w:t>
      </w:r>
    </w:p>
    <w:p w14:paraId="0172B333"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Beauchamp, T.L. and Childress, J.F. (2012) </w:t>
      </w:r>
      <w:r w:rsidRPr="00BC0C11">
        <w:rPr>
          <w:rFonts w:ascii="Arial" w:hAnsi="Arial" w:cs="Arial"/>
          <w:i/>
          <w:iCs/>
        </w:rPr>
        <w:t>Principles of Biomedical Ethics.</w:t>
      </w:r>
      <w:r w:rsidRPr="00BC0C11">
        <w:rPr>
          <w:rFonts w:ascii="Arial" w:hAnsi="Arial" w:cs="Arial"/>
        </w:rPr>
        <w:t xml:space="preserve"> 7th edn. New York: Oxford University Press. </w:t>
      </w:r>
    </w:p>
    <w:p w14:paraId="5468DE87"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Bifarin, O. and Stonehouse, D. (2022) ‘Beneficence and non-maleficence: collaborative practice and harm mitigation’, </w:t>
      </w:r>
      <w:r w:rsidRPr="00BC0C11">
        <w:rPr>
          <w:rFonts w:ascii="Arial" w:hAnsi="Arial" w:cs="Arial"/>
          <w:i/>
          <w:iCs/>
        </w:rPr>
        <w:t>British Journal of Healthcare Assistants</w:t>
      </w:r>
      <w:r w:rsidRPr="00BC0C11">
        <w:rPr>
          <w:rFonts w:ascii="Arial" w:hAnsi="Arial" w:cs="Arial"/>
        </w:rPr>
        <w:t>, 16(2), pp. 70–74.</w:t>
      </w:r>
    </w:p>
    <w:p w14:paraId="347CA542" w14:textId="77777777" w:rsidR="008B3D2D" w:rsidRPr="00BC0C11" w:rsidRDefault="008B3D2D" w:rsidP="00BC0C11">
      <w:pPr>
        <w:pStyle w:val="NoSpacing"/>
        <w:spacing w:line="360" w:lineRule="auto"/>
        <w:jc w:val="both"/>
        <w:rPr>
          <w:rFonts w:ascii="Arial" w:hAnsi="Arial" w:cs="Arial"/>
        </w:rPr>
      </w:pPr>
    </w:p>
    <w:p w14:paraId="267978A3" w14:textId="2EAB35C5"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Care Quality Commission (2017) </w:t>
      </w:r>
      <w:r w:rsidRPr="00BC0C11">
        <w:rPr>
          <w:rFonts w:ascii="Arial" w:hAnsi="Arial" w:cs="Arial"/>
          <w:i/>
          <w:iCs/>
        </w:rPr>
        <w:t>Regulation 9: Person-centred care.</w:t>
      </w:r>
      <w:r w:rsidRPr="00BC0C11">
        <w:rPr>
          <w:rFonts w:ascii="Arial" w:hAnsi="Arial" w:cs="Arial"/>
        </w:rPr>
        <w:t xml:space="preserve"> London: CQC. </w:t>
      </w:r>
    </w:p>
    <w:p w14:paraId="69C7BD04" w14:textId="77777777" w:rsidR="008B3D2D" w:rsidRPr="00BC0C11" w:rsidRDefault="008B3D2D" w:rsidP="00BC0C11">
      <w:pPr>
        <w:pStyle w:val="NoSpacing"/>
        <w:spacing w:line="360" w:lineRule="auto"/>
        <w:jc w:val="both"/>
        <w:rPr>
          <w:rFonts w:ascii="Arial" w:hAnsi="Arial" w:cs="Arial"/>
        </w:rPr>
      </w:pPr>
    </w:p>
    <w:p w14:paraId="568AC596"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Care Quality Commission (2023) </w:t>
      </w:r>
      <w:r w:rsidRPr="00BC0C11">
        <w:rPr>
          <w:rFonts w:ascii="Arial" w:hAnsi="Arial" w:cs="Arial"/>
          <w:i/>
          <w:iCs/>
        </w:rPr>
        <w:t>Therapeutic engagement – reducing harm from ligatures.</w:t>
      </w:r>
      <w:r w:rsidRPr="00BC0C11">
        <w:rPr>
          <w:rFonts w:ascii="Arial" w:hAnsi="Arial" w:cs="Arial"/>
        </w:rPr>
        <w:t xml:space="preserve"> Available at: </w:t>
      </w:r>
      <w:hyperlink r:id="rId8" w:tgtFrame="_blank" w:tooltip="www.cqc.org.uk" w:history="1">
        <w:r w:rsidRPr="00BC0C11">
          <w:rPr>
            <w:rStyle w:val="Hyperlink"/>
            <w:rFonts w:ascii="Arial" w:hAnsi="Arial" w:cs="Arial"/>
          </w:rPr>
          <w:t>https://www.cqc.org.uk</w:t>
        </w:r>
      </w:hyperlink>
      <w:r w:rsidRPr="00BC0C11">
        <w:rPr>
          <w:rFonts w:ascii="Arial" w:hAnsi="Arial" w:cs="Arial"/>
        </w:rPr>
        <w:t xml:space="preserve"> (Accessed: 10 July 2026). </w:t>
      </w:r>
    </w:p>
    <w:p w14:paraId="16E97E43" w14:textId="77777777" w:rsidR="008B3D2D" w:rsidRPr="00BC0C11" w:rsidRDefault="008B3D2D" w:rsidP="00BC0C11">
      <w:pPr>
        <w:pStyle w:val="NoSpacing"/>
        <w:spacing w:line="360" w:lineRule="auto"/>
        <w:jc w:val="both"/>
        <w:rPr>
          <w:rFonts w:ascii="Arial" w:hAnsi="Arial" w:cs="Arial"/>
        </w:rPr>
      </w:pPr>
    </w:p>
    <w:p w14:paraId="3358404A"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Department of Health (2005) </w:t>
      </w:r>
      <w:r w:rsidRPr="00BC0C11">
        <w:rPr>
          <w:rFonts w:ascii="Arial" w:hAnsi="Arial" w:cs="Arial"/>
          <w:i/>
          <w:iCs/>
        </w:rPr>
        <w:t>Mental Capacity Act Code of Practice.</w:t>
      </w:r>
      <w:r w:rsidRPr="00BC0C11">
        <w:rPr>
          <w:rFonts w:ascii="Arial" w:hAnsi="Arial" w:cs="Arial"/>
        </w:rPr>
        <w:t xml:space="preserve"> London: DH. </w:t>
      </w:r>
    </w:p>
    <w:p w14:paraId="36614DC3" w14:textId="77777777" w:rsidR="008B3D2D" w:rsidRPr="00BC0C11" w:rsidRDefault="008B3D2D" w:rsidP="00BC0C11">
      <w:pPr>
        <w:pStyle w:val="NoSpacing"/>
        <w:spacing w:line="360" w:lineRule="auto"/>
        <w:jc w:val="both"/>
        <w:rPr>
          <w:rFonts w:ascii="Arial" w:hAnsi="Arial" w:cs="Arial"/>
        </w:rPr>
      </w:pPr>
    </w:p>
    <w:p w14:paraId="3176F99C"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Department of Health (2008) </w:t>
      </w:r>
      <w:r w:rsidRPr="00BC0C11">
        <w:rPr>
          <w:rFonts w:ascii="Arial" w:hAnsi="Arial" w:cs="Arial"/>
          <w:i/>
          <w:iCs/>
        </w:rPr>
        <w:t>Refocusing the Care Programme Approach: Policy and Positive Practice Guidance.</w:t>
      </w:r>
      <w:r w:rsidRPr="00BC0C11">
        <w:rPr>
          <w:rFonts w:ascii="Arial" w:hAnsi="Arial" w:cs="Arial"/>
        </w:rPr>
        <w:t xml:space="preserve"> London: DH. </w:t>
      </w:r>
    </w:p>
    <w:p w14:paraId="4B57C3EF" w14:textId="77777777" w:rsidR="008B3D2D" w:rsidRPr="00BC0C11" w:rsidRDefault="008B3D2D" w:rsidP="00BC0C11">
      <w:pPr>
        <w:pStyle w:val="NoSpacing"/>
        <w:spacing w:line="360" w:lineRule="auto"/>
        <w:jc w:val="both"/>
        <w:rPr>
          <w:rFonts w:ascii="Arial" w:hAnsi="Arial" w:cs="Arial"/>
        </w:rPr>
      </w:pPr>
    </w:p>
    <w:p w14:paraId="253FA4CF"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Department of Health (2014) </w:t>
      </w:r>
      <w:r w:rsidRPr="00BC0C11">
        <w:rPr>
          <w:rFonts w:ascii="Arial" w:hAnsi="Arial" w:cs="Arial"/>
          <w:i/>
          <w:iCs/>
        </w:rPr>
        <w:t>Care Act 2014: Statutory Guidance.</w:t>
      </w:r>
      <w:r w:rsidRPr="00BC0C11">
        <w:rPr>
          <w:rFonts w:ascii="Arial" w:hAnsi="Arial" w:cs="Arial"/>
        </w:rPr>
        <w:t xml:space="preserve"> London: DH. </w:t>
      </w:r>
    </w:p>
    <w:p w14:paraId="1407651A" w14:textId="77777777" w:rsidR="008B3D2D" w:rsidRPr="00BC0C11" w:rsidRDefault="008B3D2D" w:rsidP="00BC0C11">
      <w:pPr>
        <w:pStyle w:val="NoSpacing"/>
        <w:spacing w:line="360" w:lineRule="auto"/>
        <w:jc w:val="both"/>
        <w:rPr>
          <w:rFonts w:ascii="Arial" w:hAnsi="Arial" w:cs="Arial"/>
        </w:rPr>
      </w:pPr>
    </w:p>
    <w:p w14:paraId="73B4A6FB"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Department of Health and Social Care (2022) </w:t>
      </w:r>
      <w:r w:rsidRPr="00BC0C11">
        <w:rPr>
          <w:rFonts w:ascii="Arial" w:hAnsi="Arial" w:cs="Arial"/>
          <w:i/>
          <w:iCs/>
        </w:rPr>
        <w:t>Health and Care Act 2022.</w:t>
      </w:r>
      <w:r w:rsidRPr="00BC0C11">
        <w:rPr>
          <w:rFonts w:ascii="Arial" w:hAnsi="Arial" w:cs="Arial"/>
        </w:rPr>
        <w:t xml:space="preserve"> London: DHSC. </w:t>
      </w:r>
    </w:p>
    <w:p w14:paraId="117BC35A" w14:textId="77777777" w:rsidR="008B3D2D" w:rsidRPr="00BC0C11" w:rsidRDefault="008B3D2D" w:rsidP="00BC0C11">
      <w:pPr>
        <w:pStyle w:val="NoSpacing"/>
        <w:spacing w:line="360" w:lineRule="auto"/>
        <w:jc w:val="both"/>
        <w:rPr>
          <w:rFonts w:ascii="Arial" w:hAnsi="Arial" w:cs="Arial"/>
        </w:rPr>
      </w:pPr>
    </w:p>
    <w:p w14:paraId="6F079B90"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Equality and Human Rights Commission (2010) </w:t>
      </w:r>
      <w:r w:rsidRPr="00BC0C11">
        <w:rPr>
          <w:rFonts w:ascii="Arial" w:hAnsi="Arial" w:cs="Arial"/>
          <w:i/>
          <w:iCs/>
        </w:rPr>
        <w:t>Equality Act 2010 Guidance.</w:t>
      </w:r>
      <w:r w:rsidRPr="00BC0C11">
        <w:rPr>
          <w:rFonts w:ascii="Arial" w:hAnsi="Arial" w:cs="Arial"/>
        </w:rPr>
        <w:t xml:space="preserve"> London: EHRC. </w:t>
      </w:r>
    </w:p>
    <w:p w14:paraId="08EA86E0" w14:textId="77777777" w:rsidR="008B3D2D" w:rsidRPr="00BC0C11" w:rsidRDefault="008B3D2D" w:rsidP="00BC0C11">
      <w:pPr>
        <w:pStyle w:val="NoSpacing"/>
        <w:spacing w:line="360" w:lineRule="auto"/>
        <w:jc w:val="both"/>
        <w:rPr>
          <w:rFonts w:ascii="Arial" w:hAnsi="Arial" w:cs="Arial"/>
        </w:rPr>
      </w:pPr>
    </w:p>
    <w:p w14:paraId="782E067A"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Fridberg, H. et al. (2021) ‘Person-centred care as an innovation’, </w:t>
      </w:r>
      <w:r w:rsidRPr="00BC0C11">
        <w:rPr>
          <w:rFonts w:ascii="Arial" w:hAnsi="Arial" w:cs="Arial"/>
          <w:i/>
          <w:iCs/>
        </w:rPr>
        <w:t>Journal of Health Services Research &amp; Policy</w:t>
      </w:r>
      <w:r w:rsidRPr="00BC0C11">
        <w:rPr>
          <w:rFonts w:ascii="Arial" w:hAnsi="Arial" w:cs="Arial"/>
        </w:rPr>
        <w:t>, 26(4), pp. 238–246.</w:t>
      </w:r>
    </w:p>
    <w:p w14:paraId="68D33A77" w14:textId="77777777" w:rsidR="008B3D2D" w:rsidRPr="00BC0C11" w:rsidRDefault="008B3D2D" w:rsidP="00BC0C11">
      <w:pPr>
        <w:pStyle w:val="NoSpacing"/>
        <w:spacing w:line="360" w:lineRule="auto"/>
        <w:jc w:val="both"/>
        <w:rPr>
          <w:rFonts w:ascii="Arial" w:hAnsi="Arial" w:cs="Arial"/>
        </w:rPr>
      </w:pPr>
    </w:p>
    <w:p w14:paraId="0AE7A98C"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 Glasby, J. and Dickinson, H. (2021) </w:t>
      </w:r>
      <w:r w:rsidRPr="00BC0C11">
        <w:rPr>
          <w:rFonts w:ascii="Arial" w:hAnsi="Arial" w:cs="Arial"/>
          <w:i/>
          <w:iCs/>
        </w:rPr>
        <w:t>Partnership Working in Health and Social Care.</w:t>
      </w:r>
      <w:r w:rsidRPr="00BC0C11">
        <w:rPr>
          <w:rFonts w:ascii="Arial" w:hAnsi="Arial" w:cs="Arial"/>
        </w:rPr>
        <w:t xml:space="preserve"> 3rd edn. Bristol: Policy Press. </w:t>
      </w:r>
    </w:p>
    <w:p w14:paraId="26B8660F" w14:textId="77777777" w:rsidR="008B3D2D" w:rsidRPr="00BC0C11" w:rsidRDefault="008B3D2D" w:rsidP="00BC0C11">
      <w:pPr>
        <w:pStyle w:val="NoSpacing"/>
        <w:spacing w:line="360" w:lineRule="auto"/>
        <w:jc w:val="both"/>
        <w:rPr>
          <w:rFonts w:ascii="Arial" w:hAnsi="Arial" w:cs="Arial"/>
        </w:rPr>
      </w:pPr>
    </w:p>
    <w:p w14:paraId="506E9E6B"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Howe, E. (2009) ‘Ethical aspects of evaluating a patient’s mental capacity’, </w:t>
      </w:r>
      <w:r w:rsidRPr="00BC0C11">
        <w:rPr>
          <w:rFonts w:ascii="Arial" w:hAnsi="Arial" w:cs="Arial"/>
          <w:i/>
          <w:iCs/>
        </w:rPr>
        <w:t>Psychiatry (Edgmont)</w:t>
      </w:r>
      <w:r w:rsidRPr="00BC0C11">
        <w:rPr>
          <w:rFonts w:ascii="Arial" w:hAnsi="Arial" w:cs="Arial"/>
        </w:rPr>
        <w:t xml:space="preserve">, 6(7), p. 15. </w:t>
      </w:r>
    </w:p>
    <w:p w14:paraId="71C37F03" w14:textId="77777777" w:rsidR="008B3D2D" w:rsidRPr="00BC0C11" w:rsidRDefault="008B3D2D" w:rsidP="00BC0C11">
      <w:pPr>
        <w:pStyle w:val="NoSpacing"/>
        <w:spacing w:line="360" w:lineRule="auto"/>
        <w:jc w:val="both"/>
        <w:rPr>
          <w:rFonts w:ascii="Arial" w:hAnsi="Arial" w:cs="Arial"/>
        </w:rPr>
      </w:pPr>
    </w:p>
    <w:p w14:paraId="5288B872"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McCance, T. and McCormack, B. (2025) ‘The Person-centred Nursing Framework’, </w:t>
      </w:r>
      <w:r w:rsidRPr="00BC0C11">
        <w:rPr>
          <w:rFonts w:ascii="Arial" w:hAnsi="Arial" w:cs="Arial"/>
          <w:i/>
          <w:iCs/>
        </w:rPr>
        <w:t>Journal of Research in Nursing</w:t>
      </w:r>
      <w:r w:rsidRPr="00BC0C11">
        <w:rPr>
          <w:rFonts w:ascii="Arial" w:hAnsi="Arial" w:cs="Arial"/>
        </w:rPr>
        <w:t xml:space="preserve">, 30(1), pp. 47–60. </w:t>
      </w:r>
    </w:p>
    <w:p w14:paraId="6D27C8B2" w14:textId="77777777" w:rsidR="008B3D2D" w:rsidRPr="00BC0C11" w:rsidRDefault="008B3D2D" w:rsidP="00BC0C11">
      <w:pPr>
        <w:pStyle w:val="NoSpacing"/>
        <w:spacing w:line="360" w:lineRule="auto"/>
        <w:jc w:val="both"/>
        <w:rPr>
          <w:rFonts w:ascii="Arial" w:hAnsi="Arial" w:cs="Arial"/>
        </w:rPr>
      </w:pPr>
    </w:p>
    <w:p w14:paraId="23718386"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McCormack, B. and McCance, T. (2016) </w:t>
      </w:r>
      <w:r w:rsidRPr="00BC0C11">
        <w:rPr>
          <w:rFonts w:ascii="Arial" w:hAnsi="Arial" w:cs="Arial"/>
          <w:i/>
          <w:iCs/>
        </w:rPr>
        <w:t>Person-Centred Practice in Nursing and Health Care.</w:t>
      </w:r>
      <w:r w:rsidRPr="00BC0C11">
        <w:rPr>
          <w:rFonts w:ascii="Arial" w:hAnsi="Arial" w:cs="Arial"/>
        </w:rPr>
        <w:t xml:space="preserve"> 2nd edn. Chichester: Wiley-Blackwell. </w:t>
      </w:r>
    </w:p>
    <w:p w14:paraId="34681D59" w14:textId="77777777" w:rsidR="008B3D2D" w:rsidRPr="00BC0C11" w:rsidRDefault="008B3D2D" w:rsidP="00BC0C11">
      <w:pPr>
        <w:pStyle w:val="NoSpacing"/>
        <w:spacing w:line="360" w:lineRule="auto"/>
        <w:jc w:val="both"/>
        <w:rPr>
          <w:rFonts w:ascii="Arial" w:hAnsi="Arial" w:cs="Arial"/>
        </w:rPr>
      </w:pPr>
    </w:p>
    <w:p w14:paraId="7BEA49A5"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Mental Capacity Act 2005. London: HMSO. </w:t>
      </w:r>
    </w:p>
    <w:p w14:paraId="4BEA9839" w14:textId="77777777" w:rsidR="008B3D2D" w:rsidRPr="00BC0C11" w:rsidRDefault="008B3D2D" w:rsidP="00BC0C11">
      <w:pPr>
        <w:pStyle w:val="NoSpacing"/>
        <w:spacing w:line="360" w:lineRule="auto"/>
        <w:jc w:val="both"/>
        <w:rPr>
          <w:rFonts w:ascii="Arial" w:hAnsi="Arial" w:cs="Arial"/>
        </w:rPr>
      </w:pPr>
    </w:p>
    <w:p w14:paraId="56A97BB1"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Mental Health Act 1983 (amended 2007). London: HMSO. </w:t>
      </w:r>
    </w:p>
    <w:p w14:paraId="40B19E8E" w14:textId="77777777" w:rsidR="008B3D2D" w:rsidRPr="00BC0C11" w:rsidRDefault="008B3D2D" w:rsidP="00BC0C11">
      <w:pPr>
        <w:pStyle w:val="NoSpacing"/>
        <w:spacing w:line="360" w:lineRule="auto"/>
        <w:jc w:val="both"/>
        <w:rPr>
          <w:rFonts w:ascii="Arial" w:hAnsi="Arial" w:cs="Arial"/>
        </w:rPr>
      </w:pPr>
    </w:p>
    <w:p w14:paraId="5616F72F"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Ministry of Justice (1998) </w:t>
      </w:r>
      <w:r w:rsidRPr="00BC0C11">
        <w:rPr>
          <w:rFonts w:ascii="Arial" w:hAnsi="Arial" w:cs="Arial"/>
          <w:i/>
          <w:iCs/>
        </w:rPr>
        <w:t>Human Rights Act 1998.</w:t>
      </w:r>
      <w:r w:rsidRPr="00BC0C11">
        <w:rPr>
          <w:rFonts w:ascii="Arial" w:hAnsi="Arial" w:cs="Arial"/>
        </w:rPr>
        <w:t xml:space="preserve"> London: MoJ. </w:t>
      </w:r>
    </w:p>
    <w:p w14:paraId="3B0C2106" w14:textId="77777777" w:rsidR="008B3D2D" w:rsidRPr="00BC0C11" w:rsidRDefault="008B3D2D" w:rsidP="00BC0C11">
      <w:pPr>
        <w:pStyle w:val="NoSpacing"/>
        <w:spacing w:line="360" w:lineRule="auto"/>
        <w:jc w:val="both"/>
        <w:rPr>
          <w:rFonts w:ascii="Arial" w:hAnsi="Arial" w:cs="Arial"/>
        </w:rPr>
      </w:pPr>
    </w:p>
    <w:p w14:paraId="6A217278"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NHS Race and Health Observatory (2022) </w:t>
      </w:r>
      <w:r w:rsidRPr="00BC0C11">
        <w:rPr>
          <w:rFonts w:ascii="Arial" w:hAnsi="Arial" w:cs="Arial"/>
          <w:i/>
          <w:iCs/>
        </w:rPr>
        <w:t>Ethnic inequalities in mental healthcare: A rapid evidence review.</w:t>
      </w:r>
      <w:r w:rsidRPr="00BC0C11">
        <w:rPr>
          <w:rFonts w:ascii="Arial" w:hAnsi="Arial" w:cs="Arial"/>
        </w:rPr>
        <w:t xml:space="preserve"> London: NHS RHO. </w:t>
      </w:r>
    </w:p>
    <w:p w14:paraId="1E3E4146" w14:textId="77777777" w:rsidR="008B3D2D" w:rsidRPr="00BC0C11" w:rsidRDefault="008B3D2D" w:rsidP="00BC0C11">
      <w:pPr>
        <w:pStyle w:val="NoSpacing"/>
        <w:spacing w:line="360" w:lineRule="auto"/>
        <w:jc w:val="both"/>
        <w:rPr>
          <w:rFonts w:ascii="Arial" w:hAnsi="Arial" w:cs="Arial"/>
        </w:rPr>
      </w:pPr>
    </w:p>
    <w:p w14:paraId="1743D2D6"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Nursing and Midwifery Council (2018) </w:t>
      </w:r>
      <w:r w:rsidRPr="00BC0C11">
        <w:rPr>
          <w:rFonts w:ascii="Arial" w:hAnsi="Arial" w:cs="Arial"/>
          <w:i/>
          <w:iCs/>
        </w:rPr>
        <w:t>The Code.</w:t>
      </w:r>
      <w:r w:rsidRPr="00BC0C11">
        <w:rPr>
          <w:rFonts w:ascii="Arial" w:hAnsi="Arial" w:cs="Arial"/>
        </w:rPr>
        <w:t xml:space="preserve"> London: NMC.</w:t>
      </w:r>
    </w:p>
    <w:p w14:paraId="25171B0D" w14:textId="77777777" w:rsidR="008B3D2D" w:rsidRPr="00BC0C11" w:rsidRDefault="008B3D2D" w:rsidP="00BC0C11">
      <w:pPr>
        <w:pStyle w:val="NoSpacing"/>
        <w:spacing w:line="360" w:lineRule="auto"/>
        <w:jc w:val="both"/>
        <w:rPr>
          <w:rFonts w:ascii="Arial" w:hAnsi="Arial" w:cs="Arial"/>
        </w:rPr>
      </w:pPr>
    </w:p>
    <w:p w14:paraId="71571D97"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 Ocloo, J. and Matthews, R. (2016) ‘From tokenism to empowerment’, </w:t>
      </w:r>
      <w:r w:rsidRPr="00BC0C11">
        <w:rPr>
          <w:rFonts w:ascii="Arial" w:hAnsi="Arial" w:cs="Arial"/>
          <w:i/>
          <w:iCs/>
        </w:rPr>
        <w:t>BMJ Quality &amp; Safety</w:t>
      </w:r>
      <w:r w:rsidRPr="00BC0C11">
        <w:rPr>
          <w:rFonts w:ascii="Arial" w:hAnsi="Arial" w:cs="Arial"/>
        </w:rPr>
        <w:t xml:space="preserve">, 25, pp. 626–632. </w:t>
      </w:r>
    </w:p>
    <w:p w14:paraId="30177CC0" w14:textId="77777777" w:rsidR="008B3D2D" w:rsidRPr="00BC0C11" w:rsidRDefault="008B3D2D" w:rsidP="00BC0C11">
      <w:pPr>
        <w:pStyle w:val="NoSpacing"/>
        <w:spacing w:line="360" w:lineRule="auto"/>
        <w:jc w:val="both"/>
        <w:rPr>
          <w:rFonts w:ascii="Arial" w:hAnsi="Arial" w:cs="Arial"/>
        </w:rPr>
      </w:pPr>
    </w:p>
    <w:p w14:paraId="3F5DA521"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Ross, H., Tod, A.M. and Clarke, A. (2015) ‘Understanding and achieving person</w:t>
      </w:r>
      <w:r w:rsidRPr="00BC0C11">
        <w:rPr>
          <w:rFonts w:ascii="Arial" w:hAnsi="Arial" w:cs="Arial"/>
        </w:rPr>
        <w:noBreakHyphen/>
        <w:t xml:space="preserve">centred care’, </w:t>
      </w:r>
      <w:r w:rsidRPr="00BC0C11">
        <w:rPr>
          <w:rFonts w:ascii="Arial" w:hAnsi="Arial" w:cs="Arial"/>
          <w:i/>
          <w:iCs/>
        </w:rPr>
        <w:t>Journal of Clinical Nursing</w:t>
      </w:r>
      <w:r w:rsidRPr="00BC0C11">
        <w:rPr>
          <w:rFonts w:ascii="Arial" w:hAnsi="Arial" w:cs="Arial"/>
        </w:rPr>
        <w:t>, 24(9–10), pp. 1223–1233.</w:t>
      </w:r>
    </w:p>
    <w:p w14:paraId="123F8CA6" w14:textId="77777777" w:rsidR="008B3D2D" w:rsidRPr="00BC0C11" w:rsidRDefault="008B3D2D" w:rsidP="00BC0C11">
      <w:pPr>
        <w:pStyle w:val="NoSpacing"/>
        <w:spacing w:line="360" w:lineRule="auto"/>
        <w:jc w:val="both"/>
        <w:rPr>
          <w:rFonts w:ascii="Arial" w:hAnsi="Arial" w:cs="Arial"/>
        </w:rPr>
      </w:pPr>
    </w:p>
    <w:p w14:paraId="3F626C21"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 Sharma, T., Bamford, M. and Dodman, D. (2015) ‘Person-centred care: an overview of reviews’, </w:t>
      </w:r>
      <w:r w:rsidRPr="00BC0C11">
        <w:rPr>
          <w:rFonts w:ascii="Arial" w:hAnsi="Arial" w:cs="Arial"/>
          <w:i/>
          <w:iCs/>
        </w:rPr>
        <w:t>Contemporary Nurse</w:t>
      </w:r>
      <w:r w:rsidRPr="00BC0C11">
        <w:rPr>
          <w:rFonts w:ascii="Arial" w:hAnsi="Arial" w:cs="Arial"/>
        </w:rPr>
        <w:t xml:space="preserve">, 51(2–3), pp. 107–120. </w:t>
      </w:r>
    </w:p>
    <w:p w14:paraId="1510557A" w14:textId="77777777" w:rsidR="008B3D2D" w:rsidRPr="00BC0C11" w:rsidRDefault="008B3D2D" w:rsidP="00BC0C11">
      <w:pPr>
        <w:pStyle w:val="NoSpacing"/>
        <w:spacing w:line="360" w:lineRule="auto"/>
        <w:jc w:val="both"/>
        <w:rPr>
          <w:rFonts w:ascii="Arial" w:hAnsi="Arial" w:cs="Arial"/>
        </w:rPr>
      </w:pPr>
    </w:p>
    <w:p w14:paraId="14B213B8"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Smith, G.P. and Williams, T.M. (2016) ‘Advances in person</w:t>
      </w:r>
      <w:r w:rsidRPr="00BC0C11">
        <w:rPr>
          <w:rFonts w:ascii="Arial" w:hAnsi="Arial" w:cs="Arial"/>
        </w:rPr>
        <w:noBreakHyphen/>
        <w:t xml:space="preserve">centred care in mental health’, </w:t>
      </w:r>
      <w:r w:rsidRPr="00BC0C11">
        <w:rPr>
          <w:rFonts w:ascii="Arial" w:hAnsi="Arial" w:cs="Arial"/>
          <w:i/>
          <w:iCs/>
        </w:rPr>
        <w:t>Current Opinion in Psychiatry</w:t>
      </w:r>
      <w:r w:rsidRPr="00BC0C11">
        <w:rPr>
          <w:rFonts w:ascii="Arial" w:hAnsi="Arial" w:cs="Arial"/>
        </w:rPr>
        <w:t xml:space="preserve">, 29(5), pp. 292–297. </w:t>
      </w:r>
    </w:p>
    <w:p w14:paraId="5BDBE795" w14:textId="77777777" w:rsidR="008B3D2D" w:rsidRPr="00BC0C11" w:rsidRDefault="008B3D2D" w:rsidP="00BC0C11">
      <w:pPr>
        <w:pStyle w:val="NoSpacing"/>
        <w:spacing w:line="360" w:lineRule="auto"/>
        <w:jc w:val="both"/>
        <w:rPr>
          <w:rFonts w:ascii="Arial" w:hAnsi="Arial" w:cs="Arial"/>
        </w:rPr>
      </w:pPr>
    </w:p>
    <w:p w14:paraId="05F3E491"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Stomski, N.J. and Morrison, P. (2017) ‘Participation in mental healthcare’, </w:t>
      </w:r>
      <w:r w:rsidRPr="00BC0C11">
        <w:rPr>
          <w:rFonts w:ascii="Arial" w:hAnsi="Arial" w:cs="Arial"/>
          <w:i/>
          <w:iCs/>
        </w:rPr>
        <w:t>International Journal of Mental Health Systems</w:t>
      </w:r>
      <w:r w:rsidRPr="00BC0C11">
        <w:rPr>
          <w:rFonts w:ascii="Arial" w:hAnsi="Arial" w:cs="Arial"/>
        </w:rPr>
        <w:t xml:space="preserve">, 11(1), p. 67. </w:t>
      </w:r>
    </w:p>
    <w:p w14:paraId="6975D274" w14:textId="77777777" w:rsidR="008B3D2D" w:rsidRPr="00BC0C11" w:rsidRDefault="008B3D2D" w:rsidP="00BC0C11">
      <w:pPr>
        <w:pStyle w:val="NoSpacing"/>
        <w:spacing w:line="360" w:lineRule="auto"/>
        <w:jc w:val="both"/>
        <w:rPr>
          <w:rFonts w:ascii="Arial" w:hAnsi="Arial" w:cs="Arial"/>
        </w:rPr>
      </w:pPr>
    </w:p>
    <w:p w14:paraId="6A397751"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Summer Meranius, M. et al. (2020) ‘Paradoxes of person</w:t>
      </w:r>
      <w:r w:rsidRPr="00BC0C11">
        <w:rPr>
          <w:rFonts w:ascii="Arial" w:hAnsi="Arial" w:cs="Arial"/>
        </w:rPr>
        <w:noBreakHyphen/>
        <w:t xml:space="preserve">centred care’, </w:t>
      </w:r>
      <w:r w:rsidRPr="00BC0C11">
        <w:rPr>
          <w:rFonts w:ascii="Arial" w:hAnsi="Arial" w:cs="Arial"/>
          <w:i/>
          <w:iCs/>
        </w:rPr>
        <w:t>Nursing Open</w:t>
      </w:r>
      <w:r w:rsidRPr="00BC0C11">
        <w:rPr>
          <w:rFonts w:ascii="Arial" w:hAnsi="Arial" w:cs="Arial"/>
        </w:rPr>
        <w:t xml:space="preserve">, 7(5), pp. 1321–1329. </w:t>
      </w:r>
    </w:p>
    <w:p w14:paraId="4ADC9EE2" w14:textId="77777777" w:rsidR="008B3D2D" w:rsidRPr="00BC0C11" w:rsidRDefault="008B3D2D" w:rsidP="00BC0C11">
      <w:pPr>
        <w:pStyle w:val="NoSpacing"/>
        <w:spacing w:line="360" w:lineRule="auto"/>
        <w:jc w:val="both"/>
        <w:rPr>
          <w:rFonts w:ascii="Arial" w:hAnsi="Arial" w:cs="Arial"/>
        </w:rPr>
      </w:pPr>
    </w:p>
    <w:p w14:paraId="777E9233"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 xml:space="preserve">Thomson, L.J.M., Waterson, H. and Chatterjee, H.J. (2024) ‘Successes and challenges of partnership working’, </w:t>
      </w:r>
      <w:r w:rsidRPr="00BC0C11">
        <w:rPr>
          <w:rFonts w:ascii="Arial" w:hAnsi="Arial" w:cs="Arial"/>
          <w:i/>
          <w:iCs/>
        </w:rPr>
        <w:t>International Journal for Equity in Health</w:t>
      </w:r>
      <w:r w:rsidRPr="00BC0C11">
        <w:rPr>
          <w:rFonts w:ascii="Arial" w:hAnsi="Arial" w:cs="Arial"/>
        </w:rPr>
        <w:t xml:space="preserve">, 23(1), p. 135. </w:t>
      </w:r>
    </w:p>
    <w:p w14:paraId="30C134FF" w14:textId="77777777" w:rsidR="008B3D2D" w:rsidRPr="00BC0C11" w:rsidRDefault="008B3D2D" w:rsidP="00BC0C11">
      <w:pPr>
        <w:pStyle w:val="NoSpacing"/>
        <w:spacing w:line="360" w:lineRule="auto"/>
        <w:jc w:val="both"/>
        <w:rPr>
          <w:rFonts w:ascii="Arial" w:hAnsi="Arial" w:cs="Arial"/>
        </w:rPr>
      </w:pPr>
    </w:p>
    <w:p w14:paraId="4721E981"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t>Tudor, K. and Rogers, B. (2021) ‘The person</w:t>
      </w:r>
      <w:r w:rsidRPr="00BC0C11">
        <w:rPr>
          <w:rFonts w:ascii="Arial" w:hAnsi="Arial" w:cs="Arial"/>
        </w:rPr>
        <w:noBreakHyphen/>
        <w:t xml:space="preserve">centred approach in Aotearoa New Zealand’, </w:t>
      </w:r>
      <w:r w:rsidRPr="00BC0C11">
        <w:rPr>
          <w:rFonts w:ascii="Arial" w:hAnsi="Arial" w:cs="Arial"/>
          <w:i/>
          <w:iCs/>
        </w:rPr>
        <w:t>Person</w:t>
      </w:r>
      <w:r w:rsidRPr="00BC0C11">
        <w:rPr>
          <w:rFonts w:ascii="Arial" w:hAnsi="Arial" w:cs="Arial"/>
          <w:i/>
          <w:iCs/>
        </w:rPr>
        <w:noBreakHyphen/>
        <w:t>Centred &amp; Experiential Psychotherapies</w:t>
      </w:r>
      <w:r w:rsidRPr="00BC0C11">
        <w:rPr>
          <w:rFonts w:ascii="Arial" w:hAnsi="Arial" w:cs="Arial"/>
        </w:rPr>
        <w:t xml:space="preserve">, 20(1), pp. 84–101. </w:t>
      </w:r>
    </w:p>
    <w:p w14:paraId="73BC4FCE" w14:textId="77777777" w:rsidR="008B3D2D" w:rsidRPr="00BC0C11" w:rsidRDefault="008B3D2D" w:rsidP="00BC0C11">
      <w:pPr>
        <w:pStyle w:val="NoSpacing"/>
        <w:spacing w:line="360" w:lineRule="auto"/>
        <w:jc w:val="both"/>
        <w:rPr>
          <w:rFonts w:ascii="Arial" w:hAnsi="Arial" w:cs="Arial"/>
        </w:rPr>
      </w:pPr>
    </w:p>
    <w:p w14:paraId="5184EF8E" w14:textId="77777777" w:rsidR="008B3D2D" w:rsidRPr="00BC0C11" w:rsidRDefault="007958F0" w:rsidP="00BC0C11">
      <w:pPr>
        <w:pStyle w:val="NoSpacing"/>
        <w:spacing w:line="360" w:lineRule="auto"/>
        <w:jc w:val="both"/>
        <w:rPr>
          <w:rFonts w:ascii="Arial" w:hAnsi="Arial" w:cs="Arial"/>
        </w:rPr>
      </w:pPr>
      <w:r w:rsidRPr="00BC0C11">
        <w:rPr>
          <w:rFonts w:ascii="Arial" w:hAnsi="Arial" w:cs="Arial"/>
        </w:rPr>
        <w:lastRenderedPageBreak/>
        <w:t xml:space="preserve">Van Weeghel, J. et al. (2019) ‘Personal recovery in mental illness’, </w:t>
      </w:r>
      <w:r w:rsidRPr="00BC0C11">
        <w:rPr>
          <w:rFonts w:ascii="Arial" w:hAnsi="Arial" w:cs="Arial"/>
          <w:i/>
          <w:iCs/>
        </w:rPr>
        <w:t>Psychiatric Rehabilitation Journal</w:t>
      </w:r>
      <w:r w:rsidRPr="00BC0C11">
        <w:rPr>
          <w:rFonts w:ascii="Arial" w:hAnsi="Arial" w:cs="Arial"/>
        </w:rPr>
        <w:t xml:space="preserve">, 42(2), p. 169. Wessely, S. (2018) </w:t>
      </w:r>
      <w:r w:rsidRPr="00BC0C11">
        <w:rPr>
          <w:rFonts w:ascii="Arial" w:hAnsi="Arial" w:cs="Arial"/>
          <w:i/>
          <w:iCs/>
        </w:rPr>
        <w:t>Modernising the Mental Health Act.</w:t>
      </w:r>
      <w:r w:rsidRPr="00BC0C11">
        <w:rPr>
          <w:rFonts w:ascii="Arial" w:hAnsi="Arial" w:cs="Arial"/>
        </w:rPr>
        <w:t xml:space="preserve"> London: DHSC. </w:t>
      </w:r>
    </w:p>
    <w:p w14:paraId="7DD1700D" w14:textId="77777777" w:rsidR="008B3D2D" w:rsidRPr="00BC0C11" w:rsidRDefault="008B3D2D" w:rsidP="00BC0C11">
      <w:pPr>
        <w:pStyle w:val="NoSpacing"/>
        <w:spacing w:line="360" w:lineRule="auto"/>
        <w:jc w:val="both"/>
        <w:rPr>
          <w:rFonts w:ascii="Arial" w:hAnsi="Arial" w:cs="Arial"/>
        </w:rPr>
      </w:pPr>
    </w:p>
    <w:p w14:paraId="3FEA80C0" w14:textId="73E6F1A6" w:rsidR="006D2628" w:rsidRPr="00BC0C11" w:rsidRDefault="007958F0" w:rsidP="00BC0C11">
      <w:pPr>
        <w:pStyle w:val="NoSpacing"/>
        <w:spacing w:line="360" w:lineRule="auto"/>
        <w:jc w:val="both"/>
        <w:rPr>
          <w:rFonts w:ascii="Arial" w:hAnsi="Arial" w:cs="Arial"/>
        </w:rPr>
      </w:pPr>
      <w:r w:rsidRPr="00BC0C11">
        <w:rPr>
          <w:rFonts w:ascii="Arial" w:hAnsi="Arial" w:cs="Arial"/>
        </w:rPr>
        <w:t>Wolf, A. et al. (2017) ‘The realities of partnership in person</w:t>
      </w:r>
      <w:r w:rsidRPr="00BC0C11">
        <w:rPr>
          <w:rFonts w:ascii="Arial" w:hAnsi="Arial" w:cs="Arial"/>
        </w:rPr>
        <w:noBreakHyphen/>
        <w:t xml:space="preserve">centred care’, </w:t>
      </w:r>
      <w:r w:rsidRPr="00BC0C11">
        <w:rPr>
          <w:rFonts w:ascii="Arial" w:hAnsi="Arial" w:cs="Arial"/>
          <w:i/>
          <w:iCs/>
        </w:rPr>
        <w:t>BMJ Open</w:t>
      </w:r>
      <w:r w:rsidRPr="00BC0C11">
        <w:rPr>
          <w:rFonts w:ascii="Arial" w:hAnsi="Arial" w:cs="Arial"/>
        </w:rPr>
        <w:t>, 7(7), e016491.</w:t>
      </w:r>
    </w:p>
    <w:sectPr w:rsidR="006D2628" w:rsidRPr="00BC0C1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46A74" w14:textId="77777777" w:rsidR="009E037B" w:rsidRDefault="009E037B" w:rsidP="00E34E27">
      <w:pPr>
        <w:spacing w:after="0" w:line="240" w:lineRule="auto"/>
      </w:pPr>
      <w:r>
        <w:separator/>
      </w:r>
    </w:p>
  </w:endnote>
  <w:endnote w:type="continuationSeparator" w:id="0">
    <w:p w14:paraId="614E408F" w14:textId="77777777" w:rsidR="009E037B" w:rsidRDefault="009E037B" w:rsidP="00E34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5079282"/>
      <w:docPartObj>
        <w:docPartGallery w:val="Page Numbers (Bottom of Page)"/>
        <w:docPartUnique/>
      </w:docPartObj>
    </w:sdtPr>
    <w:sdtContent>
      <w:p w14:paraId="23721EDB" w14:textId="7223C022" w:rsidR="00E20411" w:rsidRDefault="00E20411">
        <w:pPr>
          <w:pStyle w:val="Footer"/>
        </w:pPr>
        <w:r>
          <w:fldChar w:fldCharType="begin"/>
        </w:r>
        <w:r>
          <w:instrText>PAGE   \* MERGEFORMAT</w:instrText>
        </w:r>
        <w:r>
          <w:fldChar w:fldCharType="separate"/>
        </w:r>
        <w:r>
          <w:t>2</w:t>
        </w:r>
        <w:r>
          <w:fldChar w:fldCharType="end"/>
        </w:r>
      </w:p>
    </w:sdtContent>
  </w:sdt>
  <w:p w14:paraId="10C77BFB" w14:textId="77777777" w:rsidR="00E20411" w:rsidRDefault="00E20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3658C" w14:textId="77777777" w:rsidR="009E037B" w:rsidRDefault="009E037B" w:rsidP="00E34E27">
      <w:pPr>
        <w:spacing w:after="0" w:line="240" w:lineRule="auto"/>
      </w:pPr>
      <w:r>
        <w:separator/>
      </w:r>
    </w:p>
  </w:footnote>
  <w:footnote w:type="continuationSeparator" w:id="0">
    <w:p w14:paraId="1B0AA4E4" w14:textId="77777777" w:rsidR="009E037B" w:rsidRDefault="009E037B" w:rsidP="00E34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8D920CA"/>
    <w:multiLevelType w:val="multilevel"/>
    <w:tmpl w:val="461E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55E12"/>
    <w:multiLevelType w:val="multilevel"/>
    <w:tmpl w:val="626C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2B70FE"/>
    <w:multiLevelType w:val="multilevel"/>
    <w:tmpl w:val="3A568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2B429E"/>
    <w:multiLevelType w:val="multilevel"/>
    <w:tmpl w:val="BFDA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14EA1"/>
    <w:multiLevelType w:val="multilevel"/>
    <w:tmpl w:val="8712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2D2468"/>
    <w:multiLevelType w:val="multilevel"/>
    <w:tmpl w:val="D816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99027C8"/>
    <w:multiLevelType w:val="multilevel"/>
    <w:tmpl w:val="C694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261EAC"/>
    <w:multiLevelType w:val="multilevel"/>
    <w:tmpl w:val="E578D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4E6B3D"/>
    <w:multiLevelType w:val="multilevel"/>
    <w:tmpl w:val="A72AA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7D558B"/>
    <w:multiLevelType w:val="multilevel"/>
    <w:tmpl w:val="F4D8B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5BE5C45"/>
    <w:multiLevelType w:val="multilevel"/>
    <w:tmpl w:val="34BA3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C40E20"/>
    <w:multiLevelType w:val="multilevel"/>
    <w:tmpl w:val="0ECA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DB31F3"/>
    <w:multiLevelType w:val="multilevel"/>
    <w:tmpl w:val="DB421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10189E"/>
    <w:multiLevelType w:val="multilevel"/>
    <w:tmpl w:val="22D0F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C340B33"/>
    <w:multiLevelType w:val="multilevel"/>
    <w:tmpl w:val="C3029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264860"/>
    <w:multiLevelType w:val="hybridMultilevel"/>
    <w:tmpl w:val="A796C2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A1730A"/>
    <w:multiLevelType w:val="multilevel"/>
    <w:tmpl w:val="1CB6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420E36"/>
    <w:multiLevelType w:val="multilevel"/>
    <w:tmpl w:val="A9E4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E9145D1"/>
    <w:multiLevelType w:val="multilevel"/>
    <w:tmpl w:val="348AE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9370673">
    <w:abstractNumId w:val="15"/>
  </w:num>
  <w:num w:numId="2" w16cid:durableId="44835113">
    <w:abstractNumId w:val="14"/>
  </w:num>
  <w:num w:numId="3" w16cid:durableId="1616407727">
    <w:abstractNumId w:val="16"/>
  </w:num>
  <w:num w:numId="4" w16cid:durableId="377436975">
    <w:abstractNumId w:val="5"/>
  </w:num>
  <w:num w:numId="5" w16cid:durableId="143160628">
    <w:abstractNumId w:val="13"/>
  </w:num>
  <w:num w:numId="6" w16cid:durableId="1735081627">
    <w:abstractNumId w:val="18"/>
  </w:num>
  <w:num w:numId="7" w16cid:durableId="12389785">
    <w:abstractNumId w:val="10"/>
  </w:num>
  <w:num w:numId="8" w16cid:durableId="1345017731">
    <w:abstractNumId w:val="1"/>
  </w:num>
  <w:num w:numId="9" w16cid:durableId="340864690">
    <w:abstractNumId w:val="9"/>
  </w:num>
  <w:num w:numId="10" w16cid:durableId="677970604">
    <w:abstractNumId w:val="11"/>
  </w:num>
  <w:num w:numId="11" w16cid:durableId="1113785089">
    <w:abstractNumId w:val="7"/>
  </w:num>
  <w:num w:numId="12" w16cid:durableId="1907491794">
    <w:abstractNumId w:val="6"/>
  </w:num>
  <w:num w:numId="13" w16cid:durableId="775903718">
    <w:abstractNumId w:val="2"/>
  </w:num>
  <w:num w:numId="14" w16cid:durableId="259682505">
    <w:abstractNumId w:val="17"/>
  </w:num>
  <w:num w:numId="15" w16cid:durableId="558904485">
    <w:abstractNumId w:val="4"/>
  </w:num>
  <w:num w:numId="16" w16cid:durableId="1708287332">
    <w:abstractNumId w:val="0"/>
  </w:num>
  <w:num w:numId="17" w16cid:durableId="179273619">
    <w:abstractNumId w:val="8"/>
  </w:num>
  <w:num w:numId="18" w16cid:durableId="1834878491">
    <w:abstractNumId w:val="3"/>
  </w:num>
  <w:num w:numId="19" w16cid:durableId="5807190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EAE"/>
    <w:rsid w:val="000200E4"/>
    <w:rsid w:val="000446EB"/>
    <w:rsid w:val="00063B0F"/>
    <w:rsid w:val="00067F79"/>
    <w:rsid w:val="00093844"/>
    <w:rsid w:val="00094A96"/>
    <w:rsid w:val="000A1CFF"/>
    <w:rsid w:val="000A3C04"/>
    <w:rsid w:val="000B0000"/>
    <w:rsid w:val="000B2AB2"/>
    <w:rsid w:val="000C7255"/>
    <w:rsid w:val="000D3C75"/>
    <w:rsid w:val="000E37CC"/>
    <w:rsid w:val="00147337"/>
    <w:rsid w:val="0015175C"/>
    <w:rsid w:val="001713D0"/>
    <w:rsid w:val="00190898"/>
    <w:rsid w:val="00195DD8"/>
    <w:rsid w:val="001A75A3"/>
    <w:rsid w:val="001B1C3F"/>
    <w:rsid w:val="001C5108"/>
    <w:rsid w:val="001D7473"/>
    <w:rsid w:val="001F011B"/>
    <w:rsid w:val="001F5177"/>
    <w:rsid w:val="0020284D"/>
    <w:rsid w:val="00206936"/>
    <w:rsid w:val="00207D76"/>
    <w:rsid w:val="00216D6C"/>
    <w:rsid w:val="00221726"/>
    <w:rsid w:val="00230977"/>
    <w:rsid w:val="002347E0"/>
    <w:rsid w:val="00243D06"/>
    <w:rsid w:val="002459C5"/>
    <w:rsid w:val="00262FF2"/>
    <w:rsid w:val="002808F1"/>
    <w:rsid w:val="002A2DDA"/>
    <w:rsid w:val="002A72D9"/>
    <w:rsid w:val="002B163C"/>
    <w:rsid w:val="002E5E61"/>
    <w:rsid w:val="00322EBD"/>
    <w:rsid w:val="00326609"/>
    <w:rsid w:val="003363A8"/>
    <w:rsid w:val="00352DCB"/>
    <w:rsid w:val="00373803"/>
    <w:rsid w:val="00376D85"/>
    <w:rsid w:val="00390607"/>
    <w:rsid w:val="003B7A5C"/>
    <w:rsid w:val="003C1389"/>
    <w:rsid w:val="003D4FAF"/>
    <w:rsid w:val="00400701"/>
    <w:rsid w:val="00403D1C"/>
    <w:rsid w:val="00430B53"/>
    <w:rsid w:val="004539E9"/>
    <w:rsid w:val="00453C02"/>
    <w:rsid w:val="004734EE"/>
    <w:rsid w:val="00475453"/>
    <w:rsid w:val="00476C02"/>
    <w:rsid w:val="00480484"/>
    <w:rsid w:val="00486254"/>
    <w:rsid w:val="004C4990"/>
    <w:rsid w:val="004C58ED"/>
    <w:rsid w:val="004D4255"/>
    <w:rsid w:val="004F1A68"/>
    <w:rsid w:val="004F4424"/>
    <w:rsid w:val="00501B4D"/>
    <w:rsid w:val="00513262"/>
    <w:rsid w:val="0052010E"/>
    <w:rsid w:val="00552732"/>
    <w:rsid w:val="00562225"/>
    <w:rsid w:val="00585DB0"/>
    <w:rsid w:val="005A6090"/>
    <w:rsid w:val="005B5FD0"/>
    <w:rsid w:val="005D06A8"/>
    <w:rsid w:val="005D7AB6"/>
    <w:rsid w:val="005E3A29"/>
    <w:rsid w:val="005F75CB"/>
    <w:rsid w:val="00607A40"/>
    <w:rsid w:val="00627B67"/>
    <w:rsid w:val="00653AF9"/>
    <w:rsid w:val="006600EF"/>
    <w:rsid w:val="00663759"/>
    <w:rsid w:val="0066418C"/>
    <w:rsid w:val="00665E21"/>
    <w:rsid w:val="00666C40"/>
    <w:rsid w:val="0067392D"/>
    <w:rsid w:val="006873F7"/>
    <w:rsid w:val="006B3D20"/>
    <w:rsid w:val="006D2628"/>
    <w:rsid w:val="006D4592"/>
    <w:rsid w:val="006E4F3F"/>
    <w:rsid w:val="006F5EAE"/>
    <w:rsid w:val="006F7CE3"/>
    <w:rsid w:val="0070022B"/>
    <w:rsid w:val="007257AB"/>
    <w:rsid w:val="00734CB5"/>
    <w:rsid w:val="00747839"/>
    <w:rsid w:val="00786825"/>
    <w:rsid w:val="007958F0"/>
    <w:rsid w:val="007A6578"/>
    <w:rsid w:val="007B2E55"/>
    <w:rsid w:val="007B71DA"/>
    <w:rsid w:val="007C0716"/>
    <w:rsid w:val="007C0EF3"/>
    <w:rsid w:val="007C29BD"/>
    <w:rsid w:val="007D28F1"/>
    <w:rsid w:val="007F0D29"/>
    <w:rsid w:val="008142C1"/>
    <w:rsid w:val="00821AB6"/>
    <w:rsid w:val="00821F2B"/>
    <w:rsid w:val="00824CFE"/>
    <w:rsid w:val="00834836"/>
    <w:rsid w:val="0083578B"/>
    <w:rsid w:val="008610A3"/>
    <w:rsid w:val="00880B13"/>
    <w:rsid w:val="008811F9"/>
    <w:rsid w:val="008848BD"/>
    <w:rsid w:val="008A39CC"/>
    <w:rsid w:val="008B3490"/>
    <w:rsid w:val="008B3D2D"/>
    <w:rsid w:val="008B76E1"/>
    <w:rsid w:val="008C344A"/>
    <w:rsid w:val="00902F7F"/>
    <w:rsid w:val="00910A73"/>
    <w:rsid w:val="00912178"/>
    <w:rsid w:val="00932E8B"/>
    <w:rsid w:val="009407F5"/>
    <w:rsid w:val="00945623"/>
    <w:rsid w:val="00950F2B"/>
    <w:rsid w:val="00973C8A"/>
    <w:rsid w:val="009756D7"/>
    <w:rsid w:val="009D163D"/>
    <w:rsid w:val="009D3FB2"/>
    <w:rsid w:val="009D5F6B"/>
    <w:rsid w:val="009E037B"/>
    <w:rsid w:val="009F1B6A"/>
    <w:rsid w:val="009F43B8"/>
    <w:rsid w:val="00A003F8"/>
    <w:rsid w:val="00A11BD1"/>
    <w:rsid w:val="00A36658"/>
    <w:rsid w:val="00A60CBB"/>
    <w:rsid w:val="00A6357D"/>
    <w:rsid w:val="00A66BCD"/>
    <w:rsid w:val="00A67BFE"/>
    <w:rsid w:val="00AA1B49"/>
    <w:rsid w:val="00AA6E94"/>
    <w:rsid w:val="00B11506"/>
    <w:rsid w:val="00B16A5A"/>
    <w:rsid w:val="00B2133A"/>
    <w:rsid w:val="00B221BD"/>
    <w:rsid w:val="00B26F44"/>
    <w:rsid w:val="00B32D83"/>
    <w:rsid w:val="00B33B25"/>
    <w:rsid w:val="00B35B40"/>
    <w:rsid w:val="00B44E92"/>
    <w:rsid w:val="00B6733C"/>
    <w:rsid w:val="00B870AE"/>
    <w:rsid w:val="00B95888"/>
    <w:rsid w:val="00B970D3"/>
    <w:rsid w:val="00BA474B"/>
    <w:rsid w:val="00BB467D"/>
    <w:rsid w:val="00BC0C11"/>
    <w:rsid w:val="00BD3870"/>
    <w:rsid w:val="00BF0D4A"/>
    <w:rsid w:val="00C47F26"/>
    <w:rsid w:val="00C76A7E"/>
    <w:rsid w:val="00C81205"/>
    <w:rsid w:val="00C95F6C"/>
    <w:rsid w:val="00CB2977"/>
    <w:rsid w:val="00CB2A7C"/>
    <w:rsid w:val="00CB4434"/>
    <w:rsid w:val="00CC4A4D"/>
    <w:rsid w:val="00CD6AEA"/>
    <w:rsid w:val="00CF578D"/>
    <w:rsid w:val="00D00639"/>
    <w:rsid w:val="00D11443"/>
    <w:rsid w:val="00D33A51"/>
    <w:rsid w:val="00D571DA"/>
    <w:rsid w:val="00D634DF"/>
    <w:rsid w:val="00D70E5C"/>
    <w:rsid w:val="00D72024"/>
    <w:rsid w:val="00D855E0"/>
    <w:rsid w:val="00D9286B"/>
    <w:rsid w:val="00D9501D"/>
    <w:rsid w:val="00DA274E"/>
    <w:rsid w:val="00DA69B9"/>
    <w:rsid w:val="00DB49AB"/>
    <w:rsid w:val="00DC7CCB"/>
    <w:rsid w:val="00DF405D"/>
    <w:rsid w:val="00E03C59"/>
    <w:rsid w:val="00E20411"/>
    <w:rsid w:val="00E34E27"/>
    <w:rsid w:val="00E53EAE"/>
    <w:rsid w:val="00E80040"/>
    <w:rsid w:val="00E81DBE"/>
    <w:rsid w:val="00E965F2"/>
    <w:rsid w:val="00EA040C"/>
    <w:rsid w:val="00EA4207"/>
    <w:rsid w:val="00EA5E74"/>
    <w:rsid w:val="00EB2195"/>
    <w:rsid w:val="00EB3207"/>
    <w:rsid w:val="00EC0818"/>
    <w:rsid w:val="00EF00D9"/>
    <w:rsid w:val="00EF5C74"/>
    <w:rsid w:val="00F0644B"/>
    <w:rsid w:val="00F42698"/>
    <w:rsid w:val="00F51729"/>
    <w:rsid w:val="00F52B19"/>
    <w:rsid w:val="00F578B7"/>
    <w:rsid w:val="00F7584B"/>
    <w:rsid w:val="00F81A8B"/>
    <w:rsid w:val="00F85533"/>
    <w:rsid w:val="00F94A25"/>
    <w:rsid w:val="00FB6FA8"/>
    <w:rsid w:val="00FC3692"/>
    <w:rsid w:val="00FD6AB5"/>
    <w:rsid w:val="00FE2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FF4E1"/>
  <w15:chartTrackingRefBased/>
  <w15:docId w15:val="{210D0938-2084-4DF9-B289-24106497E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EAE"/>
    <w:pPr>
      <w:keepNext/>
      <w:keepLines/>
      <w:spacing w:before="360" w:after="80" w:line="279" w:lineRule="auto"/>
      <w:outlineLvl w:val="0"/>
    </w:pPr>
    <w:rPr>
      <w:rFonts w:asciiTheme="majorHAnsi" w:eastAsiaTheme="majorEastAsia" w:hAnsiTheme="majorHAnsi" w:cstheme="majorBidi"/>
      <w:color w:val="2F5496" w:themeColor="accent1" w:themeShade="BF"/>
      <w:kern w:val="0"/>
      <w:sz w:val="40"/>
      <w:szCs w:val="40"/>
      <w:lang w:val="en-US" w:eastAsia="ja-JP"/>
      <w14:ligatures w14:val="none"/>
    </w:rPr>
  </w:style>
  <w:style w:type="paragraph" w:styleId="Heading2">
    <w:name w:val="heading 2"/>
    <w:basedOn w:val="Normal"/>
    <w:next w:val="Normal"/>
    <w:link w:val="Heading2Char"/>
    <w:uiPriority w:val="9"/>
    <w:unhideWhenUsed/>
    <w:qFormat/>
    <w:rsid w:val="00E53E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D262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EAE"/>
    <w:rPr>
      <w:rFonts w:asciiTheme="majorHAnsi" w:eastAsiaTheme="majorEastAsia" w:hAnsiTheme="majorHAnsi" w:cstheme="majorBidi"/>
      <w:color w:val="2F5496" w:themeColor="accent1" w:themeShade="BF"/>
      <w:kern w:val="0"/>
      <w:sz w:val="40"/>
      <w:szCs w:val="40"/>
      <w:lang w:val="en-US" w:eastAsia="ja-JP"/>
      <w14:ligatures w14:val="none"/>
    </w:rPr>
  </w:style>
  <w:style w:type="paragraph" w:styleId="NoSpacing">
    <w:name w:val="No Spacing"/>
    <w:uiPriority w:val="1"/>
    <w:qFormat/>
    <w:rsid w:val="00E53EAE"/>
    <w:pPr>
      <w:spacing w:after="0" w:line="240" w:lineRule="auto"/>
    </w:pPr>
  </w:style>
  <w:style w:type="character" w:customStyle="1" w:styleId="Heading2Char">
    <w:name w:val="Heading 2 Char"/>
    <w:basedOn w:val="DefaultParagraphFont"/>
    <w:link w:val="Heading2"/>
    <w:uiPriority w:val="9"/>
    <w:rsid w:val="00E53EAE"/>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216D6C"/>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45623"/>
    <w:pPr>
      <w:ind w:left="720"/>
      <w:contextualSpacing/>
    </w:pPr>
  </w:style>
  <w:style w:type="character" w:customStyle="1" w:styleId="Heading3Char">
    <w:name w:val="Heading 3 Char"/>
    <w:basedOn w:val="DefaultParagraphFont"/>
    <w:link w:val="Heading3"/>
    <w:uiPriority w:val="9"/>
    <w:rsid w:val="006D262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6D2628"/>
    <w:rPr>
      <w:strike w:val="0"/>
      <w:dstrike w:val="0"/>
      <w:color w:val="464FEB"/>
      <w:u w:val="none"/>
      <w:effect w:val="none"/>
    </w:rPr>
  </w:style>
  <w:style w:type="paragraph" w:styleId="NormalWeb">
    <w:name w:val="Normal (Web)"/>
    <w:basedOn w:val="Normal"/>
    <w:uiPriority w:val="99"/>
    <w:unhideWhenUsed/>
    <w:rsid w:val="006D262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D2628"/>
    <w:rPr>
      <w:b/>
      <w:bCs/>
    </w:rPr>
  </w:style>
  <w:style w:type="character" w:styleId="Emphasis">
    <w:name w:val="Emphasis"/>
    <w:basedOn w:val="DefaultParagraphFont"/>
    <w:uiPriority w:val="20"/>
    <w:qFormat/>
    <w:rsid w:val="006D2628"/>
    <w:rPr>
      <w:i/>
      <w:iCs/>
    </w:rPr>
  </w:style>
  <w:style w:type="character" w:customStyle="1" w:styleId="1414dhh">
    <w:name w:val="___1414dhh"/>
    <w:basedOn w:val="DefaultParagraphFont"/>
    <w:rsid w:val="006D2628"/>
  </w:style>
  <w:style w:type="character" w:customStyle="1" w:styleId="highwire-citation-authors">
    <w:name w:val="highwire-citation-authors"/>
    <w:basedOn w:val="DefaultParagraphFont"/>
    <w:rsid w:val="002B163C"/>
  </w:style>
  <w:style w:type="character" w:customStyle="1" w:styleId="highwire-citation-author">
    <w:name w:val="highwire-citation-author"/>
    <w:basedOn w:val="DefaultParagraphFont"/>
    <w:rsid w:val="002B163C"/>
  </w:style>
  <w:style w:type="character" w:customStyle="1" w:styleId="nlm-surname">
    <w:name w:val="nlm-surname"/>
    <w:basedOn w:val="DefaultParagraphFont"/>
    <w:rsid w:val="002B163C"/>
  </w:style>
  <w:style w:type="character" w:customStyle="1" w:styleId="highwire-cite-metadata-journal">
    <w:name w:val="highwire-cite-metadata-journal"/>
    <w:basedOn w:val="DefaultParagraphFont"/>
    <w:rsid w:val="002B163C"/>
  </w:style>
  <w:style w:type="character" w:customStyle="1" w:styleId="highwire-cite-metadata-year">
    <w:name w:val="highwire-cite-metadata-year"/>
    <w:basedOn w:val="DefaultParagraphFont"/>
    <w:rsid w:val="002B163C"/>
  </w:style>
  <w:style w:type="character" w:customStyle="1" w:styleId="highwire-cite-metadata-volume">
    <w:name w:val="highwire-cite-metadata-volume"/>
    <w:basedOn w:val="DefaultParagraphFont"/>
    <w:rsid w:val="002B163C"/>
  </w:style>
  <w:style w:type="character" w:customStyle="1" w:styleId="highwire-cite-metadata-pages">
    <w:name w:val="highwire-cite-metadata-pages"/>
    <w:basedOn w:val="DefaultParagraphFont"/>
    <w:rsid w:val="002B163C"/>
  </w:style>
  <w:style w:type="paragraph" w:customStyle="1" w:styleId="is-layout-flow">
    <w:name w:val="is-layout-flow"/>
    <w:basedOn w:val="Normal"/>
    <w:rsid w:val="007B71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wp-block-paragraph">
    <w:name w:val="wp-block-paragraph"/>
    <w:basedOn w:val="Normal"/>
    <w:rsid w:val="007B71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7958F0"/>
    <w:rPr>
      <w:color w:val="605E5C"/>
      <w:shd w:val="clear" w:color="auto" w:fill="E1DFDD"/>
    </w:rPr>
  </w:style>
  <w:style w:type="paragraph" w:styleId="Header">
    <w:name w:val="header"/>
    <w:basedOn w:val="Normal"/>
    <w:link w:val="HeaderChar"/>
    <w:uiPriority w:val="99"/>
    <w:unhideWhenUsed/>
    <w:rsid w:val="00E34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27"/>
  </w:style>
  <w:style w:type="paragraph" w:styleId="Footer">
    <w:name w:val="footer"/>
    <w:basedOn w:val="Normal"/>
    <w:link w:val="FooterChar"/>
    <w:uiPriority w:val="99"/>
    <w:unhideWhenUsed/>
    <w:rsid w:val="00E34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27"/>
  </w:style>
  <w:style w:type="paragraph" w:styleId="Subtitle">
    <w:name w:val="Subtitle"/>
    <w:basedOn w:val="Normal"/>
    <w:next w:val="Normal"/>
    <w:link w:val="SubtitleChar"/>
    <w:uiPriority w:val="11"/>
    <w:qFormat/>
    <w:rsid w:val="002E5E6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E5E61"/>
    <w:rPr>
      <w:rFonts w:eastAsiaTheme="minorEastAsia"/>
      <w:color w:val="5A5A5A" w:themeColor="text1" w:themeTint="A5"/>
      <w:spacing w:val="15"/>
    </w:rPr>
  </w:style>
  <w:style w:type="paragraph" w:styleId="Title">
    <w:name w:val="Title"/>
    <w:basedOn w:val="Normal"/>
    <w:next w:val="Normal"/>
    <w:link w:val="TitleChar"/>
    <w:uiPriority w:val="10"/>
    <w:qFormat/>
    <w:rsid w:val="002E5E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5E6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C0C11"/>
    <w:pPr>
      <w:spacing w:before="240" w:after="0" w:line="259" w:lineRule="auto"/>
      <w:outlineLvl w:val="9"/>
    </w:pPr>
    <w:rPr>
      <w:sz w:val="32"/>
      <w:szCs w:val="32"/>
      <w:lang w:val="en-GB" w:eastAsia="en-GB"/>
    </w:rPr>
  </w:style>
  <w:style w:type="paragraph" w:styleId="TOC1">
    <w:name w:val="toc 1"/>
    <w:basedOn w:val="Normal"/>
    <w:next w:val="Normal"/>
    <w:autoRedefine/>
    <w:uiPriority w:val="39"/>
    <w:unhideWhenUsed/>
    <w:rsid w:val="00BC0C1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1855">
      <w:bodyDiv w:val="1"/>
      <w:marLeft w:val="0"/>
      <w:marRight w:val="0"/>
      <w:marTop w:val="0"/>
      <w:marBottom w:val="0"/>
      <w:divBdr>
        <w:top w:val="none" w:sz="0" w:space="0" w:color="auto"/>
        <w:left w:val="none" w:sz="0" w:space="0" w:color="auto"/>
        <w:bottom w:val="none" w:sz="0" w:space="0" w:color="auto"/>
        <w:right w:val="none" w:sz="0" w:space="0" w:color="auto"/>
      </w:divBdr>
      <w:divsChild>
        <w:div w:id="1918587529">
          <w:marLeft w:val="0"/>
          <w:marRight w:val="0"/>
          <w:marTop w:val="0"/>
          <w:marBottom w:val="0"/>
          <w:divBdr>
            <w:top w:val="none" w:sz="0" w:space="0" w:color="auto"/>
            <w:left w:val="none" w:sz="0" w:space="0" w:color="auto"/>
            <w:bottom w:val="none" w:sz="0" w:space="0" w:color="auto"/>
            <w:right w:val="none" w:sz="0" w:space="0" w:color="auto"/>
          </w:divBdr>
        </w:div>
      </w:divsChild>
    </w:div>
    <w:div w:id="119999452">
      <w:bodyDiv w:val="1"/>
      <w:marLeft w:val="0"/>
      <w:marRight w:val="0"/>
      <w:marTop w:val="0"/>
      <w:marBottom w:val="0"/>
      <w:divBdr>
        <w:top w:val="none" w:sz="0" w:space="0" w:color="auto"/>
        <w:left w:val="none" w:sz="0" w:space="0" w:color="auto"/>
        <w:bottom w:val="none" w:sz="0" w:space="0" w:color="auto"/>
        <w:right w:val="none" w:sz="0" w:space="0" w:color="auto"/>
      </w:divBdr>
      <w:divsChild>
        <w:div w:id="1281106660">
          <w:marLeft w:val="0"/>
          <w:marRight w:val="0"/>
          <w:marTop w:val="0"/>
          <w:marBottom w:val="0"/>
          <w:divBdr>
            <w:top w:val="none" w:sz="0" w:space="0" w:color="auto"/>
            <w:left w:val="none" w:sz="0" w:space="0" w:color="auto"/>
            <w:bottom w:val="none" w:sz="0" w:space="0" w:color="auto"/>
            <w:right w:val="none" w:sz="0" w:space="0" w:color="auto"/>
          </w:divBdr>
        </w:div>
      </w:divsChild>
    </w:div>
    <w:div w:id="127433784">
      <w:bodyDiv w:val="1"/>
      <w:marLeft w:val="0"/>
      <w:marRight w:val="0"/>
      <w:marTop w:val="0"/>
      <w:marBottom w:val="0"/>
      <w:divBdr>
        <w:top w:val="none" w:sz="0" w:space="0" w:color="auto"/>
        <w:left w:val="none" w:sz="0" w:space="0" w:color="auto"/>
        <w:bottom w:val="none" w:sz="0" w:space="0" w:color="auto"/>
        <w:right w:val="none" w:sz="0" w:space="0" w:color="auto"/>
      </w:divBdr>
    </w:div>
    <w:div w:id="221212014">
      <w:bodyDiv w:val="1"/>
      <w:marLeft w:val="0"/>
      <w:marRight w:val="0"/>
      <w:marTop w:val="0"/>
      <w:marBottom w:val="0"/>
      <w:divBdr>
        <w:top w:val="none" w:sz="0" w:space="0" w:color="auto"/>
        <w:left w:val="none" w:sz="0" w:space="0" w:color="auto"/>
        <w:bottom w:val="none" w:sz="0" w:space="0" w:color="auto"/>
        <w:right w:val="none" w:sz="0" w:space="0" w:color="auto"/>
      </w:divBdr>
      <w:divsChild>
        <w:div w:id="1668559956">
          <w:marLeft w:val="0"/>
          <w:marRight w:val="0"/>
          <w:marTop w:val="0"/>
          <w:marBottom w:val="0"/>
          <w:divBdr>
            <w:top w:val="none" w:sz="0" w:space="0" w:color="auto"/>
            <w:left w:val="none" w:sz="0" w:space="0" w:color="auto"/>
            <w:bottom w:val="none" w:sz="0" w:space="0" w:color="auto"/>
            <w:right w:val="none" w:sz="0" w:space="0" w:color="auto"/>
          </w:divBdr>
        </w:div>
      </w:divsChild>
    </w:div>
    <w:div w:id="237398230">
      <w:bodyDiv w:val="1"/>
      <w:marLeft w:val="0"/>
      <w:marRight w:val="0"/>
      <w:marTop w:val="0"/>
      <w:marBottom w:val="0"/>
      <w:divBdr>
        <w:top w:val="none" w:sz="0" w:space="0" w:color="auto"/>
        <w:left w:val="none" w:sz="0" w:space="0" w:color="auto"/>
        <w:bottom w:val="none" w:sz="0" w:space="0" w:color="auto"/>
        <w:right w:val="none" w:sz="0" w:space="0" w:color="auto"/>
      </w:divBdr>
      <w:divsChild>
        <w:div w:id="592664906">
          <w:marLeft w:val="0"/>
          <w:marRight w:val="0"/>
          <w:marTop w:val="0"/>
          <w:marBottom w:val="0"/>
          <w:divBdr>
            <w:top w:val="none" w:sz="0" w:space="0" w:color="auto"/>
            <w:left w:val="none" w:sz="0" w:space="0" w:color="auto"/>
            <w:bottom w:val="none" w:sz="0" w:space="0" w:color="auto"/>
            <w:right w:val="none" w:sz="0" w:space="0" w:color="auto"/>
          </w:divBdr>
        </w:div>
      </w:divsChild>
    </w:div>
    <w:div w:id="329449714">
      <w:bodyDiv w:val="1"/>
      <w:marLeft w:val="0"/>
      <w:marRight w:val="0"/>
      <w:marTop w:val="0"/>
      <w:marBottom w:val="0"/>
      <w:divBdr>
        <w:top w:val="none" w:sz="0" w:space="0" w:color="auto"/>
        <w:left w:val="none" w:sz="0" w:space="0" w:color="auto"/>
        <w:bottom w:val="none" w:sz="0" w:space="0" w:color="auto"/>
        <w:right w:val="none" w:sz="0" w:space="0" w:color="auto"/>
      </w:divBdr>
    </w:div>
    <w:div w:id="336810866">
      <w:bodyDiv w:val="1"/>
      <w:marLeft w:val="0"/>
      <w:marRight w:val="0"/>
      <w:marTop w:val="0"/>
      <w:marBottom w:val="0"/>
      <w:divBdr>
        <w:top w:val="none" w:sz="0" w:space="0" w:color="auto"/>
        <w:left w:val="none" w:sz="0" w:space="0" w:color="auto"/>
        <w:bottom w:val="none" w:sz="0" w:space="0" w:color="auto"/>
        <w:right w:val="none" w:sz="0" w:space="0" w:color="auto"/>
      </w:divBdr>
      <w:divsChild>
        <w:div w:id="1992757186">
          <w:marLeft w:val="0"/>
          <w:marRight w:val="0"/>
          <w:marTop w:val="0"/>
          <w:marBottom w:val="0"/>
          <w:divBdr>
            <w:top w:val="none" w:sz="0" w:space="0" w:color="auto"/>
            <w:left w:val="none" w:sz="0" w:space="0" w:color="auto"/>
            <w:bottom w:val="none" w:sz="0" w:space="0" w:color="auto"/>
            <w:right w:val="none" w:sz="0" w:space="0" w:color="auto"/>
          </w:divBdr>
          <w:divsChild>
            <w:div w:id="18902608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373316802">
      <w:bodyDiv w:val="1"/>
      <w:marLeft w:val="0"/>
      <w:marRight w:val="0"/>
      <w:marTop w:val="0"/>
      <w:marBottom w:val="0"/>
      <w:divBdr>
        <w:top w:val="none" w:sz="0" w:space="0" w:color="auto"/>
        <w:left w:val="none" w:sz="0" w:space="0" w:color="auto"/>
        <w:bottom w:val="none" w:sz="0" w:space="0" w:color="auto"/>
        <w:right w:val="none" w:sz="0" w:space="0" w:color="auto"/>
      </w:divBdr>
    </w:div>
    <w:div w:id="747312289">
      <w:bodyDiv w:val="1"/>
      <w:marLeft w:val="0"/>
      <w:marRight w:val="0"/>
      <w:marTop w:val="0"/>
      <w:marBottom w:val="0"/>
      <w:divBdr>
        <w:top w:val="none" w:sz="0" w:space="0" w:color="auto"/>
        <w:left w:val="none" w:sz="0" w:space="0" w:color="auto"/>
        <w:bottom w:val="none" w:sz="0" w:space="0" w:color="auto"/>
        <w:right w:val="none" w:sz="0" w:space="0" w:color="auto"/>
      </w:divBdr>
      <w:divsChild>
        <w:div w:id="558176305">
          <w:marLeft w:val="0"/>
          <w:marRight w:val="0"/>
          <w:marTop w:val="0"/>
          <w:marBottom w:val="0"/>
          <w:divBdr>
            <w:top w:val="none" w:sz="0" w:space="0" w:color="auto"/>
            <w:left w:val="none" w:sz="0" w:space="0" w:color="auto"/>
            <w:bottom w:val="none" w:sz="0" w:space="0" w:color="auto"/>
            <w:right w:val="none" w:sz="0" w:space="0" w:color="auto"/>
          </w:divBdr>
        </w:div>
      </w:divsChild>
    </w:div>
    <w:div w:id="779182840">
      <w:bodyDiv w:val="1"/>
      <w:marLeft w:val="0"/>
      <w:marRight w:val="0"/>
      <w:marTop w:val="0"/>
      <w:marBottom w:val="0"/>
      <w:divBdr>
        <w:top w:val="none" w:sz="0" w:space="0" w:color="auto"/>
        <w:left w:val="none" w:sz="0" w:space="0" w:color="auto"/>
        <w:bottom w:val="none" w:sz="0" w:space="0" w:color="auto"/>
        <w:right w:val="none" w:sz="0" w:space="0" w:color="auto"/>
      </w:divBdr>
      <w:divsChild>
        <w:div w:id="1615095823">
          <w:marLeft w:val="0"/>
          <w:marRight w:val="0"/>
          <w:marTop w:val="0"/>
          <w:marBottom w:val="0"/>
          <w:divBdr>
            <w:top w:val="none" w:sz="0" w:space="0" w:color="auto"/>
            <w:left w:val="none" w:sz="0" w:space="0" w:color="auto"/>
            <w:bottom w:val="none" w:sz="0" w:space="0" w:color="auto"/>
            <w:right w:val="none" w:sz="0" w:space="0" w:color="auto"/>
          </w:divBdr>
        </w:div>
        <w:div w:id="1595628188">
          <w:marLeft w:val="0"/>
          <w:marRight w:val="0"/>
          <w:marTop w:val="0"/>
          <w:marBottom w:val="0"/>
          <w:divBdr>
            <w:top w:val="none" w:sz="0" w:space="0" w:color="auto"/>
            <w:left w:val="none" w:sz="0" w:space="0" w:color="auto"/>
            <w:bottom w:val="none" w:sz="0" w:space="0" w:color="auto"/>
            <w:right w:val="none" w:sz="0" w:space="0" w:color="auto"/>
          </w:divBdr>
          <w:divsChild>
            <w:div w:id="104513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18783">
      <w:bodyDiv w:val="1"/>
      <w:marLeft w:val="0"/>
      <w:marRight w:val="0"/>
      <w:marTop w:val="0"/>
      <w:marBottom w:val="0"/>
      <w:divBdr>
        <w:top w:val="none" w:sz="0" w:space="0" w:color="auto"/>
        <w:left w:val="none" w:sz="0" w:space="0" w:color="auto"/>
        <w:bottom w:val="none" w:sz="0" w:space="0" w:color="auto"/>
        <w:right w:val="none" w:sz="0" w:space="0" w:color="auto"/>
      </w:divBdr>
      <w:divsChild>
        <w:div w:id="519055219">
          <w:marLeft w:val="0"/>
          <w:marRight w:val="0"/>
          <w:marTop w:val="0"/>
          <w:marBottom w:val="0"/>
          <w:divBdr>
            <w:top w:val="none" w:sz="0" w:space="0" w:color="auto"/>
            <w:left w:val="none" w:sz="0" w:space="0" w:color="auto"/>
            <w:bottom w:val="none" w:sz="0" w:space="0" w:color="auto"/>
            <w:right w:val="none" w:sz="0" w:space="0" w:color="auto"/>
          </w:divBdr>
        </w:div>
        <w:div w:id="1939559893">
          <w:marLeft w:val="0"/>
          <w:marRight w:val="0"/>
          <w:marTop w:val="0"/>
          <w:marBottom w:val="0"/>
          <w:divBdr>
            <w:top w:val="none" w:sz="0" w:space="0" w:color="auto"/>
            <w:left w:val="none" w:sz="0" w:space="0" w:color="auto"/>
            <w:bottom w:val="none" w:sz="0" w:space="0" w:color="auto"/>
            <w:right w:val="none" w:sz="0" w:space="0" w:color="auto"/>
          </w:divBdr>
        </w:div>
        <w:div w:id="1816334201">
          <w:marLeft w:val="0"/>
          <w:marRight w:val="0"/>
          <w:marTop w:val="0"/>
          <w:marBottom w:val="0"/>
          <w:divBdr>
            <w:top w:val="none" w:sz="0" w:space="0" w:color="auto"/>
            <w:left w:val="none" w:sz="0" w:space="0" w:color="auto"/>
            <w:bottom w:val="none" w:sz="0" w:space="0" w:color="auto"/>
            <w:right w:val="none" w:sz="0" w:space="0" w:color="auto"/>
          </w:divBdr>
        </w:div>
      </w:divsChild>
    </w:div>
    <w:div w:id="918518946">
      <w:bodyDiv w:val="1"/>
      <w:marLeft w:val="0"/>
      <w:marRight w:val="0"/>
      <w:marTop w:val="0"/>
      <w:marBottom w:val="0"/>
      <w:divBdr>
        <w:top w:val="none" w:sz="0" w:space="0" w:color="auto"/>
        <w:left w:val="none" w:sz="0" w:space="0" w:color="auto"/>
        <w:bottom w:val="none" w:sz="0" w:space="0" w:color="auto"/>
        <w:right w:val="none" w:sz="0" w:space="0" w:color="auto"/>
      </w:divBdr>
      <w:divsChild>
        <w:div w:id="1735740710">
          <w:marLeft w:val="0"/>
          <w:marRight w:val="0"/>
          <w:marTop w:val="0"/>
          <w:marBottom w:val="0"/>
          <w:divBdr>
            <w:top w:val="none" w:sz="0" w:space="0" w:color="auto"/>
            <w:left w:val="none" w:sz="0" w:space="0" w:color="auto"/>
            <w:bottom w:val="none" w:sz="0" w:space="0" w:color="auto"/>
            <w:right w:val="none" w:sz="0" w:space="0" w:color="auto"/>
          </w:divBdr>
          <w:divsChild>
            <w:div w:id="27941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70247">
      <w:bodyDiv w:val="1"/>
      <w:marLeft w:val="0"/>
      <w:marRight w:val="0"/>
      <w:marTop w:val="0"/>
      <w:marBottom w:val="0"/>
      <w:divBdr>
        <w:top w:val="none" w:sz="0" w:space="0" w:color="auto"/>
        <w:left w:val="none" w:sz="0" w:space="0" w:color="auto"/>
        <w:bottom w:val="none" w:sz="0" w:space="0" w:color="auto"/>
        <w:right w:val="none" w:sz="0" w:space="0" w:color="auto"/>
      </w:divBdr>
      <w:divsChild>
        <w:div w:id="1225146191">
          <w:marLeft w:val="0"/>
          <w:marRight w:val="0"/>
          <w:marTop w:val="0"/>
          <w:marBottom w:val="0"/>
          <w:divBdr>
            <w:top w:val="none" w:sz="0" w:space="0" w:color="auto"/>
            <w:left w:val="none" w:sz="0" w:space="0" w:color="auto"/>
            <w:bottom w:val="none" w:sz="0" w:space="0" w:color="auto"/>
            <w:right w:val="none" w:sz="0" w:space="0" w:color="auto"/>
          </w:divBdr>
        </w:div>
      </w:divsChild>
    </w:div>
    <w:div w:id="1354108740">
      <w:bodyDiv w:val="1"/>
      <w:marLeft w:val="0"/>
      <w:marRight w:val="0"/>
      <w:marTop w:val="0"/>
      <w:marBottom w:val="0"/>
      <w:divBdr>
        <w:top w:val="none" w:sz="0" w:space="0" w:color="auto"/>
        <w:left w:val="none" w:sz="0" w:space="0" w:color="auto"/>
        <w:bottom w:val="none" w:sz="0" w:space="0" w:color="auto"/>
        <w:right w:val="none" w:sz="0" w:space="0" w:color="auto"/>
      </w:divBdr>
      <w:divsChild>
        <w:div w:id="937255641">
          <w:marLeft w:val="0"/>
          <w:marRight w:val="0"/>
          <w:marTop w:val="0"/>
          <w:marBottom w:val="0"/>
          <w:divBdr>
            <w:top w:val="none" w:sz="0" w:space="0" w:color="auto"/>
            <w:left w:val="none" w:sz="0" w:space="0" w:color="auto"/>
            <w:bottom w:val="none" w:sz="0" w:space="0" w:color="auto"/>
            <w:right w:val="none" w:sz="0" w:space="0" w:color="auto"/>
          </w:divBdr>
        </w:div>
      </w:divsChild>
    </w:div>
    <w:div w:id="1361315627">
      <w:bodyDiv w:val="1"/>
      <w:marLeft w:val="0"/>
      <w:marRight w:val="0"/>
      <w:marTop w:val="0"/>
      <w:marBottom w:val="0"/>
      <w:divBdr>
        <w:top w:val="none" w:sz="0" w:space="0" w:color="auto"/>
        <w:left w:val="none" w:sz="0" w:space="0" w:color="auto"/>
        <w:bottom w:val="none" w:sz="0" w:space="0" w:color="auto"/>
        <w:right w:val="none" w:sz="0" w:space="0" w:color="auto"/>
      </w:divBdr>
      <w:divsChild>
        <w:div w:id="1694380564">
          <w:marLeft w:val="0"/>
          <w:marRight w:val="0"/>
          <w:marTop w:val="0"/>
          <w:marBottom w:val="0"/>
          <w:divBdr>
            <w:top w:val="none" w:sz="0" w:space="0" w:color="auto"/>
            <w:left w:val="none" w:sz="0" w:space="0" w:color="auto"/>
            <w:bottom w:val="none" w:sz="0" w:space="0" w:color="auto"/>
            <w:right w:val="none" w:sz="0" w:space="0" w:color="auto"/>
          </w:divBdr>
        </w:div>
      </w:divsChild>
    </w:div>
    <w:div w:id="1478495235">
      <w:bodyDiv w:val="1"/>
      <w:marLeft w:val="0"/>
      <w:marRight w:val="0"/>
      <w:marTop w:val="0"/>
      <w:marBottom w:val="0"/>
      <w:divBdr>
        <w:top w:val="none" w:sz="0" w:space="0" w:color="auto"/>
        <w:left w:val="none" w:sz="0" w:space="0" w:color="auto"/>
        <w:bottom w:val="none" w:sz="0" w:space="0" w:color="auto"/>
        <w:right w:val="none" w:sz="0" w:space="0" w:color="auto"/>
      </w:divBdr>
    </w:div>
    <w:div w:id="1559439652">
      <w:bodyDiv w:val="1"/>
      <w:marLeft w:val="0"/>
      <w:marRight w:val="0"/>
      <w:marTop w:val="0"/>
      <w:marBottom w:val="0"/>
      <w:divBdr>
        <w:top w:val="none" w:sz="0" w:space="0" w:color="auto"/>
        <w:left w:val="none" w:sz="0" w:space="0" w:color="auto"/>
        <w:bottom w:val="none" w:sz="0" w:space="0" w:color="auto"/>
        <w:right w:val="none" w:sz="0" w:space="0" w:color="auto"/>
      </w:divBdr>
      <w:divsChild>
        <w:div w:id="1787697379">
          <w:marLeft w:val="0"/>
          <w:marRight w:val="0"/>
          <w:marTop w:val="0"/>
          <w:marBottom w:val="0"/>
          <w:divBdr>
            <w:top w:val="none" w:sz="0" w:space="0" w:color="auto"/>
            <w:left w:val="none" w:sz="0" w:space="0" w:color="auto"/>
            <w:bottom w:val="none" w:sz="0" w:space="0" w:color="auto"/>
            <w:right w:val="none" w:sz="0" w:space="0" w:color="auto"/>
          </w:divBdr>
        </w:div>
      </w:divsChild>
    </w:div>
    <w:div w:id="1759985331">
      <w:bodyDiv w:val="1"/>
      <w:marLeft w:val="0"/>
      <w:marRight w:val="0"/>
      <w:marTop w:val="0"/>
      <w:marBottom w:val="0"/>
      <w:divBdr>
        <w:top w:val="none" w:sz="0" w:space="0" w:color="auto"/>
        <w:left w:val="none" w:sz="0" w:space="0" w:color="auto"/>
        <w:bottom w:val="none" w:sz="0" w:space="0" w:color="auto"/>
        <w:right w:val="none" w:sz="0" w:space="0" w:color="auto"/>
      </w:divBdr>
      <w:divsChild>
        <w:div w:id="289439535">
          <w:marLeft w:val="0"/>
          <w:marRight w:val="0"/>
          <w:marTop w:val="0"/>
          <w:marBottom w:val="0"/>
          <w:divBdr>
            <w:top w:val="none" w:sz="0" w:space="0" w:color="auto"/>
            <w:left w:val="none" w:sz="0" w:space="0" w:color="auto"/>
            <w:bottom w:val="none" w:sz="0" w:space="0" w:color="auto"/>
            <w:right w:val="none" w:sz="0" w:space="0" w:color="auto"/>
          </w:divBdr>
          <w:divsChild>
            <w:div w:id="2078362554">
              <w:marLeft w:val="0"/>
              <w:marRight w:val="0"/>
              <w:marTop w:val="0"/>
              <w:marBottom w:val="0"/>
              <w:divBdr>
                <w:top w:val="none" w:sz="0" w:space="0" w:color="auto"/>
                <w:left w:val="none" w:sz="0" w:space="0" w:color="auto"/>
                <w:bottom w:val="none" w:sz="0" w:space="0" w:color="auto"/>
                <w:right w:val="none" w:sz="0" w:space="0" w:color="auto"/>
              </w:divBdr>
              <w:divsChild>
                <w:div w:id="1045174300">
                  <w:marLeft w:val="0"/>
                  <w:marRight w:val="0"/>
                  <w:marTop w:val="0"/>
                  <w:marBottom w:val="0"/>
                  <w:divBdr>
                    <w:top w:val="none" w:sz="0" w:space="0" w:color="auto"/>
                    <w:left w:val="none" w:sz="0" w:space="0" w:color="auto"/>
                    <w:bottom w:val="none" w:sz="0" w:space="0" w:color="auto"/>
                    <w:right w:val="none" w:sz="0" w:space="0" w:color="auto"/>
                  </w:divBdr>
                  <w:divsChild>
                    <w:div w:id="1973634915">
                      <w:marLeft w:val="0"/>
                      <w:marRight w:val="0"/>
                      <w:marTop w:val="0"/>
                      <w:marBottom w:val="0"/>
                      <w:divBdr>
                        <w:top w:val="none" w:sz="0" w:space="0" w:color="auto"/>
                        <w:left w:val="none" w:sz="0" w:space="0" w:color="auto"/>
                        <w:bottom w:val="none" w:sz="0" w:space="0" w:color="auto"/>
                        <w:right w:val="none" w:sz="0" w:space="0" w:color="auto"/>
                      </w:divBdr>
                      <w:divsChild>
                        <w:div w:id="2099016912">
                          <w:marLeft w:val="0"/>
                          <w:marRight w:val="0"/>
                          <w:marTop w:val="0"/>
                          <w:marBottom w:val="0"/>
                          <w:divBdr>
                            <w:top w:val="none" w:sz="0" w:space="0" w:color="auto"/>
                            <w:left w:val="none" w:sz="0" w:space="0" w:color="auto"/>
                            <w:bottom w:val="none" w:sz="0" w:space="0" w:color="auto"/>
                            <w:right w:val="none" w:sz="0" w:space="0" w:color="auto"/>
                          </w:divBdr>
                          <w:divsChild>
                            <w:div w:id="864562806">
                              <w:marLeft w:val="0"/>
                              <w:marRight w:val="0"/>
                              <w:marTop w:val="0"/>
                              <w:marBottom w:val="0"/>
                              <w:divBdr>
                                <w:top w:val="none" w:sz="0" w:space="0" w:color="auto"/>
                                <w:left w:val="none" w:sz="0" w:space="0" w:color="auto"/>
                                <w:bottom w:val="none" w:sz="0" w:space="0" w:color="auto"/>
                                <w:right w:val="none" w:sz="0" w:space="0" w:color="auto"/>
                              </w:divBdr>
                              <w:divsChild>
                                <w:div w:id="1295864535">
                                  <w:marLeft w:val="0"/>
                                  <w:marRight w:val="0"/>
                                  <w:marTop w:val="0"/>
                                  <w:marBottom w:val="0"/>
                                  <w:divBdr>
                                    <w:top w:val="none" w:sz="0" w:space="0" w:color="auto"/>
                                    <w:left w:val="none" w:sz="0" w:space="0" w:color="auto"/>
                                    <w:bottom w:val="none" w:sz="0" w:space="0" w:color="auto"/>
                                    <w:right w:val="none" w:sz="0" w:space="0" w:color="auto"/>
                                  </w:divBdr>
                                  <w:divsChild>
                                    <w:div w:id="12925234">
                                      <w:marLeft w:val="0"/>
                                      <w:marRight w:val="0"/>
                                      <w:marTop w:val="0"/>
                                      <w:marBottom w:val="0"/>
                                      <w:divBdr>
                                        <w:top w:val="none" w:sz="0" w:space="0" w:color="auto"/>
                                        <w:left w:val="none" w:sz="0" w:space="0" w:color="auto"/>
                                        <w:bottom w:val="none" w:sz="0" w:space="0" w:color="auto"/>
                                        <w:right w:val="none" w:sz="0" w:space="0" w:color="auto"/>
                                      </w:divBdr>
                                      <w:divsChild>
                                        <w:div w:id="531192742">
                                          <w:marLeft w:val="0"/>
                                          <w:marRight w:val="0"/>
                                          <w:marTop w:val="0"/>
                                          <w:marBottom w:val="0"/>
                                          <w:divBdr>
                                            <w:top w:val="none" w:sz="0" w:space="0" w:color="auto"/>
                                            <w:left w:val="none" w:sz="0" w:space="0" w:color="auto"/>
                                            <w:bottom w:val="none" w:sz="0" w:space="0" w:color="auto"/>
                                            <w:right w:val="none" w:sz="0" w:space="0" w:color="auto"/>
                                          </w:divBdr>
                                          <w:divsChild>
                                            <w:div w:id="253976223">
                                              <w:marLeft w:val="0"/>
                                              <w:marRight w:val="0"/>
                                              <w:marTop w:val="0"/>
                                              <w:marBottom w:val="0"/>
                                              <w:divBdr>
                                                <w:top w:val="none" w:sz="0" w:space="0" w:color="auto"/>
                                                <w:left w:val="none" w:sz="0" w:space="0" w:color="auto"/>
                                                <w:bottom w:val="none" w:sz="0" w:space="0" w:color="auto"/>
                                                <w:right w:val="none" w:sz="0" w:space="0" w:color="auto"/>
                                              </w:divBdr>
                                              <w:divsChild>
                                                <w:div w:id="1362124670">
                                                  <w:marLeft w:val="0"/>
                                                  <w:marRight w:val="0"/>
                                                  <w:marTop w:val="0"/>
                                                  <w:marBottom w:val="0"/>
                                                  <w:divBdr>
                                                    <w:top w:val="none" w:sz="0" w:space="0" w:color="auto"/>
                                                    <w:left w:val="none" w:sz="0" w:space="0" w:color="auto"/>
                                                    <w:bottom w:val="none" w:sz="0" w:space="0" w:color="auto"/>
                                                    <w:right w:val="none" w:sz="0" w:space="0" w:color="auto"/>
                                                  </w:divBdr>
                                                  <w:divsChild>
                                                    <w:div w:id="73964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638698">
              <w:marLeft w:val="0"/>
              <w:marRight w:val="0"/>
              <w:marTop w:val="0"/>
              <w:marBottom w:val="0"/>
              <w:divBdr>
                <w:top w:val="none" w:sz="0" w:space="0" w:color="auto"/>
                <w:left w:val="none" w:sz="0" w:space="0" w:color="auto"/>
                <w:bottom w:val="none" w:sz="0" w:space="0" w:color="auto"/>
                <w:right w:val="none" w:sz="0" w:space="0" w:color="auto"/>
              </w:divBdr>
              <w:divsChild>
                <w:div w:id="2073770645">
                  <w:marLeft w:val="0"/>
                  <w:marRight w:val="0"/>
                  <w:marTop w:val="0"/>
                  <w:marBottom w:val="0"/>
                  <w:divBdr>
                    <w:top w:val="none" w:sz="0" w:space="0" w:color="auto"/>
                    <w:left w:val="none" w:sz="0" w:space="0" w:color="auto"/>
                    <w:bottom w:val="none" w:sz="0" w:space="0" w:color="auto"/>
                    <w:right w:val="none" w:sz="0" w:space="0" w:color="auto"/>
                  </w:divBdr>
                  <w:divsChild>
                    <w:div w:id="1786389600">
                      <w:marLeft w:val="0"/>
                      <w:marRight w:val="0"/>
                      <w:marTop w:val="0"/>
                      <w:marBottom w:val="0"/>
                      <w:divBdr>
                        <w:top w:val="none" w:sz="0" w:space="0" w:color="auto"/>
                        <w:left w:val="none" w:sz="0" w:space="0" w:color="auto"/>
                        <w:bottom w:val="none" w:sz="0" w:space="0" w:color="auto"/>
                        <w:right w:val="none" w:sz="0" w:space="0" w:color="auto"/>
                      </w:divBdr>
                      <w:divsChild>
                        <w:div w:id="901674972">
                          <w:marLeft w:val="0"/>
                          <w:marRight w:val="0"/>
                          <w:marTop w:val="0"/>
                          <w:marBottom w:val="0"/>
                          <w:divBdr>
                            <w:top w:val="none" w:sz="0" w:space="0" w:color="auto"/>
                            <w:left w:val="none" w:sz="0" w:space="0" w:color="auto"/>
                            <w:bottom w:val="none" w:sz="0" w:space="0" w:color="auto"/>
                            <w:right w:val="none" w:sz="0" w:space="0" w:color="auto"/>
                          </w:divBdr>
                          <w:divsChild>
                            <w:div w:id="1145125580">
                              <w:marLeft w:val="0"/>
                              <w:marRight w:val="0"/>
                              <w:marTop w:val="0"/>
                              <w:marBottom w:val="0"/>
                              <w:divBdr>
                                <w:top w:val="none" w:sz="0" w:space="0" w:color="auto"/>
                                <w:left w:val="none" w:sz="0" w:space="0" w:color="auto"/>
                                <w:bottom w:val="none" w:sz="0" w:space="0" w:color="auto"/>
                                <w:right w:val="none" w:sz="0" w:space="0" w:color="auto"/>
                              </w:divBdr>
                              <w:divsChild>
                                <w:div w:id="72032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738676">
                          <w:marLeft w:val="0"/>
                          <w:marRight w:val="0"/>
                          <w:marTop w:val="0"/>
                          <w:marBottom w:val="0"/>
                          <w:divBdr>
                            <w:top w:val="none" w:sz="0" w:space="0" w:color="auto"/>
                            <w:left w:val="none" w:sz="0" w:space="0" w:color="auto"/>
                            <w:bottom w:val="none" w:sz="0" w:space="0" w:color="auto"/>
                            <w:right w:val="none" w:sz="0" w:space="0" w:color="auto"/>
                          </w:divBdr>
                          <w:divsChild>
                            <w:div w:id="1890729933">
                              <w:marLeft w:val="0"/>
                              <w:marRight w:val="0"/>
                              <w:marTop w:val="0"/>
                              <w:marBottom w:val="0"/>
                              <w:divBdr>
                                <w:top w:val="none" w:sz="0" w:space="0" w:color="auto"/>
                                <w:left w:val="none" w:sz="0" w:space="0" w:color="auto"/>
                                <w:bottom w:val="none" w:sz="0" w:space="0" w:color="auto"/>
                                <w:right w:val="none" w:sz="0" w:space="0" w:color="auto"/>
                              </w:divBdr>
                              <w:divsChild>
                                <w:div w:id="855919811">
                                  <w:marLeft w:val="0"/>
                                  <w:marRight w:val="0"/>
                                  <w:marTop w:val="0"/>
                                  <w:marBottom w:val="0"/>
                                  <w:divBdr>
                                    <w:top w:val="none" w:sz="0" w:space="0" w:color="auto"/>
                                    <w:left w:val="none" w:sz="0" w:space="0" w:color="auto"/>
                                    <w:bottom w:val="none" w:sz="0" w:space="0" w:color="auto"/>
                                    <w:right w:val="none" w:sz="0" w:space="0" w:color="auto"/>
                                  </w:divBdr>
                                  <w:divsChild>
                                    <w:div w:id="355156097">
                                      <w:marLeft w:val="0"/>
                                      <w:marRight w:val="0"/>
                                      <w:marTop w:val="0"/>
                                      <w:marBottom w:val="0"/>
                                      <w:divBdr>
                                        <w:top w:val="none" w:sz="0" w:space="0" w:color="auto"/>
                                        <w:left w:val="none" w:sz="0" w:space="0" w:color="auto"/>
                                        <w:bottom w:val="none" w:sz="0" w:space="0" w:color="auto"/>
                                        <w:right w:val="none" w:sz="0" w:space="0" w:color="auto"/>
                                      </w:divBdr>
                                      <w:divsChild>
                                        <w:div w:id="158002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3340776">
      <w:bodyDiv w:val="1"/>
      <w:marLeft w:val="0"/>
      <w:marRight w:val="0"/>
      <w:marTop w:val="0"/>
      <w:marBottom w:val="0"/>
      <w:divBdr>
        <w:top w:val="none" w:sz="0" w:space="0" w:color="auto"/>
        <w:left w:val="none" w:sz="0" w:space="0" w:color="auto"/>
        <w:bottom w:val="none" w:sz="0" w:space="0" w:color="auto"/>
        <w:right w:val="none" w:sz="0" w:space="0" w:color="auto"/>
      </w:divBdr>
    </w:div>
    <w:div w:id="1984507802">
      <w:bodyDiv w:val="1"/>
      <w:marLeft w:val="0"/>
      <w:marRight w:val="0"/>
      <w:marTop w:val="0"/>
      <w:marBottom w:val="0"/>
      <w:divBdr>
        <w:top w:val="none" w:sz="0" w:space="0" w:color="auto"/>
        <w:left w:val="none" w:sz="0" w:space="0" w:color="auto"/>
        <w:bottom w:val="none" w:sz="0" w:space="0" w:color="auto"/>
        <w:right w:val="none" w:sz="0" w:space="0" w:color="auto"/>
      </w:divBdr>
      <w:divsChild>
        <w:div w:id="1576352081">
          <w:marLeft w:val="0"/>
          <w:marRight w:val="0"/>
          <w:marTop w:val="0"/>
          <w:marBottom w:val="0"/>
          <w:divBdr>
            <w:top w:val="none" w:sz="0" w:space="0" w:color="auto"/>
            <w:left w:val="none" w:sz="0" w:space="0" w:color="auto"/>
            <w:bottom w:val="none" w:sz="0" w:space="0" w:color="auto"/>
            <w:right w:val="none" w:sz="0" w:space="0" w:color="auto"/>
          </w:divBdr>
        </w:div>
      </w:divsChild>
    </w:div>
    <w:div w:id="2044280739">
      <w:bodyDiv w:val="1"/>
      <w:marLeft w:val="0"/>
      <w:marRight w:val="0"/>
      <w:marTop w:val="0"/>
      <w:marBottom w:val="0"/>
      <w:divBdr>
        <w:top w:val="none" w:sz="0" w:space="0" w:color="auto"/>
        <w:left w:val="none" w:sz="0" w:space="0" w:color="auto"/>
        <w:bottom w:val="none" w:sz="0" w:space="0" w:color="auto"/>
        <w:right w:val="none" w:sz="0" w:space="0" w:color="auto"/>
      </w:divBdr>
      <w:divsChild>
        <w:div w:id="2019112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utm_source=copilot.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EAB9E0-2A63-45E2-8B82-280B1C726A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3132</Words>
  <Characters>17859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Mercy</dc:creator>
  <cp:keywords/>
  <dc:description/>
  <cp:lastModifiedBy>Mercy Tshikombwe (2424792)</cp:lastModifiedBy>
  <cp:revision>2</cp:revision>
  <dcterms:created xsi:type="dcterms:W3CDTF">2026-07-26T09:55:00Z</dcterms:created>
  <dcterms:modified xsi:type="dcterms:W3CDTF">2026-07-26T09:55:00Z</dcterms:modified>
</cp:coreProperties>
</file>