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38B" w:rsidRDefault="00EA538B" w:rsidP="00EA538B">
      <w:r>
        <w:t>In these times of rapidly changing demographics, shifting values, growing political uncertainty and exponential technological advancement, what can organisations do to make sense of</w:t>
      </w:r>
      <w:r w:rsidR="001E3897">
        <w:t xml:space="preserve"> growing complexity?</w:t>
      </w:r>
    </w:p>
    <w:p w:rsidR="00EA538B" w:rsidRDefault="00EA538B" w:rsidP="00EA538B">
      <w:r>
        <w:t>According to Kerr</w:t>
      </w:r>
      <w:sdt>
        <w:sdtPr>
          <w:id w:val="-348714464"/>
          <w:citation/>
        </w:sdtPr>
        <w:sdtEndPr/>
        <w:sdtContent>
          <w:r>
            <w:fldChar w:fldCharType="begin"/>
          </w:r>
          <w:r>
            <w:instrText xml:space="preserve">CITATION Ker14 \p 2 \n  \l 2057 </w:instrText>
          </w:r>
          <w:r>
            <w:fldChar w:fldCharType="separate"/>
          </w:r>
          <w:r w:rsidR="00F43CE4">
            <w:rPr>
              <w:noProof/>
            </w:rPr>
            <w:t xml:space="preserve"> </w:t>
          </w:r>
          <w:r w:rsidR="00F43CE4" w:rsidRPr="00F43CE4">
            <w:rPr>
              <w:noProof/>
            </w:rPr>
            <w:t>(2014, p. 2)</w:t>
          </w:r>
          <w:r>
            <w:fldChar w:fldCharType="end"/>
          </w:r>
        </w:sdtContent>
      </w:sdt>
      <w:r>
        <w:t>, “</w:t>
      </w:r>
      <w:r w:rsidRPr="006F4212">
        <w:rPr>
          <w:i/>
        </w:rPr>
        <w:t>To be successful in this extremely complex and unstable business environment, executive leaders must do all that they can to simplify.</w:t>
      </w:r>
      <w:r>
        <w:t xml:space="preserve">”  However, in their attempts to simplify the complexity of the external environment, organisations are prone to introducing internal complicatedness within their systems and processes (Backx, et al., 2017), making organisations themselves unintentionally complex (e Cunha &amp; Rego, 2010).  Ashkenas (2007, p. 102), noted that large organizations are by their very nature complex and this </w:t>
      </w:r>
      <w:r w:rsidRPr="00D544CB">
        <w:rPr>
          <w:i/>
        </w:rPr>
        <w:t>‘‘complexity is the cumulative by-product of organizational changes, big and small, that over the years weave complications (often invisibly) into the way work is done’’</w:t>
      </w:r>
      <w:r>
        <w:t xml:space="preserve">. It is this type of unintended complexity that creates inefficiencies and apathy within organisations (e Cunha &amp; Rego, 2010). To tackle these issues, organisations must take steps toward simplicity without introducing complicatedness (Backx, et al., 2017; </w:t>
      </w:r>
      <w:r>
        <w:rPr>
          <w:noProof/>
        </w:rPr>
        <w:t xml:space="preserve">Bersin, 2017; </w:t>
      </w:r>
      <w:r>
        <w:t xml:space="preserve">Kerr, 2014; e Cunha &amp; Rego, 2010).  Complicatedness hinders agility (Backx, et al., 2017) therefore, </w:t>
      </w:r>
      <w:r w:rsidRPr="00E45C91">
        <w:rPr>
          <w:i/>
        </w:rPr>
        <w:t>“If you want to be fast and agile, keep things simple”</w:t>
      </w:r>
      <w:r>
        <w:t xml:space="preserve"> (Highsmith, 2009, p. 72). </w:t>
      </w:r>
    </w:p>
    <w:p w:rsidR="00EA538B" w:rsidRDefault="001E3897" w:rsidP="00EA538B">
      <w:r>
        <w:t>M</w:t>
      </w:r>
      <w:r w:rsidR="00EA538B">
        <w:t xml:space="preserve">anagement guru and analyst Josh Bersin </w:t>
      </w:r>
      <w:r>
        <w:t xml:space="preserve">(2017) has recently described </w:t>
      </w:r>
      <w:r w:rsidRPr="001E3897">
        <w:rPr>
          <w:i/>
        </w:rPr>
        <w:t>‘simplification’</w:t>
      </w:r>
      <w:r w:rsidR="00EA538B">
        <w:t xml:space="preserve"> as the next big thing in HR and leadership.   </w:t>
      </w:r>
    </w:p>
    <w:p w:rsidR="00CA3D07" w:rsidRDefault="00CA3D07" w:rsidP="00CA3D07">
      <w:r>
        <w:t>The characteristics commonly thought to foster simplicity in a complex environment are:</w:t>
      </w:r>
    </w:p>
    <w:p w:rsidR="00CA3D07" w:rsidRDefault="00CA3D07" w:rsidP="00CA3D07">
      <w:pPr>
        <w:pStyle w:val="ListParagraph"/>
        <w:numPr>
          <w:ilvl w:val="0"/>
          <w:numId w:val="1"/>
        </w:numPr>
      </w:pPr>
      <w:r>
        <w:t>Leadership behaviours – Away from command and control towards sensemaking, learning and improvisation (Ashkenas, 2007; Backx, et al., 2017; Chakhoyan, 2017; McDaniel, 2007; Uhl-Bien, et al., 2007).</w:t>
      </w:r>
    </w:p>
    <w:p w:rsidR="00CA3D07" w:rsidRDefault="00CA3D07" w:rsidP="00CA3D07">
      <w:pPr>
        <w:pStyle w:val="ListParagraph"/>
        <w:numPr>
          <w:ilvl w:val="0"/>
          <w:numId w:val="1"/>
        </w:numPr>
      </w:pPr>
      <w:r>
        <w:lastRenderedPageBreak/>
        <w:t xml:space="preserve">Structure – Delayered, a network structure which breaks down silos and facilitates collaboration and innovation (Ashkenas, 2007; Backx, et al., 2017; Highsmith, 2009; Jacobson, 2014; </w:t>
      </w:r>
      <w:r>
        <w:rPr>
          <w:noProof/>
        </w:rPr>
        <w:t xml:space="preserve">Peters &amp; Waterman, 1982; </w:t>
      </w:r>
      <w:r>
        <w:t>e Cunha &amp; Rego, 2010).</w:t>
      </w:r>
    </w:p>
    <w:p w:rsidR="00CA3D07" w:rsidRDefault="00CA3D07" w:rsidP="00CA3D07">
      <w:pPr>
        <w:pStyle w:val="ListParagraph"/>
        <w:numPr>
          <w:ilvl w:val="0"/>
          <w:numId w:val="1"/>
        </w:numPr>
      </w:pPr>
      <w:r>
        <w:t xml:space="preserve">Processes and systems - A simple set of organisation-wide processes and employees empowered to use their judgement (Ashkenas, 2007; Backx, et al., 2017; </w:t>
      </w:r>
      <w:r>
        <w:rPr>
          <w:noProof/>
        </w:rPr>
        <w:t xml:space="preserve">Bekker, 2018; </w:t>
      </w:r>
      <w:r>
        <w:t>e Cunha &amp; Rego, 2010).</w:t>
      </w:r>
    </w:p>
    <w:p w:rsidR="00CA3D07" w:rsidRDefault="00CA3D07" w:rsidP="00CA3D07">
      <w:pPr>
        <w:pStyle w:val="Heading3"/>
      </w:pPr>
      <w:bookmarkStart w:id="0" w:name="_Toc522541712"/>
      <w:r>
        <w:t>Leadership Behaviours</w:t>
      </w:r>
      <w:bookmarkEnd w:id="0"/>
    </w:p>
    <w:p w:rsidR="00CA3D07" w:rsidRDefault="00CA3D07" w:rsidP="00CA3D07">
      <w:r>
        <w:t>Performance is driven by behaviour, including the behaviour of leaders. How they lead, whom they promote, what measures they value, how key decisions are made and how they communicate, are just some of the things that determine a leader’s impact on their operating environment (Backx, et al., 2017). Therefore, if leaders are committed to reducing complexity, they must identify how their own patterns of behaviour foster complicatedness and make a personal commitment to simplification (Ashkenas, 2007</w:t>
      </w:r>
      <w:r w:rsidR="001E3897">
        <w:t>). Effective leadership in a complex adaptive system</w:t>
      </w:r>
      <w:r>
        <w:t xml:space="preserve"> makes sensemaking, learning and improvisation central to managerial tasks rather than command, control and planning (McDaniel, 2007; Uhl-Bien, et al., 2007). </w:t>
      </w:r>
    </w:p>
    <w:p w:rsidR="00CA3D07" w:rsidRDefault="00CA3D07" w:rsidP="00CA3D07">
      <w:r>
        <w:t>If organisations want to simplify in the face of complexity then leaders must learn to deal with ambiguity and tolerate conditions of uncertainty (Jacobson, 2014). This is where sensemaking comes in. According to Weick</w:t>
      </w:r>
      <w:sdt>
        <w:sdtPr>
          <w:id w:val="-1397665059"/>
          <w:citation/>
        </w:sdtPr>
        <w:sdtEndPr/>
        <w:sdtContent>
          <w:r>
            <w:fldChar w:fldCharType="begin"/>
          </w:r>
          <w:r>
            <w:instrText xml:space="preserve">CITATION Wei95 \p 57 \n  \l 2057 </w:instrText>
          </w:r>
          <w:r>
            <w:fldChar w:fldCharType="separate"/>
          </w:r>
          <w:r w:rsidR="00F43CE4">
            <w:rPr>
              <w:noProof/>
            </w:rPr>
            <w:t xml:space="preserve"> </w:t>
          </w:r>
          <w:r w:rsidR="00F43CE4" w:rsidRPr="00F43CE4">
            <w:rPr>
              <w:noProof/>
            </w:rPr>
            <w:t>(1995, p. 57)</w:t>
          </w:r>
          <w:r>
            <w:fldChar w:fldCharType="end"/>
          </w:r>
        </w:sdtContent>
      </w:sdt>
      <w:r>
        <w:t>, “</w:t>
      </w:r>
      <w:r w:rsidRPr="006F4212">
        <w:rPr>
          <w:i/>
        </w:rPr>
        <w:t>Sensemaking is a diagnostic process directed at constructing plausible interpretations of ambiguous cues that are sufficient to sustain action.</w:t>
      </w:r>
      <w:r>
        <w:t xml:space="preserve">” </w:t>
      </w:r>
    </w:p>
    <w:p w:rsidR="00CA3D07" w:rsidRDefault="00CA3D07" w:rsidP="00CA3D07">
      <w:r>
        <w:t xml:space="preserve">Leaders must behave in a way that is consistent with the nature of complex adaptive systems, rather than adopt the command and control behaviours that assume organisations are predictable and machine-like (McDaniel, 2007). It is these behaviours, which will in turn </w:t>
      </w:r>
      <w:r>
        <w:lastRenderedPageBreak/>
        <w:t>influence the organisational environment, including the structures, processes and systems in place (Backx, et al., 2017).</w:t>
      </w:r>
    </w:p>
    <w:p w:rsidR="00CA3D07" w:rsidRDefault="00CA3D07" w:rsidP="00CA3D07">
      <w:pPr>
        <w:pStyle w:val="Heading3"/>
      </w:pPr>
      <w:bookmarkStart w:id="1" w:name="_Toc522541713"/>
      <w:r>
        <w:t>Structure</w:t>
      </w:r>
      <w:bookmarkEnd w:id="1"/>
    </w:p>
    <w:p w:rsidR="00CA3D07" w:rsidRDefault="00CA3D07" w:rsidP="00CA3D07">
      <w:r>
        <w:t>The overabundance of structure in many organisations gives people an excuse not to think, their contributions are devalued and they lose any sense of accountability and responsibility for results (Ashkenas, 2007; Backx, et al., 2017). To simplify Ashkenas (2007, p105) recommends:</w:t>
      </w:r>
    </w:p>
    <w:p w:rsidR="00CA3D07" w:rsidRPr="00611DCC" w:rsidRDefault="00CA3D07" w:rsidP="00CA3D07">
      <w:pPr>
        <w:rPr>
          <w:i/>
        </w:rPr>
      </w:pPr>
      <w:r>
        <w:t>•</w:t>
      </w:r>
      <w:r>
        <w:tab/>
      </w:r>
      <w:r w:rsidRPr="00611DCC">
        <w:rPr>
          <w:i/>
        </w:rPr>
        <w:t>Reduce levels and layers</w:t>
      </w:r>
    </w:p>
    <w:p w:rsidR="00CA3D07" w:rsidRPr="00611DCC" w:rsidRDefault="00CA3D07" w:rsidP="00CA3D07">
      <w:pPr>
        <w:rPr>
          <w:i/>
        </w:rPr>
      </w:pPr>
      <w:r w:rsidRPr="00611DCC">
        <w:rPr>
          <w:i/>
        </w:rPr>
        <w:t>•</w:t>
      </w:r>
      <w:r w:rsidRPr="00611DCC">
        <w:rPr>
          <w:i/>
        </w:rPr>
        <w:tab/>
        <w:t>Increase spans of control</w:t>
      </w:r>
    </w:p>
    <w:p w:rsidR="00CA3D07" w:rsidRPr="00611DCC" w:rsidRDefault="00CA3D07" w:rsidP="00CA3D07">
      <w:pPr>
        <w:rPr>
          <w:i/>
        </w:rPr>
      </w:pPr>
      <w:r w:rsidRPr="00611DCC">
        <w:rPr>
          <w:i/>
        </w:rPr>
        <w:t>•</w:t>
      </w:r>
      <w:r w:rsidRPr="00611DCC">
        <w:rPr>
          <w:i/>
        </w:rPr>
        <w:tab/>
        <w:t>Consolidate similar functions</w:t>
      </w:r>
    </w:p>
    <w:p w:rsidR="00CA3D07" w:rsidRDefault="00CA3D07" w:rsidP="00CA3D07">
      <w:r>
        <w:t>To achieve the above, compa</w:t>
      </w:r>
      <w:r w:rsidR="001E3897">
        <w:t>nies such as Google and Netflix</w:t>
      </w:r>
      <w:r>
        <w:t xml:space="preserve"> adopt network structures that are capable of flexing to challenges that must be met at the time </w:t>
      </w:r>
      <w:sdt>
        <w:sdtPr>
          <w:id w:val="1834795773"/>
          <w:citation/>
        </w:sdtPr>
        <w:sdtEndPr/>
        <w:sdtContent>
          <w:r>
            <w:fldChar w:fldCharType="begin"/>
          </w:r>
          <w:r>
            <w:instrText xml:space="preserve"> CITATION Ral14 \l 2057 </w:instrText>
          </w:r>
          <w:r>
            <w:fldChar w:fldCharType="separate"/>
          </w:r>
          <w:r w:rsidR="00F43CE4" w:rsidRPr="00F43CE4">
            <w:rPr>
              <w:noProof/>
            </w:rPr>
            <w:t>(Jacobson, 2014)</w:t>
          </w:r>
          <w:r>
            <w:fldChar w:fldCharType="end"/>
          </w:r>
        </w:sdtContent>
      </w:sdt>
      <w:r>
        <w:t xml:space="preserve">. A network structure is characterised by open communication (both internal and external), fewer tiers, a wider span of control, and a bottom-up flow of decision-making and ideas </w:t>
      </w:r>
      <w:sdt>
        <w:sdtPr>
          <w:id w:val="2118864020"/>
          <w:citation/>
        </w:sdtPr>
        <w:sdtEndPr/>
        <w:sdtContent>
          <w:r>
            <w:fldChar w:fldCharType="begin"/>
          </w:r>
          <w:r>
            <w:instrText xml:space="preserve"> CITATION DFa15 \l 2057 </w:instrText>
          </w:r>
          <w:r>
            <w:fldChar w:fldCharType="separate"/>
          </w:r>
          <w:r w:rsidR="00F43CE4" w:rsidRPr="00F43CE4">
            <w:rPr>
              <w:noProof/>
            </w:rPr>
            <w:t>(Farnham, 2015)</w:t>
          </w:r>
          <w:r>
            <w:fldChar w:fldCharType="end"/>
          </w:r>
        </w:sdtContent>
      </w:sdt>
      <w:r>
        <w:t xml:space="preserve">. The key resource in a network organisation is knowledge </w:t>
      </w:r>
      <w:sdt>
        <w:sdtPr>
          <w:id w:val="-166320400"/>
          <w:citation/>
        </w:sdtPr>
        <w:sdtEndPr/>
        <w:sdtContent>
          <w:r>
            <w:fldChar w:fldCharType="begin"/>
          </w:r>
          <w:r>
            <w:instrText xml:space="preserve"> CITATION Kew15 \l 2057 </w:instrText>
          </w:r>
          <w:r>
            <w:fldChar w:fldCharType="separate"/>
          </w:r>
          <w:r w:rsidR="00F43CE4" w:rsidRPr="00F43CE4">
            <w:rPr>
              <w:noProof/>
            </w:rPr>
            <w:t>(Kew &amp; Stredwick, 2015)</w:t>
          </w:r>
          <w:r>
            <w:fldChar w:fldCharType="end"/>
          </w:r>
        </w:sdtContent>
      </w:sdt>
      <w:r>
        <w:t>; temporary constellations or ‘swarms’ of people come together with the requisite knowledge to solve problems (Griffiths &amp; Inman, 2016). Because of this, it is thought to be more flexible and agile than other structures, with improved collaboration and performance (Brash, et al., 2008). According to Child</w:t>
      </w:r>
      <w:sdt>
        <w:sdtPr>
          <w:id w:val="-301153676"/>
          <w:citation/>
        </w:sdtPr>
        <w:sdtEndPr/>
        <w:sdtContent>
          <w:r>
            <w:fldChar w:fldCharType="begin"/>
          </w:r>
          <w:r>
            <w:instrText xml:space="preserve">CITATION Joh15 \p 309 \n  \l 2057 </w:instrText>
          </w:r>
          <w:r>
            <w:fldChar w:fldCharType="separate"/>
          </w:r>
          <w:r w:rsidR="00F43CE4">
            <w:rPr>
              <w:noProof/>
            </w:rPr>
            <w:t xml:space="preserve"> </w:t>
          </w:r>
          <w:r w:rsidR="00F43CE4" w:rsidRPr="00F43CE4">
            <w:rPr>
              <w:noProof/>
            </w:rPr>
            <w:t>(2015, p. 309)</w:t>
          </w:r>
          <w:r>
            <w:fldChar w:fldCharType="end"/>
          </w:r>
        </w:sdtContent>
      </w:sdt>
      <w:r>
        <w:t>, the role of leadership within this type of network structure includes:</w:t>
      </w:r>
    </w:p>
    <w:p w:rsidR="00CA3D07" w:rsidRDefault="00CA3D07" w:rsidP="00CA3D07">
      <w:r>
        <w:t>•</w:t>
      </w:r>
      <w:r>
        <w:tab/>
        <w:t>Boundary spanners between levels and units.</w:t>
      </w:r>
    </w:p>
    <w:p w:rsidR="00CA3D07" w:rsidRDefault="00CA3D07" w:rsidP="00CA3D07">
      <w:r>
        <w:lastRenderedPageBreak/>
        <w:t>•</w:t>
      </w:r>
      <w:r>
        <w:tab/>
        <w:t>Initiators of networks.</w:t>
      </w:r>
    </w:p>
    <w:p w:rsidR="00CA3D07" w:rsidRDefault="00CA3D07" w:rsidP="00CA3D07">
      <w:r>
        <w:t>•</w:t>
      </w:r>
      <w:r>
        <w:tab/>
        <w:t>Co-ordinators and synthesisers of information flow.</w:t>
      </w:r>
    </w:p>
    <w:p w:rsidR="00CA3D07" w:rsidRDefault="00CA3D07" w:rsidP="00CA3D07">
      <w:r>
        <w:t>•</w:t>
      </w:r>
      <w:r>
        <w:tab/>
        <w:t>Conveyors of the vision downwards and advocates of decentralised initiatives upwards.</w:t>
      </w:r>
    </w:p>
    <w:p w:rsidR="00CA3D07" w:rsidRDefault="00CA3D07" w:rsidP="00CA3D07">
      <w:pPr>
        <w:pStyle w:val="Heading3"/>
      </w:pPr>
      <w:bookmarkStart w:id="2" w:name="_Toc522541714"/>
      <w:bookmarkStart w:id="3" w:name="_GoBack"/>
      <w:bookmarkEnd w:id="3"/>
      <w:r>
        <w:t>Processes and Systems</w:t>
      </w:r>
      <w:bookmarkEnd w:id="2"/>
    </w:p>
    <w:p w:rsidR="00CA3D07" w:rsidRDefault="00CA3D07" w:rsidP="00CA3D07">
      <w:r>
        <w:t>In attempting to reduce uncertainty amid complexity, organisations tend to react by introducing new processes and systems (Backx, et al., 2017).   However, when you simplify process by taking out detail you force people to think for themselves and interact (Highsmith, 2009).  This is a facet of ‘swarm intelligence’, which assumes the right set of simple rules applied within a group of highly interactive individuals generates innovation and creativity (e Cunha &amp; Rego, 2010; Marion &amp; Uhl-Bien, 2011). According to Highsmith (2009) when intelligent people ‘swarm’ around a problem, they do not need a detailed set of principles describing everything. Instead, what is required to foster agility is a minimum set of “</w:t>
      </w:r>
      <w:r w:rsidRPr="006F4212">
        <w:rPr>
          <w:i/>
        </w:rPr>
        <w:t>rules that have been shown to work well together</w:t>
      </w:r>
      <w:r>
        <w:t xml:space="preserve">” </w:t>
      </w:r>
      <w:sdt>
        <w:sdtPr>
          <w:id w:val="1852215276"/>
          <w:citation/>
        </w:sdtPr>
        <w:sdtEndPr/>
        <w:sdtContent>
          <w:r>
            <w:fldChar w:fldCharType="begin"/>
          </w:r>
          <w:r>
            <w:instrText xml:space="preserve">CITATION Jim09 \p 74 \l 2057 </w:instrText>
          </w:r>
          <w:r>
            <w:fldChar w:fldCharType="separate"/>
          </w:r>
          <w:r w:rsidR="00F43CE4" w:rsidRPr="00F43CE4">
            <w:rPr>
              <w:noProof/>
            </w:rPr>
            <w:t>(Highsmith, 2009, p. 74)</w:t>
          </w:r>
          <w:r>
            <w:fldChar w:fldCharType="end"/>
          </w:r>
        </w:sdtContent>
      </w:sdt>
      <w:r>
        <w:t xml:space="preserve">. </w:t>
      </w:r>
    </w:p>
    <w:p w:rsidR="00CA3D07" w:rsidRDefault="00CA3D07" w:rsidP="00CA3D07">
      <w:r>
        <w:t xml:space="preserve">Where documentation of policy and process are necessary they should be simple and organisation-wide </w:t>
      </w:r>
      <w:sdt>
        <w:sdtPr>
          <w:id w:val="-1465573087"/>
          <w:citation/>
        </w:sdtPr>
        <w:sdtEndPr/>
        <w:sdtContent>
          <w:r>
            <w:fldChar w:fldCharType="begin"/>
          </w:r>
          <w:r>
            <w:instrText xml:space="preserve"> CITATION RAs07 \l 2057 </w:instrText>
          </w:r>
          <w:r>
            <w:fldChar w:fldCharType="separate"/>
          </w:r>
          <w:r w:rsidR="00F43CE4" w:rsidRPr="00F43CE4">
            <w:rPr>
              <w:noProof/>
            </w:rPr>
            <w:t>(Ashkenas, 2007)</w:t>
          </w:r>
          <w:r>
            <w:fldChar w:fldCharType="end"/>
          </w:r>
        </w:sdtContent>
      </w:sdt>
      <w:r>
        <w:t xml:space="preserve"> and employees should be empowered to use their judgment rather than comply with an endless number of rules </w:t>
      </w:r>
      <w:sdt>
        <w:sdtPr>
          <w:id w:val="-2135930476"/>
          <w:citation/>
        </w:sdtPr>
        <w:sdtEndPr/>
        <w:sdtContent>
          <w:r>
            <w:fldChar w:fldCharType="begin"/>
          </w:r>
          <w:r>
            <w:instrText xml:space="preserve"> CITATION Bac17 \l 2057 </w:instrText>
          </w:r>
          <w:r>
            <w:fldChar w:fldCharType="separate"/>
          </w:r>
          <w:r w:rsidR="00F43CE4" w:rsidRPr="00F43CE4">
            <w:rPr>
              <w:noProof/>
            </w:rPr>
            <w:t>(Backx, et al., 2017)</w:t>
          </w:r>
          <w:r>
            <w:fldChar w:fldCharType="end"/>
          </w:r>
        </w:sdtContent>
      </w:sdt>
      <w:r>
        <w:t xml:space="preserve">. For example, the expense policy at Netflix reads, </w:t>
      </w:r>
      <w:r w:rsidRPr="002D2873">
        <w:rPr>
          <w:i/>
        </w:rPr>
        <w:t>Act in Netflix’s best interests</w:t>
      </w:r>
      <w:r>
        <w:t xml:space="preserve"> </w:t>
      </w:r>
      <w:sdt>
        <w:sdtPr>
          <w:id w:val="547335919"/>
          <w:citation/>
        </w:sdtPr>
        <w:sdtEndPr/>
        <w:sdtContent>
          <w:r>
            <w:fldChar w:fldCharType="begin"/>
          </w:r>
          <w:r>
            <w:instrText xml:space="preserve"> CITATION Dan15 \l 2057 </w:instrText>
          </w:r>
          <w:r>
            <w:fldChar w:fldCharType="separate"/>
          </w:r>
          <w:r w:rsidR="00F43CE4" w:rsidRPr="00F43CE4">
            <w:rPr>
              <w:noProof/>
            </w:rPr>
            <w:t>(Markovitz, 2015)</w:t>
          </w:r>
          <w:r>
            <w:fldChar w:fldCharType="end"/>
          </w:r>
        </w:sdtContent>
      </w:sdt>
      <w:r>
        <w:t>.</w:t>
      </w:r>
      <w:r w:rsidRPr="00E14FA6">
        <w:t xml:space="preserve"> </w:t>
      </w:r>
      <w:r>
        <w:t xml:space="preserve"> Such things as detailed job descriptions become obsolete and high levels of formalisation lose their importance, replaced by involvement-oriented mission statements, and a new, adaptive style of leadership </w:t>
      </w:r>
      <w:sdt>
        <w:sdtPr>
          <w:id w:val="324858043"/>
          <w:citation/>
        </w:sdtPr>
        <w:sdtEndPr/>
        <w:sdtContent>
          <w:r>
            <w:fldChar w:fldCharType="begin"/>
          </w:r>
          <w:r>
            <w:instrText xml:space="preserve">CITATION eCu10 \l 2057 </w:instrText>
          </w:r>
          <w:r>
            <w:fldChar w:fldCharType="separate"/>
          </w:r>
          <w:r w:rsidR="00F43CE4" w:rsidRPr="00F43CE4">
            <w:rPr>
              <w:noProof/>
            </w:rPr>
            <w:t>(e Cunha &amp; Rego, 2010)</w:t>
          </w:r>
          <w:r>
            <w:fldChar w:fldCharType="end"/>
          </w:r>
        </w:sdtContent>
      </w:sdt>
      <w:r>
        <w:t>.</w:t>
      </w:r>
    </w:p>
    <w:p w:rsidR="001D0479" w:rsidRDefault="006978D4">
      <w:r>
        <w:lastRenderedPageBreak/>
        <w:t>In summary, o</w:t>
      </w:r>
      <w:r w:rsidR="008635CA">
        <w:t xml:space="preserve">vercoming complexity through simplification can only work when the leadership of the organisation is committed to simplifying structure, processes and systems.  Senior executive support is vital, they must role model the leadership behaviours required to adapt to complexity, fostering sensemaking, learning and improvisation as a means to simplify rather than the traditional command and control approach </w:t>
      </w:r>
      <w:sdt>
        <w:sdtPr>
          <w:id w:val="-994951950"/>
          <w:citation/>
        </w:sdtPr>
        <w:sdtEndPr/>
        <w:sdtContent>
          <w:r w:rsidR="008635CA">
            <w:fldChar w:fldCharType="begin"/>
          </w:r>
          <w:r w:rsidR="008635CA">
            <w:instrText xml:space="preserve">CITATION Reu07 \l 2057 </w:instrText>
          </w:r>
          <w:r w:rsidR="008635CA">
            <w:fldChar w:fldCharType="separate"/>
          </w:r>
          <w:r w:rsidR="00F43CE4" w:rsidRPr="00F43CE4">
            <w:rPr>
              <w:noProof/>
            </w:rPr>
            <w:t>(McDaniel, 2007)</w:t>
          </w:r>
          <w:r w:rsidR="008635CA">
            <w:fldChar w:fldCharType="end"/>
          </w:r>
        </w:sdtContent>
      </w:sdt>
      <w:r w:rsidR="008635CA">
        <w:t xml:space="preserve">. A more networked structure, which encourages collaboration and emphasises the distributedness of swarm intelligence, along with the reduction of formalised processes is needed </w:t>
      </w:r>
      <w:sdt>
        <w:sdtPr>
          <w:id w:val="2076158319"/>
          <w:citation/>
        </w:sdtPr>
        <w:sdtEndPr/>
        <w:sdtContent>
          <w:r w:rsidR="008635CA">
            <w:fldChar w:fldCharType="begin"/>
          </w:r>
          <w:r w:rsidR="008635CA">
            <w:instrText xml:space="preserve">CITATION eCu10 \l 2057 </w:instrText>
          </w:r>
          <w:r w:rsidR="008635CA">
            <w:fldChar w:fldCharType="separate"/>
          </w:r>
          <w:r w:rsidR="00F43CE4" w:rsidRPr="00F43CE4">
            <w:rPr>
              <w:noProof/>
            </w:rPr>
            <w:t>(e Cunha &amp; Rego, 2010)</w:t>
          </w:r>
          <w:r w:rsidR="008635CA">
            <w:fldChar w:fldCharType="end"/>
          </w:r>
        </w:sdtContent>
      </w:sdt>
      <w:r w:rsidR="008635CA">
        <w:t>.</w:t>
      </w:r>
    </w:p>
    <w:sdt>
      <w:sdtPr>
        <w:rPr>
          <w:rFonts w:asciiTheme="minorHAnsi" w:eastAsiaTheme="minorHAnsi" w:hAnsiTheme="minorHAnsi" w:cstheme="minorBidi"/>
          <w:color w:val="595959" w:themeColor="text1" w:themeTint="A6"/>
          <w:sz w:val="24"/>
          <w:szCs w:val="22"/>
          <w:lang w:val="en-GB"/>
        </w:rPr>
        <w:id w:val="-930510771"/>
        <w:docPartObj>
          <w:docPartGallery w:val="Bibliographies"/>
          <w:docPartUnique/>
        </w:docPartObj>
      </w:sdtPr>
      <w:sdtEndPr/>
      <w:sdtContent>
        <w:p w:rsidR="00F10431" w:rsidRDefault="00F10431" w:rsidP="00F43CE4">
          <w:pPr>
            <w:pStyle w:val="Heading1"/>
          </w:pPr>
          <w:r>
            <w:t>References</w:t>
          </w:r>
        </w:p>
        <w:sdt>
          <w:sdtPr>
            <w:id w:val="-573587230"/>
            <w:bibliography/>
          </w:sdtPr>
          <w:sdtEndPr/>
          <w:sdtContent>
            <w:p w:rsidR="00F43CE4" w:rsidRDefault="00F10431" w:rsidP="00F43CE4">
              <w:pPr>
                <w:pStyle w:val="Bibliography"/>
                <w:jc w:val="left"/>
                <w:rPr>
                  <w:noProof/>
                  <w:szCs w:val="24"/>
                  <w:lang w:val="en-US"/>
                </w:rPr>
              </w:pPr>
              <w:r>
                <w:fldChar w:fldCharType="begin"/>
              </w:r>
              <w:r>
                <w:instrText xml:space="preserve"> BIBLIOGRAPHY </w:instrText>
              </w:r>
              <w:r>
                <w:fldChar w:fldCharType="separate"/>
              </w:r>
              <w:r w:rsidR="00F43CE4">
                <w:rPr>
                  <w:noProof/>
                  <w:lang w:val="en-US"/>
                </w:rPr>
                <w:t xml:space="preserve">Ashkenas, R., 2007. Simplicity-based management. </w:t>
              </w:r>
              <w:r w:rsidR="00F43CE4">
                <w:rPr>
                  <w:i/>
                  <w:iCs/>
                  <w:noProof/>
                  <w:lang w:val="en-US"/>
                </w:rPr>
                <w:t>Harvard Business Review</w:t>
              </w:r>
              <w:r w:rsidR="00F43CE4">
                <w:rPr>
                  <w:noProof/>
                  <w:lang w:val="en-US"/>
                </w:rPr>
                <w:t>, pp. 101-109.</w:t>
              </w:r>
            </w:p>
            <w:p w:rsidR="00F43CE4" w:rsidRDefault="00F43CE4" w:rsidP="00F43CE4">
              <w:pPr>
                <w:pStyle w:val="Bibliography"/>
                <w:jc w:val="left"/>
                <w:rPr>
                  <w:noProof/>
                  <w:lang w:val="en-US"/>
                </w:rPr>
              </w:pPr>
              <w:r>
                <w:rPr>
                  <w:noProof/>
                  <w:lang w:val="en-US"/>
                </w:rPr>
                <w:t xml:space="preserve">Backx, J. et al., 2017. </w:t>
              </w:r>
              <w:r>
                <w:rPr>
                  <w:i/>
                  <w:iCs/>
                  <w:noProof/>
                  <w:lang w:val="en-US"/>
                </w:rPr>
                <w:t xml:space="preserve">Mastering Complexity Through Simplicity: Four Steps to Creating Competitive Advantage. </w:t>
              </w:r>
              <w:r>
                <w:rPr>
                  <w:noProof/>
                  <w:lang w:val="en-US"/>
                </w:rPr>
                <w:t xml:space="preserve">Available at: </w:t>
              </w:r>
              <w:r>
                <w:rPr>
                  <w:noProof/>
                  <w:u w:val="single"/>
                  <w:lang w:val="en-US"/>
                </w:rPr>
                <w:t xml:space="preserve">http://img-stg.bcg.com/BCG-Mastering-Complexity-Through-Simplification-Feb-2017_tcm9-145559.pdf </w:t>
              </w:r>
              <w:r>
                <w:rPr>
                  <w:noProof/>
                  <w:lang w:val="en-US"/>
                </w:rPr>
                <w:t>[Accessed 20 June 2018].</w:t>
              </w:r>
            </w:p>
            <w:p w:rsidR="00F43CE4" w:rsidRDefault="00F43CE4" w:rsidP="00F43CE4">
              <w:pPr>
                <w:pStyle w:val="Bibliography"/>
                <w:jc w:val="left"/>
                <w:rPr>
                  <w:noProof/>
                  <w:lang w:val="en-US"/>
                </w:rPr>
              </w:pPr>
              <w:r>
                <w:rPr>
                  <w:noProof/>
                  <w:lang w:val="en-US"/>
                </w:rPr>
                <w:t xml:space="preserve">Child, J., 2015. </w:t>
              </w:r>
              <w:r>
                <w:rPr>
                  <w:i/>
                  <w:iCs/>
                  <w:noProof/>
                  <w:lang w:val="en-US"/>
                </w:rPr>
                <w:t xml:space="preserve">Organization: Contemporary Principles and Practices. </w:t>
              </w:r>
              <w:r>
                <w:rPr>
                  <w:noProof/>
                  <w:lang w:val="en-US"/>
                </w:rPr>
                <w:t>2 ed. Chichester: John Wiley and Sons Ltd.</w:t>
              </w:r>
            </w:p>
            <w:p w:rsidR="00F43CE4" w:rsidRDefault="00F43CE4" w:rsidP="00F43CE4">
              <w:pPr>
                <w:pStyle w:val="Bibliography"/>
                <w:jc w:val="left"/>
                <w:rPr>
                  <w:noProof/>
                  <w:lang w:val="en-US"/>
                </w:rPr>
              </w:pPr>
              <w:r>
                <w:rPr>
                  <w:noProof/>
                  <w:lang w:val="en-US"/>
                </w:rPr>
                <w:t xml:space="preserve">e Cunha, M. P. &amp; Rego, A., 2010. Complexity, simplicity, simplexity. </w:t>
              </w:r>
              <w:r>
                <w:rPr>
                  <w:i/>
                  <w:iCs/>
                  <w:noProof/>
                  <w:lang w:val="en-US"/>
                </w:rPr>
                <w:t xml:space="preserve">European Management Journal, </w:t>
              </w:r>
              <w:r>
                <w:rPr>
                  <w:noProof/>
                  <w:lang w:val="en-US"/>
                </w:rPr>
                <w:t>28(2), pp. 85-94.</w:t>
              </w:r>
            </w:p>
            <w:p w:rsidR="00F43CE4" w:rsidRDefault="00F43CE4" w:rsidP="00F43CE4">
              <w:pPr>
                <w:pStyle w:val="Bibliography"/>
                <w:jc w:val="left"/>
                <w:rPr>
                  <w:noProof/>
                  <w:lang w:val="en-US"/>
                </w:rPr>
              </w:pPr>
              <w:r>
                <w:rPr>
                  <w:noProof/>
                  <w:lang w:val="en-US"/>
                </w:rPr>
                <w:t xml:space="preserve">Farnham, D., 2015. </w:t>
              </w:r>
              <w:r>
                <w:rPr>
                  <w:i/>
                  <w:iCs/>
                  <w:noProof/>
                  <w:lang w:val="en-US"/>
                </w:rPr>
                <w:t xml:space="preserve">Human Resource Management in Context. </w:t>
              </w:r>
              <w:r>
                <w:rPr>
                  <w:noProof/>
                  <w:lang w:val="en-US"/>
                </w:rPr>
                <w:t>4 ed. London: Kogan Page.</w:t>
              </w:r>
            </w:p>
            <w:p w:rsidR="00F43CE4" w:rsidRDefault="00F43CE4" w:rsidP="00F43CE4">
              <w:pPr>
                <w:pStyle w:val="Bibliography"/>
                <w:jc w:val="left"/>
                <w:rPr>
                  <w:noProof/>
                  <w:lang w:val="en-US"/>
                </w:rPr>
              </w:pPr>
              <w:r>
                <w:rPr>
                  <w:noProof/>
                  <w:lang w:val="en-US"/>
                </w:rPr>
                <w:t xml:space="preserve">Highsmith, J., 2009. </w:t>
              </w:r>
              <w:r>
                <w:rPr>
                  <w:i/>
                  <w:iCs/>
                  <w:noProof/>
                  <w:lang w:val="en-US"/>
                </w:rPr>
                <w:t xml:space="preserve">Agile Project Management: Creating Innovative Products. </w:t>
              </w:r>
              <w:r>
                <w:rPr>
                  <w:noProof/>
                  <w:lang w:val="en-US"/>
                </w:rPr>
                <w:t>Boston: Pearson Education.</w:t>
              </w:r>
            </w:p>
            <w:p w:rsidR="00F43CE4" w:rsidRDefault="00F43CE4" w:rsidP="00F43CE4">
              <w:pPr>
                <w:pStyle w:val="Bibliography"/>
                <w:jc w:val="left"/>
                <w:rPr>
                  <w:noProof/>
                  <w:lang w:val="en-US"/>
                </w:rPr>
              </w:pPr>
              <w:r>
                <w:rPr>
                  <w:noProof/>
                  <w:lang w:val="en-US"/>
                </w:rPr>
                <w:lastRenderedPageBreak/>
                <w:t xml:space="preserve">Jacobson, R., 2014. </w:t>
              </w:r>
              <w:r>
                <w:rPr>
                  <w:i/>
                  <w:iCs/>
                  <w:noProof/>
                  <w:lang w:val="en-US"/>
                </w:rPr>
                <w:t xml:space="preserve">A More Powerful Leadership Structure for Effecting Change. </w:t>
              </w:r>
              <w:r>
                <w:rPr>
                  <w:noProof/>
                  <w:lang w:val="en-US"/>
                </w:rPr>
                <w:t xml:space="preserve">[Online] </w:t>
              </w:r>
              <w:r>
                <w:rPr>
                  <w:noProof/>
                  <w:lang w:val="en-US"/>
                </w:rPr>
                <w:br/>
                <w:t xml:space="preserve">Available at: </w:t>
              </w:r>
              <w:r>
                <w:rPr>
                  <w:noProof/>
                  <w:u w:val="single"/>
                  <w:lang w:val="en-US"/>
                </w:rPr>
                <w:t xml:space="preserve">https://chiefexecutive.net/a-more-powerful-leadership-structure-for-effecting-change/ </w:t>
              </w:r>
              <w:r>
                <w:rPr>
                  <w:noProof/>
                  <w:lang w:val="en-US"/>
                </w:rPr>
                <w:t>[Accessed 07 20 2018].</w:t>
              </w:r>
            </w:p>
            <w:p w:rsidR="00F43CE4" w:rsidRDefault="00F43CE4" w:rsidP="00F43CE4">
              <w:pPr>
                <w:pStyle w:val="Bibliography"/>
                <w:jc w:val="left"/>
                <w:rPr>
                  <w:noProof/>
                  <w:lang w:val="en-US"/>
                </w:rPr>
              </w:pPr>
              <w:r>
                <w:rPr>
                  <w:noProof/>
                  <w:lang w:val="en-US"/>
                </w:rPr>
                <w:t xml:space="preserve">Kerr, J., 2014. </w:t>
              </w:r>
              <w:r>
                <w:rPr>
                  <w:i/>
                  <w:iCs/>
                  <w:noProof/>
                  <w:lang w:val="en-US"/>
                </w:rPr>
                <w:t xml:space="preserve">The Executive Checklist. </w:t>
              </w:r>
              <w:r>
                <w:rPr>
                  <w:noProof/>
                  <w:lang w:val="en-US"/>
                </w:rPr>
                <w:t>New York: Palgrave Macmillan.</w:t>
              </w:r>
            </w:p>
            <w:p w:rsidR="00F43CE4" w:rsidRDefault="00F43CE4" w:rsidP="00F43CE4">
              <w:pPr>
                <w:pStyle w:val="Bibliography"/>
                <w:jc w:val="left"/>
                <w:rPr>
                  <w:noProof/>
                  <w:lang w:val="en-US"/>
                </w:rPr>
              </w:pPr>
              <w:r>
                <w:rPr>
                  <w:noProof/>
                  <w:lang w:val="en-US"/>
                </w:rPr>
                <w:t xml:space="preserve">Kew, J. &amp; Stredwick, J., 2015. </w:t>
              </w:r>
              <w:r>
                <w:rPr>
                  <w:i/>
                  <w:iCs/>
                  <w:noProof/>
                  <w:lang w:val="en-US"/>
                </w:rPr>
                <w:t xml:space="preserve">Human Resource Management in Context. </w:t>
              </w:r>
              <w:r>
                <w:rPr>
                  <w:noProof/>
                  <w:lang w:val="en-US"/>
                </w:rPr>
                <w:t>3 ed. London: Chartered Institute of Personnel and Development.</w:t>
              </w:r>
            </w:p>
            <w:p w:rsidR="00F43CE4" w:rsidRDefault="00F43CE4" w:rsidP="00F43CE4">
              <w:pPr>
                <w:pStyle w:val="Bibliography"/>
                <w:jc w:val="left"/>
                <w:rPr>
                  <w:noProof/>
                  <w:lang w:val="en-US"/>
                </w:rPr>
              </w:pPr>
              <w:r>
                <w:rPr>
                  <w:noProof/>
                  <w:lang w:val="en-US"/>
                </w:rPr>
                <w:t xml:space="preserve">Markovitz, D., 2015. </w:t>
              </w:r>
              <w:r>
                <w:rPr>
                  <w:i/>
                  <w:iCs/>
                  <w:noProof/>
                  <w:lang w:val="en-US"/>
                </w:rPr>
                <w:t xml:space="preserve">Building the Fit Organization: Six Core Principles for Making Your Company Stronger, Faster, and More Competitive. </w:t>
              </w:r>
              <w:r>
                <w:rPr>
                  <w:noProof/>
                  <w:lang w:val="en-US"/>
                </w:rPr>
                <w:t>New York: McGraw-Hill Education.</w:t>
              </w:r>
            </w:p>
            <w:p w:rsidR="00F43CE4" w:rsidRDefault="00F43CE4" w:rsidP="00F43CE4">
              <w:pPr>
                <w:pStyle w:val="Bibliography"/>
                <w:jc w:val="left"/>
                <w:rPr>
                  <w:noProof/>
                  <w:lang w:val="en-US"/>
                </w:rPr>
              </w:pPr>
              <w:r>
                <w:rPr>
                  <w:noProof/>
                  <w:lang w:val="en-US"/>
                </w:rPr>
                <w:t xml:space="preserve">McDaniel, R. R., 2007. Management Strategies for Complex Adaptive Systems. </w:t>
              </w:r>
              <w:r>
                <w:rPr>
                  <w:i/>
                  <w:iCs/>
                  <w:noProof/>
                  <w:lang w:val="en-US"/>
                </w:rPr>
                <w:t xml:space="preserve">Performance Improvement Quarterly, </w:t>
              </w:r>
              <w:r>
                <w:rPr>
                  <w:noProof/>
                  <w:lang w:val="en-US"/>
                </w:rPr>
                <w:t>20(2), pp. 21-42.</w:t>
              </w:r>
            </w:p>
            <w:p w:rsidR="00F43CE4" w:rsidRDefault="00F43CE4" w:rsidP="00F43CE4">
              <w:pPr>
                <w:pStyle w:val="Bibliography"/>
                <w:jc w:val="left"/>
                <w:rPr>
                  <w:noProof/>
                  <w:lang w:val="en-US"/>
                </w:rPr>
              </w:pPr>
              <w:r>
                <w:rPr>
                  <w:noProof/>
                  <w:lang w:val="en-US"/>
                </w:rPr>
                <w:t xml:space="preserve">Weick, K. E., 1995. </w:t>
              </w:r>
              <w:r>
                <w:rPr>
                  <w:i/>
                  <w:iCs/>
                  <w:noProof/>
                  <w:lang w:val="en-US"/>
                </w:rPr>
                <w:t xml:space="preserve">Sensemaking in Organizations. </w:t>
              </w:r>
              <w:r>
                <w:rPr>
                  <w:noProof/>
                  <w:lang w:val="en-US"/>
                </w:rPr>
                <w:t>Thousand Oaks: Sage.</w:t>
              </w:r>
            </w:p>
            <w:p w:rsidR="00F10431" w:rsidRDefault="00F10431" w:rsidP="00F43CE4">
              <w:pPr>
                <w:jc w:val="left"/>
              </w:pPr>
              <w:r>
                <w:rPr>
                  <w:b/>
                  <w:bCs/>
                  <w:noProof/>
                </w:rPr>
                <w:fldChar w:fldCharType="end"/>
              </w:r>
            </w:p>
          </w:sdtContent>
        </w:sdt>
      </w:sdtContent>
    </w:sdt>
    <w:p w:rsidR="00F10431" w:rsidRDefault="00F10431" w:rsidP="00F43CE4">
      <w:pPr>
        <w:jc w:val="left"/>
      </w:pPr>
    </w:p>
    <w:sectPr w:rsidR="00F1043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31C3" w:rsidRDefault="00AF31C3" w:rsidP="00CA3D07">
      <w:pPr>
        <w:spacing w:before="0" w:after="0" w:line="240" w:lineRule="auto"/>
      </w:pPr>
      <w:r>
        <w:separator/>
      </w:r>
    </w:p>
  </w:endnote>
  <w:endnote w:type="continuationSeparator" w:id="0">
    <w:p w:rsidR="00AF31C3" w:rsidRDefault="00AF31C3" w:rsidP="00CA3D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31C3" w:rsidRDefault="00AF31C3" w:rsidP="00CA3D07">
      <w:pPr>
        <w:spacing w:before="0" w:after="0" w:line="240" w:lineRule="auto"/>
      </w:pPr>
      <w:r>
        <w:separator/>
      </w:r>
    </w:p>
  </w:footnote>
  <w:footnote w:type="continuationSeparator" w:id="0">
    <w:p w:rsidR="00AF31C3" w:rsidRDefault="00AF31C3" w:rsidP="00CA3D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D07" w:rsidRDefault="00EA538B">
    <w:pPr>
      <w:pStyle w:val="Header"/>
    </w:pPr>
    <w:r>
      <w:t>To overcome complexity…simplify!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92A1A"/>
    <w:multiLevelType w:val="hybridMultilevel"/>
    <w:tmpl w:val="B0703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M1MrcwNzI1MjU1MjNS0lEKTi0uzszPAykwrAUAtOTmfiwAAAA="/>
  </w:docVars>
  <w:rsids>
    <w:rsidRoot w:val="00CA3D07"/>
    <w:rsid w:val="00016E15"/>
    <w:rsid w:val="001D0479"/>
    <w:rsid w:val="001E3897"/>
    <w:rsid w:val="002C4C63"/>
    <w:rsid w:val="0030146A"/>
    <w:rsid w:val="005E43C5"/>
    <w:rsid w:val="006978D4"/>
    <w:rsid w:val="008635CA"/>
    <w:rsid w:val="00867CE9"/>
    <w:rsid w:val="00AF31C3"/>
    <w:rsid w:val="00CA3D07"/>
    <w:rsid w:val="00E04CAC"/>
    <w:rsid w:val="00EA538B"/>
    <w:rsid w:val="00F10431"/>
    <w:rsid w:val="00F43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3C51C"/>
  <w15:chartTrackingRefBased/>
  <w15:docId w15:val="{4DEA6A4D-8CEE-425F-92BA-D9D26F1BA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3D07"/>
    <w:pPr>
      <w:spacing w:before="120" w:after="200" w:line="480" w:lineRule="auto"/>
      <w:jc w:val="both"/>
    </w:pPr>
    <w:rPr>
      <w:color w:val="595959" w:themeColor="text1" w:themeTint="A6"/>
      <w:sz w:val="24"/>
    </w:rPr>
  </w:style>
  <w:style w:type="paragraph" w:styleId="Heading1">
    <w:name w:val="heading 1"/>
    <w:basedOn w:val="Normal"/>
    <w:next w:val="Normal"/>
    <w:link w:val="Heading1Char"/>
    <w:uiPriority w:val="9"/>
    <w:qFormat/>
    <w:rsid w:val="00F10431"/>
    <w:pPr>
      <w:keepNext/>
      <w:keepLines/>
      <w:spacing w:before="240" w:after="0" w:line="259" w:lineRule="auto"/>
      <w:jc w:val="left"/>
      <w:outlineLvl w:val="0"/>
    </w:pPr>
    <w:rPr>
      <w:rFonts w:asciiTheme="majorHAnsi" w:eastAsiaTheme="majorEastAsia" w:hAnsiTheme="majorHAnsi" w:cstheme="majorBidi"/>
      <w:color w:val="2E74B5" w:themeColor="accent1" w:themeShade="BF"/>
      <w:sz w:val="32"/>
      <w:szCs w:val="32"/>
      <w:lang w:val="en-US"/>
    </w:rPr>
  </w:style>
  <w:style w:type="paragraph" w:styleId="Heading3">
    <w:name w:val="heading 3"/>
    <w:basedOn w:val="Normal"/>
    <w:next w:val="Normal"/>
    <w:link w:val="Heading3Char"/>
    <w:uiPriority w:val="9"/>
    <w:unhideWhenUsed/>
    <w:qFormat/>
    <w:rsid w:val="00CA3D07"/>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A3D07"/>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unhideWhenUsed/>
    <w:qFormat/>
    <w:rsid w:val="00CA3D07"/>
    <w:pPr>
      <w:ind w:left="720"/>
      <w:contextualSpacing/>
    </w:pPr>
  </w:style>
  <w:style w:type="paragraph" w:styleId="Header">
    <w:name w:val="header"/>
    <w:basedOn w:val="Normal"/>
    <w:link w:val="HeaderChar"/>
    <w:uiPriority w:val="99"/>
    <w:unhideWhenUsed/>
    <w:rsid w:val="00CA3D0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A3D07"/>
    <w:rPr>
      <w:color w:val="595959" w:themeColor="text1" w:themeTint="A6"/>
      <w:sz w:val="24"/>
    </w:rPr>
  </w:style>
  <w:style w:type="paragraph" w:styleId="Footer">
    <w:name w:val="footer"/>
    <w:basedOn w:val="Normal"/>
    <w:link w:val="FooterChar"/>
    <w:uiPriority w:val="99"/>
    <w:unhideWhenUsed/>
    <w:rsid w:val="00CA3D0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A3D07"/>
    <w:rPr>
      <w:color w:val="595959" w:themeColor="text1" w:themeTint="A6"/>
      <w:sz w:val="24"/>
    </w:rPr>
  </w:style>
  <w:style w:type="character" w:styleId="Hyperlink">
    <w:name w:val="Hyperlink"/>
    <w:basedOn w:val="DefaultParagraphFont"/>
    <w:uiPriority w:val="99"/>
    <w:unhideWhenUsed/>
    <w:rsid w:val="001E3897"/>
    <w:rPr>
      <w:color w:val="0563C1" w:themeColor="hyperlink"/>
      <w:u w:val="single"/>
    </w:rPr>
  </w:style>
  <w:style w:type="character" w:customStyle="1" w:styleId="Heading1Char">
    <w:name w:val="Heading 1 Char"/>
    <w:basedOn w:val="DefaultParagraphFont"/>
    <w:link w:val="Heading1"/>
    <w:uiPriority w:val="9"/>
    <w:rsid w:val="00F1043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10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957632">
      <w:bodyDiv w:val="1"/>
      <w:marLeft w:val="0"/>
      <w:marRight w:val="0"/>
      <w:marTop w:val="0"/>
      <w:marBottom w:val="0"/>
      <w:divBdr>
        <w:top w:val="none" w:sz="0" w:space="0" w:color="auto"/>
        <w:left w:val="none" w:sz="0" w:space="0" w:color="auto"/>
        <w:bottom w:val="none" w:sz="0" w:space="0" w:color="auto"/>
        <w:right w:val="none" w:sz="0" w:space="0" w:color="auto"/>
      </w:divBdr>
    </w:div>
    <w:div w:id="140853932">
      <w:bodyDiv w:val="1"/>
      <w:marLeft w:val="0"/>
      <w:marRight w:val="0"/>
      <w:marTop w:val="0"/>
      <w:marBottom w:val="0"/>
      <w:divBdr>
        <w:top w:val="none" w:sz="0" w:space="0" w:color="auto"/>
        <w:left w:val="none" w:sz="0" w:space="0" w:color="auto"/>
        <w:bottom w:val="none" w:sz="0" w:space="0" w:color="auto"/>
        <w:right w:val="none" w:sz="0" w:space="0" w:color="auto"/>
      </w:divBdr>
    </w:div>
    <w:div w:id="476385760">
      <w:bodyDiv w:val="1"/>
      <w:marLeft w:val="0"/>
      <w:marRight w:val="0"/>
      <w:marTop w:val="0"/>
      <w:marBottom w:val="0"/>
      <w:divBdr>
        <w:top w:val="none" w:sz="0" w:space="0" w:color="auto"/>
        <w:left w:val="none" w:sz="0" w:space="0" w:color="auto"/>
        <w:bottom w:val="none" w:sz="0" w:space="0" w:color="auto"/>
        <w:right w:val="none" w:sz="0" w:space="0" w:color="auto"/>
      </w:divBdr>
    </w:div>
    <w:div w:id="601185684">
      <w:bodyDiv w:val="1"/>
      <w:marLeft w:val="0"/>
      <w:marRight w:val="0"/>
      <w:marTop w:val="0"/>
      <w:marBottom w:val="0"/>
      <w:divBdr>
        <w:top w:val="none" w:sz="0" w:space="0" w:color="auto"/>
        <w:left w:val="none" w:sz="0" w:space="0" w:color="auto"/>
        <w:bottom w:val="none" w:sz="0" w:space="0" w:color="auto"/>
        <w:right w:val="none" w:sz="0" w:space="0" w:color="auto"/>
      </w:divBdr>
    </w:div>
    <w:div w:id="795491247">
      <w:bodyDiv w:val="1"/>
      <w:marLeft w:val="0"/>
      <w:marRight w:val="0"/>
      <w:marTop w:val="0"/>
      <w:marBottom w:val="0"/>
      <w:divBdr>
        <w:top w:val="none" w:sz="0" w:space="0" w:color="auto"/>
        <w:left w:val="none" w:sz="0" w:space="0" w:color="auto"/>
        <w:bottom w:val="none" w:sz="0" w:space="0" w:color="auto"/>
        <w:right w:val="none" w:sz="0" w:space="0" w:color="auto"/>
      </w:divBdr>
    </w:div>
    <w:div w:id="801732206">
      <w:bodyDiv w:val="1"/>
      <w:marLeft w:val="0"/>
      <w:marRight w:val="0"/>
      <w:marTop w:val="0"/>
      <w:marBottom w:val="0"/>
      <w:divBdr>
        <w:top w:val="none" w:sz="0" w:space="0" w:color="auto"/>
        <w:left w:val="none" w:sz="0" w:space="0" w:color="auto"/>
        <w:bottom w:val="none" w:sz="0" w:space="0" w:color="auto"/>
        <w:right w:val="none" w:sz="0" w:space="0" w:color="auto"/>
      </w:divBdr>
    </w:div>
    <w:div w:id="949750075">
      <w:bodyDiv w:val="1"/>
      <w:marLeft w:val="0"/>
      <w:marRight w:val="0"/>
      <w:marTop w:val="0"/>
      <w:marBottom w:val="0"/>
      <w:divBdr>
        <w:top w:val="none" w:sz="0" w:space="0" w:color="auto"/>
        <w:left w:val="none" w:sz="0" w:space="0" w:color="auto"/>
        <w:bottom w:val="none" w:sz="0" w:space="0" w:color="auto"/>
        <w:right w:val="none" w:sz="0" w:space="0" w:color="auto"/>
      </w:divBdr>
    </w:div>
    <w:div w:id="1317564689">
      <w:bodyDiv w:val="1"/>
      <w:marLeft w:val="0"/>
      <w:marRight w:val="0"/>
      <w:marTop w:val="0"/>
      <w:marBottom w:val="0"/>
      <w:divBdr>
        <w:top w:val="none" w:sz="0" w:space="0" w:color="auto"/>
        <w:left w:val="none" w:sz="0" w:space="0" w:color="auto"/>
        <w:bottom w:val="none" w:sz="0" w:space="0" w:color="auto"/>
        <w:right w:val="none" w:sz="0" w:space="0" w:color="auto"/>
      </w:divBdr>
    </w:div>
    <w:div w:id="1454252458">
      <w:bodyDiv w:val="1"/>
      <w:marLeft w:val="0"/>
      <w:marRight w:val="0"/>
      <w:marTop w:val="0"/>
      <w:marBottom w:val="0"/>
      <w:divBdr>
        <w:top w:val="none" w:sz="0" w:space="0" w:color="auto"/>
        <w:left w:val="none" w:sz="0" w:space="0" w:color="auto"/>
        <w:bottom w:val="none" w:sz="0" w:space="0" w:color="auto"/>
        <w:right w:val="none" w:sz="0" w:space="0" w:color="auto"/>
      </w:divBdr>
    </w:div>
    <w:div w:id="1680540256">
      <w:bodyDiv w:val="1"/>
      <w:marLeft w:val="0"/>
      <w:marRight w:val="0"/>
      <w:marTop w:val="0"/>
      <w:marBottom w:val="0"/>
      <w:divBdr>
        <w:top w:val="none" w:sz="0" w:space="0" w:color="auto"/>
        <w:left w:val="none" w:sz="0" w:space="0" w:color="auto"/>
        <w:bottom w:val="none" w:sz="0" w:space="0" w:color="auto"/>
        <w:right w:val="none" w:sz="0" w:space="0" w:color="auto"/>
      </w:divBdr>
    </w:div>
    <w:div w:id="1746604647">
      <w:bodyDiv w:val="1"/>
      <w:marLeft w:val="0"/>
      <w:marRight w:val="0"/>
      <w:marTop w:val="0"/>
      <w:marBottom w:val="0"/>
      <w:divBdr>
        <w:top w:val="none" w:sz="0" w:space="0" w:color="auto"/>
        <w:left w:val="none" w:sz="0" w:space="0" w:color="auto"/>
        <w:bottom w:val="none" w:sz="0" w:space="0" w:color="auto"/>
        <w:right w:val="none" w:sz="0" w:space="0" w:color="auto"/>
      </w:divBdr>
    </w:div>
    <w:div w:id="1826622923">
      <w:bodyDiv w:val="1"/>
      <w:marLeft w:val="0"/>
      <w:marRight w:val="0"/>
      <w:marTop w:val="0"/>
      <w:marBottom w:val="0"/>
      <w:divBdr>
        <w:top w:val="none" w:sz="0" w:space="0" w:color="auto"/>
        <w:left w:val="none" w:sz="0" w:space="0" w:color="auto"/>
        <w:bottom w:val="none" w:sz="0" w:space="0" w:color="auto"/>
        <w:right w:val="none" w:sz="0" w:space="0" w:color="auto"/>
      </w:divBdr>
    </w:div>
    <w:div w:id="1879970365">
      <w:bodyDiv w:val="1"/>
      <w:marLeft w:val="0"/>
      <w:marRight w:val="0"/>
      <w:marTop w:val="0"/>
      <w:marBottom w:val="0"/>
      <w:divBdr>
        <w:top w:val="none" w:sz="0" w:space="0" w:color="auto"/>
        <w:left w:val="none" w:sz="0" w:space="0" w:color="auto"/>
        <w:bottom w:val="none" w:sz="0" w:space="0" w:color="auto"/>
        <w:right w:val="none" w:sz="0" w:space="0" w:color="auto"/>
      </w:divBdr>
    </w:div>
    <w:div w:id="2012951665">
      <w:bodyDiv w:val="1"/>
      <w:marLeft w:val="0"/>
      <w:marRight w:val="0"/>
      <w:marTop w:val="0"/>
      <w:marBottom w:val="0"/>
      <w:divBdr>
        <w:top w:val="none" w:sz="0" w:space="0" w:color="auto"/>
        <w:left w:val="none" w:sz="0" w:space="0" w:color="auto"/>
        <w:bottom w:val="none" w:sz="0" w:space="0" w:color="auto"/>
        <w:right w:val="none" w:sz="0" w:space="0" w:color="auto"/>
      </w:divBdr>
    </w:div>
    <w:div w:id="2094282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Wei95</b:Tag>
    <b:SourceType>Book</b:SourceType>
    <b:Guid>{F0EC4AAA-A59E-49CB-88F7-81A3650EFC83}</b:Guid>
    <b:Author>
      <b:Author>
        <b:NameList>
          <b:Person>
            <b:Last>Weick</b:Last>
            <b:First>Karl</b:First>
            <b:Middle>E</b:Middle>
          </b:Person>
        </b:NameList>
      </b:Author>
    </b:Author>
    <b:Title>Sensemaking in Organizations</b:Title>
    <b:Year>1995</b:Year>
    <b:City>Thousand Oaks</b:City>
    <b:Publisher>Sage</b:Publisher>
    <b:RefOrder>2</b:RefOrder>
  </b:Source>
  <b:Source>
    <b:Tag>Ral14</b:Tag>
    <b:SourceType>InternetSite</b:SourceType>
    <b:Guid>{9BD2E85B-5D68-49D8-A106-46C6636C9997}</b:Guid>
    <b:Title>A More Powerful Leadership Structure for Effecting Change</b:Title>
    <b:Year>2014</b:Year>
    <b:YearAccessed>2018</b:YearAccessed>
    <b:MonthAccessed>20</b:MonthAccessed>
    <b:DayAccessed>07</b:DayAccessed>
    <b:URL>https://chiefexecutive.net/a-more-powerful-leadership-structure-for-effecting-change/</b:URL>
    <b:Author>
      <b:Author>
        <b:NameList>
          <b:Person>
            <b:Last>Jacobson</b:Last>
            <b:First>Ralph</b:First>
          </b:Person>
        </b:NameList>
      </b:Author>
    </b:Author>
    <b:RefOrder>3</b:RefOrder>
  </b:Source>
  <b:Source>
    <b:Tag>DFa15</b:Tag>
    <b:SourceType>Book</b:SourceType>
    <b:Guid>{0C5DB2B8-0F24-4459-91A0-51F327D6EA6A}</b:Guid>
    <b:Title>Human Resource Management in Context</b:Title>
    <b:Year>2015</b:Year>
    <b:City>London</b:City>
    <b:Publisher>Kogan Page</b:Publisher>
    <b:Edition>4</b:Edition>
    <b:Author>
      <b:Author>
        <b:NameList>
          <b:Person>
            <b:Last>Farnham</b:Last>
            <b:First>D</b:First>
          </b:Person>
        </b:NameList>
      </b:Author>
    </b:Author>
    <b:RefOrder>4</b:RefOrder>
  </b:Source>
  <b:Source>
    <b:Tag>Kew15</b:Tag>
    <b:SourceType>Book</b:SourceType>
    <b:Guid>{05138009-7C94-4745-B51F-ECB7E2FA878A}</b:Guid>
    <b:Title>Human Resource Management in Context</b:Title>
    <b:Year>2015</b:Year>
    <b:City>London</b:City>
    <b:Publisher>Chartered Institute of Personnel and Development</b:Publisher>
    <b:Edition>3</b:Edition>
    <b:Author>
      <b:Author>
        <b:NameList>
          <b:Person>
            <b:Last>Kew</b:Last>
            <b:First>John</b:First>
          </b:Person>
          <b:Person>
            <b:Last>Stredwick</b:Last>
            <b:First>J</b:First>
          </b:Person>
        </b:NameList>
      </b:Author>
    </b:Author>
    <b:RefOrder>5</b:RefOrder>
  </b:Source>
  <b:Source>
    <b:Tag>Joh15</b:Tag>
    <b:SourceType>Book</b:SourceType>
    <b:Guid>{FA407A9F-09C6-4A8C-8AD4-0CA1EF968ABA}</b:Guid>
    <b:Title>Organization: Contemporary Principles and Practices</b:Title>
    <b:Year>2015</b:Year>
    <b:City>Chichester</b:City>
    <b:Publisher>John Wiley and Sons Ltd</b:Publisher>
    <b:Edition>2</b:Edition>
    <b:Author>
      <b:Author>
        <b:NameList>
          <b:Person>
            <b:Last>Child</b:Last>
            <b:First>John</b:First>
          </b:Person>
        </b:NameList>
      </b:Author>
    </b:Author>
    <b:RefOrder>6</b:RefOrder>
  </b:Source>
  <b:Source>
    <b:Tag>Jim09</b:Tag>
    <b:SourceType>Book</b:SourceType>
    <b:Guid>{FB881DA6-F7F2-4D9D-943E-80FA391401E1}</b:Guid>
    <b:Title>Agile Project Management: Creating Innovative Products</b:Title>
    <b:Year>2009</b:Year>
    <b:City>Boston</b:City>
    <b:Publisher>Pearson Education</b:Publisher>
    <b:Author>
      <b:Author>
        <b:NameList>
          <b:Person>
            <b:Last>Highsmith</b:Last>
            <b:First>Jim</b:First>
          </b:Person>
        </b:NameList>
      </b:Author>
    </b:Author>
    <b:RefOrder>7</b:RefOrder>
  </b:Source>
  <b:Source>
    <b:Tag>RAs07</b:Tag>
    <b:SourceType>ArticleInAPeriodical</b:SourceType>
    <b:Guid>{251E2686-6FE3-4201-B96C-F3FE2557B71A}</b:Guid>
    <b:Title>Simplicity-based management</b:Title>
    <b:Year>2007</b:Year>
    <b:Pages>101-109</b:Pages>
    <b:Author>
      <b:Author>
        <b:NameList>
          <b:Person>
            <b:Last>Ashkenas</b:Last>
            <b:First>R</b:First>
          </b:Person>
        </b:NameList>
      </b:Author>
    </b:Author>
    <b:PeriodicalTitle>Harvard Business Review</b:PeriodicalTitle>
    <b:RefOrder>8</b:RefOrder>
  </b:Source>
  <b:Source>
    <b:Tag>Bac17</b:Tag>
    <b:SourceType>DocumentFromInternetSite</b:SourceType>
    <b:Guid>{FBB5CCB3-1BE1-472E-8EB8-DEAFDB3FD265}</b:Guid>
    <b:Title>Mastering Complexity Through Simplicity: Four Steps to Creating Competitive Advantage</b:Title>
    <b:Year>2017</b:Year>
    <b:City>London</b:City>
    <b:Publisher>The Boston Consulting Group</b:Publisher>
    <b:Author>
      <b:Author>
        <b:NameList>
          <b:Person>
            <b:Last>Backx</b:Last>
            <b:First>Jaap</b:First>
          </b:Person>
          <b:Person>
            <b:Last>Hilberath</b:Last>
            <b:First>Christoph</b:First>
          </b:Person>
          <b:Person>
            <b:Last>Messenbock</b:Last>
            <b:First>Reinhard</b:First>
          </b:Person>
          <b:Person>
            <b:Last>Morieux</b:Last>
            <b:First>Yves</b:First>
          </b:Person>
          <b:Person>
            <b:Last>Streubel</b:Last>
            <b:First>Henning</b:First>
          </b:Person>
        </b:NameList>
      </b:Author>
    </b:Author>
    <b:YearAccessed>2018</b:YearAccessed>
    <b:MonthAccessed>June</b:MonthAccessed>
    <b:DayAccessed>20</b:DayAccessed>
    <b:URL>http://img-stg.bcg.com/BCG-Mastering-Complexity-Through-Simplification-Feb-2017_tcm9-145559.pdf</b:URL>
    <b:InternetSiteTitle>The Boston Consulting Group</b:InternetSiteTitle>
    <b:Month>February</b:Month>
    <b:RefOrder>9</b:RefOrder>
  </b:Source>
  <b:Source>
    <b:Tag>Dan15</b:Tag>
    <b:SourceType>Book</b:SourceType>
    <b:Guid>{15AA13CF-833C-44F1-A41A-86733E01A95D}</b:Guid>
    <b:Title>Building the Fit Organization: Six Core Principles for Making Your Company Stronger, Faster, and More Competitive </b:Title>
    <b:Year>2015</b:Year>
    <b:City>New York</b:City>
    <b:Publisher>McGraw-Hill Education</b:Publisher>
    <b:Author>
      <b:Author>
        <b:NameList>
          <b:Person>
            <b:Last>Markovitz</b:Last>
            <b:First>Daniel</b:First>
          </b:Person>
        </b:NameList>
      </b:Author>
    </b:Author>
    <b:RefOrder>10</b:RefOrder>
  </b:Source>
  <b:Source>
    <b:Tag>eCu10</b:Tag>
    <b:SourceType>JournalArticle</b:SourceType>
    <b:Guid>{1BA0B535-E5D2-4C23-8C90-B2BDD589C8B9}</b:Guid>
    <b:Title>Complexity, simplicity, simplexity</b:Title>
    <b:Year>2010</b:Year>
    <b:JournalName>European Management Journal</b:JournalName>
    <b:Pages>85-94</b:Pages>
    <b:Volume>28</b:Volume>
    <b:Issue>2</b:Issue>
    <b:Author>
      <b:Author>
        <b:NameList>
          <b:Person>
            <b:Last>e Cunha</b:Last>
            <b:First>M.</b:First>
            <b:Middle>P.</b:Middle>
          </b:Person>
          <b:Person>
            <b:Last>Rego</b:Last>
            <b:First>A</b:First>
          </b:Person>
        </b:NameList>
      </b:Author>
    </b:Author>
    <b:RefOrder>11</b:RefOrder>
  </b:Source>
  <b:Source>
    <b:Tag>Ker14</b:Tag>
    <b:SourceType>Book</b:SourceType>
    <b:Guid>{102F4A75-F413-4973-91A5-6191C0E99FC9}</b:Guid>
    <b:Title>The Executive Checklist</b:Title>
    <b:Year>2014</b:Year>
    <b:Author>
      <b:Author>
        <b:NameList>
          <b:Person>
            <b:Last>Kerr</b:Last>
            <b:First>James</b:First>
          </b:Person>
        </b:NameList>
      </b:Author>
    </b:Author>
    <b:City>New York</b:City>
    <b:Publisher>Palgrave Macmillan</b:Publisher>
    <b:RefOrder>1</b:RefOrder>
  </b:Source>
  <b:Source>
    <b:Tag>Reu07</b:Tag>
    <b:SourceType>JournalArticle</b:SourceType>
    <b:Guid>{4BBC757C-8038-4233-BEB2-F7A90F7EEDD1}</b:Guid>
    <b:Title>Management Strategies for Complex Adaptive Systems</b:Title>
    <b:JournalName>Performance Improvement Quarterly</b:JournalName>
    <b:Year>2007</b:Year>
    <b:Pages>21-42</b:Pages>
    <b:Volume>20</b:Volume>
    <b:Issue>2</b:Issue>
    <b:Author>
      <b:Author>
        <b:NameList>
          <b:Person>
            <b:Last>McDaniel</b:Last>
            <b:First>Reuben</b:First>
            <b:Middle>R</b:Middle>
          </b:Person>
        </b:NameList>
      </b:Author>
    </b:Author>
    <b:RefOrder>12</b:RefOrder>
  </b:Source>
</b:Sources>
</file>

<file path=customXml/itemProps1.xml><?xml version="1.0" encoding="utf-8"?>
<ds:datastoreItem xmlns:ds="http://schemas.openxmlformats.org/officeDocument/2006/customXml" ds:itemID="{44233625-5AC4-4828-969F-9FC2DB5E6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1367</Words>
  <Characters>7796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Hayward</dc:creator>
  <cp:keywords/>
  <dc:description/>
  <cp:lastModifiedBy>Julie Hayward</cp:lastModifiedBy>
  <cp:revision>2</cp:revision>
  <dcterms:created xsi:type="dcterms:W3CDTF">2021-05-26T18:38:00Z</dcterms:created>
  <dcterms:modified xsi:type="dcterms:W3CDTF">2021-05-26T18:38:00Z</dcterms:modified>
</cp:coreProperties>
</file>