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69A04A6" w14:paraId="5E5787A5" wp14:textId="3C75C61D">
      <w:pPr>
        <w:jc w:val="center"/>
        <w:rPr>
          <w:rFonts w:ascii="Times New Roman" w:hAnsi="Times New Roman" w:eastAsia="Times New Roman" w:cs="Times New Roman"/>
          <w:sz w:val="24"/>
          <w:szCs w:val="24"/>
        </w:rPr>
      </w:pPr>
      <w:bookmarkStart w:name="_GoBack" w:id="0"/>
      <w:bookmarkEnd w:id="0"/>
      <w:r w:rsidRPr="469A04A6" w:rsidR="469A04A6">
        <w:rPr>
          <w:rFonts w:ascii="Times New Roman" w:hAnsi="Times New Roman" w:eastAsia="Times New Roman" w:cs="Times New Roman"/>
          <w:sz w:val="24"/>
          <w:szCs w:val="24"/>
        </w:rPr>
        <w:t xml:space="preserve">           Katherine Taylor- 1910010 </w:t>
      </w:r>
    </w:p>
    <w:p w:rsidR="469A04A6" w:rsidP="469A04A6" w:rsidRDefault="469A04A6" w14:paraId="4B95E94F" w14:textId="668F02EC">
      <w:pPr>
        <w:pStyle w:val="Normal"/>
        <w:jc w:val="center"/>
        <w:rPr>
          <w:rFonts w:ascii="Times New Roman" w:hAnsi="Times New Roman" w:eastAsia="Times New Roman" w:cs="Times New Roman"/>
          <w:sz w:val="24"/>
          <w:szCs w:val="24"/>
        </w:rPr>
      </w:pPr>
      <w:r w:rsidRPr="469A04A6" w:rsidR="469A04A6">
        <w:rPr>
          <w:rFonts w:ascii="Times New Roman" w:hAnsi="Times New Roman" w:eastAsia="Times New Roman" w:cs="Times New Roman"/>
          <w:sz w:val="24"/>
          <w:szCs w:val="24"/>
        </w:rPr>
        <w:t xml:space="preserve">      Managing Organisations </w:t>
      </w:r>
    </w:p>
    <w:p w:rsidR="469A04A6" w:rsidP="469A04A6" w:rsidRDefault="469A04A6" w14:paraId="14354931" w14:textId="0477C577">
      <w:pPr>
        <w:pStyle w:val="Normal"/>
        <w:jc w:val="left"/>
        <w:rPr>
          <w:rFonts w:ascii="Times New Roman" w:hAnsi="Times New Roman" w:eastAsia="Times New Roman" w:cs="Times New Roman"/>
          <w:sz w:val="24"/>
          <w:szCs w:val="24"/>
        </w:rPr>
      </w:pPr>
    </w:p>
    <w:p w:rsidR="469A04A6" w:rsidP="469A04A6" w:rsidRDefault="469A04A6" w14:paraId="3C50FEA8" w14:textId="7E5E384C">
      <w:pPr>
        <w:pStyle w:val="Normal"/>
        <w:jc w:val="left"/>
        <w:rPr>
          <w:rFonts w:ascii="Times New Roman" w:hAnsi="Times New Roman" w:eastAsia="Times New Roman" w:cs="Times New Roman"/>
          <w:sz w:val="24"/>
          <w:szCs w:val="24"/>
        </w:rPr>
      </w:pPr>
      <w:r w:rsidRPr="469A04A6" w:rsidR="469A04A6">
        <w:rPr>
          <w:rFonts w:ascii="Times New Roman" w:hAnsi="Times New Roman" w:eastAsia="Times New Roman" w:cs="Times New Roman"/>
          <w:sz w:val="24"/>
          <w:szCs w:val="24"/>
        </w:rPr>
        <w:t>Human Resource Management (HRM).</w:t>
      </w:r>
    </w:p>
    <w:p w:rsidR="469A04A6" w:rsidP="469A04A6" w:rsidRDefault="469A04A6" w14:paraId="5B2D3C2B" w14:textId="54980F29">
      <w:pPr>
        <w:pStyle w:val="Normal"/>
        <w:jc w:val="left"/>
        <w:rPr>
          <w:rFonts w:ascii="Times New Roman" w:hAnsi="Times New Roman" w:eastAsia="Times New Roman" w:cs="Times New Roman"/>
          <w:sz w:val="24"/>
          <w:szCs w:val="24"/>
        </w:rPr>
      </w:pPr>
      <w:r w:rsidRPr="37715AE2" w:rsidR="469A04A6">
        <w:rPr>
          <w:rFonts w:ascii="Times New Roman" w:hAnsi="Times New Roman" w:eastAsia="Times New Roman" w:cs="Times New Roman"/>
          <w:sz w:val="24"/>
          <w:szCs w:val="24"/>
        </w:rPr>
        <w:t xml:space="preserve">Formerly known as Personnel or Personnel Management, Human Resource Management (HRM) is a process of managing employees within an organisation. The main objective of HRM is to enhance the performance of employees in the workplace, in order to achieve organisational success. HRM are responsible for the recruitment, training and development of staff members, along with ensuring that all policies and procedures are followed accordingly (Opatha, 2009). HRM have several key purposes in their role in organisations, the most important one however, is staffing. For any business to be successful and flourish, the right staff need to be recruited for the respective roles available, at an affordable rate. Incentives such as training and development packages need to be offered, in order to sustain a valuable workforce. With the right staff in place, HRM aims to negotiate with them </w:t>
      </w:r>
      <w:bookmarkStart w:name="_Int_yTJR6yTg" w:id="951535019"/>
      <w:r w:rsidRPr="37715AE2" w:rsidR="469A04A6">
        <w:rPr>
          <w:rFonts w:ascii="Times New Roman" w:hAnsi="Times New Roman" w:eastAsia="Times New Roman" w:cs="Times New Roman"/>
          <w:sz w:val="24"/>
          <w:szCs w:val="24"/>
        </w:rPr>
        <w:t>in an effort to</w:t>
      </w:r>
      <w:bookmarkEnd w:id="951535019"/>
      <w:r w:rsidRPr="37715AE2" w:rsidR="469A04A6">
        <w:rPr>
          <w:rFonts w:ascii="Times New Roman" w:hAnsi="Times New Roman" w:eastAsia="Times New Roman" w:cs="Times New Roman"/>
          <w:sz w:val="24"/>
          <w:szCs w:val="24"/>
        </w:rPr>
        <w:t xml:space="preserve"> optimise performance. Managing change and all the conflicts and uncertainties that arise from change is another key function of HRM, along with the administrational, reputational and well-being principles (Torrington et al, 2020). Effective management in human resources is crucial in the health and care sector, as healthcare staff are the first in line to deal with and treat patients and residents. High quality healthcare and positive patient outcomes depend greatly on properly trained and competent staff (</w:t>
      </w:r>
      <w:r w:rsidRPr="37715AE2" w:rsidR="469A04A6">
        <w:rPr>
          <w:rFonts w:ascii="Times New Roman" w:hAnsi="Times New Roman" w:eastAsia="Times New Roman" w:cs="Times New Roman"/>
          <w:sz w:val="24"/>
          <w:szCs w:val="24"/>
        </w:rPr>
        <w:t>Kabene</w:t>
      </w:r>
      <w:r w:rsidRPr="37715AE2" w:rsidR="469A04A6">
        <w:rPr>
          <w:rFonts w:ascii="Times New Roman" w:hAnsi="Times New Roman" w:eastAsia="Times New Roman" w:cs="Times New Roman"/>
          <w:sz w:val="24"/>
          <w:szCs w:val="24"/>
        </w:rPr>
        <w:t xml:space="preserve"> et al, 2006). </w:t>
      </w:r>
    </w:p>
    <w:p w:rsidR="37715AE2" w:rsidP="37715AE2" w:rsidRDefault="37715AE2" w14:paraId="6140F664" w14:textId="37BF9277">
      <w:pPr>
        <w:pStyle w:val="Normal"/>
        <w:jc w:val="left"/>
        <w:rPr>
          <w:rFonts w:ascii="Times New Roman" w:hAnsi="Times New Roman" w:eastAsia="Times New Roman" w:cs="Times New Roman"/>
          <w:sz w:val="24"/>
          <w:szCs w:val="24"/>
        </w:rPr>
      </w:pPr>
      <w:r w:rsidRPr="37715AE2" w:rsidR="37715AE2">
        <w:rPr>
          <w:rFonts w:ascii="Times New Roman" w:hAnsi="Times New Roman" w:eastAsia="Times New Roman" w:cs="Times New Roman"/>
          <w:sz w:val="24"/>
          <w:szCs w:val="24"/>
        </w:rPr>
        <w:t xml:space="preserve">According to Deb (2006) the five main functions of HRM consist of managerial, operational, developmental, analytical and strategic. Managerial duties include planning, organising, directing and controlling. These processes are in place to ensure that organisations are run effectively. Operational functions apply to recruitment procedures, health and safety regulations, salaries and employee relations. Developmental assignments focus on career and training development and performance management, amongst other important responsibilities. Analytical tasks require problem solving tactics and strategic plans that focus on the organisation reaching their targets and goals. </w:t>
      </w:r>
    </w:p>
    <w:p w:rsidR="37715AE2" w:rsidP="37715AE2" w:rsidRDefault="37715AE2" w14:paraId="5EFD2FFE" w14:textId="76A7CBF2">
      <w:pPr>
        <w:pStyle w:val="Normal"/>
        <w:jc w:val="left"/>
        <w:rPr>
          <w:rFonts w:ascii="Times New Roman" w:hAnsi="Times New Roman" w:eastAsia="Times New Roman" w:cs="Times New Roman"/>
          <w:sz w:val="24"/>
          <w:szCs w:val="24"/>
        </w:rPr>
      </w:pPr>
      <w:r w:rsidRPr="0D232BFA" w:rsidR="37715AE2">
        <w:rPr>
          <w:rFonts w:ascii="Times New Roman" w:hAnsi="Times New Roman" w:eastAsia="Times New Roman" w:cs="Times New Roman"/>
          <w:sz w:val="24"/>
          <w:szCs w:val="24"/>
        </w:rPr>
        <w:t>Recruiting and selecting staff for social care organisations can be a complex task for HRM as high-quality standards of care depend greatly on the selection process. Current legislation, laws and regulations must be followed in the procedure, to ensure maximum protection for clients. In England, staff recruitment must comply with The Health and Social Care Act 2008 (Regulated Activities) Regulations 2014. In Wales, it is the Regulated Services (Service Providers and Responsible Individuals) (Wales) Regulations 2017. Within these regulations, requirements include at least two references, full employment history, identity checks and Disclosure and Barring Service (DBS) checks (Croner-</w:t>
      </w:r>
      <w:r w:rsidRPr="0D232BFA" w:rsidR="37715AE2">
        <w:rPr>
          <w:rFonts w:ascii="Times New Roman" w:hAnsi="Times New Roman" w:eastAsia="Times New Roman" w:cs="Times New Roman"/>
          <w:sz w:val="24"/>
          <w:szCs w:val="24"/>
        </w:rPr>
        <w:t>i</w:t>
      </w:r>
      <w:r w:rsidRPr="0D232BFA" w:rsidR="37715AE2">
        <w:rPr>
          <w:rFonts w:ascii="Times New Roman" w:hAnsi="Times New Roman" w:eastAsia="Times New Roman" w:cs="Times New Roman"/>
          <w:sz w:val="24"/>
          <w:szCs w:val="24"/>
        </w:rPr>
        <w:t>, 2022). Equally as important as the recruitment process in all healthcare organisations, is appropriate staff training and performance management. Each of these functions of HRM are essential for positive patient outcomes. Staff training is required to provide employees with the relevant and up-to-date skills and knowledge needed to perform job roles and responsibilities effectively. The confidence gained as a result of training processes, have a direct effect on quality of care. Performance management is an ongoing communication procedure between HRM and employees and is designed to offer feedback and review developmental goals. In healthcare establishments, clarity on specific job roles is identified and this instils confidence in the staff members. Confident staff, who feel of value to a health organisation, leads to better patient care (West et al, 2006). According to Rich, LePine and Crawford (2010) organisations are progressively seeking to improve employee engagement. Studies show that workers who feel supported by and in harmony with an organisation’s beliefs and values, perform better and are more confident in their work.</w:t>
      </w:r>
    </w:p>
    <w:p w:rsidR="0D232BFA" w:rsidP="0D232BFA" w:rsidRDefault="0D232BFA" w14:paraId="1830E93B" w14:textId="7C28E06D">
      <w:pPr>
        <w:pStyle w:val="Normal"/>
        <w:jc w:val="left"/>
        <w:rPr>
          <w:rFonts w:ascii="Times New Roman" w:hAnsi="Times New Roman" w:eastAsia="Times New Roman" w:cs="Times New Roman"/>
          <w:sz w:val="24"/>
          <w:szCs w:val="24"/>
        </w:rPr>
      </w:pPr>
      <w:r w:rsidRPr="0D232BFA" w:rsidR="0D232BFA">
        <w:rPr>
          <w:rFonts w:ascii="Times New Roman" w:hAnsi="Times New Roman" w:eastAsia="Times New Roman" w:cs="Times New Roman"/>
          <w:sz w:val="24"/>
          <w:szCs w:val="24"/>
        </w:rPr>
        <w:t xml:space="preserve">Organisational Culture. </w:t>
      </w:r>
    </w:p>
    <w:p w:rsidR="0D232BFA" w:rsidP="0D232BFA" w:rsidRDefault="0D232BFA" w14:paraId="30B8EAC9" w14:textId="23F8CFEE">
      <w:pPr>
        <w:pStyle w:val="Normal"/>
        <w:jc w:val="left"/>
        <w:rPr>
          <w:rFonts w:ascii="Times New Roman" w:hAnsi="Times New Roman" w:eastAsia="Times New Roman" w:cs="Times New Roman"/>
          <w:sz w:val="24"/>
          <w:szCs w:val="24"/>
        </w:rPr>
      </w:pPr>
      <w:r w:rsidRPr="20049817" w:rsidR="0D232BFA">
        <w:rPr>
          <w:rFonts w:ascii="Times New Roman" w:hAnsi="Times New Roman" w:eastAsia="Times New Roman" w:cs="Times New Roman"/>
          <w:sz w:val="24"/>
          <w:szCs w:val="24"/>
        </w:rPr>
        <w:t xml:space="preserve">According to Chartered Management Institute (2015) The culture of an organisation is the way that things are done within an organisation and is often referred to as the personality or character of an organisation. It is the collective pattern within organisations and comprises the shared values, beliefs and behaviour expectations. Organisational culture determines how decisions should be made and how work processes are carried out and is widely influenced by the organisation’s history, environment, leaders/management and employees. Many approaches, previously developed by management thinkers, can be referred to </w:t>
      </w:r>
      <w:r w:rsidRPr="20049817" w:rsidR="0D232BFA">
        <w:rPr>
          <w:rFonts w:ascii="Times New Roman" w:hAnsi="Times New Roman" w:eastAsia="Times New Roman" w:cs="Times New Roman"/>
          <w:sz w:val="24"/>
          <w:szCs w:val="24"/>
        </w:rPr>
        <w:t xml:space="preserve">in the quest to classify the different types of culture. Charles Handy categorised four main types of organisational culture. Power culture usually comes from the centre and filters through via personal communications, there is little bureaucracy and few rules. In stark contrast to power culture, role culture depends greatly on structure. Branded as a bureaucracy, the focus is on the position rather than the individual. Task culture involves teams of experts unified in a bid to solve problems. Person culture is where all the individuals concerned, consider themselves to be superior to the organisation. Examples of this are groups of doctors, consultants or barristers, sharing the space of an office. Each organisation has its own distinctive culture, with many companies having a mixture of cultures in different parts of an organisation. Employees are far more likely to be happier and therefore perform better if the culture within the area that they work, matches their own personalities. This then leads to organisational success (Mullins and McLean, 2019). </w:t>
      </w:r>
    </w:p>
    <w:p w:rsidR="0D232BFA" w:rsidP="20049817" w:rsidRDefault="0D232BFA" w14:paraId="43227253" w14:textId="7BDC7CB8">
      <w:pPr>
        <w:pStyle w:val="Normal"/>
        <w:jc w:val="left"/>
        <w:rPr>
          <w:rFonts w:ascii="Times New Roman" w:hAnsi="Times New Roman" w:eastAsia="Times New Roman" w:cs="Times New Roman"/>
          <w:sz w:val="24"/>
          <w:szCs w:val="24"/>
        </w:rPr>
      </w:pPr>
      <w:r w:rsidRPr="20049817" w:rsidR="20049817">
        <w:rPr>
          <w:rFonts w:ascii="Times New Roman" w:hAnsi="Times New Roman" w:eastAsia="Times New Roman" w:cs="Times New Roman"/>
          <w:sz w:val="24"/>
          <w:szCs w:val="24"/>
        </w:rPr>
        <w:t xml:space="preserve">The culture of an organisation is shaped by many factors. The foundations, however, are derived from the origins of the business, namely, the founder. As organisations evolve from their starting point, so does the complexity of the cultures within them. According to Mannion and Davies (2018) there are three levels of organisational culture in healthcare establishments. Tangible aspects of healthcare culture include structure, often referred to as the key driving point for culture within organisations. Amongst structure lies role and service distribution and as healthcare is such a multifaceted organisation, manifestations such as deep-rooted divisions between health and social care and divides between primary and secondary care are experienced. Policies and procedures, codes of conduct, risk assessments and the nature of responses to complaints and patient feedback are all incorporated into the structure of health organisations. Other key influences on culture comprise, rewards, such as wages, bonuses and pensions and working environments. The physical environment of an organisation can influence culture as it has a direct effect on communication between staff. Normalised behaviour falls into tangible and intangible categories, as standards are set for work practices. Intangible aspects rely on the behaviour of leaders in health organisations, as </w:t>
      </w:r>
      <w:r w:rsidRPr="20049817" w:rsidR="20049817">
        <w:rPr>
          <w:rFonts w:ascii="Times New Roman" w:hAnsi="Times New Roman" w:eastAsia="Times New Roman" w:cs="Times New Roman"/>
          <w:sz w:val="24"/>
          <w:szCs w:val="24"/>
        </w:rPr>
        <w:t>their</w:t>
      </w:r>
      <w:r w:rsidRPr="20049817" w:rsidR="20049817">
        <w:rPr>
          <w:rFonts w:ascii="Times New Roman" w:hAnsi="Times New Roman" w:eastAsia="Times New Roman" w:cs="Times New Roman"/>
          <w:sz w:val="24"/>
          <w:szCs w:val="24"/>
        </w:rPr>
        <w:t xml:space="preserve"> core values and beliefs filter down to staff and therefore have a crucial impact on patients. </w:t>
      </w:r>
    </w:p>
    <w:p w:rsidR="0D232BFA" w:rsidP="20049817" w:rsidRDefault="0D232BFA" w14:paraId="0FC61FAF" w14:textId="0F9BE06F">
      <w:pPr>
        <w:pStyle w:val="Normal"/>
        <w:jc w:val="left"/>
        <w:rPr>
          <w:rFonts w:ascii="Times New Roman" w:hAnsi="Times New Roman" w:eastAsia="Times New Roman" w:cs="Times New Roman"/>
          <w:sz w:val="24"/>
          <w:szCs w:val="24"/>
        </w:rPr>
      </w:pPr>
      <w:r w:rsidRPr="20049817" w:rsidR="20049817">
        <w:rPr>
          <w:rFonts w:ascii="Times New Roman" w:hAnsi="Times New Roman" w:eastAsia="Times New Roman" w:cs="Times New Roman"/>
          <w:sz w:val="24"/>
          <w:szCs w:val="24"/>
        </w:rPr>
        <w:t xml:space="preserve">The culture within a healthcare organisation has a direct impact on staff performance and therefore quality of care for patients. Core values around patient-centred care are paramount. Leaders are required to set the standards for conduct and delivery of care. Healthcare staff are too often being put under pressure to deliver quality care, without structure and clear goals by their leaders, leading to staff feeling overwhelmed and stressed. Furthermore, some leaders have a total disregard of respect and compassion when addressing staff members, this can affect staff performance. Leaders must be exemplars in their roles, as their behaviour towards staff ultimately affects staff morale. A culture where staff have the opportunity for continuous learning and are encouraged to reflect on </w:t>
      </w:r>
      <w:bookmarkStart w:name="_Int_tTTANGCN" w:id="915684435"/>
      <w:r w:rsidRPr="20049817" w:rsidR="20049817">
        <w:rPr>
          <w:rFonts w:ascii="Times New Roman" w:hAnsi="Times New Roman" w:eastAsia="Times New Roman" w:cs="Times New Roman"/>
          <w:sz w:val="24"/>
          <w:szCs w:val="24"/>
        </w:rPr>
        <w:t>their</w:t>
      </w:r>
      <w:bookmarkEnd w:id="915684435"/>
      <w:r w:rsidRPr="20049817" w:rsidR="20049817">
        <w:rPr>
          <w:rFonts w:ascii="Times New Roman" w:hAnsi="Times New Roman" w:eastAsia="Times New Roman" w:cs="Times New Roman"/>
          <w:sz w:val="24"/>
          <w:szCs w:val="24"/>
        </w:rPr>
        <w:t xml:space="preserve"> performances, increases morale and has a positive effect on quality of care. Patients’ feedback drives performance and enables honest, open debate around mistakes and errors made, in a bid to learn from mistakes and avoid blaming tactics. Effective teamworking, collaboration with multi-professional teams and collective leadership, all contribute to a positive culture within an organisation and are fundamental in providing high class patient care (The King’s Fund, 2022). </w:t>
      </w:r>
    </w:p>
    <w:p w:rsidR="0D232BFA" w:rsidP="20049817" w:rsidRDefault="0D232BFA" w14:paraId="770F713A" w14:textId="587904C1">
      <w:pPr>
        <w:pStyle w:val="Normal"/>
        <w:jc w:val="left"/>
        <w:rPr>
          <w:rFonts w:ascii="Times New Roman" w:hAnsi="Times New Roman" w:eastAsia="Times New Roman" w:cs="Times New Roman"/>
          <w:sz w:val="24"/>
          <w:szCs w:val="24"/>
        </w:rPr>
      </w:pPr>
      <w:r w:rsidRPr="20049817" w:rsidR="20049817">
        <w:rPr>
          <w:rFonts w:ascii="Times New Roman" w:hAnsi="Times New Roman" w:eastAsia="Times New Roman" w:cs="Times New Roman"/>
          <w:sz w:val="24"/>
          <w:szCs w:val="24"/>
        </w:rPr>
        <w:t>Managing Change</w:t>
      </w:r>
    </w:p>
    <w:p w:rsidR="0D232BFA" w:rsidP="20049817" w:rsidRDefault="0D232BFA" w14:paraId="1D010E3A" w14:textId="522A18DB">
      <w:pPr>
        <w:pStyle w:val="Normal"/>
        <w:jc w:val="left"/>
        <w:rPr>
          <w:rFonts w:ascii="Times New Roman" w:hAnsi="Times New Roman" w:eastAsia="Times New Roman" w:cs="Times New Roman"/>
          <w:sz w:val="24"/>
          <w:szCs w:val="24"/>
        </w:rPr>
      </w:pPr>
      <w:r w:rsidRPr="24789B1D" w:rsidR="20049817">
        <w:rPr>
          <w:rFonts w:ascii="Times New Roman" w:hAnsi="Times New Roman" w:eastAsia="Times New Roman" w:cs="Times New Roman"/>
          <w:sz w:val="24"/>
          <w:szCs w:val="24"/>
        </w:rPr>
        <w:t xml:space="preserve">Change, in any form and in any walk of life, can cause stress, uncertainty and panic. Strong leadership in organisations is needed to adapt to change and provide the right support, communication and tools to manage change. There are positives and negative reactions to change, positives include excitement, risk taking, and improvement. Negative examples are fear, panic, anxiety and loss, to name a few. Strong leadership is key in addressing change in the workplace (Fullan, 2020). According to Harbert (2021) change management entails having the required knowledge, tools and resources to implement the changes in an organisation. Effective change management demands a systematic approach to deal with the people side of change and achieve a desired outcome, with minimal negative effects. Planned organisational change takes place for many reasons, including government legislation, technological advances and attempts to improve operational success at organisations, amongst other factors. Transformational change has a much bigger impact on organisations and pushes companies and employees out of their comfort zones, upsets the culture and working practices. These changes can spark resistance from employees and the organisations.  Uncertainty arises over job security, job roles, wages and workloads. Successful management at these times is crucial, as change is inevitable in all organisations. The Digital era and new emerging technologies will create more frequent changes in the future, globally (Mullins and McClean, 2019). </w:t>
      </w:r>
    </w:p>
    <w:p w:rsidR="24789B1D" w:rsidP="24789B1D" w:rsidRDefault="24789B1D" w14:paraId="38302B96" w14:textId="7C02A403">
      <w:pPr>
        <w:pStyle w:val="Normal"/>
        <w:jc w:val="left"/>
        <w:rPr>
          <w:rFonts w:ascii="Times New Roman" w:hAnsi="Times New Roman" w:eastAsia="Times New Roman" w:cs="Times New Roman"/>
          <w:sz w:val="24"/>
          <w:szCs w:val="24"/>
        </w:rPr>
      </w:pPr>
      <w:r w:rsidRPr="24789B1D" w:rsidR="24789B1D">
        <w:rPr>
          <w:rFonts w:ascii="Times New Roman" w:hAnsi="Times New Roman" w:eastAsia="Times New Roman" w:cs="Times New Roman"/>
          <w:sz w:val="24"/>
          <w:szCs w:val="24"/>
        </w:rPr>
        <w:t xml:space="preserve">Managing change in health and social care is not uncommon. Government legislation prompts policy and procedure change quite </w:t>
      </w:r>
      <w:bookmarkStart w:name="_Int_uBTyeCnv" w:id="1952966799"/>
      <w:r w:rsidRPr="24789B1D" w:rsidR="24789B1D">
        <w:rPr>
          <w:rFonts w:ascii="Times New Roman" w:hAnsi="Times New Roman" w:eastAsia="Times New Roman" w:cs="Times New Roman"/>
          <w:sz w:val="24"/>
          <w:szCs w:val="24"/>
        </w:rPr>
        <w:t>frequently,</w:t>
      </w:r>
      <w:bookmarkEnd w:id="1952966799"/>
      <w:r w:rsidRPr="24789B1D" w:rsidR="24789B1D">
        <w:rPr>
          <w:rFonts w:ascii="Times New Roman" w:hAnsi="Times New Roman" w:eastAsia="Times New Roman" w:cs="Times New Roman"/>
          <w:sz w:val="24"/>
          <w:szCs w:val="24"/>
        </w:rPr>
        <w:t xml:space="preserve"> environmental factors also demand change from organisations. Austerity and lack of funding and staff shortages also contribute to changes being implemented. According to Martin (2010) leaders are needed for small day to day challenges and for the more dramatic step-changes. Managers and staff alike, must be able to learn to change and learning becomes central to change. With change, comes a certain amount of distraction and leaders must be aware of their role in preparing their organisation and employees for this. Quality of service can be greatly affected by change, due to stress and psychological pressures within the establishment. Leaders need to prepare themselves and their staff members for the tumultuous times ahead and adopt forward planning techniques to counteract this. Teamwork and more importantly flexibility in teamwork is required, so decisions and actions can be made to minimise the disruption. Staff need to be empowered and a change in culture is needed to encourage wider empowerment. </w:t>
      </w:r>
    </w:p>
    <w:p w:rsidR="0D232BFA" w:rsidP="0D232BFA" w:rsidRDefault="0D232BFA" w14:paraId="6C5A65E0" w14:textId="225B5D5E">
      <w:pPr>
        <w:pStyle w:val="Normal"/>
        <w:jc w:val="left"/>
        <w:rPr>
          <w:rFonts w:ascii="Times New Roman" w:hAnsi="Times New Roman" w:eastAsia="Times New Roman" w:cs="Times New Roman"/>
          <w:sz w:val="24"/>
          <w:szCs w:val="24"/>
        </w:rPr>
      </w:pPr>
      <w:r w:rsidRPr="20049817" w:rsidR="20049817">
        <w:rPr>
          <w:rFonts w:ascii="Times New Roman" w:hAnsi="Times New Roman" w:eastAsia="Times New Roman" w:cs="Times New Roman"/>
          <w:sz w:val="24"/>
          <w:szCs w:val="24"/>
        </w:rPr>
        <w:t xml:space="preserve">       </w:t>
      </w:r>
    </w:p>
    <w:p w:rsidR="0D232BFA" w:rsidP="0D232BFA" w:rsidRDefault="0D232BFA" w14:paraId="4F87CE2D" w14:textId="65A82457">
      <w:pPr>
        <w:pStyle w:val="Normal"/>
        <w:jc w:val="left"/>
        <w:rPr>
          <w:rFonts w:ascii="Times New Roman" w:hAnsi="Times New Roman" w:eastAsia="Times New Roman" w:cs="Times New Roman"/>
          <w:sz w:val="24"/>
          <w:szCs w:val="24"/>
        </w:rPr>
      </w:pPr>
      <w:r w:rsidRPr="20049817" w:rsidR="0D232BFA">
        <w:rPr>
          <w:rFonts w:ascii="Times New Roman" w:hAnsi="Times New Roman" w:eastAsia="Times New Roman" w:cs="Times New Roman"/>
          <w:sz w:val="24"/>
          <w:szCs w:val="24"/>
        </w:rPr>
        <w:t xml:space="preserve">  </w:t>
      </w:r>
      <w:r w:rsidRPr="20049817" w:rsidR="0D232BFA">
        <w:rPr>
          <w:rFonts w:ascii="Times New Roman" w:hAnsi="Times New Roman" w:eastAsia="Times New Roman" w:cs="Times New Roman"/>
          <w:sz w:val="24"/>
          <w:szCs w:val="24"/>
        </w:rPr>
        <w:t xml:space="preserve"> </w:t>
      </w:r>
    </w:p>
    <w:p w:rsidR="33FA02C9" w:rsidP="3F44AC3C" w:rsidRDefault="33FA02C9" w14:paraId="25ADC6C9" w14:textId="7C5482C8">
      <w:pPr>
        <w:pStyle w:val="Normal"/>
        <w:jc w:val="center"/>
        <w:rPr>
          <w:rFonts w:ascii="Times New Roman" w:hAnsi="Times New Roman" w:eastAsia="Times New Roman" w:cs="Times New Roman"/>
          <w:sz w:val="40"/>
          <w:szCs w:val="40"/>
        </w:rPr>
      </w:pPr>
      <w:r w:rsidRPr="3F44AC3C" w:rsidR="3F44AC3C">
        <w:rPr>
          <w:rFonts w:ascii="Times New Roman" w:hAnsi="Times New Roman" w:eastAsia="Times New Roman" w:cs="Times New Roman"/>
          <w:sz w:val="40"/>
          <w:szCs w:val="40"/>
        </w:rPr>
        <w:t>References</w:t>
      </w:r>
    </w:p>
    <w:p w:rsidR="3F44AC3C" w:rsidP="3F44AC3C" w:rsidRDefault="3F44AC3C" w14:paraId="396C1C8D" w14:textId="45FE267B">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3F44AC3C" w:rsidR="3F44AC3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Al-Abri, R. (2007) ‘Manging Change in Healthcare’, </w:t>
      </w:r>
      <w:r w:rsidRPr="3F44AC3C" w:rsidR="3F44AC3C">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Oman Medical Journal</w:t>
      </w:r>
      <w:r w:rsidRPr="3F44AC3C" w:rsidR="3F44AC3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22 (3) pp 9-10.</w:t>
      </w:r>
    </w:p>
    <w:p w:rsidR="3F44AC3C" w:rsidP="3F44AC3C" w:rsidRDefault="3F44AC3C" w14:paraId="50015965" w14:textId="1B4B7F05">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3F44AC3C" w:rsidR="3F44AC3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Chartered Management Institute (2015) </w:t>
      </w:r>
      <w:r w:rsidRPr="3F44AC3C" w:rsidR="3F44AC3C">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Understanding Organisational Culture</w:t>
      </w:r>
      <w:r w:rsidRPr="3F44AC3C" w:rsidR="3F44AC3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Available at: </w:t>
      </w:r>
      <w:r w:rsidRPr="3F44AC3C" w:rsidR="3F44AC3C">
        <w:rPr>
          <w:rFonts w:ascii="Times New Roman" w:hAnsi="Times New Roman" w:eastAsia="Times New Roman" w:cs="Times New Roman"/>
          <w:b w:val="0"/>
          <w:bCs w:val="0"/>
          <w:i w:val="0"/>
          <w:iCs w:val="0"/>
          <w:caps w:val="0"/>
          <w:smallCaps w:val="0"/>
          <w:noProof w:val="0"/>
          <w:sz w:val="28"/>
          <w:szCs w:val="28"/>
          <w:lang w:val="en-GB"/>
        </w:rPr>
        <w:t>https://www.managers.org.uk/~/media/Files/PDF/Checklists/CHK-232-Understanding-organisational-culture.pdf</w:t>
      </w:r>
      <w:r w:rsidRPr="3F44AC3C" w:rsidR="3F44AC3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(Accessed 10</w:t>
      </w:r>
      <w:r w:rsidRPr="3F44AC3C" w:rsidR="3F44AC3C">
        <w:rPr>
          <w:rFonts w:ascii="Times New Roman" w:hAnsi="Times New Roman" w:eastAsia="Times New Roman" w:cs="Times New Roman"/>
          <w:b w:val="0"/>
          <w:bCs w:val="0"/>
          <w:i w:val="0"/>
          <w:iCs w:val="0"/>
          <w:caps w:val="0"/>
          <w:smallCaps w:val="0"/>
          <w:noProof w:val="0"/>
          <w:color w:val="000000" w:themeColor="text1" w:themeTint="FF" w:themeShade="FF"/>
          <w:sz w:val="28"/>
          <w:szCs w:val="28"/>
          <w:vertAlign w:val="superscript"/>
          <w:lang w:val="en-GB"/>
        </w:rPr>
        <w:t>th</w:t>
      </w:r>
      <w:r w:rsidRPr="3F44AC3C" w:rsidR="3F44AC3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January 2022). </w:t>
      </w:r>
    </w:p>
    <w:p w:rsidR="3F44AC3C" w:rsidP="3F44AC3C" w:rsidRDefault="3F44AC3C" w14:paraId="2FE2E07F" w14:textId="1ADFF172">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3F44AC3C" w:rsidR="3F44AC3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Croner-i (2022) </w:t>
      </w:r>
      <w:r w:rsidRPr="3F44AC3C" w:rsidR="3F44AC3C">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Recruitment and Selection Procedures in Social Care: In- Depth</w:t>
      </w:r>
      <w:r w:rsidRPr="3F44AC3C" w:rsidR="3F44AC3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Available at: </w:t>
      </w:r>
      <w:r w:rsidRPr="3F44AC3C" w:rsidR="3F44AC3C">
        <w:rPr>
          <w:rFonts w:ascii="Times New Roman" w:hAnsi="Times New Roman" w:eastAsia="Times New Roman" w:cs="Times New Roman"/>
          <w:b w:val="0"/>
          <w:bCs w:val="0"/>
          <w:i w:val="0"/>
          <w:iCs w:val="0"/>
          <w:caps w:val="0"/>
          <w:smallCaps w:val="0"/>
          <w:noProof w:val="0"/>
          <w:sz w:val="28"/>
          <w:szCs w:val="28"/>
          <w:lang w:val="en-GB"/>
        </w:rPr>
        <w:t>https://app.croneri.co.uk/topics/recruitment-and-selection-procedures-social-care/indepth</w:t>
      </w:r>
      <w:r w:rsidRPr="3F44AC3C" w:rsidR="3F44AC3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(Accessed 7</w:t>
      </w:r>
      <w:r w:rsidRPr="3F44AC3C" w:rsidR="3F44AC3C">
        <w:rPr>
          <w:rFonts w:ascii="Times New Roman" w:hAnsi="Times New Roman" w:eastAsia="Times New Roman" w:cs="Times New Roman"/>
          <w:b w:val="0"/>
          <w:bCs w:val="0"/>
          <w:i w:val="0"/>
          <w:iCs w:val="0"/>
          <w:caps w:val="0"/>
          <w:smallCaps w:val="0"/>
          <w:noProof w:val="0"/>
          <w:color w:val="000000" w:themeColor="text1" w:themeTint="FF" w:themeShade="FF"/>
          <w:sz w:val="28"/>
          <w:szCs w:val="28"/>
          <w:vertAlign w:val="superscript"/>
          <w:lang w:val="en-GB"/>
        </w:rPr>
        <w:t>th</w:t>
      </w:r>
      <w:r w:rsidRPr="3F44AC3C" w:rsidR="3F44AC3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January 2022). </w:t>
      </w:r>
    </w:p>
    <w:p w:rsidR="3F44AC3C" w:rsidP="3F44AC3C" w:rsidRDefault="3F44AC3C" w14:paraId="2593D1F3" w14:textId="6E372EF9">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3F44AC3C" w:rsidR="3F44AC3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Deb, T. (2006) </w:t>
      </w:r>
      <w:r w:rsidRPr="3F44AC3C" w:rsidR="3F44AC3C">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Strategic Approach to Human Resource Management</w:t>
      </w:r>
      <w:r w:rsidRPr="3F44AC3C" w:rsidR="3F44AC3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India: Atlantic Publishers and Distributors (P) Limited. </w:t>
      </w:r>
    </w:p>
    <w:p w:rsidR="3F44AC3C" w:rsidP="3F44AC3C" w:rsidRDefault="3F44AC3C" w14:paraId="313C4EDB" w14:textId="29BB1B20">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3F44AC3C" w:rsidR="3F44AC3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Fullan, M. (2020)</w:t>
      </w:r>
      <w:r w:rsidRPr="3F44AC3C" w:rsidR="3F44AC3C">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Leading in a Culture of Change</w:t>
      </w:r>
      <w:r w:rsidRPr="3F44AC3C" w:rsidR="3F44AC3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2</w:t>
      </w:r>
      <w:r w:rsidRPr="3F44AC3C" w:rsidR="3F44AC3C">
        <w:rPr>
          <w:rFonts w:ascii="Times New Roman" w:hAnsi="Times New Roman" w:eastAsia="Times New Roman" w:cs="Times New Roman"/>
          <w:b w:val="0"/>
          <w:bCs w:val="0"/>
          <w:i w:val="0"/>
          <w:iCs w:val="0"/>
          <w:caps w:val="0"/>
          <w:smallCaps w:val="0"/>
          <w:noProof w:val="0"/>
          <w:color w:val="000000" w:themeColor="text1" w:themeTint="FF" w:themeShade="FF"/>
          <w:sz w:val="28"/>
          <w:szCs w:val="28"/>
          <w:vertAlign w:val="superscript"/>
          <w:lang w:val="en-GB"/>
        </w:rPr>
        <w:t>nd</w:t>
      </w:r>
      <w:r w:rsidRPr="3F44AC3C" w:rsidR="3F44AC3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Ed. Newark: John Wiley and Sons, Incorporated. Available from: ProQuest Ebook Central (Accessed 1</w:t>
      </w:r>
      <w:r w:rsidRPr="3F44AC3C" w:rsidR="3F44AC3C">
        <w:rPr>
          <w:rFonts w:ascii="Times New Roman" w:hAnsi="Times New Roman" w:eastAsia="Times New Roman" w:cs="Times New Roman"/>
          <w:b w:val="0"/>
          <w:bCs w:val="0"/>
          <w:i w:val="0"/>
          <w:iCs w:val="0"/>
          <w:caps w:val="0"/>
          <w:smallCaps w:val="0"/>
          <w:noProof w:val="0"/>
          <w:color w:val="000000" w:themeColor="text1" w:themeTint="FF" w:themeShade="FF"/>
          <w:sz w:val="28"/>
          <w:szCs w:val="28"/>
          <w:vertAlign w:val="superscript"/>
          <w:lang w:val="en-GB"/>
        </w:rPr>
        <w:t>st</w:t>
      </w:r>
      <w:r w:rsidRPr="3F44AC3C" w:rsidR="3F44AC3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February 2022). </w:t>
      </w:r>
    </w:p>
    <w:p w:rsidR="3F44AC3C" w:rsidP="3F44AC3C" w:rsidRDefault="3F44AC3C" w14:paraId="46872D48" w14:textId="67A4867E">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3F44AC3C" w:rsidR="3F44AC3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Harbert, T. (2021) </w:t>
      </w:r>
      <w:r w:rsidRPr="3F44AC3C" w:rsidR="3F44AC3C">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How to Manage Change: HR can play a critical role in helping the workforce evolve to meet future needs</w:t>
      </w:r>
      <w:r w:rsidRPr="3F44AC3C" w:rsidR="3F44AC3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Available at: </w:t>
      </w:r>
      <w:r w:rsidRPr="3F44AC3C" w:rsidR="3F44AC3C">
        <w:rPr>
          <w:rFonts w:ascii="Times New Roman" w:hAnsi="Times New Roman" w:eastAsia="Times New Roman" w:cs="Times New Roman"/>
          <w:b w:val="0"/>
          <w:bCs w:val="0"/>
          <w:i w:val="0"/>
          <w:iCs w:val="0"/>
          <w:caps w:val="0"/>
          <w:smallCaps w:val="0"/>
          <w:noProof w:val="0"/>
          <w:sz w:val="28"/>
          <w:szCs w:val="28"/>
          <w:lang w:val="en-GB"/>
        </w:rPr>
        <w:t>https://www.shrm.org/hr-today/news/hr-magazine/spring2021/Pages/managing-change.aspx</w:t>
      </w:r>
      <w:r w:rsidRPr="3F44AC3C" w:rsidR="3F44AC3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(Accessed 3</w:t>
      </w:r>
      <w:r w:rsidRPr="3F44AC3C" w:rsidR="3F44AC3C">
        <w:rPr>
          <w:rFonts w:ascii="Times New Roman" w:hAnsi="Times New Roman" w:eastAsia="Times New Roman" w:cs="Times New Roman"/>
          <w:b w:val="0"/>
          <w:bCs w:val="0"/>
          <w:i w:val="0"/>
          <w:iCs w:val="0"/>
          <w:caps w:val="0"/>
          <w:smallCaps w:val="0"/>
          <w:noProof w:val="0"/>
          <w:color w:val="000000" w:themeColor="text1" w:themeTint="FF" w:themeShade="FF"/>
          <w:sz w:val="28"/>
          <w:szCs w:val="28"/>
          <w:vertAlign w:val="superscript"/>
          <w:lang w:val="en-GB"/>
        </w:rPr>
        <w:t>rd</w:t>
      </w:r>
      <w:r w:rsidRPr="3F44AC3C" w:rsidR="3F44AC3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February 2022). </w:t>
      </w:r>
    </w:p>
    <w:p w:rsidR="3F44AC3C" w:rsidP="3F44AC3C" w:rsidRDefault="3F44AC3C" w14:paraId="5F95FC91" w14:textId="3096BDF2">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3F44AC3C" w:rsidR="3F44AC3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Kabene, S. M., Orchard, C., Howard, J. M., Soriano, M. A. and Leduc, R. (2006) ‘The Importance of human resources management in health care: a global context’, </w:t>
      </w:r>
      <w:r w:rsidRPr="3F44AC3C" w:rsidR="3F44AC3C">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Human Resources for Health</w:t>
      </w:r>
      <w:r w:rsidRPr="3F44AC3C" w:rsidR="3F44AC3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4 p.20. Available at: </w:t>
      </w:r>
      <w:r w:rsidRPr="3F44AC3C" w:rsidR="3F44AC3C">
        <w:rPr>
          <w:rFonts w:ascii="Times New Roman" w:hAnsi="Times New Roman" w:eastAsia="Times New Roman" w:cs="Times New Roman"/>
          <w:b w:val="0"/>
          <w:bCs w:val="0"/>
          <w:i w:val="0"/>
          <w:iCs w:val="0"/>
          <w:caps w:val="0"/>
          <w:smallCaps w:val="0"/>
          <w:noProof w:val="0"/>
          <w:sz w:val="28"/>
          <w:szCs w:val="28"/>
          <w:lang w:val="en-GB"/>
        </w:rPr>
        <w:t>https://human-resources-health.biomedcentral.com/articles/10.1186/1478-4491-4-20#citeas</w:t>
      </w:r>
      <w:r w:rsidRPr="3F44AC3C" w:rsidR="3F44AC3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(Accessed 6</w:t>
      </w:r>
      <w:r w:rsidRPr="3F44AC3C" w:rsidR="3F44AC3C">
        <w:rPr>
          <w:rFonts w:ascii="Times New Roman" w:hAnsi="Times New Roman" w:eastAsia="Times New Roman" w:cs="Times New Roman"/>
          <w:b w:val="0"/>
          <w:bCs w:val="0"/>
          <w:i w:val="0"/>
          <w:iCs w:val="0"/>
          <w:caps w:val="0"/>
          <w:smallCaps w:val="0"/>
          <w:noProof w:val="0"/>
          <w:color w:val="000000" w:themeColor="text1" w:themeTint="FF" w:themeShade="FF"/>
          <w:sz w:val="28"/>
          <w:szCs w:val="28"/>
          <w:vertAlign w:val="superscript"/>
          <w:lang w:val="en-GB"/>
        </w:rPr>
        <w:t>th</w:t>
      </w:r>
      <w:r w:rsidRPr="3F44AC3C" w:rsidR="3F44AC3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January 2022). </w:t>
      </w:r>
    </w:p>
    <w:p w:rsidR="3F44AC3C" w:rsidP="3F44AC3C" w:rsidRDefault="3F44AC3C" w14:paraId="064ED0CC" w14:textId="32591B7D">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3F44AC3C" w:rsidR="3F44AC3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Mannion, R. and Davies, H. (2018) ‘Understanding organisational culture for healthcare quality improvement’, </w:t>
      </w:r>
      <w:r w:rsidRPr="3F44AC3C" w:rsidR="3F44AC3C">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British Medical Journal</w:t>
      </w:r>
      <w:r w:rsidRPr="3F44AC3C" w:rsidR="3F44AC3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363. Available at: </w:t>
      </w:r>
      <w:r w:rsidRPr="3F44AC3C" w:rsidR="3F44AC3C">
        <w:rPr>
          <w:rFonts w:ascii="Times New Roman" w:hAnsi="Times New Roman" w:eastAsia="Times New Roman" w:cs="Times New Roman"/>
          <w:b w:val="0"/>
          <w:bCs w:val="0"/>
          <w:i w:val="0"/>
          <w:iCs w:val="0"/>
          <w:caps w:val="0"/>
          <w:smallCaps w:val="0"/>
          <w:noProof w:val="0"/>
          <w:sz w:val="28"/>
          <w:szCs w:val="28"/>
          <w:lang w:val="en-GB"/>
        </w:rPr>
        <w:t>https://www.bmj.com/content/363/bmj.k4907</w:t>
      </w:r>
      <w:r w:rsidRPr="3F44AC3C" w:rsidR="3F44AC3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(Accessed 15</w:t>
      </w:r>
      <w:r w:rsidRPr="3F44AC3C" w:rsidR="3F44AC3C">
        <w:rPr>
          <w:rFonts w:ascii="Times New Roman" w:hAnsi="Times New Roman" w:eastAsia="Times New Roman" w:cs="Times New Roman"/>
          <w:b w:val="0"/>
          <w:bCs w:val="0"/>
          <w:i w:val="0"/>
          <w:iCs w:val="0"/>
          <w:caps w:val="0"/>
          <w:smallCaps w:val="0"/>
          <w:noProof w:val="0"/>
          <w:color w:val="000000" w:themeColor="text1" w:themeTint="FF" w:themeShade="FF"/>
          <w:sz w:val="28"/>
          <w:szCs w:val="28"/>
          <w:vertAlign w:val="superscript"/>
          <w:lang w:val="en-GB"/>
        </w:rPr>
        <w:t>th</w:t>
      </w:r>
      <w:r w:rsidRPr="3F44AC3C" w:rsidR="3F44AC3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January 2022). </w:t>
      </w:r>
    </w:p>
    <w:p w:rsidR="3F44AC3C" w:rsidP="3F44AC3C" w:rsidRDefault="3F44AC3C" w14:paraId="776E15C3" w14:textId="6B196F77">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3F44AC3C" w:rsidR="3F44AC3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Martin, V. (2010) </w:t>
      </w:r>
      <w:r w:rsidRPr="3F44AC3C" w:rsidR="3F44AC3C">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Leading Change in Health and Social Care</w:t>
      </w:r>
      <w:r w:rsidRPr="3F44AC3C" w:rsidR="3F44AC3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United Kingdom: Taylor and Francis. </w:t>
      </w:r>
    </w:p>
    <w:p w:rsidR="3F44AC3C" w:rsidP="3F44AC3C" w:rsidRDefault="3F44AC3C" w14:paraId="06106B89" w14:textId="2950EBC6">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p>
    <w:p w:rsidR="3F44AC3C" w:rsidP="3F44AC3C" w:rsidRDefault="3F44AC3C" w14:paraId="32285298" w14:textId="592379F2">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p>
    <w:p w:rsidR="3F44AC3C" w:rsidP="3F44AC3C" w:rsidRDefault="3F44AC3C" w14:paraId="62E6F850" w14:textId="124C6983">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3F44AC3C" w:rsidR="3F44AC3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Mullins, L. and McLean, J. E. (2019)</w:t>
      </w:r>
      <w:r w:rsidRPr="3F44AC3C" w:rsidR="3F44AC3C">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Mullins: Organisational Behaviour in the Workplace</w:t>
      </w:r>
      <w:r w:rsidRPr="3F44AC3C" w:rsidR="3F44AC3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Harlow: Pearson Education Limited. Available from: ProQuest Ebook Central (Accessed 10</w:t>
      </w:r>
      <w:r w:rsidRPr="3F44AC3C" w:rsidR="3F44AC3C">
        <w:rPr>
          <w:rFonts w:ascii="Times New Roman" w:hAnsi="Times New Roman" w:eastAsia="Times New Roman" w:cs="Times New Roman"/>
          <w:b w:val="0"/>
          <w:bCs w:val="0"/>
          <w:i w:val="0"/>
          <w:iCs w:val="0"/>
          <w:caps w:val="0"/>
          <w:smallCaps w:val="0"/>
          <w:noProof w:val="0"/>
          <w:color w:val="000000" w:themeColor="text1" w:themeTint="FF" w:themeShade="FF"/>
          <w:sz w:val="28"/>
          <w:szCs w:val="28"/>
          <w:vertAlign w:val="superscript"/>
          <w:lang w:val="en-GB"/>
        </w:rPr>
        <w:t>th</w:t>
      </w:r>
      <w:r w:rsidRPr="3F44AC3C" w:rsidR="3F44AC3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January 2022). </w:t>
      </w:r>
    </w:p>
    <w:p w:rsidR="3F44AC3C" w:rsidP="3F44AC3C" w:rsidRDefault="3F44AC3C" w14:paraId="461C6C4B" w14:textId="4A239523">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3F44AC3C" w:rsidR="3F44AC3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Opatha, H. (2009) </w:t>
      </w:r>
      <w:r w:rsidRPr="3F44AC3C" w:rsidR="3F44AC3C">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Human Resource Management</w:t>
      </w:r>
      <w:r w:rsidRPr="3F44AC3C" w:rsidR="3F44AC3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Department of HRM, University of Sri Jayewardenepura.</w:t>
      </w:r>
    </w:p>
    <w:p w:rsidR="3F44AC3C" w:rsidP="3F44AC3C" w:rsidRDefault="3F44AC3C" w14:paraId="7FA42D55" w14:textId="779A88AC">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3F44AC3C" w:rsidR="3F44AC3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Rich, B. L., LePine, J. A. and Crawford, E. R. (2010) ‘Job Engagement: Antecedents and Effects on Job Performance’, </w:t>
      </w:r>
      <w:r w:rsidRPr="3F44AC3C" w:rsidR="3F44AC3C">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Academy of Management Journal</w:t>
      </w:r>
      <w:r w:rsidRPr="3F44AC3C" w:rsidR="3F44AC3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53 (3) pp 617-635.</w:t>
      </w:r>
    </w:p>
    <w:p w:rsidR="3F44AC3C" w:rsidP="3F44AC3C" w:rsidRDefault="3F44AC3C" w14:paraId="638BD167" w14:textId="1D977DDA">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3F44AC3C" w:rsidR="3F44AC3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The King’s Fund (2022) </w:t>
      </w:r>
      <w:r w:rsidRPr="3F44AC3C" w:rsidR="3F44AC3C">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Improving NHS Culture</w:t>
      </w:r>
      <w:r w:rsidRPr="3F44AC3C" w:rsidR="3F44AC3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Available at: </w:t>
      </w:r>
      <w:r w:rsidRPr="3F44AC3C" w:rsidR="3F44AC3C">
        <w:rPr>
          <w:rFonts w:ascii="Times New Roman" w:hAnsi="Times New Roman" w:eastAsia="Times New Roman" w:cs="Times New Roman"/>
          <w:b w:val="0"/>
          <w:bCs w:val="0"/>
          <w:i w:val="0"/>
          <w:iCs w:val="0"/>
          <w:caps w:val="0"/>
          <w:smallCaps w:val="0"/>
          <w:noProof w:val="0"/>
          <w:sz w:val="28"/>
          <w:szCs w:val="28"/>
          <w:lang w:val="en-GB"/>
        </w:rPr>
        <w:t>https://www.kingsfund.org.uk/projects/culture#1-inspiring-vision-and-values</w:t>
      </w:r>
      <w:r w:rsidRPr="3F44AC3C" w:rsidR="3F44AC3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(Accessed 30</w:t>
      </w:r>
      <w:r w:rsidRPr="3F44AC3C" w:rsidR="3F44AC3C">
        <w:rPr>
          <w:rFonts w:ascii="Times New Roman" w:hAnsi="Times New Roman" w:eastAsia="Times New Roman" w:cs="Times New Roman"/>
          <w:b w:val="0"/>
          <w:bCs w:val="0"/>
          <w:i w:val="0"/>
          <w:iCs w:val="0"/>
          <w:caps w:val="0"/>
          <w:smallCaps w:val="0"/>
          <w:noProof w:val="0"/>
          <w:color w:val="000000" w:themeColor="text1" w:themeTint="FF" w:themeShade="FF"/>
          <w:sz w:val="28"/>
          <w:szCs w:val="28"/>
          <w:vertAlign w:val="superscript"/>
          <w:lang w:val="en-GB"/>
        </w:rPr>
        <w:t>th</w:t>
      </w:r>
      <w:r w:rsidRPr="3F44AC3C" w:rsidR="3F44AC3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January 2022). </w:t>
      </w:r>
    </w:p>
    <w:p w:rsidR="3F44AC3C" w:rsidP="3F44AC3C" w:rsidRDefault="3F44AC3C" w14:paraId="07F34D9B" w14:textId="0EBF03E6">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3F44AC3C" w:rsidR="3F44AC3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Torrington, D., Hall, L., Atkinson, C. and Taylor, S. (2020) </w:t>
      </w:r>
      <w:r w:rsidRPr="3F44AC3C" w:rsidR="3F44AC3C">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Human Resource Management. </w:t>
      </w:r>
      <w:r w:rsidRPr="3F44AC3C" w:rsidR="3F44AC3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11</w:t>
      </w:r>
      <w:r w:rsidRPr="3F44AC3C" w:rsidR="3F44AC3C">
        <w:rPr>
          <w:rFonts w:ascii="Times New Roman" w:hAnsi="Times New Roman" w:eastAsia="Times New Roman" w:cs="Times New Roman"/>
          <w:b w:val="0"/>
          <w:bCs w:val="0"/>
          <w:i w:val="0"/>
          <w:iCs w:val="0"/>
          <w:caps w:val="0"/>
          <w:smallCaps w:val="0"/>
          <w:noProof w:val="0"/>
          <w:color w:val="000000" w:themeColor="text1" w:themeTint="FF" w:themeShade="FF"/>
          <w:sz w:val="28"/>
          <w:szCs w:val="28"/>
          <w:vertAlign w:val="superscript"/>
          <w:lang w:val="en-GB"/>
        </w:rPr>
        <w:t>th</w:t>
      </w:r>
      <w:r w:rsidRPr="3F44AC3C" w:rsidR="3F44AC3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Ed. Harlow: Pearson Education Limited.</w:t>
      </w:r>
    </w:p>
    <w:p w:rsidR="3F44AC3C" w:rsidP="3F44AC3C" w:rsidRDefault="3F44AC3C" w14:paraId="3B569248" w14:textId="0B8C481F">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3F44AC3C" w:rsidR="3F44AC3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West, M. A., Guthrie, J. P., Dawson, J. F., Borrill, C. S. and Carter, M. (2006) ‘Reducing patient mortality in hospitals: the role of human resource management’, </w:t>
      </w:r>
      <w:r w:rsidRPr="3F44AC3C" w:rsidR="3F44AC3C">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Journal of Organizational Behavior</w:t>
      </w:r>
      <w:r w:rsidRPr="3F44AC3C" w:rsidR="3F44AC3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27 (7) pp 983-1002.</w:t>
      </w:r>
    </w:p>
    <w:p w:rsidR="3F44AC3C" w:rsidP="3F44AC3C" w:rsidRDefault="3F44AC3C" w14:paraId="13615BD9" w14:textId="0303ED0D">
      <w:pPr>
        <w:pStyle w:val="Normal"/>
        <w:jc w:val="left"/>
        <w:rPr>
          <w:rFonts w:ascii="Times New Roman" w:hAnsi="Times New Roman" w:eastAsia="Times New Roman" w:cs="Times New Roman"/>
          <w:sz w:val="24"/>
          <w:szCs w:val="24"/>
        </w:rPr>
      </w:pPr>
    </w:p>
    <w:p w:rsidR="37715AE2" w:rsidP="37715AE2" w:rsidRDefault="37715AE2" w14:paraId="6A449608" w14:textId="6875D160">
      <w:pPr>
        <w:pStyle w:val="Normal"/>
        <w:jc w:val="left"/>
        <w:rPr>
          <w:rFonts w:ascii="Times New Roman" w:hAnsi="Times New Roman" w:eastAsia="Times New Roman" w:cs="Times New Roman"/>
          <w:sz w:val="24"/>
          <w:szCs w:val="24"/>
        </w:rPr>
      </w:pPr>
    </w:p>
    <w:p w:rsidR="469A04A6" w:rsidP="469A04A6" w:rsidRDefault="469A04A6" w14:paraId="1DDF009B" w14:textId="59AC55D9">
      <w:pPr>
        <w:pStyle w:val="Normal"/>
        <w:jc w:val="center"/>
        <w:rPr>
          <w:rFonts w:ascii="Times New Roman" w:hAnsi="Times New Roman" w:eastAsia="Times New Roman" w:cs="Times New Roman"/>
          <w:sz w:val="24"/>
          <w:szCs w:val="24"/>
        </w:rPr>
      </w:pPr>
    </w:p>
    <w:p w:rsidR="469A04A6" w:rsidP="469A04A6" w:rsidRDefault="469A04A6" w14:paraId="23DDA9F7" w14:textId="4C11B585">
      <w:pPr>
        <w:pStyle w:val="Normal"/>
        <w:jc w:val="center"/>
        <w:rPr>
          <w:rFonts w:ascii="Times New Roman" w:hAnsi="Times New Roman" w:eastAsia="Times New Roman" w:cs="Times New Roman"/>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k+Mh3qXgRxpt3W" int2:id="KK6LLfvY">
      <int2:state int2:type="AugLoop_Text_Critique" int2:value="Rejected"/>
    </int2:textHash>
    <int2:textHash int2:hashCode="+6+SNoERM4XH54" int2:id="5ImidKGE">
      <int2:state int2:type="LegacyProofing" int2:value="Rejected"/>
    </int2:textHash>
    <int2:textHash int2:hashCode="BC3EUS+j05HFFw" int2:id="e38Pt1CJ">
      <int2:state int2:type="LegacyProofing" int2:value="Rejected"/>
    </int2:textHash>
    <int2:textHash int2:hashCode="MWw9d6Y+kA6qSf" int2:id="xKMLFQr0">
      <int2:state int2:type="LegacyProofing" int2:value="Rejected"/>
    </int2:textHash>
    <int2:textHash int2:hashCode="x7yc7eCNpXvyRl" int2:id="e9kIdcmw">
      <int2:state int2:type="LegacyProofing" int2:value="Rejected"/>
    </int2:textHash>
    <int2:bookmark int2:bookmarkName="_Int_uBTyeCnv" int2:invalidationBookmarkName="" int2:hashCode="dNIGdv6CLYvFuI" int2:id="8m8BouqA">
      <int2:state int2:type="LegacyProofing" int2:value="Rejected"/>
    </int2:bookmark>
    <int2:bookmark int2:bookmarkName="_Int_tTTANGCN" int2:invalidationBookmarkName="" int2:hashCode="3wVcZpQj/aEI7R" int2:id="DpnX2b5S">
      <int2:state int2:type="LegacyProofing" int2:value="Rejected"/>
    </int2:bookmark>
    <int2:bookmark int2:bookmarkName="_Int_yTJR6yTg" int2:invalidationBookmarkName="" int2:hashCode="IK51sFBdkvgsl0" int2:id="xzm8x7iG">
      <int2:state int2:type="LegacyProofing"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23AB1E3"/>
    <w:rsid w:val="004E76F6"/>
    <w:rsid w:val="004E76F6"/>
    <w:rsid w:val="00B24C5D"/>
    <w:rsid w:val="00B24C5D"/>
    <w:rsid w:val="00C1963A"/>
    <w:rsid w:val="00C1963A"/>
    <w:rsid w:val="00C56827"/>
    <w:rsid w:val="00E3B1D6"/>
    <w:rsid w:val="01E6AB09"/>
    <w:rsid w:val="02594B02"/>
    <w:rsid w:val="02613888"/>
    <w:rsid w:val="02653005"/>
    <w:rsid w:val="02965722"/>
    <w:rsid w:val="032A2F0E"/>
    <w:rsid w:val="038A68F0"/>
    <w:rsid w:val="039A21F8"/>
    <w:rsid w:val="03FD08E9"/>
    <w:rsid w:val="04B0FF77"/>
    <w:rsid w:val="04B0FF77"/>
    <w:rsid w:val="04B6FED1"/>
    <w:rsid w:val="04CA27D4"/>
    <w:rsid w:val="053F9E1C"/>
    <w:rsid w:val="0590EBC4"/>
    <w:rsid w:val="05CBCBC9"/>
    <w:rsid w:val="05CDF7E4"/>
    <w:rsid w:val="05ED5A07"/>
    <w:rsid w:val="0665F835"/>
    <w:rsid w:val="0665F835"/>
    <w:rsid w:val="06C209B2"/>
    <w:rsid w:val="06C209B2"/>
    <w:rsid w:val="07011071"/>
    <w:rsid w:val="072CBC25"/>
    <w:rsid w:val="0769C1F7"/>
    <w:rsid w:val="07ADDF1F"/>
    <w:rsid w:val="07BAF76F"/>
    <w:rsid w:val="0801C896"/>
    <w:rsid w:val="081A2F6A"/>
    <w:rsid w:val="081A2F6A"/>
    <w:rsid w:val="085DDA13"/>
    <w:rsid w:val="0862D727"/>
    <w:rsid w:val="08C295F1"/>
    <w:rsid w:val="09059258"/>
    <w:rsid w:val="09A3271C"/>
    <w:rsid w:val="0A5E6652"/>
    <w:rsid w:val="0A860098"/>
    <w:rsid w:val="0AA162B9"/>
    <w:rsid w:val="0AA162B9"/>
    <w:rsid w:val="0B7E570F"/>
    <w:rsid w:val="0BAEA237"/>
    <w:rsid w:val="0BE53BE7"/>
    <w:rsid w:val="0C00246C"/>
    <w:rsid w:val="0D232BFA"/>
    <w:rsid w:val="0D96ABF2"/>
    <w:rsid w:val="0DA3EB2F"/>
    <w:rsid w:val="0E76983F"/>
    <w:rsid w:val="0EB852D0"/>
    <w:rsid w:val="0EFFDB5E"/>
    <w:rsid w:val="0F18AF18"/>
    <w:rsid w:val="0F31D775"/>
    <w:rsid w:val="0F387BAD"/>
    <w:rsid w:val="0FBC8D52"/>
    <w:rsid w:val="1011CD91"/>
    <w:rsid w:val="102FAC96"/>
    <w:rsid w:val="106ED6E3"/>
    <w:rsid w:val="108A3E49"/>
    <w:rsid w:val="10A39945"/>
    <w:rsid w:val="10BAB756"/>
    <w:rsid w:val="10BAB756"/>
    <w:rsid w:val="10D3958F"/>
    <w:rsid w:val="10D44C0E"/>
    <w:rsid w:val="111527E7"/>
    <w:rsid w:val="1136A29E"/>
    <w:rsid w:val="11ABD20A"/>
    <w:rsid w:val="14132CB3"/>
    <w:rsid w:val="142A7136"/>
    <w:rsid w:val="15279454"/>
    <w:rsid w:val="15770A68"/>
    <w:rsid w:val="15770A68"/>
    <w:rsid w:val="15A118F9"/>
    <w:rsid w:val="15AEFD14"/>
    <w:rsid w:val="15C64197"/>
    <w:rsid w:val="15F22A04"/>
    <w:rsid w:val="15F22A04"/>
    <w:rsid w:val="16767BE0"/>
    <w:rsid w:val="16810F15"/>
    <w:rsid w:val="1825680B"/>
    <w:rsid w:val="1879E8C8"/>
    <w:rsid w:val="18AFCE5A"/>
    <w:rsid w:val="18C63596"/>
    <w:rsid w:val="18DF5DF3"/>
    <w:rsid w:val="18E69DD6"/>
    <w:rsid w:val="1954FE30"/>
    <w:rsid w:val="1A61B51A"/>
    <w:rsid w:val="1A65B01D"/>
    <w:rsid w:val="1A88B738"/>
    <w:rsid w:val="1A8E533A"/>
    <w:rsid w:val="1A8E533A"/>
    <w:rsid w:val="1AA411E8"/>
    <w:rsid w:val="1B7A2CC4"/>
    <w:rsid w:val="1BE64BEC"/>
    <w:rsid w:val="1BE64BEC"/>
    <w:rsid w:val="1BFD857B"/>
    <w:rsid w:val="1C4A7C12"/>
    <w:rsid w:val="1C4A7C12"/>
    <w:rsid w:val="1C5B4AB8"/>
    <w:rsid w:val="1D129ABF"/>
    <w:rsid w:val="1DC5F3FC"/>
    <w:rsid w:val="1DD98057"/>
    <w:rsid w:val="1DDBB2AA"/>
    <w:rsid w:val="1DDE5EED"/>
    <w:rsid w:val="1F7C168F"/>
    <w:rsid w:val="1FC544C5"/>
    <w:rsid w:val="20049817"/>
    <w:rsid w:val="204A3B81"/>
    <w:rsid w:val="2085A6E5"/>
    <w:rsid w:val="2085A6E5"/>
    <w:rsid w:val="208739B6"/>
    <w:rsid w:val="208739B6"/>
    <w:rsid w:val="212EB58D"/>
    <w:rsid w:val="2172D2B5"/>
    <w:rsid w:val="2172D2B5"/>
    <w:rsid w:val="22558D70"/>
    <w:rsid w:val="22558D70"/>
    <w:rsid w:val="230EA316"/>
    <w:rsid w:val="2423FEC6"/>
    <w:rsid w:val="242F997E"/>
    <w:rsid w:val="24789B1D"/>
    <w:rsid w:val="24B66514"/>
    <w:rsid w:val="2503EB13"/>
    <w:rsid w:val="258D2E32"/>
    <w:rsid w:val="259E1466"/>
    <w:rsid w:val="25BFCF27"/>
    <w:rsid w:val="25BFCF27"/>
    <w:rsid w:val="263E5652"/>
    <w:rsid w:val="26A054A8"/>
    <w:rsid w:val="26F67B3A"/>
    <w:rsid w:val="27D5052C"/>
    <w:rsid w:val="285C3083"/>
    <w:rsid w:val="28B75968"/>
    <w:rsid w:val="28C4A68E"/>
    <w:rsid w:val="28F76FE9"/>
    <w:rsid w:val="2983CF85"/>
    <w:rsid w:val="2992FD45"/>
    <w:rsid w:val="2992FD45"/>
    <w:rsid w:val="29B59C8C"/>
    <w:rsid w:val="29D6C127"/>
    <w:rsid w:val="29D7F56A"/>
    <w:rsid w:val="2A93404A"/>
    <w:rsid w:val="2AE2AB3D"/>
    <w:rsid w:val="2AE2AB3D"/>
    <w:rsid w:val="2B008C9E"/>
    <w:rsid w:val="2B2ECDA6"/>
    <w:rsid w:val="2B35C7CD"/>
    <w:rsid w:val="2B35C7CD"/>
    <w:rsid w:val="2BCC2D38"/>
    <w:rsid w:val="2C2F10AB"/>
    <w:rsid w:val="2C2F10AB"/>
    <w:rsid w:val="2C58B256"/>
    <w:rsid w:val="2CB788FB"/>
    <w:rsid w:val="2CEAA657"/>
    <w:rsid w:val="2D0F962C"/>
    <w:rsid w:val="2D35342D"/>
    <w:rsid w:val="2D7171ED"/>
    <w:rsid w:val="2D9D3842"/>
    <w:rsid w:val="2D9D3842"/>
    <w:rsid w:val="2DC3CAC5"/>
    <w:rsid w:val="2DFC703D"/>
    <w:rsid w:val="2E02BFEB"/>
    <w:rsid w:val="2E5155BD"/>
    <w:rsid w:val="2E5155BD"/>
    <w:rsid w:val="2F0D424E"/>
    <w:rsid w:val="2F0D424E"/>
    <w:rsid w:val="2F9CF403"/>
    <w:rsid w:val="2F9CF403"/>
    <w:rsid w:val="30277EC8"/>
    <w:rsid w:val="30277EC8"/>
    <w:rsid w:val="310281CE"/>
    <w:rsid w:val="3188F67F"/>
    <w:rsid w:val="3242D6EC"/>
    <w:rsid w:val="32D494C5"/>
    <w:rsid w:val="32EB0536"/>
    <w:rsid w:val="33464BD0"/>
    <w:rsid w:val="33A475B1"/>
    <w:rsid w:val="33FA02C9"/>
    <w:rsid w:val="343A2290"/>
    <w:rsid w:val="34C09741"/>
    <w:rsid w:val="34C09741"/>
    <w:rsid w:val="3512CEFA"/>
    <w:rsid w:val="353BB28E"/>
    <w:rsid w:val="353BB28E"/>
    <w:rsid w:val="35404612"/>
    <w:rsid w:val="364B6939"/>
    <w:rsid w:val="367DEC92"/>
    <w:rsid w:val="36916645"/>
    <w:rsid w:val="36A89BE4"/>
    <w:rsid w:val="37715AE2"/>
    <w:rsid w:val="3771C352"/>
    <w:rsid w:val="379B89F6"/>
    <w:rsid w:val="379B89F6"/>
    <w:rsid w:val="3819BCF3"/>
    <w:rsid w:val="382D36A6"/>
    <w:rsid w:val="387DED19"/>
    <w:rsid w:val="393290DD"/>
    <w:rsid w:val="39375A57"/>
    <w:rsid w:val="3969C286"/>
    <w:rsid w:val="39B58D54"/>
    <w:rsid w:val="3A13B735"/>
    <w:rsid w:val="3AA96414"/>
    <w:rsid w:val="3AE8BF44"/>
    <w:rsid w:val="3B16B068"/>
    <w:rsid w:val="3B413528"/>
    <w:rsid w:val="3BDC8237"/>
    <w:rsid w:val="3C76C3A6"/>
    <w:rsid w:val="3C76C3A6"/>
    <w:rsid w:val="3C7DAC88"/>
    <w:rsid w:val="3CC0593A"/>
    <w:rsid w:val="3CDD0589"/>
    <w:rsid w:val="3CDD0589"/>
    <w:rsid w:val="3D17DD68"/>
    <w:rsid w:val="3D3835DF"/>
    <w:rsid w:val="3D8D1B5F"/>
    <w:rsid w:val="3ED40640"/>
    <w:rsid w:val="3F30568E"/>
    <w:rsid w:val="3F44AC3C"/>
    <w:rsid w:val="3F51F962"/>
    <w:rsid w:val="3F773518"/>
    <w:rsid w:val="3F7C0D4C"/>
    <w:rsid w:val="3FBC3067"/>
    <w:rsid w:val="3FFE00AE"/>
    <w:rsid w:val="403056E8"/>
    <w:rsid w:val="40CB6E04"/>
    <w:rsid w:val="41076AC1"/>
    <w:rsid w:val="41130579"/>
    <w:rsid w:val="417AA200"/>
    <w:rsid w:val="4199D10F"/>
    <w:rsid w:val="4199D10F"/>
    <w:rsid w:val="4207A233"/>
    <w:rsid w:val="4259800C"/>
    <w:rsid w:val="42B40D89"/>
    <w:rsid w:val="4329EC41"/>
    <w:rsid w:val="4335A170"/>
    <w:rsid w:val="436167C5"/>
    <w:rsid w:val="44030EC6"/>
    <w:rsid w:val="4403C7B1"/>
    <w:rsid w:val="441D50C2"/>
    <w:rsid w:val="441D50C2"/>
    <w:rsid w:val="448FA18A"/>
    <w:rsid w:val="44978F10"/>
    <w:rsid w:val="459120CE"/>
    <w:rsid w:val="45EA1D82"/>
    <w:rsid w:val="45EBAE4B"/>
    <w:rsid w:val="461DA5EC"/>
    <w:rsid w:val="469A04A6"/>
    <w:rsid w:val="46DF1825"/>
    <w:rsid w:val="46DF1825"/>
    <w:rsid w:val="4722C2CE"/>
    <w:rsid w:val="4834D8E8"/>
    <w:rsid w:val="486281B2"/>
    <w:rsid w:val="489410E3"/>
    <w:rsid w:val="489410E3"/>
    <w:rsid w:val="48DE2149"/>
    <w:rsid w:val="48F12057"/>
    <w:rsid w:val="493B2E1C"/>
    <w:rsid w:val="496B0033"/>
    <w:rsid w:val="4A2FE144"/>
    <w:rsid w:val="4A5A6390"/>
    <w:rsid w:val="4A5A6390"/>
    <w:rsid w:val="4ABF1F6E"/>
    <w:rsid w:val="4AC47AF4"/>
    <w:rsid w:val="4B2CD432"/>
    <w:rsid w:val="4B40B355"/>
    <w:rsid w:val="4BF633F1"/>
    <w:rsid w:val="4C5AEFCF"/>
    <w:rsid w:val="4CD8BC0D"/>
    <w:rsid w:val="4D678206"/>
    <w:rsid w:val="4D82A5DC"/>
    <w:rsid w:val="4DF6C030"/>
    <w:rsid w:val="4F4E67DE"/>
    <w:rsid w:val="5085FA6B"/>
    <w:rsid w:val="50EA383F"/>
    <w:rsid w:val="50F6F2BD"/>
    <w:rsid w:val="520963F8"/>
    <w:rsid w:val="520963F8"/>
    <w:rsid w:val="523AB1E3"/>
    <w:rsid w:val="52CA3153"/>
    <w:rsid w:val="532C962B"/>
    <w:rsid w:val="53BB538E"/>
    <w:rsid w:val="53BB538E"/>
    <w:rsid w:val="53C3EADB"/>
    <w:rsid w:val="53CA3183"/>
    <w:rsid w:val="541A6E33"/>
    <w:rsid w:val="541A6E33"/>
    <w:rsid w:val="546DEF3A"/>
    <w:rsid w:val="54C22678"/>
    <w:rsid w:val="54D796AA"/>
    <w:rsid w:val="5527377F"/>
    <w:rsid w:val="553B649B"/>
    <w:rsid w:val="553B649B"/>
    <w:rsid w:val="555F202D"/>
    <w:rsid w:val="55BDA962"/>
    <w:rsid w:val="55F0EBE1"/>
    <w:rsid w:val="55F0EBE1"/>
    <w:rsid w:val="5609BF9B"/>
    <w:rsid w:val="5609BF9B"/>
    <w:rsid w:val="56FD2975"/>
    <w:rsid w:val="570E644C"/>
    <w:rsid w:val="574A216F"/>
    <w:rsid w:val="575979C3"/>
    <w:rsid w:val="576B3657"/>
    <w:rsid w:val="57872FF0"/>
    <w:rsid w:val="57E5539C"/>
    <w:rsid w:val="5800B386"/>
    <w:rsid w:val="581D4B15"/>
    <w:rsid w:val="581D4B15"/>
    <w:rsid w:val="583DE462"/>
    <w:rsid w:val="58B6D598"/>
    <w:rsid w:val="58BC368D"/>
    <w:rsid w:val="58BFEE32"/>
    <w:rsid w:val="58DAA1E4"/>
    <w:rsid w:val="58DCA47F"/>
    <w:rsid w:val="58DCA47F"/>
    <w:rsid w:val="59534012"/>
    <w:rsid w:val="5976E4B0"/>
    <w:rsid w:val="5976E4B0"/>
    <w:rsid w:val="598E7976"/>
    <w:rsid w:val="598E7976"/>
    <w:rsid w:val="59E78D34"/>
    <w:rsid w:val="5A13ADF2"/>
    <w:rsid w:val="5A52A5F9"/>
    <w:rsid w:val="5A5806EE"/>
    <w:rsid w:val="5A5806EE"/>
    <w:rsid w:val="5A5BBE93"/>
    <w:rsid w:val="5AF50FCD"/>
    <w:rsid w:val="5BBC1B0B"/>
    <w:rsid w:val="5BBC1B0B"/>
    <w:rsid w:val="5BC37116"/>
    <w:rsid w:val="5BC8AD12"/>
    <w:rsid w:val="5BEE765A"/>
    <w:rsid w:val="5C13099E"/>
    <w:rsid w:val="5C5E2319"/>
    <w:rsid w:val="5C5E2319"/>
    <w:rsid w:val="5C79011F"/>
    <w:rsid w:val="5CF120B2"/>
    <w:rsid w:val="5D647D73"/>
    <w:rsid w:val="5DAE1307"/>
    <w:rsid w:val="5DAED9FF"/>
    <w:rsid w:val="5DB015A2"/>
    <w:rsid w:val="5DF9F37A"/>
    <w:rsid w:val="5DFBA923"/>
    <w:rsid w:val="5E59F3B1"/>
    <w:rsid w:val="5E5A27A7"/>
    <w:rsid w:val="5E5A27A7"/>
    <w:rsid w:val="5E70F644"/>
    <w:rsid w:val="5E8AB038"/>
    <w:rsid w:val="5E966567"/>
    <w:rsid w:val="5F004DD4"/>
    <w:rsid w:val="5F1FBD03"/>
    <w:rsid w:val="5F4AAA60"/>
    <w:rsid w:val="5F95C3DB"/>
    <w:rsid w:val="5FF5F808"/>
    <w:rsid w:val="60326609"/>
    <w:rsid w:val="605DFC1D"/>
    <w:rsid w:val="60AE52E6"/>
    <w:rsid w:val="60F103B5"/>
    <w:rsid w:val="60F103B5"/>
    <w:rsid w:val="6115040D"/>
    <w:rsid w:val="6131943C"/>
    <w:rsid w:val="615E4DDA"/>
    <w:rsid w:val="61AED71A"/>
    <w:rsid w:val="61C250FA"/>
    <w:rsid w:val="61C250FA"/>
    <w:rsid w:val="625DB7DE"/>
    <w:rsid w:val="628386C5"/>
    <w:rsid w:val="62B0D46E"/>
    <w:rsid w:val="62E0551D"/>
    <w:rsid w:val="62E2E89C"/>
    <w:rsid w:val="62FA1E3B"/>
    <w:rsid w:val="63B5B804"/>
    <w:rsid w:val="63B5B804"/>
    <w:rsid w:val="63DBAC7D"/>
    <w:rsid w:val="63ED0C4D"/>
    <w:rsid w:val="64367CE8"/>
    <w:rsid w:val="645216ED"/>
    <w:rsid w:val="647C257E"/>
    <w:rsid w:val="647C257E"/>
    <w:rsid w:val="6482C9B6"/>
    <w:rsid w:val="64C9692B"/>
    <w:rsid w:val="64C9692B"/>
    <w:rsid w:val="64F9F1BC"/>
    <w:rsid w:val="65132452"/>
    <w:rsid w:val="653ED766"/>
    <w:rsid w:val="65C18D44"/>
    <w:rsid w:val="65EDE74E"/>
    <w:rsid w:val="6617F5DF"/>
    <w:rsid w:val="661FE365"/>
    <w:rsid w:val="6631BEFD"/>
    <w:rsid w:val="6631BEFD"/>
    <w:rsid w:val="6653D421"/>
    <w:rsid w:val="6680F0A7"/>
    <w:rsid w:val="66ED58C6"/>
    <w:rsid w:val="66F5464C"/>
    <w:rsid w:val="66FA7DFB"/>
    <w:rsid w:val="66FA7DFB"/>
    <w:rsid w:val="670B5FB9"/>
    <w:rsid w:val="670B5FB9"/>
    <w:rsid w:val="6755BC45"/>
    <w:rsid w:val="67CD937B"/>
    <w:rsid w:val="67EFA482"/>
    <w:rsid w:val="681CC108"/>
    <w:rsid w:val="689C44F1"/>
    <w:rsid w:val="68A7301A"/>
    <w:rsid w:val="69251808"/>
    <w:rsid w:val="69251808"/>
    <w:rsid w:val="69258810"/>
    <w:rsid w:val="694F96A1"/>
    <w:rsid w:val="69522A20"/>
    <w:rsid w:val="69C439B6"/>
    <w:rsid w:val="69C57559"/>
    <w:rsid w:val="69C57559"/>
    <w:rsid w:val="6A24F988"/>
    <w:rsid w:val="6A58BA00"/>
    <w:rsid w:val="6A70D945"/>
    <w:rsid w:val="6AC15871"/>
    <w:rsid w:val="6B3650EF"/>
    <w:rsid w:val="6B3650EF"/>
    <w:rsid w:val="6B81D8E5"/>
    <w:rsid w:val="6BC0A791"/>
    <w:rsid w:val="6BC0A791"/>
    <w:rsid w:val="6BDED0DC"/>
    <w:rsid w:val="6C0DB2BE"/>
    <w:rsid w:val="6C8F24E9"/>
    <w:rsid w:val="6C8F24E9"/>
    <w:rsid w:val="6C993717"/>
    <w:rsid w:val="6CCC96C2"/>
    <w:rsid w:val="6CD22150"/>
    <w:rsid w:val="6CFD161B"/>
    <w:rsid w:val="6D0503A1"/>
    <w:rsid w:val="6E0A016B"/>
    <w:rsid w:val="6E11F92A"/>
    <w:rsid w:val="6E2AF54A"/>
    <w:rsid w:val="6E32163D"/>
    <w:rsid w:val="6E3CD0E2"/>
    <w:rsid w:val="6E3CD4FF"/>
    <w:rsid w:val="6EF84853"/>
    <w:rsid w:val="6F07B488"/>
    <w:rsid w:val="6F7344A4"/>
    <w:rsid w:val="6F7B6E98"/>
    <w:rsid w:val="6F7B6E98"/>
    <w:rsid w:val="6FAC0323"/>
    <w:rsid w:val="6FAD9D4E"/>
    <w:rsid w:val="6FAD9D4E"/>
    <w:rsid w:val="70043784"/>
    <w:rsid w:val="703CA463"/>
    <w:rsid w:val="705F1A11"/>
    <w:rsid w:val="709C2892"/>
    <w:rsid w:val="709C2892"/>
    <w:rsid w:val="70A100C6"/>
    <w:rsid w:val="7103C519"/>
    <w:rsid w:val="710F1505"/>
    <w:rsid w:val="7147D384"/>
    <w:rsid w:val="72204850"/>
    <w:rsid w:val="72204850"/>
    <w:rsid w:val="725C4F94"/>
    <w:rsid w:val="72E7F8CD"/>
    <w:rsid w:val="72FE666D"/>
    <w:rsid w:val="72FE666D"/>
    <w:rsid w:val="73309A7C"/>
    <w:rsid w:val="7370B735"/>
    <w:rsid w:val="73744525"/>
    <w:rsid w:val="739665AA"/>
    <w:rsid w:val="73BC18B1"/>
    <w:rsid w:val="743B65DB"/>
    <w:rsid w:val="749A36CE"/>
    <w:rsid w:val="74A02487"/>
    <w:rsid w:val="74FD14E3"/>
    <w:rsid w:val="75082800"/>
    <w:rsid w:val="75EAB01C"/>
    <w:rsid w:val="763BF4E8"/>
    <w:rsid w:val="76683B3E"/>
    <w:rsid w:val="77CB6627"/>
    <w:rsid w:val="78040B9F"/>
    <w:rsid w:val="780DB5D2"/>
    <w:rsid w:val="7821E761"/>
    <w:rsid w:val="7838BC4C"/>
    <w:rsid w:val="788F89D4"/>
    <w:rsid w:val="788F89D4"/>
    <w:rsid w:val="78948978"/>
    <w:rsid w:val="78948978"/>
    <w:rsid w:val="78AAD7FB"/>
    <w:rsid w:val="78BE51DB"/>
    <w:rsid w:val="78C5416A"/>
    <w:rsid w:val="79089D38"/>
    <w:rsid w:val="790ED6FE"/>
    <w:rsid w:val="79673688"/>
    <w:rsid w:val="79BFED3F"/>
    <w:rsid w:val="7A4E391C"/>
    <w:rsid w:val="7B0306E9"/>
    <w:rsid w:val="7B3BAC61"/>
    <w:rsid w:val="7B3BAC61"/>
    <w:rsid w:val="7B776984"/>
    <w:rsid w:val="7B7E1B67"/>
    <w:rsid w:val="7BEA097D"/>
    <w:rsid w:val="7C4677C0"/>
    <w:rsid w:val="7CABECEB"/>
    <w:rsid w:val="7D1B276B"/>
    <w:rsid w:val="7D9F023B"/>
    <w:rsid w:val="7DDC0E5B"/>
    <w:rsid w:val="7DE0F08B"/>
    <w:rsid w:val="7DE0F08B"/>
    <w:rsid w:val="7DE24821"/>
    <w:rsid w:val="7E141528"/>
    <w:rsid w:val="7E2D3D85"/>
    <w:rsid w:val="7E561FF7"/>
    <w:rsid w:val="7E561FF7"/>
    <w:rsid w:val="7EDD4B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3AB1E3"/>
  <w15:chartTrackingRefBased/>
  <w15:docId w15:val="{A74BC84E-C61A-4E08-BF8F-F511FD61E3A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7946b7149a39448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Katherine Taylor (1910010)</dc:creator>
  <keywords/>
  <dc:description/>
  <lastModifiedBy>Katherine Taylor (1910010)</lastModifiedBy>
  <revision>12</revision>
  <dcterms:created xsi:type="dcterms:W3CDTF">2022-04-07T19:10:12.4213154Z</dcterms:created>
  <dcterms:modified xsi:type="dcterms:W3CDTF">2022-04-25T07:46:19.4654074Z</dcterms:modified>
</coreProperties>
</file>