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46E60" w14:textId="7E6C568E" w:rsidR="00D776CC" w:rsidRDefault="000D7311" w:rsidP="000D7311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0D7311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0A768BF9" w14:textId="77777777" w:rsidR="000D7311" w:rsidRDefault="000D7311" w:rsidP="000D7311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FC3C38" w14:textId="6A7D1427" w:rsidR="00FC238F" w:rsidRDefault="00FC238F" w:rsidP="000D7311">
      <w:pPr>
        <w:rPr>
          <w:rFonts w:ascii="Arial" w:hAnsi="Arial" w:cs="Arial"/>
          <w:color w:val="181817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81817"/>
          <w:sz w:val="24"/>
          <w:szCs w:val="24"/>
          <w:shd w:val="clear" w:color="auto" w:fill="FFFFFF"/>
        </w:rPr>
        <w:t>Keast</w:t>
      </w:r>
      <w:r w:rsidR="00B93422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, D. H., </w:t>
      </w:r>
      <w:proofErr w:type="spellStart"/>
      <w:r w:rsidR="00B93422">
        <w:rPr>
          <w:rFonts w:ascii="Arial" w:hAnsi="Arial" w:cs="Arial"/>
          <w:color w:val="181817"/>
          <w:sz w:val="24"/>
          <w:szCs w:val="24"/>
          <w:shd w:val="clear" w:color="auto" w:fill="FFFFFF"/>
        </w:rPr>
        <w:t>Despatis</w:t>
      </w:r>
      <w:proofErr w:type="spellEnd"/>
      <w:r w:rsidR="00B93422">
        <w:rPr>
          <w:rFonts w:ascii="Arial" w:hAnsi="Arial" w:cs="Arial"/>
          <w:color w:val="181817"/>
          <w:sz w:val="24"/>
          <w:szCs w:val="24"/>
          <w:shd w:val="clear" w:color="auto" w:fill="FFFFFF"/>
        </w:rPr>
        <w:t>, M., Allen, J. O. and Brassard, A. (2015) ‘</w:t>
      </w:r>
      <w:r w:rsidR="007C52DA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Chronic oedema/lymphoedema: under-recognised and under-treated’, </w:t>
      </w:r>
      <w:r w:rsidR="007C52DA" w:rsidRPr="00D03234">
        <w:rPr>
          <w:rFonts w:ascii="Arial" w:hAnsi="Arial" w:cs="Arial"/>
          <w:i/>
          <w:iCs/>
          <w:color w:val="181817"/>
          <w:sz w:val="24"/>
          <w:szCs w:val="24"/>
          <w:shd w:val="clear" w:color="auto" w:fill="FFFFFF"/>
        </w:rPr>
        <w:t>International Wound Journal</w:t>
      </w:r>
      <w:r w:rsidR="007C52DA">
        <w:rPr>
          <w:rFonts w:ascii="Arial" w:hAnsi="Arial" w:cs="Arial"/>
          <w:color w:val="181817"/>
          <w:sz w:val="24"/>
          <w:szCs w:val="24"/>
          <w:shd w:val="clear" w:color="auto" w:fill="FFFFFF"/>
        </w:rPr>
        <w:t>,</w:t>
      </w:r>
      <w:r w:rsidR="00A907BC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12(3), pp. 328-333. </w:t>
      </w:r>
    </w:p>
    <w:p w14:paraId="6C4E3692" w14:textId="5B7B1DF1" w:rsidR="000D7311" w:rsidRDefault="000D7311" w:rsidP="000D7311">
      <w:pPr>
        <w:rPr>
          <w:rFonts w:ascii="Arial" w:hAnsi="Arial" w:cs="Arial"/>
          <w:color w:val="181817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Krewski, D., Sauders-Hastings, P., Larkin, P., Westphal, M., Tyshenko, M. G., Leiss, W., Dusseault, M., Jerrett, M. and Coyle, D. (2022) ‘Principles of risk decision-making’ </w:t>
      </w:r>
      <w:r w:rsidRPr="00D03234">
        <w:rPr>
          <w:rFonts w:ascii="Arial" w:hAnsi="Arial" w:cs="Arial"/>
          <w:i/>
          <w:iCs/>
          <w:color w:val="181817"/>
          <w:sz w:val="24"/>
          <w:szCs w:val="24"/>
          <w:shd w:val="clear" w:color="auto" w:fill="FFFFFF"/>
        </w:rPr>
        <w:t>Journal of toxicology and environmental health</w:t>
      </w:r>
      <w:r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, 25(5), pp 250-278. </w:t>
      </w:r>
    </w:p>
    <w:p w14:paraId="0D5FA528" w14:textId="1D389778" w:rsidR="000D7311" w:rsidRDefault="000D7311" w:rsidP="000D7311">
      <w:pPr>
        <w:rPr>
          <w:rFonts w:ascii="Arial" w:hAnsi="Arial" w:cs="Arial"/>
          <w:color w:val="181817"/>
          <w:sz w:val="24"/>
          <w:szCs w:val="24"/>
          <w:shd w:val="clear" w:color="auto" w:fill="FFFFFF"/>
        </w:rPr>
      </w:pPr>
      <w:r w:rsidRPr="000D7311">
        <w:rPr>
          <w:rFonts w:ascii="Arial" w:hAnsi="Arial" w:cs="Arial"/>
          <w:color w:val="181817"/>
          <w:sz w:val="24"/>
          <w:szCs w:val="24"/>
          <w:shd w:val="clear" w:color="auto" w:fill="FFFFFF"/>
        </w:rPr>
        <w:t>Nathan, R. and Bhandari, S. (2024) ‘Risk assessment in clinical practice: a framework for decision-making in real-world complex systems’</w:t>
      </w:r>
      <w:r w:rsidR="00852A04">
        <w:rPr>
          <w:rFonts w:ascii="Arial" w:hAnsi="Arial" w:cs="Arial"/>
          <w:color w:val="181817"/>
          <w:sz w:val="24"/>
          <w:szCs w:val="24"/>
          <w:shd w:val="clear" w:color="auto" w:fill="FFFFFF"/>
        </w:rPr>
        <w:t>,</w:t>
      </w:r>
      <w:r w:rsidRPr="00852A04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</w:t>
      </w:r>
      <w:r w:rsidR="00852A04" w:rsidRPr="00852A04">
        <w:rPr>
          <w:rFonts w:ascii="Arial" w:hAnsi="Arial" w:cs="Arial"/>
          <w:i/>
          <w:iCs/>
          <w:sz w:val="24"/>
          <w:szCs w:val="24"/>
        </w:rPr>
        <w:t>British Journal of Psychiatric Advances</w:t>
      </w:r>
      <w:r w:rsidR="00852A04">
        <w:rPr>
          <w:rFonts w:ascii="Arial" w:hAnsi="Arial" w:cs="Arial"/>
          <w:i/>
          <w:iCs/>
          <w:sz w:val="24"/>
          <w:szCs w:val="24"/>
        </w:rPr>
        <w:t xml:space="preserve">, </w:t>
      </w:r>
      <w:r w:rsidRPr="00852A04">
        <w:rPr>
          <w:rFonts w:ascii="Arial" w:hAnsi="Arial" w:cs="Arial"/>
          <w:color w:val="181817"/>
          <w:sz w:val="24"/>
          <w:szCs w:val="24"/>
          <w:shd w:val="clear" w:color="auto" w:fill="FFFFFF"/>
        </w:rPr>
        <w:t>30</w:t>
      </w:r>
      <w:r w:rsidRPr="000D7311">
        <w:rPr>
          <w:rFonts w:ascii="Arial" w:hAnsi="Arial" w:cs="Arial"/>
          <w:color w:val="181817"/>
          <w:sz w:val="24"/>
          <w:szCs w:val="24"/>
          <w:shd w:val="clear" w:color="auto" w:fill="FFFFFF"/>
        </w:rPr>
        <w:t>(1), pp. 53</w:t>
      </w:r>
      <w:r w:rsidR="00852A04">
        <w:rPr>
          <w:rFonts w:ascii="Arial" w:hAnsi="Arial" w:cs="Arial"/>
          <w:color w:val="181817"/>
          <w:sz w:val="24"/>
          <w:szCs w:val="24"/>
          <w:shd w:val="clear" w:color="auto" w:fill="FFFFFF"/>
        </w:rPr>
        <w:t>-</w:t>
      </w:r>
      <w:r w:rsidRPr="000D7311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63. </w:t>
      </w:r>
    </w:p>
    <w:p w14:paraId="71B3FAF8" w14:textId="694E95B6" w:rsidR="008A0B8B" w:rsidRDefault="008A0B8B" w:rsidP="000D7311">
      <w:pPr>
        <w:rPr>
          <w:rFonts w:ascii="Arial" w:hAnsi="Arial" w:cs="Arial"/>
          <w:color w:val="181817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Sudduth, C. L. and Greene, A. K. (2022) ‘Lymphedema and Obesity’, </w:t>
      </w:r>
      <w:r w:rsidRPr="00852A04">
        <w:rPr>
          <w:rFonts w:ascii="Arial" w:hAnsi="Arial" w:cs="Arial"/>
          <w:i/>
          <w:iCs/>
          <w:color w:val="181817"/>
          <w:sz w:val="24"/>
          <w:szCs w:val="24"/>
          <w:shd w:val="clear" w:color="auto" w:fill="FFFFFF"/>
        </w:rPr>
        <w:t>Cold Spring Harbor Perspectives in Medicine</w:t>
      </w:r>
      <w:r>
        <w:rPr>
          <w:rFonts w:ascii="Arial" w:hAnsi="Arial" w:cs="Arial"/>
          <w:color w:val="181817"/>
          <w:sz w:val="24"/>
          <w:szCs w:val="24"/>
          <w:shd w:val="clear" w:color="auto" w:fill="FFFFFF"/>
        </w:rPr>
        <w:t>,</w:t>
      </w:r>
      <w:r w:rsidR="00677271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12(5),</w:t>
      </w:r>
      <w:r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pp.1-7.</w:t>
      </w:r>
      <w:r w:rsidR="00677271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</w:t>
      </w:r>
    </w:p>
    <w:p w14:paraId="77DEE9C1" w14:textId="009E1A48" w:rsidR="00FE32E3" w:rsidRPr="000D7311" w:rsidRDefault="006C3D9B" w:rsidP="000D7311">
      <w:pPr>
        <w:rPr>
          <w:rFonts w:ascii="Arial" w:hAnsi="Arial" w:cs="Arial"/>
          <w:color w:val="181817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The National Archives (2025) </w:t>
      </w:r>
      <w:r w:rsidR="00FE32E3" w:rsidRPr="00C009E9">
        <w:rPr>
          <w:rFonts w:ascii="Arial" w:hAnsi="Arial" w:cs="Arial"/>
          <w:i/>
          <w:iCs/>
          <w:color w:val="181817"/>
          <w:sz w:val="24"/>
          <w:szCs w:val="24"/>
          <w:shd w:val="clear" w:color="auto" w:fill="FFFFFF"/>
        </w:rPr>
        <w:t xml:space="preserve">The Manual Handling Operations </w:t>
      </w:r>
      <w:r w:rsidR="00C009E9" w:rsidRPr="00C009E9">
        <w:rPr>
          <w:rFonts w:ascii="Arial" w:hAnsi="Arial" w:cs="Arial"/>
          <w:i/>
          <w:iCs/>
          <w:color w:val="181817"/>
          <w:sz w:val="24"/>
          <w:szCs w:val="24"/>
          <w:shd w:val="clear" w:color="auto" w:fill="FFFFFF"/>
        </w:rPr>
        <w:t>R</w:t>
      </w:r>
      <w:r w:rsidR="00FE32E3" w:rsidRPr="00C009E9">
        <w:rPr>
          <w:rFonts w:ascii="Arial" w:hAnsi="Arial" w:cs="Arial"/>
          <w:i/>
          <w:iCs/>
          <w:color w:val="181817"/>
          <w:sz w:val="24"/>
          <w:szCs w:val="24"/>
          <w:shd w:val="clear" w:color="auto" w:fill="FFFFFF"/>
        </w:rPr>
        <w:t>egulations 1992.</w:t>
      </w:r>
      <w:r w:rsidR="00FE32E3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Available at: </w:t>
      </w:r>
      <w:r w:rsidR="00FE32E3" w:rsidRPr="00FE32E3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https://www.legislation.gov.uk/uksi/1992/2793 </w:t>
      </w:r>
      <w:r w:rsidR="00FE32E3">
        <w:rPr>
          <w:rFonts w:ascii="Arial" w:hAnsi="Arial" w:cs="Arial"/>
          <w:color w:val="181817"/>
          <w:sz w:val="24"/>
          <w:szCs w:val="24"/>
          <w:shd w:val="clear" w:color="auto" w:fill="FFFFFF"/>
        </w:rPr>
        <w:t>(Accessed on 28</w:t>
      </w:r>
      <w:r w:rsidR="00FE32E3" w:rsidRPr="00FE32E3">
        <w:rPr>
          <w:rFonts w:ascii="Arial" w:hAnsi="Arial" w:cs="Arial"/>
          <w:color w:val="181817"/>
          <w:sz w:val="24"/>
          <w:szCs w:val="24"/>
          <w:shd w:val="clear" w:color="auto" w:fill="FFFFFF"/>
          <w:vertAlign w:val="superscript"/>
        </w:rPr>
        <w:t>th</w:t>
      </w:r>
      <w:r w:rsidR="00FE32E3">
        <w:rPr>
          <w:rFonts w:ascii="Arial" w:hAnsi="Arial" w:cs="Arial"/>
          <w:color w:val="181817"/>
          <w:sz w:val="24"/>
          <w:szCs w:val="24"/>
          <w:shd w:val="clear" w:color="auto" w:fill="FFFFFF"/>
        </w:rPr>
        <w:t xml:space="preserve"> October 2025).</w:t>
      </w:r>
    </w:p>
    <w:p w14:paraId="59EA37B6" w14:textId="06D25C02" w:rsidR="000D7311" w:rsidRDefault="000D7311" w:rsidP="000D73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Wang, Y., Dalwood, N., Farlie, M. and Lee, A. L. (2024) ‘Adverse events related to physiotherapy practice: a scoping review’, </w:t>
      </w:r>
      <w:r w:rsidRPr="00D53A40">
        <w:rPr>
          <w:rFonts w:ascii="Arial" w:hAnsi="Arial" w:cs="Arial"/>
          <w:i/>
          <w:iCs/>
          <w:sz w:val="24"/>
          <w:szCs w:val="24"/>
        </w:rPr>
        <w:t xml:space="preserve">Archives of </w:t>
      </w:r>
      <w:r w:rsidR="00A03ACB" w:rsidRPr="00D53A40">
        <w:rPr>
          <w:rFonts w:ascii="Arial" w:hAnsi="Arial" w:cs="Arial"/>
          <w:i/>
          <w:iCs/>
          <w:sz w:val="24"/>
          <w:szCs w:val="24"/>
        </w:rPr>
        <w:t>Physiotherapy</w:t>
      </w:r>
      <w:r>
        <w:rPr>
          <w:rFonts w:ascii="Arial" w:hAnsi="Arial" w:cs="Arial"/>
          <w:sz w:val="24"/>
          <w:szCs w:val="24"/>
        </w:rPr>
        <w:t xml:space="preserve">, 14, pp. 138-154. </w:t>
      </w:r>
    </w:p>
    <w:p w14:paraId="39974D31" w14:textId="77777777" w:rsidR="000D7311" w:rsidRPr="000D7311" w:rsidRDefault="000D7311" w:rsidP="000D7311">
      <w:pPr>
        <w:rPr>
          <w:rFonts w:ascii="Arial" w:hAnsi="Arial" w:cs="Arial"/>
          <w:sz w:val="24"/>
          <w:szCs w:val="24"/>
        </w:rPr>
      </w:pPr>
    </w:p>
    <w:sectPr w:rsidR="000D7311" w:rsidRPr="000D73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311"/>
    <w:rsid w:val="000A3AE0"/>
    <w:rsid w:val="000D7311"/>
    <w:rsid w:val="00125B91"/>
    <w:rsid w:val="001954C2"/>
    <w:rsid w:val="002718F8"/>
    <w:rsid w:val="002920A0"/>
    <w:rsid w:val="00483625"/>
    <w:rsid w:val="005F155B"/>
    <w:rsid w:val="00665851"/>
    <w:rsid w:val="00677271"/>
    <w:rsid w:val="006C3D9B"/>
    <w:rsid w:val="007C52DA"/>
    <w:rsid w:val="00852A04"/>
    <w:rsid w:val="008A0B8B"/>
    <w:rsid w:val="00A03ACB"/>
    <w:rsid w:val="00A907BC"/>
    <w:rsid w:val="00B93422"/>
    <w:rsid w:val="00BD78CC"/>
    <w:rsid w:val="00BF73DA"/>
    <w:rsid w:val="00C009E9"/>
    <w:rsid w:val="00D03234"/>
    <w:rsid w:val="00D53A40"/>
    <w:rsid w:val="00D776CC"/>
    <w:rsid w:val="00E26BF2"/>
    <w:rsid w:val="00F173B5"/>
    <w:rsid w:val="00F4483C"/>
    <w:rsid w:val="00FC238F"/>
    <w:rsid w:val="00FE3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A3335"/>
  <w15:chartTrackingRefBased/>
  <w15:docId w15:val="{6957156A-819E-49FA-B91B-D9F76674F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73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73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73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73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73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73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73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73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73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73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73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73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73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73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73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73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73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73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73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73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73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73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73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73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73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73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73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73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731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E32E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2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165</Words>
  <Characters>942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1105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Tesni Fakes (Hywel Dda UHB - Therapy Assistant Practitioner)</dc:creator>
  <cp:keywords/>
  <dc:description/>
  <cp:lastModifiedBy>Tesni Fakes</cp:lastModifiedBy>
  <cp:revision>17</cp:revision>
  <dcterms:created xsi:type="dcterms:W3CDTF">2025-11-06T16:25:00Z</dcterms:created>
  <dcterms:modified xsi:type="dcterms:W3CDTF">2025-11-10T21:56:00Z</dcterms:modified>
</cp:coreProperties>
</file>