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9788C7" w14:textId="3B98DE57" w:rsidR="00CC169F" w:rsidRPr="00CC169F" w:rsidRDefault="0022257F" w:rsidP="00CC169F">
      <w:pPr>
        <w:rPr>
          <w:b/>
          <w:bCs/>
        </w:rPr>
      </w:pPr>
      <w:r w:rsidRPr="0022257F">
        <w:rPr>
          <w:b/>
          <w:bCs/>
        </w:rPr>
        <w:t>An Analysis of Cyber Security Attacks and Penetration Testing in a Virtualised Simulated Corporate Environment</w:t>
      </w:r>
    </w:p>
    <w:p w14:paraId="6A671B19" w14:textId="77777777" w:rsidR="00CC169F" w:rsidRPr="00CC169F" w:rsidRDefault="004208A2" w:rsidP="00CC169F">
      <w:r>
        <w:pict w14:anchorId="00C6B843">
          <v:rect id="_x0000_i1025" style="width:0;height:1.5pt" o:hralign="center" o:hrstd="t" o:hr="t" fillcolor="#a0a0a0" stroked="f"/>
        </w:pict>
      </w:r>
    </w:p>
    <w:p w14:paraId="10878D77" w14:textId="302BC722" w:rsidR="00CC169F" w:rsidRPr="00CC169F" w:rsidRDefault="00CC169F" w:rsidP="00CC169F">
      <w:pPr>
        <w:rPr>
          <w:b/>
          <w:bCs/>
        </w:rPr>
      </w:pPr>
      <w:r w:rsidRPr="00CC169F">
        <w:rPr>
          <w:b/>
          <w:bCs/>
        </w:rPr>
        <w:t>Introduction</w:t>
      </w:r>
    </w:p>
    <w:p w14:paraId="3B4AB99D" w14:textId="2CB8D643" w:rsidR="00CC169F" w:rsidRPr="00CC169F" w:rsidRDefault="00CC169F" w:rsidP="00CC169F">
      <w:r w:rsidRPr="00CC169F">
        <w:t xml:space="preserve">Cyber security has evolved significantly over the past decade, transitioning from reactive defence mechanisms to initiative-taking and intelligence-driven offensive strategies. This raises several important questions: </w:t>
      </w:r>
      <w:r w:rsidRPr="00CC169F">
        <w:rPr>
          <w:i/>
          <w:iCs/>
        </w:rPr>
        <w:t>How do modern cyber attackers operate? What differentiates traditional penetration testing from advanced adversary emulation? And how can organisations effectively defend themselves against increasingly sophisticated threats?</w:t>
      </w:r>
      <w:r w:rsidRPr="00CC169F">
        <w:t xml:space="preserve"> These questions form the foundation of this research.</w:t>
      </w:r>
    </w:p>
    <w:p w14:paraId="3CBF9C65" w14:textId="5D564533" w:rsidR="00CC169F" w:rsidRPr="00CC169F" w:rsidRDefault="00CC169F" w:rsidP="00CC169F">
      <w:r w:rsidRPr="00CC169F">
        <w:t>Modern organisations rely heavily on digital infrastructures, particularly web-facing services, and hybrid networks. While these systems offer efficiency and scalability, they also introduce vulnerabilities that can be exploited by malicious actors. High-profile cyber incidents in the United Kingdom, including those affecting Marks &amp; Spencer and the Co-operative Group, demonstrate that even well-established organisations are not immune to cyber threats. These incidents highlight the importance of understanding attacker behaviour, not merely identifying vulnerabilities.</w:t>
      </w:r>
    </w:p>
    <w:p w14:paraId="1DDF98CC" w14:textId="77777777" w:rsidR="00CC169F" w:rsidRPr="00CC169F" w:rsidRDefault="00CC169F" w:rsidP="00CC169F">
      <w:r w:rsidRPr="00CC169F">
        <w:t xml:space="preserve">Offensive security has therefore shifted towards </w:t>
      </w:r>
      <w:r w:rsidRPr="00CC169F">
        <w:rPr>
          <w:i/>
          <w:iCs/>
        </w:rPr>
        <w:t>Red Teaming</w:t>
      </w:r>
      <w:r w:rsidRPr="00CC169F">
        <w:t xml:space="preserve"> and </w:t>
      </w:r>
      <w:r w:rsidRPr="00CC169F">
        <w:rPr>
          <w:i/>
          <w:iCs/>
        </w:rPr>
        <w:t>Adversary Emulation</w:t>
      </w:r>
      <w:r w:rsidRPr="00CC169F">
        <w:t>, which simulate real-world attack scenarios using known tactics, techniques, and procedures (TTPs). Frameworks such as MITRE ATT&amp;CK provide structured methodologies to analyse and replicate attacker behaviour. This allows organisations to assess not only their technical vulnerabilities but also their detection and response capabilities.</w:t>
      </w:r>
    </w:p>
    <w:p w14:paraId="25F5963D" w14:textId="77777777" w:rsidR="00CC169F" w:rsidRPr="00CC169F" w:rsidRDefault="00CC169F" w:rsidP="00CC169F">
      <w:r w:rsidRPr="00CC169F">
        <w:t>This report is divided into two main parts. The first part provides a strategic threat analysis of cyber incidents affecting major UK organisations, focusing on attack timelines, adversary behaviour, and security failures. The second part presents a practical Red Team engagement conducted within a virtualised lab environment simulating a corporate network (ABCD Ltd). This includes planning, execution, and evaluation of a penetration testing campaign.</w:t>
      </w:r>
    </w:p>
    <w:p w14:paraId="59916A9D" w14:textId="77777777" w:rsidR="00CC169F" w:rsidRPr="00CC169F" w:rsidRDefault="00CC169F" w:rsidP="00CC169F">
      <w:r w:rsidRPr="00CC169F">
        <w:t>The objective of this research is to demonstrate both theoretical understanding and practical application of cyber security principles. It aims to bridge the gap between academic knowledge and real-world implementation by analysing real incidents and replicating similar attack strategies in a controlled environment.</w:t>
      </w:r>
    </w:p>
    <w:p w14:paraId="3AB3FBAD" w14:textId="77777777" w:rsidR="00CC169F" w:rsidRDefault="00CC169F" w:rsidP="00CC169F">
      <w:r w:rsidRPr="00CC169F">
        <w:t xml:space="preserve">All assumptions made throughout this report are explicitly stated and justified. The research also integrates academic literature, industry reports, and practical </w:t>
      </w:r>
      <w:r w:rsidRPr="00CC169F">
        <w:lastRenderedPageBreak/>
        <w:t>experimentation to ensure a comprehensive and systematic understanding of modern cyber security challenges.</w:t>
      </w:r>
    </w:p>
    <w:p w14:paraId="363724D6" w14:textId="77777777" w:rsidR="00CC169F" w:rsidRPr="00CC169F" w:rsidRDefault="00CC169F" w:rsidP="00CC169F"/>
    <w:p w14:paraId="7BD0E337" w14:textId="21AA71C6" w:rsidR="00D05BA9" w:rsidRPr="00D05BA9" w:rsidRDefault="00D05BA9" w:rsidP="00D05BA9">
      <w:pPr>
        <w:rPr>
          <w:b/>
          <w:bCs/>
        </w:rPr>
      </w:pPr>
      <w:r w:rsidRPr="00D05BA9">
        <w:rPr>
          <w:b/>
          <w:bCs/>
        </w:rPr>
        <w:t>Task 1 – Paragraph 1: Incident Summary and Timeline (Aurora Retail Scenario</w:t>
      </w:r>
      <w:r>
        <w:rPr>
          <w:b/>
          <w:bCs/>
        </w:rPr>
        <w:t>)</w:t>
      </w:r>
    </w:p>
    <w:p w14:paraId="17A9B2A3" w14:textId="2402D5B5" w:rsidR="00D05BA9" w:rsidRDefault="00D05BA9" w:rsidP="00D05BA9">
      <w:r w:rsidRPr="00D05BA9">
        <w:t xml:space="preserve">The cyber incidents targeting Aurora Retail Ltd, a mid-sized UK retail company with a prominent e-commerce platform and internal corporate systems, exemplify the sophisticated nature of contemporary cyber threats faced by organisations in the retail sector. Aurora Retail operates a hybrid network environment, combining web-facing services with internal corporate resources, making it a realistic target for financially motivated attackers seeking customer data and operational disruption. The campaign is believed to have commenced in early 2024, with the initial access phase achieved through spear-phishing emails directed at key finance and IT personnel. These emails contained malicious attachments designed to deploy lightweight remote access tools, allowing attackers to compromise employee accounts. Once initial access was secured, the threat actors established persistence within the internal network, leveraging both stolen credentials and exploitation of a vulnerable content management system (CMS) hosting the company’s e-commerce platform. The attackers performed a methodical privilege escalation process by exploiting misconfigured permissions on a Windows domain controller, gaining administrative access, and increasing their operational footprint across the corporate network. Lateral movement followed, with the adversaries targeting internal file servers containing sensitive customer information and corporate financial data. Throughout this phase, minimal detection occurred due to the attackers’ use of stealth techniques, including living-off-the-land binaries and obfuscated scripts, which circumvented the organisation’s standard monitoring tools. Detection was eventually initiated when anomalous access patterns were flagged by the security information and event management (SIEM) system, prompting the internal IT team to investigate unusual login behaviours and file access. Containment actions involved immediate network segmentation, system isolation, and credential resets, effectively limiting further compromise. The public disclosure of the incident occurred after internal mitigation measures were completed, with Aurora Retail issuing statements to stakeholders regarding the nature of the breach and subsequent corrective actions. Post-incident remediation focused not only on technical measures, such as patching the vulnerable CMS and reinforcing authentication protocols, but also on organisational improvements, including staff security awareness training and updates to internal cybersecurity policies. This reconstructed timeline demonstrates that modern attacks are rarely the result of a single exploited vulnerability; instead, they rely on a coordinated chain of technical exploits, human-targeted social engineering, and process weaknesses. By analysing the sequence of events and synthesising evidence from publicly available reports of similar retail-sector breaches, this scenario </w:t>
      </w:r>
      <w:r w:rsidRPr="00D05BA9">
        <w:lastRenderedPageBreak/>
        <w:t>provides a credible foundation for mapping adversary tactics, techniques, and procedures (TTPs), evaluating control failures, and formulating strategic recommendations. Importantly, it establishes a controlled, original narrative that is academically rigorous while allowing flexibility for deeper technical analysis in subsequent paragraphs, including TTP mapping, root cause investigation, threat actor profiling, and detection-response evaluation.</w:t>
      </w:r>
    </w:p>
    <w:p w14:paraId="49AA5954" w14:textId="2ECEFB3A" w:rsidR="00D05BA9" w:rsidRPr="00D05BA9" w:rsidRDefault="00D05BA9" w:rsidP="00D05BA9">
      <w:pPr>
        <w:rPr>
          <w:b/>
          <w:bCs/>
        </w:rPr>
      </w:pPr>
      <w:r w:rsidRPr="00D05BA9">
        <w:rPr>
          <w:b/>
          <w:bCs/>
        </w:rPr>
        <w:t>Task 1 – Paragraph 2: Adversary TTP Mapping (Aurora Retail Scenario)</w:t>
      </w:r>
    </w:p>
    <w:p w14:paraId="2731B566" w14:textId="140C5D3C" w:rsidR="00D05BA9" w:rsidRDefault="00D05BA9" w:rsidP="00D05BA9">
      <w:r w:rsidRPr="00D05BA9">
        <w:t xml:space="preserve">Following the reconstructed timeline of the Aurora Retail cyber incident, it is essential to map the adversary’s actions to a structured framework to understand the attack methodology comprehensively. The MITRE ATT&amp;CK® Enterprise Matrix provides a systematic approach for categorising attacker tactics, techniques, and procedures (TTPs), offering both academic and practical insight into the progression of a campaign. In the Aurora scenario, the attackers demonstrated a multi-stage strategy consistent with advanced financially motivated cybercrime groups, leveraging a combination of social engineering, exploitation of known vulnerabilities, and stealthy lateral movement. The initial access tactic (T1566 – Phishing) reflects the attackers’ use of spear-phishing emails directed at finance and IT personnel, embedding malicious macros or links to deliver lightweight remote access tools. Upon successful compromise, execution techniques such as command-line interface (T1059) and script execution allowed the adversaries to establish control without deploying conspicuous malware, maintaining a low profile. Persistence (T1078 – Valid Accounts) was achieved by compromising legitimate employee credentials, enabling the attackers to reconnect to the network even after temporary account lockouts or password resets. Privilege escalation (T1068 – Exploitation for Privilege Escalation) was performed via misconfigured Windows domain controller permissions, granting administrative access and expanding their operational capabilities across the network. Defence evasion (T1027 – Obfuscated Files or Information) was evident in the use of encoded scripts and living-off-the-land binaries to avoid detection by endpoint protection systems. Credential access (T1003 – Credential Dumping) allowed the adversaries to extract hashed passwords and reuse them to move laterally within the network, targeting internal file servers and sensitive data stores. Discovery techniques (T1046 – Network Service Scanning) enabled identification of additional hosts, services, and applications to prioritise targets for further exploitation. Lateral movement (T1021 – Remote Services) facilitated the spread across the internal network, allowing access to critical systems without triggering standard alerts. Collection tactics (T1005 – Data from Local Systems) were applied to aggregate sensitive customer data and internal financial documents, which were subsequently prepared for exfiltration. Finally, exfiltration (T1041 – Exfiltration Over Web Protocols) completed the attack chain, as data was transferred out of the compromised environment to a controlled location, demonstrating the adversaries’ operational discipline. By mapping these ten key TTPs, the Aurora Retail scenario illustrates a </w:t>
      </w:r>
      <w:r w:rsidRPr="00D05BA9">
        <w:lastRenderedPageBreak/>
        <w:t>realistic, end-to-end attack lifecycle and provides a foundation for identifying specific detection gaps, assessing organisational resilience, and developing mitigation strategies. Each mapped TTP is supported by evidence reconstructed from similar real-world retail-sector attacks while ensuring that the scenario remains original and academically defensible. This structured approach not only clarifies the adversary’s behaviour but also highlights the importance of integrating threat intelligence frameworks, such as MITRE ATT&amp;CK, into corporate security assessments to anticipate, detect, and respond to sophisticated attacks effectively.</w:t>
      </w:r>
    </w:p>
    <w:p w14:paraId="01EE87DF" w14:textId="56EFD5A9" w:rsidR="00D05BA9" w:rsidRPr="00D05BA9" w:rsidRDefault="00D05BA9" w:rsidP="00D05BA9">
      <w:pPr>
        <w:rPr>
          <w:b/>
          <w:bCs/>
        </w:rPr>
      </w:pPr>
      <w:r w:rsidRPr="00D05BA9">
        <w:rPr>
          <w:b/>
          <w:bCs/>
        </w:rPr>
        <w:t>Task 1 – Paragraph 3: Root Cause &amp; Security Control Failures (Aurora Retail Scenario)</w:t>
      </w:r>
    </w:p>
    <w:p w14:paraId="36DF18B4" w14:textId="7D03E8F1" w:rsidR="00D05BA9" w:rsidRDefault="00D05BA9" w:rsidP="00D05BA9">
      <w:r w:rsidRPr="00D05BA9">
        <w:t xml:space="preserve">A critical examination of the Aurora Retail cyber incident reveals that the successful breach was the result of a combination of technical vulnerabilities, organisational shortcomings, and human factors. At the technical level, the primary enabler was the exploitation of a vulnerable content management system (CMS) hosting the company’s e-commerce platform. The CMS had not been updated with security patches, creating a remote code execution (RCE) vector that allowed attackers to deploy malicious scripts undetected. Additionally, misconfigured permissions on the Windows domain controller permitted excessive privileges for standard user accounts, facilitating privilege escalation and lateral movement within the internal network. The absence of network segmentation meant that once the attackers gained initial access, they could move freely between critical systems, including file servers containing sensitive customer and financial data. Endpoint security and intrusion detection systems, while deployed, failed to recognise anomalous activity due to both outdated signature databases and insufficient monitoring thresholds, illustrating a gap in detection capability. On the organisational side, policies around password management and multi-factor authentication (MFA) were inconsistent. Several accounts, particularly those of long-term employees, were protected by weak or reused passwords, making them highly susceptible to credential-based attacks. Employee training programmes were infrequent and generic, which reduced staff awareness of phishing techniques and social engineering tactics, contributing to the initial compromise. Human factors played a decisive role; targeted spear-phishing successfully bypassed employee vigilance, demonstrating that attackers exploited both technical vulnerabilities and predictable human behaviour. Furthermore, the incident highlighted weaknesses in operational processes, including delayed patch management, lack of initiative-taking vulnerability scanning, and insufficient incident response rehearsals. These deficiencies meant that even once unusual activity began, detection and containment were slower than optimal, allowing the attackers to maintain persistence long enough to access and exfiltrate sensitive information. By mapping observed exploitation to specific control failures, it becomes clear that no single factor caused the breach; rather, it was the convergence of multiple gaps across technology, people, and </w:t>
      </w:r>
      <w:r w:rsidRPr="00D05BA9">
        <w:lastRenderedPageBreak/>
        <w:t>processes. This analysis underscores the importance of adopting a holistic cybersecurity strategy that addresses not only technical vulnerabilities but also human and procedural weaknesses. Recommendations emerging from this root cause investigation include prioritising timely patching and vulnerability management, enforcing strict access controls and network segmentation, implementing phishing-resistant MFA, and enhancing security awareness training. By learning from these failures, Aurora Retail can strengthen its resilience against future campaigns and align its defensive posture with the advanced TTPs employed by financially motivated cybercriminal groups. This paragraph sets the foundation for understanding the underlying reasons for the breach, which informs the subsequent profiling of the threat actor, evaluation of detection and response, and formulation of strategic security recommendations.</w:t>
      </w:r>
    </w:p>
    <w:p w14:paraId="462284C8" w14:textId="17F12F81" w:rsidR="00D05BA9" w:rsidRPr="00D05BA9" w:rsidRDefault="00D05BA9" w:rsidP="00D05BA9">
      <w:pPr>
        <w:rPr>
          <w:b/>
          <w:bCs/>
        </w:rPr>
      </w:pPr>
      <w:r w:rsidRPr="00D05BA9">
        <w:rPr>
          <w:b/>
          <w:bCs/>
        </w:rPr>
        <w:t>Task 1 – Paragraph 4: Threat Actor Profile &amp; Motive (Aurora Retail Scenario)</w:t>
      </w:r>
    </w:p>
    <w:p w14:paraId="354CCEAA" w14:textId="7D6A6B7B" w:rsidR="00D05BA9" w:rsidRDefault="00D05BA9" w:rsidP="00D05BA9">
      <w:r w:rsidRPr="00D05BA9">
        <w:t xml:space="preserve">Analysing the Aurora Retail incident through the lens of threat actor profiling provides valuable insight into the motives, capabilities, and operational characteristics behind the campaign. Evidence reconstructed from the attack chain, combined with publicly documented tactics of similar retail-sector breaches, suggests that the adversaries are a financially motivated cybercriminal group operating at a medium sophistication level. The group demonstrates a clear understanding of corporate network structures, exploiting both technical vulnerabilities and human behaviour to maximise gain while minimising detection. Initial access via spear-phishing and subsequent exploitation of the vulnerable CMS indicate that the actors possess expertise in social engineering and web application exploitation, commonly observed in financially driven campaigns. Their use of legitimate credentials for persistence, along with stealthy lateral movement techniques, reflects knowledge of advanced Windows environments and security control evasion. The motive behind the attack appears to be primarily financial: exfiltration of customer data, including personal identifiable information (PII) and payment details, as well as sensitive internal financial documents that could be monetised on underground markets or used for fraudulent transactions. Secondary motives, such as testing operational security or demonstrating technical skill for reputational purposes within cybercriminal communities, cannot be excluded but are subordinate to financial objectives. Attribution to a specific group remains hypothetical due to the lack of concrete identifiers; however, the behavioural profile aligns with known threat actor clusters that target mid-sized retail organisations in the UK, employing commodity malware augmented with custom scripts to evade detection. Evidence against state-sponsored attribution includes the lack of political or espionage-related objectives, while evidence supporting financially motivated cybercrime includes the targeted exfiltration of payment and customer data, the choice of mid-sized corporate targets, and the focus on monetisable assets. The attackers’ operational discipline, including maintaining persistence and carefully sequencing </w:t>
      </w:r>
      <w:r w:rsidRPr="00D05BA9">
        <w:lastRenderedPageBreak/>
        <w:t>exploitation to avoid detection, reflects moderate to high capability, though their reliance on known vulnerabilities and phishing suggests they are not at the level of a nation-state APT. Profiling these actors allows organisations to anticipate attack patterns, prioritise defensive measures, and design threat-informed detection strategies. In the case of Aurora Retail, understanding that the adversaries’ primary goal was financial gain guides both technical and policy-oriented recommendations, such as enforcing strict access controls, improving monitoring for unusual data access, implementing phishing-resistant multi-factor authentication, and regular employee awareness programmes. This paragraph therefore bridges the technical mapping of TTPs and the organisational root cause analysis, providing context for evaluating detection and response capabilities in the next section and forming the basis for actionable, business-focused mitigation strategies.</w:t>
      </w:r>
    </w:p>
    <w:p w14:paraId="21AAC4E6" w14:textId="10B8E17C" w:rsidR="00BA4457" w:rsidRPr="00BA4457" w:rsidRDefault="00BA4457" w:rsidP="00BA4457">
      <w:pPr>
        <w:rPr>
          <w:b/>
          <w:bCs/>
        </w:rPr>
      </w:pPr>
      <w:r w:rsidRPr="00BA4457">
        <w:rPr>
          <w:b/>
          <w:bCs/>
        </w:rPr>
        <w:t>Task 1 – Paragraph 5: Detection &amp; Response Analysis and Strategic Recommendations (Aurora Retail Scenario)</w:t>
      </w:r>
    </w:p>
    <w:p w14:paraId="2F5072E3" w14:textId="39B1D83F" w:rsidR="00BA4457" w:rsidRPr="00BA4457" w:rsidRDefault="00BA4457" w:rsidP="00BA4457">
      <w:r w:rsidRPr="00BA4457">
        <w:t>The Aurora Retail incident highlights both strengths and critical gaps in the organisation’s detection and response capabilities. Despite having endpoint protection and a security information and event management (SIEM) system in place, the attackers were able to maintain persistence and move laterally for an extended period before detection. This delay can be attributed to several factors, including insufficient telemetry, inadequate correlation of logs across systems, and a lack of behavioural analytics that could identify anomalous activity such as unusual login times, data access patterns, or administrative privilege escalation. While internal IT teams eventually detected the breach, the response was reactive rather than initiative-taking, illustrating the need for a more integrated incident response (IR) framework with clearly defined escalation procedures, real-time monitoring, and pre-tested playbooks.</w:t>
      </w:r>
    </w:p>
    <w:p w14:paraId="3C54454F" w14:textId="77777777" w:rsidR="00BA4457" w:rsidRPr="00BA4457" w:rsidRDefault="00BA4457" w:rsidP="00BA4457">
      <w:r w:rsidRPr="00BA4457">
        <w:t>Based on the incident’s root causes, several strategic recommendations can be prioritised to strengthen Aurora Retail’s cybersecurity posture. Technically, patch management and vulnerability scanning must be formalised to ensure that all web-facing applications, including the CMS, are updated promptly. Network segmentation should be implemented to isolate critical systems such as file servers and the domain controller, limiting lateral movement in the event of compromise. Privileged access management (PAM) and least-privilege policies should be enforced across the Windows environment, combined with phishing-resistant multi-factor authentication to mitigate credential-based attacks. Detection capabilities require enhancement through extended telemetry collection, including monitoring of authentication events, file access anomalies, and abnormal network traffic. Integration of behavioural analytics and anomaly detection can allow early identification of stealthy intrusions.</w:t>
      </w:r>
    </w:p>
    <w:p w14:paraId="07F3AF2F" w14:textId="77777777" w:rsidR="00BA4457" w:rsidRPr="00BA4457" w:rsidRDefault="00BA4457" w:rsidP="00BA4457">
      <w:r w:rsidRPr="00BA4457">
        <w:t xml:space="preserve">Organisational and human-centric controls are equally important. Security awareness training must be continuous, role-specific, and tailored to counter social engineering </w:t>
      </w:r>
      <w:r w:rsidRPr="00BA4457">
        <w:lastRenderedPageBreak/>
        <w:t>threats, emphasising recognition of phishing and spear-phishing campaigns. Incident response planning should be formalised, including the creation of playbooks for different attack scenarios, regular tabletop exercises, and clear communication channels to executive leadership. Policies should define acceptable network usage, credential management, and escalation procedures, while regular audits can ensure compliance and effectiveness.</w:t>
      </w:r>
    </w:p>
    <w:p w14:paraId="2A945C7E" w14:textId="77777777" w:rsidR="00BA4457" w:rsidRPr="00BA4457" w:rsidRDefault="00BA4457" w:rsidP="00BA4457">
      <w:r w:rsidRPr="00BA4457">
        <w:t>From a strategic perspective, a hybrid approach combining technical, organisational, and human controls will provide the most resilient defence. Architectural changes, such as adopting zero-trust principles and segmenting high-value assets, reduce exposure. Deployment of continuous monitoring tools, coupled with automated alerting, ensures rapid detection of anomalous behaviour. Finally, lessons learned from the incident should feed into a continuous improvement cycle, informing both policy and system updates to adapt to evolving threat landscapes.</w:t>
      </w:r>
    </w:p>
    <w:p w14:paraId="18AD0D04" w14:textId="77777777" w:rsidR="00BA4457" w:rsidRDefault="00BA4457" w:rsidP="00BA4457">
      <w:r w:rsidRPr="00BA4457">
        <w:t>In summary, the detection and response gaps exposed by the Aurora Retail incident, coupled with human and technical vulnerabilities, underscore the need for a comprehensive, multi-layered security strategy. Implementing the recommendations above—ranging from technical patching and segmentation to advanced monitoring and employee awareness—positions the organisation to detect threats earlier, respond faster, and reduce the potential impact of future cyber campaigns. This paragraph closes the analysis of the Aurora Retail attack, providing a bridge into Task 2, where these insights will inform a practical, end-to-end Red Team engagement and penetration testing exercise against a virtualised company environment.</w:t>
      </w:r>
    </w:p>
    <w:p w14:paraId="09E5946D" w14:textId="3A998C55" w:rsidR="00381FA0" w:rsidRPr="00381FA0" w:rsidRDefault="00381FA0" w:rsidP="00381FA0">
      <w:pPr>
        <w:rPr>
          <w:b/>
          <w:bCs/>
        </w:rPr>
      </w:pPr>
      <w:r w:rsidRPr="00381FA0">
        <w:rPr>
          <w:b/>
          <w:bCs/>
        </w:rPr>
        <w:t>Task 2 – Paragraph 1: Rules of Engagement and Threat Emulation Plan (ABCD Ltd Scenario)</w:t>
      </w:r>
    </w:p>
    <w:p w14:paraId="477BDAC9" w14:textId="77777777" w:rsidR="00381FA0" w:rsidRPr="00381FA0" w:rsidRDefault="00381FA0" w:rsidP="00381FA0">
      <w:r w:rsidRPr="00381FA0">
        <w:t xml:space="preserve">The initial phase of the Red Team engagement for ABCD Ltd involves establishing a comprehensive </w:t>
      </w:r>
      <w:r w:rsidRPr="00381FA0">
        <w:rPr>
          <w:b/>
          <w:bCs/>
        </w:rPr>
        <w:t>Rules of Engagement (RoE)</w:t>
      </w:r>
      <w:r w:rsidRPr="00381FA0">
        <w:t xml:space="preserve"> and a clearly defined </w:t>
      </w:r>
      <w:r w:rsidRPr="00381FA0">
        <w:rPr>
          <w:b/>
          <w:bCs/>
        </w:rPr>
        <w:t>Threat Emulation Plan</w:t>
      </w:r>
      <w:r w:rsidRPr="00381FA0">
        <w:t>, ensuring that all activities remain ethical, controlled, and aligned with both legal and organisational requirements. The RoE document formalises the scope of the penetration test, delineating permitted systems, network segments, and the types of attacks allowed. It explicitly excludes critical production systems, external customer infrastructure, and any sensitive data that could result in reputational or legal consequences if compromised. Safe-words and kill-switch protocols are incorporated to immediately halt any testing in the event of unintended system instability or suspected live-network interaction. Escalation and communication channels are clearly defined, detailing points of contact within the IT department and executive leadership, ensuring timely reporting of unexpected findings or potential safety concerns. Legal constraints are explicitly stated to confirm compliance with the Computer Misuse Act 1990 and relevant GDPR provisions, which govern ethical hacking activities within the UK corporate environment.</w:t>
      </w:r>
    </w:p>
    <w:p w14:paraId="75852BE8" w14:textId="77777777" w:rsidR="00381FA0" w:rsidRPr="00381FA0" w:rsidRDefault="00381FA0" w:rsidP="00381FA0">
      <w:r w:rsidRPr="00381FA0">
        <w:lastRenderedPageBreak/>
        <w:t>The Threat Emulation Plan is structured around the MITRE ATT&amp;CK® framework, mapping each planned action to specific tactics and techniques that a real-world adversary might employ. The engagement objectives are designed to mirror plausible attack goals for mid-sized retail organisations, including exfiltration of sample customer data, obtaining privileged Active Directory credentials, and compromising internal web-facing applications. Success criteria are defined for each objective, ensuring measurable outcomes, such as proof of access to sensitive files without impacting live operations or network availability. The plan is sequenced to emulate an advanced persistent threat (APT) lifecycle, beginning with initial reconnaissance and vulnerability identification, followed by staged exploitation, lateral movement, privilege escalation, and final exfiltration of controlled data.</w:t>
      </w:r>
    </w:p>
    <w:p w14:paraId="10F249C9" w14:textId="77777777" w:rsidR="00381FA0" w:rsidRPr="00381FA0" w:rsidRDefault="00381FA0" w:rsidP="00381FA0">
      <w:r w:rsidRPr="00381FA0">
        <w:t>The lab environment has been designed to reflect a realistic corporate network, including at least three virtual machines representing distinct roles: a Windows Server domain controller (VM-1), a Linux web server hosting a deliberately vulnerable application (VM-2), and a Windows 10/11 client or file server containing dummy sensitive data (VM-3). The Threat Emulation Plan incorporates three distinct exploits, each targeting a different VM or service, to simulate an end-to-end attack chain. Pre-conditions, expected vulnerabilities, and exploit methodologies are documented for each phase, providing a high-level blueprint of the campaign while avoiding the inclusion of weaponised payloads.</w:t>
      </w:r>
    </w:p>
    <w:p w14:paraId="3A056A14" w14:textId="77777777" w:rsidR="00381FA0" w:rsidRDefault="00381FA0" w:rsidP="00381FA0">
      <w:r w:rsidRPr="00381FA0">
        <w:t>Operational considerations, including stealth and detection evasion, are integral to the plan. The use of Living-Off-the-Land (LOLBin) techniques, controlled command-and-control simulations, and monitored attack execution ensures realistic adversary behaviour while maintaining the integrity of the isolated lab environment. Network snapshots, backup procedures, and rollback plans are incorporated to guarantee containment and safety, allowing full reversibility in the event of unforeseen issues. By integrating these elements into the RoE and Threat Emulation Plan, ABCD Ltd receives a structured, controlled, and academically defensible framework for the Red Team engagement, aligning practical testing with strategic cyber risk evaluation.</w:t>
      </w:r>
    </w:p>
    <w:p w14:paraId="2F9A149B" w14:textId="3D4401C2" w:rsidR="0040042E" w:rsidRPr="0040042E" w:rsidRDefault="0040042E" w:rsidP="0040042E">
      <w:pPr>
        <w:rPr>
          <w:b/>
          <w:bCs/>
        </w:rPr>
      </w:pPr>
      <w:r w:rsidRPr="0040042E">
        <w:rPr>
          <w:b/>
          <w:bCs/>
        </w:rPr>
        <w:t>Task 2 – Paragraph 2: Lab Environment Design (ABCD Ltd Scenario)</w:t>
      </w:r>
    </w:p>
    <w:p w14:paraId="45154843" w14:textId="77777777" w:rsidR="0040042E" w:rsidRPr="0040042E" w:rsidRDefault="0040042E" w:rsidP="0040042E">
      <w:r w:rsidRPr="0040042E">
        <w:t xml:space="preserve">A realistic and well-structured lab environment is central to executing a comprehensive Red Team engagement while ensuring the safety and integrity of both the simulated network and surrounding systems. For ABCD Ltd, the virtualised lab comprises </w:t>
      </w:r>
      <w:r w:rsidRPr="0040042E">
        <w:rPr>
          <w:b/>
          <w:bCs/>
        </w:rPr>
        <w:t>three primary virtual machines (VMs)</w:t>
      </w:r>
      <w:r w:rsidRPr="0040042E">
        <w:t xml:space="preserve">, each representing distinct operational roles that mirror a typical mid-sized corporate network. </w:t>
      </w:r>
      <w:r w:rsidRPr="0040042E">
        <w:rPr>
          <w:b/>
          <w:bCs/>
        </w:rPr>
        <w:t>VM-1 is a Windows Server acting as the Active Directory Domain Controller</w:t>
      </w:r>
      <w:r w:rsidRPr="0040042E">
        <w:t xml:space="preserve">, responsible for authentication, user management, and policy enforcement. This VM is configured with multiple domain users and administrative accounts, deliberately including misconfigurations in access permissions to emulate real-world vulnerabilities often found in corporate networks. </w:t>
      </w:r>
      <w:r w:rsidRPr="0040042E">
        <w:rPr>
          <w:b/>
          <w:bCs/>
        </w:rPr>
        <w:lastRenderedPageBreak/>
        <w:t>VM-2 is a Linux-based web server hosting a vulnerable e-commerce application</w:t>
      </w:r>
      <w:r w:rsidRPr="0040042E">
        <w:t xml:space="preserve">, including outdated CMS components and deliberately exploitable modules. This setup allows the Red Team to simulate web application attacks such as remote code execution, SQL injection, and privilege escalation in a safe, controlled environment. </w:t>
      </w:r>
      <w:r w:rsidRPr="0040042E">
        <w:rPr>
          <w:b/>
          <w:bCs/>
        </w:rPr>
        <w:t>VM-3 represents a Windows 10 client or internal file server</w:t>
      </w:r>
      <w:r w:rsidRPr="0040042E">
        <w:t>, storing dummy sensitive data, including customer records and financial spreadsheets, to simulate the target of data exfiltration or lateral movement exercises.</w:t>
      </w:r>
    </w:p>
    <w:p w14:paraId="5C8216E4" w14:textId="3F03F76D" w:rsidR="0040042E" w:rsidRPr="0040042E" w:rsidRDefault="0040042E" w:rsidP="0040042E">
      <w:r w:rsidRPr="0040042E">
        <w:t>The network architecture integrates these VMs within a segmented virtual LAN, replicating realistic internal network constraints. Firewalls, routing rules, and virtual switches enforce connectivity limitations, ensuring that VM-to-VM communication reflects actual corporate network configurations. This segmentation allows the Red Team to evaluate the effectiveness of access controls and monitoring tools, observing how an attacker might navigate internal boundaries while avoiding detection. Additional infrastructure, such as a simulated DNS server, logging server, and optional CI/CD runner, supports operational realism and provides telemetry points for monitoring, detection, and forensic analysis during the engagement.</w:t>
      </w:r>
    </w:p>
    <w:p w14:paraId="05B51FE5" w14:textId="4855B108" w:rsidR="0040042E" w:rsidRPr="0040042E" w:rsidRDefault="0040042E" w:rsidP="0040042E">
      <w:r w:rsidRPr="0040042E">
        <w:t xml:space="preserve">Each VM is documented with a </w:t>
      </w:r>
      <w:r w:rsidRPr="0040042E">
        <w:rPr>
          <w:b/>
          <w:bCs/>
        </w:rPr>
        <w:t>detailed configuration record</w:t>
      </w:r>
      <w:r w:rsidRPr="0040042E">
        <w:t xml:space="preserve">, including operating system version, installed applications, open ports, network interfaces, and relevant user accounts. Snapshots are taken prior to testing, establishing a rollback point to maintain safety and containment. Network diagrams illustrate the topology, showing the relationship between servers, clients, and supporting infrastructure, including IP addressing, subnet allocations, and </w:t>
      </w:r>
      <w:r w:rsidR="00241B76" w:rsidRPr="0040042E">
        <w:t>security system</w:t>
      </w:r>
      <w:r w:rsidRPr="0040042E">
        <w:t xml:space="preserve"> rules. This visual representation is critical for planning attack paths, understanding potential detection points, and guiding post-engagement reporting.</w:t>
      </w:r>
    </w:p>
    <w:p w14:paraId="1095395C" w14:textId="77777777" w:rsidR="0040042E" w:rsidRPr="0040042E" w:rsidRDefault="0040042E" w:rsidP="0040042E">
      <w:r w:rsidRPr="0040042E">
        <w:t>The lab design also considers attack realism and operational constraints. For example, default credentials on VM-2 and known CMS vulnerabilities simulate common misconfigurations and outdated software in real organisations. VM-1’s misconfigured group policies and excessive privileges allow the Red Team to emulate lateral movement and privilege escalation, reflecting techniques observed in contemporary cybercrime campaigns. VM-3’s sensitive data is structured to enable realistic data exfiltration scenarios without risking actual customer or corporate information.</w:t>
      </w:r>
    </w:p>
    <w:p w14:paraId="47C6357E" w14:textId="77777777" w:rsidR="0040042E" w:rsidRDefault="0040042E" w:rsidP="0040042E">
      <w:r w:rsidRPr="0040042E">
        <w:t>By designing a virtual lab with these specifications, ABCD Ltd benefits from a safe, reproducible, and academically defensible platform for testing detection, prevention, and response capabilities. The lab ensures that the Red Team can demonstrate an end-to-end attack lifecycle, evaluate gaps in existing controls, and generate actionable insights while maintaining isolation from live networks. This structured environment sets the stage for the subsequent execution phase, including targeted exploits and observation of defensive responses, forming the foundation for evidence-based technical reporting and executive briefing.</w:t>
      </w:r>
    </w:p>
    <w:p w14:paraId="2A6968D8" w14:textId="11B210E7" w:rsidR="008A1FD1" w:rsidRPr="008A1FD1" w:rsidRDefault="008A1FD1" w:rsidP="008A1FD1">
      <w:pPr>
        <w:rPr>
          <w:b/>
          <w:bCs/>
        </w:rPr>
      </w:pPr>
      <w:r w:rsidRPr="008A1FD1">
        <w:rPr>
          <w:b/>
          <w:bCs/>
        </w:rPr>
        <w:lastRenderedPageBreak/>
        <w:t>Task 2 – Paragraph 3: Exploitation Requirements and Execution (ABCD Ltd Scenario)</w:t>
      </w:r>
    </w:p>
    <w:p w14:paraId="28E7FDE9" w14:textId="77777777" w:rsidR="008A1FD1" w:rsidRPr="008A1FD1" w:rsidRDefault="008A1FD1" w:rsidP="008A1FD1">
      <w:r w:rsidRPr="008A1FD1">
        <w:t xml:space="preserve">The core of the Red Team engagement for ABCD Ltd revolves around the execution of </w:t>
      </w:r>
      <w:r w:rsidRPr="008A1FD1">
        <w:rPr>
          <w:b/>
          <w:bCs/>
        </w:rPr>
        <w:t>three distinct exploits</w:t>
      </w:r>
      <w:r w:rsidRPr="008A1FD1">
        <w:t>, each targeting a different VM or service, to simulate an end-to-end attack chain that mirrors real-world adversary behaviour. The objective is to demonstrate a complete attack lifecycle, from initial compromise to lateral movement and data access, while adhering to the Rules of Engagement (RoE) and maintaining a controlled, safe environment.</w:t>
      </w:r>
    </w:p>
    <w:p w14:paraId="6704AC82" w14:textId="79170144" w:rsidR="008A1FD1" w:rsidRPr="008A1FD1" w:rsidRDefault="008A1FD1" w:rsidP="008A1FD1">
      <w:r w:rsidRPr="008A1FD1">
        <w:rPr>
          <w:b/>
          <w:bCs/>
        </w:rPr>
        <w:t>Exploit A – Web Application Remote Code Execution (VM-2):</w:t>
      </w:r>
      <w:r w:rsidRPr="008A1FD1">
        <w:t xml:space="preserve"> The first exploit targets the Linux-based web server hosting the vulnerable CMS. Leveraging an outdated plugin with a known remote code execution (RCE) vulnerability, the Red Team gains initial access to the server. Preconditions include network connectivity to the web service and a valid administrative user on the CMS. The attack is simulated using controlled payloads to execute server-side scripts, enabling retrieval of system information, and establishing a foothold. Evidence of success includes access logs, screenshots of shell sessions, and telemetry demonstrating remote command execution. This phase emulates the initial access tactics observed in real-world retail cybercrime, mapped to MITRE ATT&amp;CK T1078 (Valid Accounts) and T1059 (Command and Scripting Interpreter).</w:t>
      </w:r>
    </w:p>
    <w:p w14:paraId="395AE167" w14:textId="77777777" w:rsidR="008A1FD1" w:rsidRPr="008A1FD1" w:rsidRDefault="008A1FD1" w:rsidP="008A1FD1">
      <w:r w:rsidRPr="008A1FD1">
        <w:rPr>
          <w:b/>
          <w:bCs/>
        </w:rPr>
        <w:t>Exploit B – Privilege Escalation and Lateral Movement (VM-1):</w:t>
      </w:r>
      <w:r w:rsidRPr="008A1FD1">
        <w:t xml:space="preserve"> Following successful compromise of VM-2, the Red Team pivots to the Windows Server domain controller to simulate privilege escalation and lateral movement. Exploitation involves identifying misconfigured group policies and unpatched Windows vulnerabilities (mapped to MITRE ATT&amp;CK T1068 – Exploitation for Privilege Escalation). Using these techniques, the team elevates standard user access to administrative privileges and moves laterally to other network resources. Evidence of this stage includes screenshots of elevated privileges, successful remote desktop connections, and event logs showing user account manipulation. This step demonstrates how attackers exploit structural weaknesses in corporate networks to gain control over sensitive systems.</w:t>
      </w:r>
    </w:p>
    <w:p w14:paraId="6E85EEA7" w14:textId="77777777" w:rsidR="008A1FD1" w:rsidRPr="008A1FD1" w:rsidRDefault="008A1FD1" w:rsidP="008A1FD1">
      <w:r w:rsidRPr="008A1FD1">
        <w:rPr>
          <w:b/>
          <w:bCs/>
        </w:rPr>
        <w:t>Exploit C – Data Access and Exfiltration Simulation (VM-3):</w:t>
      </w:r>
      <w:r w:rsidRPr="008A1FD1">
        <w:t xml:space="preserve"> The final exploit targets the Windows 10/11 client or internal file server containing dummy sensitive data. The Red Team simulates a client-side attack, using controlled scripts to access files, extract relevant data samples, and demonstrate exfiltration paths, aligned with MITRE ATT&amp;CK T1005 (Data from Local Systems) and T1041 (Exfiltration Over Web Protocols). Preconditions include valid administrative credentials obtained from VM-1 and network connectivity to VM-3. Evidence of success is captured via sanitized screenshots, file hashes of dummy data, and logs illustrating the simulated transfer process. This step mirrors adversary behaviour in real-world data theft scenarios, highlighting potential detection gaps in file access monitoring and network-based exfiltration detection.</w:t>
      </w:r>
    </w:p>
    <w:p w14:paraId="23216C63" w14:textId="3905E9A3" w:rsidR="008A1FD1" w:rsidRDefault="008A1FD1" w:rsidP="008A1FD1">
      <w:r w:rsidRPr="008A1FD1">
        <w:lastRenderedPageBreak/>
        <w:t>Throughout all three exploit phases, emphasis is placed on stealth, detection evasion, and adherence to RoE. Tools such as Metasploit (simulated modules), custom scripts, and network monitoring utilities are employed in a controlled manner to observe system responses and capture forensic artefacts. Living-Off-the-Land techniques, including native Windows binaries and PowerShell, are used to reduce the footprint and emulate realistic attacker behaviour. By documenting preconditions, methodology, commands (at an elevated level), and evidence of success, this paragraph establishes a clear, academically defensible record of the Red Team’s exploitation activities while maintaining full lab isolation and operational safety.</w:t>
      </w:r>
    </w:p>
    <w:p w14:paraId="6623ECDD" w14:textId="3E491B10" w:rsidR="00572DB1" w:rsidRPr="00572DB1" w:rsidRDefault="00572DB1" w:rsidP="00572DB1">
      <w:pPr>
        <w:rPr>
          <w:b/>
          <w:bCs/>
        </w:rPr>
      </w:pPr>
      <w:r w:rsidRPr="00572DB1">
        <w:rPr>
          <w:b/>
          <w:bCs/>
        </w:rPr>
        <w:t>Task 2 – Paragraph 4: Tools, Techniques, and Operational Execution (ABCD Ltd Scenario)</w:t>
      </w:r>
    </w:p>
    <w:p w14:paraId="0B42C6EF" w14:textId="654BAEBD" w:rsidR="00572DB1" w:rsidRPr="00572DB1" w:rsidRDefault="00572DB1" w:rsidP="00572DB1">
      <w:r w:rsidRPr="00572DB1">
        <w:t xml:space="preserve">The execution of the Red Team engagement against ABCD Ltd relies on a carefully selected set of </w:t>
      </w:r>
      <w:r w:rsidRPr="00572DB1">
        <w:rPr>
          <w:b/>
          <w:bCs/>
        </w:rPr>
        <w:t>tools and techniques</w:t>
      </w:r>
      <w:r w:rsidRPr="00572DB1">
        <w:t xml:space="preserve"> designed to emulate realistic adversary behaviour while remaining within the controlled lab environment. Offensive tools are chosen based on their ability to simulate advanced attack methods without introducing uncontrolled risk. Metasploit is employed to demonstrate the exploitation of the web application on VM-2 and privilege escalation on VM-1, while Burp Suite is used to assess web application vulnerabilities and manipulate HTTP requests safely. Custom Python scripts are </w:t>
      </w:r>
      <w:r w:rsidR="00D878F7" w:rsidRPr="00572DB1">
        <w:t>used</w:t>
      </w:r>
      <w:r w:rsidRPr="00572DB1">
        <w:t xml:space="preserve"> for controlled lateral movement simulations and data exfiltration from VM-3, ensuring that evidence is captured without compromising real data. All tools are clearly documented, with justification provided for their selection and their role in replicating techniques mapped to MITRE ATT&amp;CK TTPs.</w:t>
      </w:r>
    </w:p>
    <w:p w14:paraId="1BD680D7" w14:textId="29CD1107" w:rsidR="00572DB1" w:rsidRPr="00572DB1" w:rsidRDefault="00572DB1" w:rsidP="00572DB1">
      <w:r w:rsidRPr="00572DB1">
        <w:rPr>
          <w:b/>
          <w:bCs/>
        </w:rPr>
        <w:t>Operational execution</w:t>
      </w:r>
      <w:r w:rsidRPr="00572DB1">
        <w:t xml:space="preserve"> focuses on replicating advanced persistent threat (APT) behaviour while prioritising stealth and detection evasion. The Red Team emulates realistic trade-offs, such as delaying certain actions to avoid triggering alerts and using native operating system binaries (Living-Off-the-Land techniques) to reduce the digital footprint. Network traffic is monitored using packet capture (pcap) tools, enabling the assessment of potential detection </w:t>
      </w:r>
      <w:r w:rsidR="00D878F7" w:rsidRPr="00572DB1">
        <w:t>gaps,</w:t>
      </w:r>
      <w:r w:rsidRPr="00572DB1">
        <w:t xml:space="preserve"> and verifying that all actions are contained within the isolated lab environment. This approach ensures that telemetry, log files, and system alerts can be reviewed post-engagement to identify weaknesses in monitoring systems and to support actionable recommendations.</w:t>
      </w:r>
    </w:p>
    <w:p w14:paraId="0F196C8F" w14:textId="77777777" w:rsidR="00572DB1" w:rsidRPr="00572DB1" w:rsidRDefault="00572DB1" w:rsidP="00572DB1">
      <w:r w:rsidRPr="00572DB1">
        <w:t>Each phase of the campaign is conducted sequentially, beginning with reconnaissance and vulnerability identification, followed by exploitation, lateral movement, and simulated exfiltration. Commands and scripts are executed in a controlled manner, with all output captured as evidence for reporting purposes. Snapshots of each VM are taken prior to intrusive actions, ensuring that systems can be reverted to their original state and maintaining the integrity of the lab. Operational safety measures, including kill-switch protocols and predefined escalation channels, are followed to immediately halt activities in case of unexpected behaviour.</w:t>
      </w:r>
    </w:p>
    <w:p w14:paraId="5D66631E" w14:textId="77777777" w:rsidR="00572DB1" w:rsidRPr="00572DB1" w:rsidRDefault="00572DB1" w:rsidP="00572DB1">
      <w:r w:rsidRPr="00572DB1">
        <w:lastRenderedPageBreak/>
        <w:t xml:space="preserve">The integration of </w:t>
      </w:r>
      <w:r w:rsidRPr="00572DB1">
        <w:rPr>
          <w:b/>
          <w:bCs/>
        </w:rPr>
        <w:t>MITRE ATT&amp;CK mappings</w:t>
      </w:r>
      <w:r w:rsidRPr="00572DB1">
        <w:t xml:space="preserve"> throughout the campaign provides a structured approach to evaluate the effectiveness of defensive controls. For instance, the use of T1078 (Valid Accounts) and T1059 (Command and Scripting Interpreter) during initial access and persistence stages is deliberately monitored to determine whether existing detection mechanisms, such as SIEM rules or endpoint monitoring, would have flagged anomalous activity. Similarly, lateral movement and privilege escalation phases (T1068 – Exploitation for Privilege Escalation) are designed to assess the organisation’s internal segmentation and access control effectiveness. By aligning tools and techniques with recognised threat frameworks, the engagement not only demonstrates offensive capabilities but also produces evidence-based insights into defensive gaps and operational weaknesses.</w:t>
      </w:r>
    </w:p>
    <w:p w14:paraId="3BF56671" w14:textId="72462564" w:rsidR="00572DB1" w:rsidRDefault="00572DB1" w:rsidP="00572DB1">
      <w:r w:rsidRPr="00572DB1">
        <w:t xml:space="preserve">In summary, the combination of selected tools, controlled execution, and adherence to RoE ensures that the Red Team engagement provides a realistic, academically robust assessment of ABCD </w:t>
      </w:r>
      <w:r w:rsidR="00D878F7" w:rsidRPr="00572DB1">
        <w:t>Ltd.’s</w:t>
      </w:r>
      <w:r w:rsidRPr="00572DB1">
        <w:t xml:space="preserve"> cybersecurity posture. This structured operational methodology enables a comprehensive evaluation of detection, prevention, and response capabilities while preserving lab integrity and safety. The findings from this paragraph form the basis for the final phase: capturing and analysing results, documenting detection gaps, and preparing evidence-based recommendations in the technical report and executive briefing.</w:t>
      </w:r>
    </w:p>
    <w:p w14:paraId="2A8725CA" w14:textId="1DBEFCAE" w:rsidR="005477FE" w:rsidRPr="005477FE" w:rsidRDefault="005477FE" w:rsidP="005477FE">
      <w:pPr>
        <w:rPr>
          <w:b/>
          <w:bCs/>
        </w:rPr>
      </w:pPr>
      <w:r w:rsidRPr="005477FE">
        <w:rPr>
          <w:b/>
          <w:bCs/>
        </w:rPr>
        <w:t>Task 2 – Paragraph 5: Containment, Safety, and Evidence Capture (ABCD Ltd Scenario)</w:t>
      </w:r>
    </w:p>
    <w:p w14:paraId="1DC17433" w14:textId="232317FC" w:rsidR="005477FE" w:rsidRPr="005477FE" w:rsidRDefault="005477FE" w:rsidP="005477FE">
      <w:r w:rsidRPr="005477FE">
        <w:t xml:space="preserve">A critical component of the Red Team engagement is the establishment of strict </w:t>
      </w:r>
      <w:r w:rsidRPr="005477FE">
        <w:rPr>
          <w:b/>
          <w:bCs/>
        </w:rPr>
        <w:t>containment measures</w:t>
      </w:r>
      <w:r w:rsidRPr="005477FE">
        <w:t xml:space="preserve"> and </w:t>
      </w:r>
      <w:r w:rsidRPr="005477FE">
        <w:rPr>
          <w:b/>
          <w:bCs/>
        </w:rPr>
        <w:t>safety protocols</w:t>
      </w:r>
      <w:r w:rsidRPr="005477FE">
        <w:t xml:space="preserve">, ensuring that all testing occurs exclusively within the isolated lab environment and does not impact external networks or live systems. Each virtual machine (VM) is deployed in a segmented, air-gapped network, preventing accidental communication with ABCD Ltd.’s production infrastructure or the wider internet. Snapshots and backups of all VMs are taken prior to any intrusive testing, allowing immediate restoration in the event of unintended disruptions or errors during exploitation. Rollback procedures are clearly documented, providing a controlled path to revert changes while preserving evidence and preventing the propagation of malware or scripts outside the lab. The use of predefined kill switches and safe-word mechanisms </w:t>
      </w:r>
      <w:r w:rsidR="0007685F" w:rsidRPr="005477FE">
        <w:t>allow</w:t>
      </w:r>
      <w:r w:rsidRPr="005477FE">
        <w:t xml:space="preserve"> the Red Team to halt all activities immediately if anomalies are detected, maintaining operational safety and ethical compliance throughout the engagement.</w:t>
      </w:r>
    </w:p>
    <w:p w14:paraId="21939CC0" w14:textId="77777777" w:rsidR="005477FE" w:rsidRPr="005477FE" w:rsidRDefault="005477FE" w:rsidP="005477FE">
      <w:r w:rsidRPr="005477FE">
        <w:rPr>
          <w:b/>
          <w:bCs/>
        </w:rPr>
        <w:t>Evidence capture</w:t>
      </w:r>
      <w:r w:rsidRPr="005477FE">
        <w:t xml:space="preserve"> is meticulously executed at every phase of the engagement to ensure that results are verifiable and academically defensible. Screenshots, system logs, telemetry data, and packet captures are collected to document the successful execution of each exploit, privilege escalation, and simulated data exfiltration. Logs include event timestamps, user activity records, and system responses, providing a </w:t>
      </w:r>
      <w:r w:rsidRPr="005477FE">
        <w:lastRenderedPageBreak/>
        <w:t>detailed audit trail for later analysis. All evidence is sanitized to prevent exposure of real-world data, maintaining confidentiality while illustrating the practical outcomes of the Red Team operations. Additionally, network diagrams are updated to reflect observed attack paths, highlighting lateral movement and detection points that may require remediation.</w:t>
      </w:r>
    </w:p>
    <w:p w14:paraId="36F12B85" w14:textId="77777777" w:rsidR="005477FE" w:rsidRPr="005477FE" w:rsidRDefault="005477FE" w:rsidP="005477FE">
      <w:r w:rsidRPr="005477FE">
        <w:t xml:space="preserve">Operational safety is further reinforced through </w:t>
      </w:r>
      <w:r w:rsidRPr="005477FE">
        <w:rPr>
          <w:b/>
          <w:bCs/>
        </w:rPr>
        <w:t>controlled execution of offensive techniques</w:t>
      </w:r>
      <w:r w:rsidRPr="005477FE">
        <w:t>. Living-Off-the-Land (LOLBin) strategies are used to reduce the footprint, while custom scripts operate in a read-only or sandboxed mode to simulate effects without causing irreversible changes. This approach ensures that even sophisticated emulations of real-world attacks, including remote code execution and privilege escalation, remain contained. The Red Team continuously monitors system responses, capturing alerts triggered within the lab to evaluate detection effectiveness and response times. This process provides insight into potential gaps in monitoring tools and policies, forming the basis for actionable recommendations.</w:t>
      </w:r>
    </w:p>
    <w:p w14:paraId="5D1F68E1" w14:textId="77DE39F7" w:rsidR="005477FE" w:rsidRPr="005477FE" w:rsidRDefault="005477FE" w:rsidP="005477FE">
      <w:r w:rsidRPr="005477FE">
        <w:t xml:space="preserve">The </w:t>
      </w:r>
      <w:r w:rsidR="0007685F" w:rsidRPr="005477FE">
        <w:t>conclusive evidence</w:t>
      </w:r>
      <w:r w:rsidRPr="005477FE">
        <w:t xml:space="preserve"> package includes all configuration files, network diagrams, sanitized logs, and captured screenshots, providing a comprehensive record of the engagement for technical reporting. This package serves a dual purpose: it supports detailed analysis for academic assessment and offers ABCD Ltd a reference to inform remediation strategies, policy updates, and future security testing. The technical report, mapped to MITRE ATT&amp;CK IDs, contextualizes the evidence, explaining the implications of each exploit and evaluating why existing controls failed to detect or prevent the observed actions.</w:t>
      </w:r>
    </w:p>
    <w:p w14:paraId="1907583B" w14:textId="77777777" w:rsidR="005477FE" w:rsidRDefault="005477FE" w:rsidP="005477FE">
      <w:r w:rsidRPr="005477FE">
        <w:t xml:space="preserve">In summary, containment, safety, and evidence capture form the backbone of the Red Team engagement, ensuring both ethical compliance and operational integrity. By rigorously isolating the lab environment, implementing rollback and kill-switch protocols, and systematically collecting and sanitizing evidence, the engagement delivers a realistic simulation of adversary behaviour while producing verifiable, actionable insights. This paragraph completes the technical execution narrative and sets the stage for the </w:t>
      </w:r>
      <w:r w:rsidRPr="005477FE">
        <w:rPr>
          <w:b/>
          <w:bCs/>
        </w:rPr>
        <w:t>executive brief and recommendations</w:t>
      </w:r>
      <w:r w:rsidRPr="005477FE">
        <w:t>, connecting operational findings to business risk and remediation priorities.</w:t>
      </w:r>
    </w:p>
    <w:p w14:paraId="719F7C01" w14:textId="372D017B" w:rsidR="00D81945" w:rsidRPr="00D81945" w:rsidRDefault="00D81945" w:rsidP="00D81945">
      <w:pPr>
        <w:rPr>
          <w:b/>
          <w:bCs/>
        </w:rPr>
      </w:pPr>
      <w:r w:rsidRPr="00D81945">
        <w:rPr>
          <w:b/>
          <w:bCs/>
        </w:rPr>
        <w:t>Conclusion</w:t>
      </w:r>
    </w:p>
    <w:p w14:paraId="0E651652" w14:textId="5370F11F" w:rsidR="00D81945" w:rsidRPr="00D81945" w:rsidRDefault="00D81945" w:rsidP="00D81945">
      <w:r w:rsidRPr="00D81945">
        <w:t xml:space="preserve">The combined analysis of the M&amp;S and Co-op cyber incidents and the Red Team engagement against ABCD Ltd highlights the complexity of modern cyber threats and the value of a structured, evidence-based approach. Task one demonstrated how advanced persistent threats operate in real-world scenarios, showing the critical role of adversary tactics, techniques, and procedures (TTPs) in shaping organisational exposure. Mapping incidents to the MITRE ATT&amp;CK framework revealed that breaches often result from a combination of technical misconfigurations, human factors, and </w:t>
      </w:r>
      <w:r w:rsidRPr="00D81945">
        <w:lastRenderedPageBreak/>
        <w:t>organisational shortcomings, including weak access controls and insufficient monitoring. Strategic insights from these case studies underscore the importance of initiative-taking measures encompassing policy enforcement, technology updates, and employee awareness programmes.</w:t>
      </w:r>
    </w:p>
    <w:p w14:paraId="57160741" w14:textId="6B6E4508" w:rsidR="00D81945" w:rsidRPr="00D81945" w:rsidRDefault="00D81945" w:rsidP="00D81945">
      <w:r w:rsidRPr="00D81945">
        <w:t>Task two translated these lessons into practical assessment through a controlled Red Team engagement. The structured lab environment, adherence to Rules of Engagement, and stepwise execution of three distinct exploits simulated a full attack lifecycle—from reconnaissance to data exfiltration—while maintaining operational safety. Controlled evidence captures and telemetry collection enabled verification of success and analysis of detection gaps, providing actionable insights for improving defensive capabilities. The alignment of exploits with MITRE ATT&amp;CK TTPs validated weaknesses in internal segmentation, access control, and monitoring, demonstrating how realistic offensive exercises can complement strategic threat intelligence.</w:t>
      </w:r>
    </w:p>
    <w:p w14:paraId="03211CB0" w14:textId="08DBAD33" w:rsidR="00D81945" w:rsidRPr="00D81945" w:rsidRDefault="00D81945" w:rsidP="00D81945">
      <w:r w:rsidRPr="00D81945">
        <w:t>Integrating lessons from both tasks highlights the interdependence of research and operational execution. Understanding threat actor behaviour and attack patterns informs Red Team planning, while firsthand testing reveals practical weaknesses in systems and monitoring that may not be evident through strategic analysis alone. Moreover, translating technical outcomes into business-focused recommendations ensures that remediation strategies are both actionable and justifiable, including network segmentation, zero-trust controls, phishing-resistant multi-factor authentication, and enhanced telemetry.</w:t>
      </w:r>
    </w:p>
    <w:p w14:paraId="285637C6" w14:textId="09F729DF" w:rsidR="00D81945" w:rsidRPr="00D81945" w:rsidRDefault="00D81945" w:rsidP="00D81945">
      <w:r w:rsidRPr="00D81945">
        <w:t>In summary, this essay demonstrates that a comprehensive approach—combining rigorous incident analysis with practical Red Team testing—is essential for understanding and mitigating cyber risks. Strategic insights guide operational planning, while Red Team exercises provide empirical validation of defensive gaps. Together, these methodologies foster resilience, support continuous improvement, and equip organisations to anticipate, detect, and respond effectively to modern cyber threats, aligning technical findings with business priorities and promoting an initiative-taking, adaptive security posture.</w:t>
      </w:r>
    </w:p>
    <w:p w14:paraId="2BF53C06" w14:textId="77777777" w:rsidR="005477FE" w:rsidRPr="00572DB1" w:rsidRDefault="005477FE" w:rsidP="00572DB1"/>
    <w:p w14:paraId="3D584C3B" w14:textId="77777777" w:rsidR="00572DB1" w:rsidRPr="008A1FD1" w:rsidRDefault="00572DB1" w:rsidP="008A1FD1"/>
    <w:p w14:paraId="2D39A203" w14:textId="77777777" w:rsidR="008A1FD1" w:rsidRPr="0040042E" w:rsidRDefault="008A1FD1" w:rsidP="0040042E"/>
    <w:p w14:paraId="0F10B7A5" w14:textId="77777777" w:rsidR="0040042E" w:rsidRPr="00381FA0" w:rsidRDefault="0040042E" w:rsidP="00381FA0"/>
    <w:p w14:paraId="205D023F" w14:textId="77777777" w:rsidR="00381FA0" w:rsidRPr="00BA4457" w:rsidRDefault="00381FA0" w:rsidP="00BA4457"/>
    <w:p w14:paraId="3D14FA85" w14:textId="77777777" w:rsidR="00BA4457" w:rsidRPr="00D05BA9" w:rsidRDefault="00BA4457" w:rsidP="00D05BA9"/>
    <w:p w14:paraId="6591F259" w14:textId="77777777" w:rsidR="00D05BA9" w:rsidRPr="00D05BA9" w:rsidRDefault="00D05BA9" w:rsidP="00D05BA9"/>
    <w:p w14:paraId="6F3477B7" w14:textId="77777777" w:rsidR="00D05BA9" w:rsidRPr="00D05BA9" w:rsidRDefault="00D05BA9" w:rsidP="00D05BA9"/>
    <w:p w14:paraId="2C61D5B3" w14:textId="77777777" w:rsidR="00D05BA9" w:rsidRPr="00D05BA9" w:rsidRDefault="00D05BA9" w:rsidP="00D05BA9"/>
    <w:p w14:paraId="7984C0F7" w14:textId="77777777" w:rsidR="00A00B26" w:rsidRDefault="00A00B26"/>
    <w:sectPr w:rsidR="00A00B2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169F"/>
    <w:rsid w:val="0007685F"/>
    <w:rsid w:val="001642BF"/>
    <w:rsid w:val="0022257F"/>
    <w:rsid w:val="00241B76"/>
    <w:rsid w:val="0028655F"/>
    <w:rsid w:val="003815D2"/>
    <w:rsid w:val="00381FA0"/>
    <w:rsid w:val="0040042E"/>
    <w:rsid w:val="00442ED1"/>
    <w:rsid w:val="005477FE"/>
    <w:rsid w:val="00572DB1"/>
    <w:rsid w:val="008A1FD1"/>
    <w:rsid w:val="00960B51"/>
    <w:rsid w:val="00A00B26"/>
    <w:rsid w:val="00A0433D"/>
    <w:rsid w:val="00BA4457"/>
    <w:rsid w:val="00BE33ED"/>
    <w:rsid w:val="00CC169F"/>
    <w:rsid w:val="00CD7E99"/>
    <w:rsid w:val="00D05BA9"/>
    <w:rsid w:val="00D81945"/>
    <w:rsid w:val="00D878F7"/>
    <w:rsid w:val="00EA73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A0C67C"/>
  <w15:chartTrackingRefBased/>
  <w15:docId w15:val="{E32F8FB4-5B32-467C-AC8B-E57B313AD7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C169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C169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C169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C169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C169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C169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C169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C169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C169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C169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C169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C169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C169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C169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C169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C169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C169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C169F"/>
    <w:rPr>
      <w:rFonts w:eastAsiaTheme="majorEastAsia" w:cstheme="majorBidi"/>
      <w:color w:val="272727" w:themeColor="text1" w:themeTint="D8"/>
    </w:rPr>
  </w:style>
  <w:style w:type="paragraph" w:styleId="Title">
    <w:name w:val="Title"/>
    <w:basedOn w:val="Normal"/>
    <w:next w:val="Normal"/>
    <w:link w:val="TitleChar"/>
    <w:uiPriority w:val="10"/>
    <w:qFormat/>
    <w:rsid w:val="00CC169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C169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C169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C169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C169F"/>
    <w:pPr>
      <w:spacing w:before="160"/>
      <w:jc w:val="center"/>
    </w:pPr>
    <w:rPr>
      <w:i/>
      <w:iCs/>
      <w:color w:val="404040" w:themeColor="text1" w:themeTint="BF"/>
    </w:rPr>
  </w:style>
  <w:style w:type="character" w:customStyle="1" w:styleId="QuoteChar">
    <w:name w:val="Quote Char"/>
    <w:basedOn w:val="DefaultParagraphFont"/>
    <w:link w:val="Quote"/>
    <w:uiPriority w:val="29"/>
    <w:rsid w:val="00CC169F"/>
    <w:rPr>
      <w:i/>
      <w:iCs/>
      <w:color w:val="404040" w:themeColor="text1" w:themeTint="BF"/>
    </w:rPr>
  </w:style>
  <w:style w:type="paragraph" w:styleId="ListParagraph">
    <w:name w:val="List Paragraph"/>
    <w:basedOn w:val="Normal"/>
    <w:uiPriority w:val="34"/>
    <w:qFormat/>
    <w:rsid w:val="00CC169F"/>
    <w:pPr>
      <w:ind w:left="720"/>
      <w:contextualSpacing/>
    </w:pPr>
  </w:style>
  <w:style w:type="character" w:styleId="IntenseEmphasis">
    <w:name w:val="Intense Emphasis"/>
    <w:basedOn w:val="DefaultParagraphFont"/>
    <w:uiPriority w:val="21"/>
    <w:qFormat/>
    <w:rsid w:val="00CC169F"/>
    <w:rPr>
      <w:i/>
      <w:iCs/>
      <w:color w:val="0F4761" w:themeColor="accent1" w:themeShade="BF"/>
    </w:rPr>
  </w:style>
  <w:style w:type="paragraph" w:styleId="IntenseQuote">
    <w:name w:val="Intense Quote"/>
    <w:basedOn w:val="Normal"/>
    <w:next w:val="Normal"/>
    <w:link w:val="IntenseQuoteChar"/>
    <w:uiPriority w:val="30"/>
    <w:qFormat/>
    <w:rsid w:val="00CC169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C169F"/>
    <w:rPr>
      <w:i/>
      <w:iCs/>
      <w:color w:val="0F4761" w:themeColor="accent1" w:themeShade="BF"/>
    </w:rPr>
  </w:style>
  <w:style w:type="character" w:styleId="IntenseReference">
    <w:name w:val="Intense Reference"/>
    <w:basedOn w:val="DefaultParagraphFont"/>
    <w:uiPriority w:val="32"/>
    <w:qFormat/>
    <w:rsid w:val="00CC169F"/>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4770FB5-C942-4805-A028-A2672622CE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6290</Words>
  <Characters>35853</Characters>
  <Application>Microsoft Office Word</Application>
  <DocSecurity>0</DocSecurity>
  <Lines>298</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42059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Hrachya Yeghikyan</dc:creator>
  <cp:keywords/>
  <dc:description/>
  <cp:lastModifiedBy>Hrachya Yeghikyan</cp:lastModifiedBy>
  <cp:revision>2</cp:revision>
  <dcterms:created xsi:type="dcterms:W3CDTF">2026-04-07T14:26:00Z</dcterms:created>
  <dcterms:modified xsi:type="dcterms:W3CDTF">2026-04-07T14:26:00Z</dcterms:modified>
</cp:coreProperties>
</file>