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pPr>
      <w:r>
        <w:rPr>
          <w:rtl w:val="0"/>
          <w:lang w:val="en-US"/>
        </w:rPr>
        <w:t>Task 1 voicemail</w:t>
      </w:r>
    </w:p>
    <w:p>
      <w:pPr>
        <w:pStyle w:val="Body"/>
      </w:pPr>
    </w:p>
    <w:p>
      <w:pPr>
        <w:pStyle w:val="Body"/>
      </w:pPr>
      <w:r>
        <w:rPr>
          <w:rtl w:val="0"/>
        </w:rPr>
        <w:t xml:space="preserve">Hello Ms Thropp, </w:t>
      </w:r>
    </w:p>
    <w:p>
      <w:pPr>
        <w:pStyle w:val="Body"/>
      </w:pPr>
      <w:r>
        <w:rPr>
          <w:rtl w:val="0"/>
          <w:lang w:val="en-US"/>
        </w:rPr>
        <w:t xml:space="preserve">it is Rowan a trainee solicitor calling on behalf of Blue Light Law regarding the purchase of the property Kiamo Ko. The property value on the sale is </w:t>
      </w:r>
      <w:r>
        <w:rPr>
          <w:rtl w:val="0"/>
        </w:rPr>
        <w:t>£</w:t>
      </w:r>
      <w:r>
        <w:rPr>
          <w:rtl w:val="0"/>
          <w:lang w:val="en-US"/>
        </w:rPr>
        <w:t xml:space="preserve">739,000 which makes our legal fees </w:t>
      </w:r>
      <w:r>
        <w:rPr>
          <w:rtl w:val="0"/>
        </w:rPr>
        <w:t>£</w:t>
      </w:r>
      <w:r>
        <w:rPr>
          <w:rtl w:val="0"/>
          <w:lang w:val="en-US"/>
        </w:rPr>
        <w:t xml:space="preserve">1,800 exclusive of VAT as our fees are determined by the value of the property on its sale. After VAT our legal fees would cost </w:t>
      </w:r>
      <w:r>
        <w:rPr>
          <w:rtl w:val="0"/>
        </w:rPr>
        <w:t>£</w:t>
      </w:r>
      <w:r>
        <w:rPr>
          <w:rtl w:val="0"/>
          <w:lang w:val="en-US"/>
        </w:rPr>
        <w:t xml:space="preserve">2,160. We would require a deposit of </w:t>
      </w:r>
      <w:r>
        <w:rPr>
          <w:rtl w:val="0"/>
        </w:rPr>
        <w:t>£</w:t>
      </w:r>
      <w:r>
        <w:rPr>
          <w:rtl w:val="0"/>
          <w:lang w:val="en-US"/>
        </w:rPr>
        <w:t xml:space="preserve">300 for these fees to cover search fees also. The additional costs that we would require amount to the total of </w:t>
      </w:r>
      <w:r>
        <w:rPr>
          <w:rtl w:val="0"/>
        </w:rPr>
        <w:t>£</w:t>
      </w:r>
      <w:r>
        <w:rPr>
          <w:rtl w:val="0"/>
          <w:lang w:val="en-US"/>
        </w:rPr>
        <w:t xml:space="preserve">450 which includes our fees for dealing with a mortgage and our help to buy purchases. We also require fees for disbursements which would include telegraphic transfer fees, land registration fees, searches and ID verification fees which would come to the total of </w:t>
      </w:r>
      <w:r>
        <w:rPr>
          <w:rtl w:val="0"/>
        </w:rPr>
        <w:t>£</w:t>
      </w:r>
      <w:r>
        <w:rPr>
          <w:rtl w:val="0"/>
          <w:lang w:val="en-US"/>
        </w:rPr>
        <w:t xml:space="preserve">1003. The timeline of your property purchase will take between 8-12 weeks depending on how much extra due diligence needs to be carried out. You are not legally bound to follow through with the purchase as of right now and could back out of it if you wish to as no contract has been signed and no money has been exchanged.  </w:t>
      </w:r>
    </w:p>
    <w:p>
      <w:pPr>
        <w:pStyle w:val="Body"/>
      </w:pPr>
    </w:p>
    <w:p>
      <w:pPr>
        <w:pStyle w:val="Body"/>
      </w:pPr>
      <w:r>
        <w:rPr>
          <w:rtl w:val="0"/>
          <w:lang w:val="en-US"/>
        </w:rPr>
        <w:t xml:space="preserve">Legal fees; </w:t>
      </w:r>
      <w:r>
        <w:rPr>
          <w:rtl w:val="0"/>
        </w:rPr>
        <w:t>£</w:t>
      </w:r>
      <w:r>
        <w:rPr>
          <w:rtl w:val="0"/>
        </w:rPr>
        <w:t xml:space="preserve">1800 + </w:t>
      </w:r>
      <w:r>
        <w:rPr>
          <w:rtl w:val="0"/>
        </w:rPr>
        <w:t>£</w:t>
      </w:r>
      <w:r>
        <w:rPr>
          <w:rtl w:val="0"/>
        </w:rPr>
        <w:t xml:space="preserve">360 (20%VAT) = </w:t>
      </w:r>
      <w:r>
        <w:rPr>
          <w:rtl w:val="0"/>
        </w:rPr>
        <w:t>£</w:t>
      </w:r>
      <w:r>
        <w:rPr>
          <w:rtl w:val="0"/>
        </w:rPr>
        <w:t>2160</w:t>
      </w:r>
    </w:p>
    <w:p>
      <w:pPr>
        <w:pStyle w:val="Body"/>
      </w:pPr>
      <w:r>
        <w:rPr>
          <w:rtl w:val="0"/>
          <w:lang w:val="en-US"/>
        </w:rPr>
        <w:t xml:space="preserve">Additional costs; </w:t>
      </w:r>
      <w:r>
        <w:rPr>
          <w:rtl w:val="0"/>
        </w:rPr>
        <w:t>£</w:t>
      </w:r>
      <w:r>
        <w:rPr>
          <w:rtl w:val="0"/>
          <w:lang w:val="en-US"/>
        </w:rPr>
        <w:t xml:space="preserve">200 (dealing with mortgage) + </w:t>
      </w:r>
      <w:r>
        <w:rPr>
          <w:rtl w:val="0"/>
        </w:rPr>
        <w:t>£</w:t>
      </w:r>
      <w:r>
        <w:rPr>
          <w:rtl w:val="0"/>
          <w:lang w:val="en-US"/>
        </w:rPr>
        <w:t xml:space="preserve">250 (help to buy purchases) = </w:t>
      </w:r>
      <w:r>
        <w:rPr>
          <w:rtl w:val="0"/>
        </w:rPr>
        <w:t>£</w:t>
      </w:r>
      <w:r>
        <w:rPr>
          <w:rtl w:val="0"/>
        </w:rPr>
        <w:t xml:space="preserve">450 </w:t>
      </w:r>
    </w:p>
    <w:p>
      <w:pPr>
        <w:pStyle w:val="Body"/>
      </w:pPr>
      <w:r>
        <w:rPr>
          <w:rtl w:val="0"/>
          <w:lang w:val="fr-FR"/>
        </w:rPr>
        <w:t xml:space="preserve">Disbursements; </w:t>
      </w:r>
      <w:r>
        <w:rPr>
          <w:rtl w:val="0"/>
        </w:rPr>
        <w:t>£</w:t>
      </w:r>
      <w:r>
        <w:rPr>
          <w:rtl w:val="0"/>
          <w:lang w:val="en-US"/>
        </w:rPr>
        <w:t xml:space="preserve">20 + VAT (telegraphic transfer fees) + </w:t>
      </w:r>
      <w:r>
        <w:rPr>
          <w:rtl w:val="0"/>
        </w:rPr>
        <w:t>£</w:t>
      </w:r>
      <w:r>
        <w:rPr>
          <w:rtl w:val="0"/>
          <w:lang w:val="en-US"/>
        </w:rPr>
        <w:t xml:space="preserve">655 (Land registration fees) + </w:t>
      </w:r>
      <w:r>
        <w:rPr>
          <w:rtl w:val="0"/>
        </w:rPr>
        <w:t>£</w:t>
      </w:r>
      <w:r>
        <w:rPr>
          <w:rtl w:val="0"/>
          <w:lang w:val="en-US"/>
        </w:rPr>
        <w:t xml:space="preserve">300 (searches) + </w:t>
      </w:r>
      <w:r>
        <w:rPr>
          <w:rtl w:val="0"/>
        </w:rPr>
        <w:t>£</w:t>
      </w:r>
      <w:r>
        <w:rPr>
          <w:rtl w:val="0"/>
          <w:lang w:val="en-US"/>
        </w:rPr>
        <w:t xml:space="preserve">20 + VAT (ID verification fees) = </w:t>
      </w:r>
      <w:r>
        <w:rPr>
          <w:rtl w:val="0"/>
        </w:rPr>
        <w:t>£</w:t>
      </w:r>
      <w:r>
        <w:rPr>
          <w:rtl w:val="0"/>
        </w:rPr>
        <w:t xml:space="preserve">1003 </w:t>
      </w:r>
    </w:p>
    <w:p>
      <w:pPr>
        <w:pStyle w:val="Body"/>
      </w:pPr>
    </w:p>
    <w:p>
      <w:pPr>
        <w:pStyle w:val="Body"/>
      </w:pPr>
    </w:p>
    <w:p>
      <w:pPr>
        <w:pStyle w:val="Body"/>
      </w:pPr>
      <w:r>
        <w:rPr>
          <w:rtl w:val="0"/>
          <w:lang w:val="en-US"/>
        </w:rPr>
        <w:t>Task 2</w:t>
      </w:r>
    </w:p>
    <w:p>
      <w:pPr>
        <w:pStyle w:val="Body"/>
      </w:pPr>
    </w:p>
    <w:p>
      <w:pPr>
        <w:pStyle w:val="Body"/>
      </w:pPr>
      <w:r>
        <w:rPr>
          <w:rtl w:val="0"/>
        </w:rPr>
        <w:t xml:space="preserve">Dear Vanessa, </w:t>
      </w:r>
    </w:p>
    <w:p>
      <w:pPr>
        <w:pStyle w:val="Body"/>
      </w:pPr>
    </w:p>
    <w:p>
      <w:pPr>
        <w:pStyle w:val="Body"/>
      </w:pPr>
      <w:r>
        <w:rPr>
          <w:rtl w:val="0"/>
          <w:lang w:val="en-US"/>
        </w:rPr>
        <w:t xml:space="preserve">I have reviewed the title documentation of the property Kiamo Ko and my advice on any easements and covenants are as follows. All main walls, boundary walls, and fences between the premises must stay that way and must be upheld and maintained. The emerald mines and minerals on the property are also retained as property by the crown. The property also comes with the covenant that the premise marked out, by 100 meters, shall not be used for any business or trading business and must not be used to keep livestock or as a place of worship. The area must also not be in a noxious or loud way and the road known as </w:t>
      </w:r>
      <w:r>
        <w:rPr>
          <w:rtl w:val="1"/>
          <w:lang w:val="ar-SA" w:bidi="ar-SA"/>
        </w:rPr>
        <w:t>“</w:t>
      </w:r>
      <w:r>
        <w:rPr>
          <w:rtl w:val="0"/>
          <w:lang w:val="en-US"/>
        </w:rPr>
        <w:t>the yellow brick road</w:t>
      </w:r>
      <w:r>
        <w:rPr>
          <w:rtl w:val="0"/>
        </w:rPr>
        <w:t xml:space="preserve">” </w:t>
      </w:r>
      <w:r>
        <w:rPr>
          <w:rtl w:val="0"/>
          <w:lang w:val="en-US"/>
        </w:rPr>
        <w:t xml:space="preserve">must be maintained and follow the colour system of the area and be painted only in the colour of </w:t>
      </w:r>
      <w:r>
        <w:rPr>
          <w:rtl w:val="1"/>
          <w:lang w:val="ar-SA" w:bidi="ar-SA"/>
        </w:rPr>
        <w:t>“</w:t>
      </w:r>
      <w:r>
        <w:rPr>
          <w:rtl w:val="0"/>
          <w:lang w:val="en-US"/>
        </w:rPr>
        <w:t>golden yellow</w:t>
      </w:r>
      <w:r>
        <w:rPr>
          <w:rtl w:val="0"/>
        </w:rPr>
        <w:t>”</w:t>
      </w:r>
      <w:r>
        <w:rPr>
          <w:rtl w:val="0"/>
          <w:lang w:val="en-US"/>
        </w:rPr>
        <w:t xml:space="preserve">. The land is also reserved to the right by the following covenant that the land known as Poppy Field Park has access to the land via the Yellow Brick Road which must be fully maintained by Ms Thropp. These covenants would be transferred to Ms Thropp to her burden and would require her to uphold these rights and reservations. These covenants are required to be followed through with as they are already registered rights that come with the property and so Ms Thropp would have to maintain the rights and keep the standards upheld. These covenants are an important part of the process when purchasing a property and will be a large part of the reason if Ms Thropp decides to either purchase or back out of the property which makes it even more important that she is fully aware of the burdens she will be undertaking and what will be required of her once she becomes the registered land owner. Another important piece of information that should be passed along to Ms Thropp is that she is not guaranteed to be able to change these reserved rights and so if she wanted to change the colour of Yellow Brick Road she would not have that luxury. Also, she would be held accountable if these standards were not maintained and so she could become liable if something were to happen as a result of her negligence in not maintaining any of these reserved rights.  </w:t>
      </w:r>
    </w:p>
    <w:p>
      <w:pPr>
        <w:pStyle w:val="Body"/>
      </w:pPr>
    </w:p>
    <w:p>
      <w:pPr>
        <w:pStyle w:val="Body"/>
      </w:pPr>
    </w:p>
    <w:p>
      <w:pPr>
        <w:pStyle w:val="Body"/>
      </w:pPr>
    </w:p>
    <w:p>
      <w:pPr>
        <w:pStyle w:val="Body"/>
      </w:pPr>
    </w:p>
    <w:p>
      <w:pPr>
        <w:pStyle w:val="Body"/>
      </w:pPr>
    </w:p>
    <w:p>
      <w:pPr>
        <w:pStyle w:val="Body"/>
      </w:pPr>
    </w:p>
    <w:p>
      <w:pPr>
        <w:pStyle w:val="Body"/>
      </w:pPr>
      <w:r>
        <w:rPr>
          <w:rtl w:val="0"/>
          <w:lang w:val="en-US"/>
        </w:rPr>
        <w:t>Task 3</w:t>
      </w:r>
    </w:p>
    <w:p>
      <w:pPr>
        <w:pStyle w:val="Body"/>
      </w:pPr>
    </w:p>
    <w:p>
      <w:pPr>
        <w:pStyle w:val="Body"/>
        <w:rPr>
          <w:u w:val="single"/>
        </w:rPr>
      </w:pPr>
      <w:r>
        <w:rPr>
          <w:u w:val="single"/>
          <w:rtl w:val="0"/>
          <w:lang w:val="en-US"/>
        </w:rPr>
        <w:t>Investigation of title report</w:t>
      </w:r>
    </w:p>
    <w:p>
      <w:pPr>
        <w:pStyle w:val="Body"/>
        <w:rPr>
          <w:u w:val="single"/>
        </w:rPr>
      </w:pPr>
    </w:p>
    <w:p>
      <w:pPr>
        <w:pStyle w:val="Body"/>
      </w:pPr>
      <w:r>
        <w:rPr>
          <w:rtl w:val="0"/>
          <w:lang w:val="en-US"/>
        </w:rPr>
        <w:t xml:space="preserve">The property, Kiamo Ko, comes with many covenants that Ms Thropp is to be aware of before following through with her interest in the property. The covenants that she must be aware of are maintaining the </w:t>
      </w:r>
      <w:r>
        <w:rPr>
          <w:rtl w:val="1"/>
          <w:lang w:val="ar-SA" w:bidi="ar-SA"/>
        </w:rPr>
        <w:t>“</w:t>
      </w:r>
      <w:r>
        <w:rPr>
          <w:rtl w:val="0"/>
          <w:lang w:val="en-US"/>
        </w:rPr>
        <w:t>Yellow Brick Road</w:t>
      </w:r>
      <w:r>
        <w:rPr>
          <w:rtl w:val="0"/>
        </w:rPr>
        <w:t xml:space="preserve">” </w:t>
      </w:r>
      <w:r>
        <w:rPr>
          <w:rtl w:val="0"/>
          <w:lang w:val="en-US"/>
        </w:rPr>
        <w:t xml:space="preserve">and ensuring access to it via Poppy Field Park is looked after. Another covenant that she is to understand is that the area of land that is marked out can not be used to hold any livestock or be used as a place of business or trading. That area must also comply with the rights that have been reserved that do not allow for noxious or nosy business to take place. The </w:t>
      </w:r>
      <w:r>
        <w:rPr>
          <w:rtl w:val="1"/>
          <w:lang w:val="ar-SA" w:bidi="ar-SA"/>
        </w:rPr>
        <w:t>“</w:t>
      </w:r>
      <w:r>
        <w:rPr>
          <w:rtl w:val="0"/>
          <w:lang w:val="en-US"/>
        </w:rPr>
        <w:t>Yellow Brick Road</w:t>
      </w:r>
      <w:r>
        <w:rPr>
          <w:rtl w:val="0"/>
        </w:rPr>
        <w:t xml:space="preserve">” </w:t>
      </w:r>
      <w:r>
        <w:rPr>
          <w:rtl w:val="0"/>
          <w:lang w:val="en-US"/>
        </w:rPr>
        <w:t xml:space="preserve">must also comply with the colouring rules for the neighbouring roads and can only ever be coloured in </w:t>
      </w:r>
      <w:r>
        <w:rPr>
          <w:rtl w:val="1"/>
          <w:lang w:val="ar-SA" w:bidi="ar-SA"/>
        </w:rPr>
        <w:t>“</w:t>
      </w:r>
      <w:r>
        <w:rPr>
          <w:rtl w:val="0"/>
          <w:lang w:val="en-US"/>
        </w:rPr>
        <w:t>Golden Yellow</w:t>
      </w:r>
      <w:r>
        <w:rPr>
          <w:rtl w:val="0"/>
        </w:rPr>
        <w:t>”</w:t>
      </w:r>
      <w:r>
        <w:rPr>
          <w:rtl w:val="0"/>
          <w:lang w:val="en-US"/>
        </w:rPr>
        <w:t>. The property also had conveyancing completed on it with many different checks taking place which also give more information on how much extra work is going to be required for Ms Thropp as there are different areas in need of attention. The Energy Performance Certificate shows where the property will lose its energy and how much it will cost to retain the heat and energy inside the property. The property</w:t>
      </w:r>
      <w:r>
        <w:rPr>
          <w:rtl w:val="1"/>
        </w:rPr>
        <w:t>’</w:t>
      </w:r>
      <w:r>
        <w:rPr>
          <w:rtl w:val="0"/>
          <w:lang w:val="en-US"/>
        </w:rPr>
        <w:t xml:space="preserve">s energy rating is G which is the lowest score it can be and has the potential to have a score of D which is the average for properties in Wales. This score also prevents Ms Thropp from letting out the property as it would require a score of E to be able to let. The walls, windows, roof, and secondary heating all scored very poor in the report and the main heating, hot water, and lighting scored poor. The main control heating was scored good. The extra work that Ms Thropp can undertake on the property would potentially save her </w:t>
      </w:r>
      <w:r>
        <w:rPr>
          <w:rtl w:val="0"/>
        </w:rPr>
        <w:t>£</w:t>
      </w:r>
      <w:r>
        <w:rPr>
          <w:rtl w:val="0"/>
          <w:lang w:val="en-US"/>
        </w:rPr>
        <w:t xml:space="preserve">2129 per year on her energy bills however that would be after all 9 steps were taken to help reduce the energy wastage and would cost her a minimum of </w:t>
      </w:r>
      <w:r>
        <w:rPr>
          <w:rtl w:val="0"/>
        </w:rPr>
        <w:t>£</w:t>
      </w:r>
      <w:r>
        <w:rPr>
          <w:rtl w:val="0"/>
          <w:lang w:val="en-US"/>
        </w:rPr>
        <w:t xml:space="preserve">43,890 and potentially could rise to </w:t>
      </w:r>
      <w:r>
        <w:rPr>
          <w:rtl w:val="0"/>
        </w:rPr>
        <w:t>£</w:t>
      </w:r>
      <w:r>
        <w:rPr>
          <w:rtl w:val="0"/>
          <w:lang w:val="en-US"/>
        </w:rPr>
        <w:t xml:space="preserve">62,890. The property information form also contains information that would help inform Ms Thropp as to the conditions of the property as the form states that the roof would need repairs and that there is weathering to the walls which would cost Ms Thropp additional money to repair. The drainage and water search that was carried out on the property identified another issue for Ms Thropp which is that there could be a sewer pipe or drainage system within the property that has not been recorded as it is not a requirement to record so there would need to be further checks to see if there is a sewer system within the property. The home buyer report also includes covenants that would be a burden to Ms Thropp and contains issues that need to be addressed. The report states the areas that require urgent attention and lists the following in that category; windows, roof structure, electricity, gas/oil, water, and heating. The windows that were inspected were noted to have erosion along the timber frame and the three sea facing windows had significant degradation and require immediate replacement. The recommendation from the report is that all the single glazed windows be upgraded to double glazed to help with the insulation issues that the property faces. The roof structure is another area that needs to be worked on as the roof timber is in poor order and shows signs of serious degradation. One structure appears to be sloping due to the poor timber and specialist remedial works is the recommendation from the report. The electricity issue within the property is that the wiring has not been tested in recent times so there is no way of knowing if they are up to standard. The wiring in the home should be tested by a NICEIC registered electrician to ensure the safety of the wires in the property. The wiring in the home also showed signs of age in some places and may require replacement upon further testing that is to be carried out. The Gas/oil also showed signs of similar issue as to the electricity as it has not been tested and so enquires need to be made to see if they have ben tested in the past 12 months. If they have not been tested within that time frame then a Gas Safe registered engineer needs to carry out the appropriate tests. The water mains that run through the property are made of lead piping which is not the current standard that is required through the bylaws. The lead piping that is left in the property is recommended to be stripped out and replaced by either copper or modern plastic piping to meet the current standards. The water main that is used also has been recommended to be upgraded in Alkathene as to also meet current standards. The heating needs testing to be carried out as it is recommended that annual testing is done on domestic boilers and heating systems, however, from the visual inspection it is not expected that much work should need to be done on this unit. The vendor should be contacted to see if testing has taken place to be able to obtain the records of the test. Another issue that needs to be noted is that the building was constructed before building regulation standards meaning that work done over the past years may not meet the current standards and therefore amendments may need to be taken. </w:t>
      </w:r>
    </w:p>
    <w:p>
      <w:pPr>
        <w:pStyle w:val="Body"/>
      </w:pPr>
    </w:p>
    <w:p>
      <w:pPr>
        <w:pStyle w:val="Body"/>
      </w:pPr>
    </w:p>
    <w:p>
      <w:pPr>
        <w:pStyle w:val="Body"/>
      </w:pPr>
      <w:r>
        <w:rPr>
          <w:rtl w:val="0"/>
          <w:lang w:val="en-US"/>
        </w:rPr>
        <w:t>Task 4</w:t>
      </w:r>
    </w:p>
    <w:p>
      <w:pPr>
        <w:pStyle w:val="Body"/>
      </w:pPr>
    </w:p>
    <w:p>
      <w:pPr>
        <w:pStyle w:val="Body"/>
      </w:pPr>
      <w:r>
        <w:rPr>
          <w:rtl w:val="0"/>
          <w:lang w:val="en-US"/>
        </w:rPr>
        <w:t xml:space="preserve">This task has set me in great stead for my future career as it made me delve deep into different portfolios to gain a wider understanding of the knowledge required to help assist the client. The reports that were required to be analysed needed much attention which helped develop my own understanding of the reports and also what is needed of me to be able to extract the information that I need from them. The difference in communication style when I was speaking to you and the client also helped my knowledge as I learned which messages required more legal terminology and which ones required more of an explanation to help the client understand what was happening. This task will set me up for the future as I now know what is required of me when future clients need assistance in purchasing properties and what steps I need to take to ensure that they, alongside myself, have all the information that is needed to make the correct decision for them. </w:t>
      </w: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jc w:val="center"/>
      </w:pPr>
      <w:r>
        <w:rPr>
          <w:rtl w:val="0"/>
          <w:lang w:val="pt-PT"/>
        </w:rPr>
        <w:t>Reference List</w:t>
      </w:r>
    </w:p>
    <w:p>
      <w:pPr>
        <w:pStyle w:val="Body"/>
      </w:pPr>
    </w:p>
    <w:p>
      <w:pPr>
        <w:pStyle w:val="Body"/>
      </w:pPr>
      <w:r>
        <w:rPr>
          <w:rtl w:val="0"/>
          <w:lang w:val="en-US"/>
        </w:rPr>
        <w:t xml:space="preserve">Land registration Act 2002 (accessed: 04/03/25) available at: </w:t>
      </w:r>
      <w:r>
        <w:rPr>
          <w:rStyle w:val="Hyperlink.0"/>
        </w:rPr>
        <w:fldChar w:fldCharType="begin" w:fldLock="0"/>
      </w:r>
      <w:r>
        <w:rPr>
          <w:rStyle w:val="Hyperlink.0"/>
        </w:rPr>
        <w:instrText xml:space="preserve"> HYPERLINK "https://www.legislation.gov.uk/ukpga/2002/9/contents"</w:instrText>
      </w:r>
      <w:r>
        <w:rPr>
          <w:rStyle w:val="Hyperlink.0"/>
        </w:rPr>
        <w:fldChar w:fldCharType="separate" w:fldLock="0"/>
      </w:r>
      <w:r>
        <w:rPr>
          <w:rStyle w:val="Hyperlink.0"/>
          <w:rtl w:val="0"/>
        </w:rPr>
        <w:t>https://www.legislation.gov.uk/ukpga/2002/9/contents</w:t>
      </w:r>
      <w:r>
        <w:rPr/>
        <w:fldChar w:fldCharType="end" w:fldLock="0"/>
      </w:r>
      <w:r>
        <w:rPr>
          <w:rStyle w:val="None"/>
          <w:rtl w:val="0"/>
        </w:rPr>
        <w:t xml:space="preserve"> </w:t>
      </w:r>
    </w:p>
    <w:p>
      <w:pPr>
        <w:pStyle w:val="Body"/>
      </w:pPr>
    </w:p>
    <w:p>
      <w:pPr>
        <w:pStyle w:val="Body"/>
      </w:pPr>
      <w:r>
        <w:rPr>
          <w:rStyle w:val="None"/>
          <w:rtl w:val="0"/>
          <w:lang w:val="en-US"/>
        </w:rPr>
        <w:t xml:space="preserve">Law of Property Act 1925 (accessed: 04/03/25) Available at: </w:t>
      </w:r>
      <w:r>
        <w:rPr>
          <w:rStyle w:val="Hyperlink.0"/>
        </w:rPr>
        <w:fldChar w:fldCharType="begin" w:fldLock="0"/>
      </w:r>
      <w:r>
        <w:rPr>
          <w:rStyle w:val="Hyperlink.0"/>
        </w:rPr>
        <w:instrText xml:space="preserve"> HYPERLINK "https://www.legislation.gov.uk/ukpga/Geo5/15-16/20/contents"</w:instrText>
      </w:r>
      <w:r>
        <w:rPr>
          <w:rStyle w:val="Hyperlink.0"/>
        </w:rPr>
        <w:fldChar w:fldCharType="separate" w:fldLock="0"/>
      </w:r>
      <w:r>
        <w:rPr>
          <w:rStyle w:val="Hyperlink.0"/>
          <w:rtl w:val="0"/>
        </w:rPr>
        <w:t>https://www.legislation.gov.uk/ukpga/Geo5/15-16/20/contents</w:t>
      </w:r>
      <w:r>
        <w:rPr/>
        <w:fldChar w:fldCharType="end" w:fldLock="0"/>
      </w:r>
      <w:r>
        <w:rPr>
          <w:rStyle w:val="None"/>
          <w:rtl w:val="0"/>
        </w:rPr>
        <w:t xml:space="preserve"> </w:t>
      </w:r>
    </w:p>
    <w:p>
      <w:pPr>
        <w:pStyle w:val="Body"/>
      </w:pPr>
    </w:p>
    <w:p>
      <w:pPr>
        <w:pStyle w:val="Body"/>
      </w:pPr>
      <w:r>
        <w:rPr>
          <w:rStyle w:val="None"/>
          <w:rtl w:val="0"/>
          <w:lang w:val="en-US"/>
        </w:rPr>
        <w:t xml:space="preserve">The Commonhold and Leasehold Reform Act 2002 (accessed: 05/03/25) available at: </w:t>
      </w:r>
      <w:r>
        <w:rPr>
          <w:rStyle w:val="Hyperlink.0"/>
        </w:rPr>
        <w:fldChar w:fldCharType="begin" w:fldLock="0"/>
      </w:r>
      <w:r>
        <w:rPr>
          <w:rStyle w:val="Hyperlink.0"/>
        </w:rPr>
        <w:instrText xml:space="preserve"> HYPERLINK "https://www.legislation.gov.uk/ukpga/2002/15/contents"</w:instrText>
      </w:r>
      <w:r>
        <w:rPr>
          <w:rStyle w:val="Hyperlink.0"/>
        </w:rPr>
        <w:fldChar w:fldCharType="separate" w:fldLock="0"/>
      </w:r>
      <w:r>
        <w:rPr>
          <w:rStyle w:val="Hyperlink.0"/>
          <w:rtl w:val="0"/>
        </w:rPr>
        <w:t>https://www.legislation.gov.uk/ukpga/2002/15/contents</w:t>
      </w:r>
      <w:r>
        <w:rPr/>
        <w:fldChar w:fldCharType="end" w:fldLock="0"/>
      </w:r>
      <w:r>
        <w:rPr>
          <w:rStyle w:val="None"/>
          <w:rtl w:val="0"/>
        </w:rPr>
        <w:t xml:space="preserve"> </w:t>
      </w:r>
      <w:r/>
    </w:p>
    <w:sectPr>
      <w:headerReference w:type="default" r:id="rId4"/>
      <w:footerReference w:type="default" r:id="rId5"/>
      <w:pgSz w:w="12240" w:h="15840" w:orient="portrait"/>
      <w:pgMar w:top="1440" w:right="1440" w:bottom="1440" w:left="1440" w:header="720" w:footer="720"/>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76"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1155cc"/>
      <w:u w:val="single" w:color="1155cc"/>
      <w14:textFill>
        <w14:solidFill>
          <w14:srgbClr w14:val="1155CC"/>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