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6F77E5" w14:textId="3AF724C0" w:rsidR="009B17FD" w:rsidRDefault="00833531" w:rsidP="005B4497">
      <w:pPr>
        <w:spacing w:line="480" w:lineRule="auto"/>
        <w:rPr>
          <w:rFonts w:ascii="Arial" w:hAnsi="Arial" w:cs="Arial"/>
          <w:sz w:val="24"/>
          <w:szCs w:val="24"/>
        </w:rPr>
      </w:pPr>
      <w:r>
        <w:rPr>
          <w:rFonts w:ascii="Arial" w:hAnsi="Arial" w:cs="Arial"/>
          <w:sz w:val="24"/>
          <w:szCs w:val="24"/>
        </w:rPr>
        <w:tab/>
      </w:r>
      <w:r w:rsidR="009B17FD">
        <w:rPr>
          <w:rFonts w:ascii="Arial" w:hAnsi="Arial" w:cs="Arial"/>
          <w:sz w:val="24"/>
          <w:szCs w:val="24"/>
        </w:rPr>
        <w:t>The topic of this assignment is related to health and well-being of individuals, and how certain factors can influence health. Social, economic, environmental, and poverty will be discussed throughout this.</w:t>
      </w:r>
      <w:bookmarkStart w:id="0" w:name="_GoBack"/>
      <w:bookmarkEnd w:id="0"/>
    </w:p>
    <w:p w14:paraId="1E0896A7" w14:textId="21577BFD" w:rsidR="004D0364" w:rsidRDefault="009F0089" w:rsidP="009B17FD">
      <w:pPr>
        <w:spacing w:line="480" w:lineRule="auto"/>
        <w:ind w:firstLine="720"/>
        <w:rPr>
          <w:rFonts w:ascii="Arial" w:hAnsi="Arial" w:cs="Arial"/>
          <w:sz w:val="24"/>
          <w:szCs w:val="24"/>
        </w:rPr>
      </w:pPr>
      <w:r>
        <w:rPr>
          <w:rFonts w:ascii="Arial" w:hAnsi="Arial" w:cs="Arial"/>
          <w:sz w:val="24"/>
          <w:szCs w:val="24"/>
        </w:rPr>
        <w:t>Health is seen as a word used by multiple people, but it is seen to have different meanings for other people, cultures, historical centuries, and social levels. Tantam (2014) suggested that health</w:t>
      </w:r>
      <w:r w:rsidR="00303F73">
        <w:rPr>
          <w:rFonts w:ascii="Arial" w:hAnsi="Arial" w:cs="Arial"/>
          <w:sz w:val="24"/>
          <w:szCs w:val="24"/>
        </w:rPr>
        <w:t xml:space="preserve"> is seen to be an essential part of </w:t>
      </w:r>
      <w:r w:rsidR="005A7360">
        <w:rPr>
          <w:rFonts w:ascii="Arial" w:hAnsi="Arial" w:cs="Arial"/>
          <w:sz w:val="24"/>
          <w:szCs w:val="24"/>
        </w:rPr>
        <w:t>life;</w:t>
      </w:r>
      <w:r w:rsidR="00303F73">
        <w:rPr>
          <w:rFonts w:ascii="Arial" w:hAnsi="Arial" w:cs="Arial"/>
          <w:sz w:val="24"/>
          <w:szCs w:val="24"/>
        </w:rPr>
        <w:t xml:space="preserve"> </w:t>
      </w:r>
      <w:r w:rsidR="005A7360">
        <w:rPr>
          <w:rFonts w:ascii="Arial" w:hAnsi="Arial" w:cs="Arial"/>
          <w:sz w:val="24"/>
          <w:szCs w:val="24"/>
        </w:rPr>
        <w:t>however,</w:t>
      </w:r>
      <w:r w:rsidR="00303F73">
        <w:rPr>
          <w:rFonts w:ascii="Arial" w:hAnsi="Arial" w:cs="Arial"/>
          <w:sz w:val="24"/>
          <w:szCs w:val="24"/>
        </w:rPr>
        <w:t xml:space="preserve"> </w:t>
      </w:r>
      <w:r w:rsidR="005A7360">
        <w:rPr>
          <w:rFonts w:ascii="Arial" w:hAnsi="Arial" w:cs="Arial"/>
          <w:sz w:val="24"/>
          <w:szCs w:val="24"/>
        </w:rPr>
        <w:t xml:space="preserve">when we </w:t>
      </w:r>
      <w:r w:rsidR="00303F73">
        <w:rPr>
          <w:rFonts w:ascii="Arial" w:hAnsi="Arial" w:cs="Arial"/>
          <w:sz w:val="24"/>
          <w:szCs w:val="24"/>
        </w:rPr>
        <w:t xml:space="preserve">develop and understand </w:t>
      </w:r>
      <w:r w:rsidR="005A7360">
        <w:rPr>
          <w:rFonts w:ascii="Arial" w:hAnsi="Arial" w:cs="Arial"/>
          <w:sz w:val="24"/>
          <w:szCs w:val="24"/>
        </w:rPr>
        <w:t xml:space="preserve">these, it becomes more difficult to acknowledge </w:t>
      </w:r>
      <w:r w:rsidR="00153845">
        <w:rPr>
          <w:rFonts w:ascii="Arial" w:hAnsi="Arial" w:cs="Arial"/>
          <w:sz w:val="24"/>
          <w:szCs w:val="24"/>
        </w:rPr>
        <w:t>health.</w:t>
      </w:r>
      <w:r w:rsidR="005A7360">
        <w:rPr>
          <w:rFonts w:ascii="Arial" w:hAnsi="Arial" w:cs="Arial"/>
          <w:sz w:val="24"/>
          <w:szCs w:val="24"/>
        </w:rPr>
        <w:t xml:space="preserve"> </w:t>
      </w:r>
      <w:r w:rsidR="00DC10B3">
        <w:rPr>
          <w:rFonts w:ascii="Arial" w:hAnsi="Arial" w:cs="Arial"/>
          <w:sz w:val="24"/>
          <w:szCs w:val="24"/>
        </w:rPr>
        <w:t xml:space="preserve">World Health Organisation also has their own definition of health, “a state of complete physical, mental, and social well-being and not merely the absence of disease or infirmity” (WHO, 2001b). They describe health to be related the elements within the body. </w:t>
      </w:r>
      <w:r w:rsidR="00897EE9">
        <w:rPr>
          <w:rFonts w:ascii="Arial" w:hAnsi="Arial" w:cs="Arial"/>
          <w:sz w:val="24"/>
          <w:szCs w:val="24"/>
        </w:rPr>
        <w:t>The historical context viewed health differently: Archaeologist findings discovered that human skulls had small holes drilled into them, to help relea</w:t>
      </w:r>
      <w:r w:rsidR="00153845">
        <w:rPr>
          <w:rFonts w:ascii="Arial" w:hAnsi="Arial" w:cs="Arial"/>
          <w:sz w:val="24"/>
          <w:szCs w:val="24"/>
        </w:rPr>
        <w:t>se evil spirits from the body (</w:t>
      </w:r>
      <w:r w:rsidR="00897EE9">
        <w:rPr>
          <w:rFonts w:ascii="Arial" w:hAnsi="Arial" w:cs="Arial"/>
          <w:i/>
          <w:sz w:val="24"/>
          <w:szCs w:val="24"/>
        </w:rPr>
        <w:t>trephination</w:t>
      </w:r>
      <w:r w:rsidR="00153845">
        <w:rPr>
          <w:rFonts w:ascii="Arial" w:hAnsi="Arial" w:cs="Arial"/>
          <w:sz w:val="24"/>
          <w:szCs w:val="24"/>
        </w:rPr>
        <w:t>)</w:t>
      </w:r>
      <w:r w:rsidR="00897EE9">
        <w:rPr>
          <w:rFonts w:ascii="Arial" w:hAnsi="Arial" w:cs="Arial"/>
          <w:i/>
          <w:sz w:val="24"/>
          <w:szCs w:val="24"/>
        </w:rPr>
        <w:t>.</w:t>
      </w:r>
      <w:r w:rsidR="00153845">
        <w:rPr>
          <w:rFonts w:ascii="Arial" w:hAnsi="Arial" w:cs="Arial"/>
          <w:sz w:val="24"/>
          <w:szCs w:val="24"/>
        </w:rPr>
        <w:t xml:space="preserve"> T</w:t>
      </w:r>
      <w:r w:rsidR="00897EE9">
        <w:rPr>
          <w:rFonts w:ascii="Arial" w:hAnsi="Arial" w:cs="Arial"/>
          <w:sz w:val="24"/>
          <w:szCs w:val="24"/>
        </w:rPr>
        <w:t xml:space="preserve">he Greek </w:t>
      </w:r>
      <w:r w:rsidR="002A55D0">
        <w:rPr>
          <w:rFonts w:ascii="Arial" w:hAnsi="Arial" w:cs="Arial"/>
          <w:sz w:val="24"/>
          <w:szCs w:val="24"/>
        </w:rPr>
        <w:t xml:space="preserve">physician </w:t>
      </w:r>
      <w:r w:rsidR="00897EE9">
        <w:rPr>
          <w:rFonts w:ascii="Arial" w:hAnsi="Arial" w:cs="Arial"/>
          <w:sz w:val="24"/>
          <w:szCs w:val="24"/>
        </w:rPr>
        <w:t>Hippocrates (</w:t>
      </w:r>
      <w:r w:rsidR="000005D7">
        <w:rPr>
          <w:rFonts w:ascii="Arial" w:hAnsi="Arial" w:cs="Arial"/>
          <w:sz w:val="24"/>
          <w:szCs w:val="24"/>
        </w:rPr>
        <w:t xml:space="preserve">circa </w:t>
      </w:r>
      <w:r w:rsidR="00897EE9">
        <w:rPr>
          <w:rFonts w:ascii="Arial" w:hAnsi="Arial" w:cs="Arial"/>
          <w:sz w:val="24"/>
          <w:szCs w:val="24"/>
        </w:rPr>
        <w:t>460-377 BC),</w:t>
      </w:r>
      <w:r w:rsidR="00153845">
        <w:rPr>
          <w:rFonts w:ascii="Arial" w:hAnsi="Arial" w:cs="Arial"/>
          <w:sz w:val="24"/>
          <w:szCs w:val="24"/>
        </w:rPr>
        <w:t xml:space="preserve"> viewed differently, t</w:t>
      </w:r>
      <w:r w:rsidR="002E191E">
        <w:rPr>
          <w:rFonts w:ascii="Arial" w:hAnsi="Arial" w:cs="Arial"/>
          <w:sz w:val="24"/>
          <w:szCs w:val="24"/>
        </w:rPr>
        <w:t xml:space="preserve">hey </w:t>
      </w:r>
      <w:r w:rsidR="00897EE9">
        <w:rPr>
          <w:rFonts w:ascii="Arial" w:hAnsi="Arial" w:cs="Arial"/>
          <w:sz w:val="24"/>
          <w:szCs w:val="24"/>
        </w:rPr>
        <w:t>believed that the mind and the body were one element</w:t>
      </w:r>
      <w:r w:rsidR="00153845">
        <w:rPr>
          <w:rFonts w:ascii="Arial" w:hAnsi="Arial" w:cs="Arial"/>
          <w:sz w:val="24"/>
          <w:szCs w:val="24"/>
        </w:rPr>
        <w:t>, but did not conclude</w:t>
      </w:r>
      <w:r w:rsidR="00155120">
        <w:rPr>
          <w:rFonts w:ascii="Arial" w:hAnsi="Arial" w:cs="Arial"/>
          <w:sz w:val="24"/>
          <w:szCs w:val="24"/>
        </w:rPr>
        <w:t xml:space="preserve"> ill health within to the mix</w:t>
      </w:r>
      <w:r w:rsidR="000005D7">
        <w:rPr>
          <w:rFonts w:ascii="Arial" w:hAnsi="Arial" w:cs="Arial"/>
          <w:sz w:val="24"/>
          <w:szCs w:val="24"/>
        </w:rPr>
        <w:t xml:space="preserve"> of spirits. The Greeks </w:t>
      </w:r>
      <w:r w:rsidR="004950C0">
        <w:rPr>
          <w:rFonts w:ascii="Arial" w:hAnsi="Arial" w:cs="Arial"/>
          <w:sz w:val="24"/>
          <w:szCs w:val="24"/>
        </w:rPr>
        <w:t xml:space="preserve">(Galen circa 129-199 AD) </w:t>
      </w:r>
      <w:r w:rsidR="000005D7">
        <w:rPr>
          <w:rFonts w:ascii="Arial" w:hAnsi="Arial" w:cs="Arial"/>
          <w:sz w:val="24"/>
          <w:szCs w:val="24"/>
        </w:rPr>
        <w:t xml:space="preserve">believed that the four humours were the indications of any illness: </w:t>
      </w:r>
      <w:r w:rsidR="00C77FC4">
        <w:rPr>
          <w:rFonts w:ascii="Arial" w:hAnsi="Arial" w:cs="Arial"/>
          <w:sz w:val="24"/>
          <w:szCs w:val="24"/>
        </w:rPr>
        <w:t xml:space="preserve">yellow bile, phlegm, blood, and black bile. </w:t>
      </w:r>
      <w:r w:rsidR="002A55D0">
        <w:rPr>
          <w:rFonts w:ascii="Arial" w:hAnsi="Arial" w:cs="Arial"/>
          <w:sz w:val="24"/>
          <w:szCs w:val="24"/>
        </w:rPr>
        <w:t>An imbalance between these variations can cause pathogens</w:t>
      </w:r>
      <w:r w:rsidR="00AA140E">
        <w:rPr>
          <w:rFonts w:ascii="Arial" w:hAnsi="Arial" w:cs="Arial"/>
          <w:sz w:val="24"/>
          <w:szCs w:val="24"/>
        </w:rPr>
        <w:t>, which can lead to illness</w:t>
      </w:r>
      <w:r w:rsidR="002A55D0">
        <w:rPr>
          <w:rFonts w:ascii="Arial" w:hAnsi="Arial" w:cs="Arial"/>
          <w:sz w:val="24"/>
          <w:szCs w:val="24"/>
        </w:rPr>
        <w:t>.</w:t>
      </w:r>
      <w:r w:rsidR="00AA140E">
        <w:rPr>
          <w:rFonts w:ascii="Arial" w:hAnsi="Arial" w:cs="Arial"/>
          <w:sz w:val="24"/>
          <w:szCs w:val="24"/>
        </w:rPr>
        <w:t xml:space="preserve"> Through the fifth and sixth </w:t>
      </w:r>
      <w:r w:rsidR="00257096">
        <w:rPr>
          <w:rFonts w:ascii="Arial" w:hAnsi="Arial" w:cs="Arial"/>
          <w:sz w:val="24"/>
          <w:szCs w:val="24"/>
        </w:rPr>
        <w:t>century,</w:t>
      </w:r>
      <w:r w:rsidR="00AA140E">
        <w:rPr>
          <w:rFonts w:ascii="Arial" w:hAnsi="Arial" w:cs="Arial"/>
          <w:sz w:val="24"/>
          <w:szCs w:val="24"/>
        </w:rPr>
        <w:t xml:space="preserve"> ill health w</w:t>
      </w:r>
      <w:r w:rsidR="00153845">
        <w:rPr>
          <w:rFonts w:ascii="Arial" w:hAnsi="Arial" w:cs="Arial"/>
          <w:sz w:val="24"/>
          <w:szCs w:val="24"/>
        </w:rPr>
        <w:t xml:space="preserve">as </w:t>
      </w:r>
      <w:r w:rsidR="00170D19">
        <w:rPr>
          <w:rFonts w:ascii="Arial" w:hAnsi="Arial" w:cs="Arial"/>
          <w:sz w:val="24"/>
          <w:szCs w:val="24"/>
        </w:rPr>
        <w:t>a punishment from God</w:t>
      </w:r>
      <w:r w:rsidR="005B4497">
        <w:rPr>
          <w:rFonts w:ascii="Arial" w:hAnsi="Arial" w:cs="Arial"/>
          <w:sz w:val="24"/>
          <w:szCs w:val="24"/>
        </w:rPr>
        <w:t xml:space="preserve">. </w:t>
      </w:r>
      <w:r w:rsidR="00153845">
        <w:rPr>
          <w:rFonts w:ascii="Arial" w:hAnsi="Arial" w:cs="Arial"/>
          <w:sz w:val="24"/>
          <w:szCs w:val="24"/>
        </w:rPr>
        <w:t xml:space="preserve">Priests were given </w:t>
      </w:r>
      <w:r w:rsidR="00BD4500">
        <w:rPr>
          <w:rFonts w:ascii="Arial" w:hAnsi="Arial" w:cs="Arial"/>
          <w:sz w:val="24"/>
          <w:szCs w:val="24"/>
        </w:rPr>
        <w:t>God’s pow</w:t>
      </w:r>
      <w:r w:rsidR="00153845">
        <w:rPr>
          <w:rFonts w:ascii="Arial" w:hAnsi="Arial" w:cs="Arial"/>
          <w:sz w:val="24"/>
          <w:szCs w:val="24"/>
        </w:rPr>
        <w:t>er of healing</w:t>
      </w:r>
      <w:r w:rsidR="00C95E8C">
        <w:rPr>
          <w:rFonts w:ascii="Arial" w:hAnsi="Arial" w:cs="Arial"/>
          <w:sz w:val="24"/>
          <w:szCs w:val="24"/>
        </w:rPr>
        <w:t>; therefore,</w:t>
      </w:r>
      <w:r w:rsidR="00BD4500">
        <w:rPr>
          <w:rFonts w:ascii="Arial" w:hAnsi="Arial" w:cs="Arial"/>
          <w:sz w:val="24"/>
          <w:szCs w:val="24"/>
        </w:rPr>
        <w:t xml:space="preserve"> they were seen to have the powe</w:t>
      </w:r>
      <w:r w:rsidR="00384FFE">
        <w:rPr>
          <w:rFonts w:ascii="Arial" w:hAnsi="Arial" w:cs="Arial"/>
          <w:sz w:val="24"/>
          <w:szCs w:val="24"/>
        </w:rPr>
        <w:t>r also to heal the</w:t>
      </w:r>
      <w:r w:rsidR="00BD4500">
        <w:rPr>
          <w:rFonts w:ascii="Arial" w:hAnsi="Arial" w:cs="Arial"/>
          <w:sz w:val="24"/>
          <w:szCs w:val="24"/>
        </w:rPr>
        <w:t xml:space="preserve"> sick. </w:t>
      </w:r>
      <w:r w:rsidR="00153845">
        <w:rPr>
          <w:rFonts w:ascii="Arial" w:hAnsi="Arial" w:cs="Arial"/>
          <w:sz w:val="24"/>
          <w:szCs w:val="24"/>
        </w:rPr>
        <w:t xml:space="preserve">The biomedical view </w:t>
      </w:r>
      <w:r w:rsidR="00291EFF">
        <w:rPr>
          <w:rFonts w:ascii="Arial" w:hAnsi="Arial" w:cs="Arial"/>
          <w:sz w:val="24"/>
          <w:szCs w:val="24"/>
        </w:rPr>
        <w:t>acknowledge</w:t>
      </w:r>
      <w:r w:rsidR="00153845">
        <w:rPr>
          <w:rFonts w:ascii="Arial" w:hAnsi="Arial" w:cs="Arial"/>
          <w:sz w:val="24"/>
          <w:szCs w:val="24"/>
        </w:rPr>
        <w:t>s</w:t>
      </w:r>
      <w:r w:rsidR="00291EFF">
        <w:rPr>
          <w:rFonts w:ascii="Arial" w:hAnsi="Arial" w:cs="Arial"/>
          <w:sz w:val="24"/>
          <w:szCs w:val="24"/>
        </w:rPr>
        <w:t xml:space="preserve"> the known causes of physical disabilities. This can i</w:t>
      </w:r>
      <w:r w:rsidR="00153845">
        <w:rPr>
          <w:rFonts w:ascii="Arial" w:hAnsi="Arial" w:cs="Arial"/>
          <w:sz w:val="24"/>
          <w:szCs w:val="24"/>
        </w:rPr>
        <w:t xml:space="preserve">nvolve germs, genetics, and chemical imbalances. </w:t>
      </w:r>
      <w:r w:rsidR="00291EFF">
        <w:rPr>
          <w:rFonts w:ascii="Arial" w:hAnsi="Arial" w:cs="Arial"/>
          <w:sz w:val="24"/>
          <w:szCs w:val="24"/>
        </w:rPr>
        <w:t xml:space="preserve">The biomedical model was </w:t>
      </w:r>
      <w:r w:rsidR="00153845">
        <w:rPr>
          <w:rFonts w:ascii="Arial" w:hAnsi="Arial" w:cs="Arial"/>
          <w:sz w:val="24"/>
          <w:szCs w:val="24"/>
        </w:rPr>
        <w:t xml:space="preserve">introduced in the seventeenth century </w:t>
      </w:r>
      <w:r w:rsidR="00291EFF">
        <w:rPr>
          <w:rFonts w:ascii="Arial" w:hAnsi="Arial" w:cs="Arial"/>
          <w:sz w:val="24"/>
          <w:szCs w:val="24"/>
        </w:rPr>
        <w:t xml:space="preserve">for </w:t>
      </w:r>
      <w:r w:rsidR="00153845">
        <w:rPr>
          <w:rFonts w:ascii="Arial" w:hAnsi="Arial" w:cs="Arial"/>
          <w:sz w:val="24"/>
          <w:szCs w:val="24"/>
        </w:rPr>
        <w:t>example;</w:t>
      </w:r>
      <w:r w:rsidR="00291EFF">
        <w:rPr>
          <w:rFonts w:ascii="Arial" w:hAnsi="Arial" w:cs="Arial"/>
          <w:sz w:val="24"/>
          <w:szCs w:val="24"/>
        </w:rPr>
        <w:t xml:space="preserve"> Ren</w:t>
      </w:r>
      <w:r w:rsidR="004E4537">
        <w:rPr>
          <w:rFonts w:ascii="Arial" w:hAnsi="Arial" w:cs="Arial"/>
          <w:sz w:val="24"/>
          <w:szCs w:val="24"/>
        </w:rPr>
        <w:t xml:space="preserve">é Descartes (French philosopher) suggested that our body and mind are distinctive structures, rather than a biological system. The biopsychosocial method also links to health and well-being, </w:t>
      </w:r>
      <w:r w:rsidR="004E4537">
        <w:rPr>
          <w:rFonts w:ascii="Arial" w:hAnsi="Arial" w:cs="Arial"/>
          <w:sz w:val="24"/>
          <w:szCs w:val="24"/>
        </w:rPr>
        <w:lastRenderedPageBreak/>
        <w:t>Engel (1977) established this. He sugges</w:t>
      </w:r>
      <w:r w:rsidR="00153845">
        <w:rPr>
          <w:rFonts w:ascii="Arial" w:hAnsi="Arial" w:cs="Arial"/>
          <w:sz w:val="24"/>
          <w:szCs w:val="24"/>
        </w:rPr>
        <w:t>ted that disorders</w:t>
      </w:r>
      <w:r w:rsidR="004E4537">
        <w:rPr>
          <w:rFonts w:ascii="Arial" w:hAnsi="Arial" w:cs="Arial"/>
          <w:sz w:val="24"/>
          <w:szCs w:val="24"/>
        </w:rPr>
        <w:t xml:space="preserve"> </w:t>
      </w:r>
      <w:r w:rsidR="00153845">
        <w:rPr>
          <w:rFonts w:ascii="Arial" w:hAnsi="Arial" w:cs="Arial"/>
          <w:sz w:val="24"/>
          <w:szCs w:val="24"/>
        </w:rPr>
        <w:t>were indications of the</w:t>
      </w:r>
      <w:r w:rsidR="005C1515">
        <w:rPr>
          <w:rFonts w:ascii="Arial" w:hAnsi="Arial" w:cs="Arial"/>
          <w:sz w:val="24"/>
          <w:szCs w:val="24"/>
        </w:rPr>
        <w:t xml:space="preserve"> biological, psychological, and social </w:t>
      </w:r>
      <w:r w:rsidR="00153845">
        <w:rPr>
          <w:rFonts w:ascii="Arial" w:hAnsi="Arial" w:cs="Arial"/>
          <w:sz w:val="24"/>
          <w:szCs w:val="24"/>
        </w:rPr>
        <w:t>interactions.</w:t>
      </w:r>
    </w:p>
    <w:p w14:paraId="3649AE7F" w14:textId="477B9E08" w:rsidR="009B17FD" w:rsidRDefault="009B17FD" w:rsidP="009B17FD">
      <w:pPr>
        <w:spacing w:line="480" w:lineRule="auto"/>
        <w:ind w:firstLine="720"/>
        <w:rPr>
          <w:rFonts w:ascii="Arial" w:hAnsi="Arial" w:cs="Arial"/>
          <w:sz w:val="24"/>
          <w:szCs w:val="24"/>
        </w:rPr>
      </w:pPr>
      <w:r>
        <w:rPr>
          <w:rFonts w:ascii="Arial" w:hAnsi="Arial" w:cs="Arial"/>
          <w:sz w:val="24"/>
          <w:szCs w:val="24"/>
        </w:rPr>
        <w:t xml:space="preserve">The Welsh Government has a huge influence on tackling poverty in the UK. They have created a </w:t>
      </w:r>
      <w:r w:rsidR="00DA3645">
        <w:rPr>
          <w:rFonts w:ascii="Arial" w:hAnsi="Arial" w:cs="Arial"/>
          <w:sz w:val="24"/>
          <w:szCs w:val="24"/>
        </w:rPr>
        <w:t>plan that</w:t>
      </w:r>
      <w:r>
        <w:rPr>
          <w:rFonts w:ascii="Arial" w:hAnsi="Arial" w:cs="Arial"/>
          <w:sz w:val="24"/>
          <w:szCs w:val="24"/>
        </w:rPr>
        <w:t xml:space="preserve"> involves three types of </w:t>
      </w:r>
      <w:r w:rsidR="00DA3645">
        <w:rPr>
          <w:rFonts w:ascii="Arial" w:hAnsi="Arial" w:cs="Arial"/>
          <w:sz w:val="24"/>
          <w:szCs w:val="24"/>
        </w:rPr>
        <w:t>elements: preventing poverty,</w:t>
      </w:r>
      <w:r>
        <w:rPr>
          <w:rFonts w:ascii="Arial" w:hAnsi="Arial" w:cs="Arial"/>
          <w:sz w:val="24"/>
          <w:szCs w:val="24"/>
        </w:rPr>
        <w:t xml:space="preserve"> helping individuals with employment,</w:t>
      </w:r>
      <w:r w:rsidR="00DA3645">
        <w:rPr>
          <w:rFonts w:ascii="Arial" w:hAnsi="Arial" w:cs="Arial"/>
          <w:sz w:val="24"/>
          <w:szCs w:val="24"/>
        </w:rPr>
        <w:t xml:space="preserve"> and revamping lives for those living in poverty. For those living in poverty, health inequality is increasing due to those not having access to healthcare, even though they are more likely to need care. Statistics show that there is a gap between life expectancies of those living a health life, compared to those living in deprived locations. </w:t>
      </w:r>
      <w:r w:rsidR="00593B0E">
        <w:rPr>
          <w:rFonts w:ascii="Arial" w:hAnsi="Arial" w:cs="Arial"/>
          <w:sz w:val="24"/>
          <w:szCs w:val="24"/>
        </w:rPr>
        <w:t xml:space="preserve">Those living healthy lives has increased their life expectancy by 1.1 years over the past few </w:t>
      </w:r>
      <w:r w:rsidR="00FE2177">
        <w:rPr>
          <w:rFonts w:ascii="Arial" w:hAnsi="Arial" w:cs="Arial"/>
          <w:sz w:val="24"/>
          <w:szCs w:val="24"/>
        </w:rPr>
        <w:t>years;</w:t>
      </w:r>
      <w:r w:rsidR="00593B0E">
        <w:rPr>
          <w:rFonts w:ascii="Arial" w:hAnsi="Arial" w:cs="Arial"/>
          <w:sz w:val="24"/>
          <w:szCs w:val="24"/>
        </w:rPr>
        <w:t xml:space="preserve"> however</w:t>
      </w:r>
      <w:r w:rsidR="00FE2177">
        <w:rPr>
          <w:rFonts w:ascii="Arial" w:hAnsi="Arial" w:cs="Arial"/>
          <w:sz w:val="24"/>
          <w:szCs w:val="24"/>
        </w:rPr>
        <w:t>,</w:t>
      </w:r>
      <w:r w:rsidR="00593B0E">
        <w:rPr>
          <w:rFonts w:ascii="Arial" w:hAnsi="Arial" w:cs="Arial"/>
          <w:sz w:val="24"/>
          <w:szCs w:val="24"/>
        </w:rPr>
        <w:t xml:space="preserve"> this has not increased for those living in poverty. </w:t>
      </w:r>
      <w:r w:rsidR="004220F3">
        <w:rPr>
          <w:rFonts w:ascii="Arial" w:hAnsi="Arial" w:cs="Arial"/>
          <w:sz w:val="24"/>
          <w:szCs w:val="24"/>
        </w:rPr>
        <w:t>The Welsh Government are using this plan to help increase the levels of living for deprived locations an</w:t>
      </w:r>
      <w:r w:rsidR="004B5BE1">
        <w:rPr>
          <w:rFonts w:ascii="Arial" w:hAnsi="Arial" w:cs="Arial"/>
          <w:sz w:val="24"/>
          <w:szCs w:val="24"/>
        </w:rPr>
        <w:t>d are helping those in poverty to have</w:t>
      </w:r>
      <w:r w:rsidR="008D7F7E">
        <w:rPr>
          <w:rFonts w:ascii="Arial" w:hAnsi="Arial" w:cs="Arial"/>
          <w:sz w:val="24"/>
          <w:szCs w:val="24"/>
        </w:rPr>
        <w:t xml:space="preserve"> access to more healthcare (Well-being of Future Generations (Wales) Act 2015).</w:t>
      </w:r>
    </w:p>
    <w:p w14:paraId="50C2BE62" w14:textId="0FFEC461" w:rsidR="005F3668" w:rsidRDefault="00541099" w:rsidP="005F3668">
      <w:pPr>
        <w:spacing w:line="480" w:lineRule="auto"/>
        <w:ind w:firstLine="720"/>
        <w:rPr>
          <w:rFonts w:ascii="Arial" w:hAnsi="Arial" w:cs="Arial"/>
          <w:sz w:val="24"/>
          <w:szCs w:val="24"/>
        </w:rPr>
      </w:pPr>
      <w:r>
        <w:rPr>
          <w:rFonts w:ascii="Arial" w:hAnsi="Arial" w:cs="Arial"/>
          <w:sz w:val="24"/>
          <w:szCs w:val="24"/>
        </w:rPr>
        <w:t>E</w:t>
      </w:r>
      <w:r w:rsidR="002771B0">
        <w:rPr>
          <w:rFonts w:ascii="Arial" w:hAnsi="Arial" w:cs="Arial"/>
          <w:sz w:val="24"/>
          <w:szCs w:val="24"/>
        </w:rPr>
        <w:t xml:space="preserve">nvironmental </w:t>
      </w:r>
      <w:r>
        <w:rPr>
          <w:rFonts w:ascii="Arial" w:hAnsi="Arial" w:cs="Arial"/>
          <w:sz w:val="24"/>
          <w:szCs w:val="24"/>
        </w:rPr>
        <w:t>factors have</w:t>
      </w:r>
      <w:r w:rsidR="002771B0">
        <w:rPr>
          <w:rFonts w:ascii="Arial" w:hAnsi="Arial" w:cs="Arial"/>
          <w:sz w:val="24"/>
          <w:szCs w:val="24"/>
        </w:rPr>
        <w:t xml:space="preserve"> a huge </w:t>
      </w:r>
      <w:r>
        <w:rPr>
          <w:rFonts w:ascii="Arial" w:hAnsi="Arial" w:cs="Arial"/>
          <w:sz w:val="24"/>
          <w:szCs w:val="24"/>
        </w:rPr>
        <w:t>effect on</w:t>
      </w:r>
      <w:r w:rsidR="002771B0">
        <w:rPr>
          <w:rFonts w:ascii="Arial" w:hAnsi="Arial" w:cs="Arial"/>
          <w:sz w:val="24"/>
          <w:szCs w:val="24"/>
        </w:rPr>
        <w:t xml:space="preserve"> health and </w:t>
      </w:r>
      <w:r>
        <w:rPr>
          <w:rFonts w:ascii="Arial" w:hAnsi="Arial" w:cs="Arial"/>
          <w:sz w:val="24"/>
          <w:szCs w:val="24"/>
        </w:rPr>
        <w:t xml:space="preserve">well-being, especially in </w:t>
      </w:r>
      <w:r w:rsidR="002771B0">
        <w:rPr>
          <w:rFonts w:ascii="Arial" w:hAnsi="Arial" w:cs="Arial"/>
          <w:sz w:val="24"/>
          <w:szCs w:val="24"/>
        </w:rPr>
        <w:t xml:space="preserve">more deprived countries e.g. Sub-Saharan African countries. Countries like these find it more difficult to help prevent hazards such as air pollution, energy and fossil fuel consumptions, carbon dioxide issues, as well unsanitary </w:t>
      </w:r>
      <w:r w:rsidR="009C6AF4">
        <w:rPr>
          <w:rFonts w:ascii="Arial" w:hAnsi="Arial" w:cs="Arial"/>
          <w:sz w:val="24"/>
          <w:szCs w:val="24"/>
        </w:rPr>
        <w:t xml:space="preserve">water supplies. Africa is unable to obtain a healthy environment due to a short supply of funds, as well as the inadequate capability to keep it up to standard. Statistics have shown that only 59% of individuals </w:t>
      </w:r>
      <w:r>
        <w:rPr>
          <w:rFonts w:ascii="Arial" w:hAnsi="Arial" w:cs="Arial"/>
          <w:sz w:val="24"/>
          <w:szCs w:val="24"/>
        </w:rPr>
        <w:t xml:space="preserve">in Sub-Saharan African countries </w:t>
      </w:r>
      <w:r w:rsidR="009C6AF4">
        <w:rPr>
          <w:rFonts w:ascii="Arial" w:hAnsi="Arial" w:cs="Arial"/>
          <w:sz w:val="24"/>
          <w:szCs w:val="24"/>
        </w:rPr>
        <w:t>have access to sanitary facilities and water supplies (WHO 2006). These dep</w:t>
      </w:r>
      <w:r w:rsidR="00BD233F">
        <w:rPr>
          <w:rFonts w:ascii="Arial" w:hAnsi="Arial" w:cs="Arial"/>
          <w:sz w:val="24"/>
          <w:szCs w:val="24"/>
        </w:rPr>
        <w:t>rived areas also have the lowest food supply in the whole world, having the daily food intake at 2100 kcal (UN 2009). A study has shown that c</w:t>
      </w:r>
      <w:r w:rsidR="00E3256A">
        <w:rPr>
          <w:rFonts w:ascii="Arial" w:hAnsi="Arial" w:cs="Arial"/>
          <w:sz w:val="24"/>
          <w:szCs w:val="24"/>
        </w:rPr>
        <w:t xml:space="preserve">hild malnutrition was </w:t>
      </w:r>
      <w:r w:rsidR="00BD233F">
        <w:rPr>
          <w:rFonts w:ascii="Arial" w:hAnsi="Arial" w:cs="Arial"/>
          <w:sz w:val="24"/>
          <w:szCs w:val="24"/>
        </w:rPr>
        <w:t xml:space="preserve">discovered in at least 15 of these Sub-Saharan African countries and the others are seen to have a substantial amount </w:t>
      </w:r>
      <w:r>
        <w:rPr>
          <w:rFonts w:ascii="Arial" w:hAnsi="Arial" w:cs="Arial"/>
          <w:sz w:val="24"/>
          <w:szCs w:val="24"/>
        </w:rPr>
        <w:t xml:space="preserve">of child malnutrition also </w:t>
      </w:r>
      <w:r w:rsidR="00BD233F">
        <w:rPr>
          <w:rFonts w:ascii="Arial" w:hAnsi="Arial" w:cs="Arial"/>
          <w:sz w:val="24"/>
          <w:szCs w:val="24"/>
        </w:rPr>
        <w:t xml:space="preserve">(Fotso 2007). Raleigh et al (2015) suggested that “creating </w:t>
      </w:r>
      <w:r w:rsidR="00BD233F">
        <w:rPr>
          <w:rFonts w:ascii="Arial" w:hAnsi="Arial" w:cs="Arial"/>
          <w:sz w:val="24"/>
          <w:szCs w:val="24"/>
        </w:rPr>
        <w:lastRenderedPageBreak/>
        <w:t>environments in which food prices are stable and reliable, the markets are accessible and safe, can lower the impacts of both climate change and conflict feedbacks”.</w:t>
      </w:r>
      <w:r>
        <w:rPr>
          <w:rFonts w:ascii="Arial" w:hAnsi="Arial" w:cs="Arial"/>
          <w:sz w:val="24"/>
          <w:szCs w:val="24"/>
        </w:rPr>
        <w:t xml:space="preserve"> Therefore, this suggests that if food prices were substantial in Africa, child malnutrition will decrease. This can lead to longer life expectancies and the calorie intake to increase its value from 2100 kcal, in the future. Another issue followed from these African countries is energy consumptions; Kebede et al (2010) created a data analysis test on the energy usage in 20 different Sub</w:t>
      </w:r>
      <w:r w:rsidR="00E3256A">
        <w:rPr>
          <w:rFonts w:ascii="Arial" w:hAnsi="Arial" w:cs="Arial"/>
          <w:sz w:val="24"/>
          <w:szCs w:val="24"/>
        </w:rPr>
        <w:t>-Saharan African countries</w:t>
      </w:r>
      <w:r w:rsidR="00BC0DCE">
        <w:rPr>
          <w:rFonts w:ascii="Arial" w:hAnsi="Arial" w:cs="Arial"/>
          <w:sz w:val="24"/>
          <w:szCs w:val="24"/>
        </w:rPr>
        <w:t xml:space="preserve"> through the past 25 years. Results found showed that energy demands (in relation to wood burning) is at 70% of the total energy consumptions, followed by petroleum. </w:t>
      </w:r>
      <w:r w:rsidR="00432DE4">
        <w:rPr>
          <w:rFonts w:ascii="Arial" w:hAnsi="Arial" w:cs="Arial"/>
          <w:sz w:val="24"/>
          <w:szCs w:val="24"/>
        </w:rPr>
        <w:t>This concludes that if Africa decreased the amount of wood fuel used to help produce energy</w:t>
      </w:r>
      <w:r w:rsidR="00944BBC">
        <w:rPr>
          <w:rFonts w:ascii="Arial" w:hAnsi="Arial" w:cs="Arial"/>
          <w:sz w:val="24"/>
          <w:szCs w:val="24"/>
        </w:rPr>
        <w:t xml:space="preserve">, they would decrease their chances of ill health due to air pollution. </w:t>
      </w:r>
      <w:r w:rsidR="006C06B5">
        <w:rPr>
          <w:rFonts w:ascii="Arial" w:hAnsi="Arial" w:cs="Arial"/>
          <w:sz w:val="24"/>
          <w:szCs w:val="24"/>
        </w:rPr>
        <w:t xml:space="preserve">Another element that effects health and well-being is adolescence sexual and reproductive health (e.g. pregnancy, HIV/AIDS, STI’s). These are seen to be on the increase in younger individuals compared to any other age. Adolescents living in more deprived locations are more likely to face sexual and reproductive health (SRH). For </w:t>
      </w:r>
      <w:r w:rsidR="00137137">
        <w:rPr>
          <w:rFonts w:ascii="Arial" w:hAnsi="Arial" w:cs="Arial"/>
          <w:sz w:val="24"/>
          <w:szCs w:val="24"/>
        </w:rPr>
        <w:t>example,</w:t>
      </w:r>
      <w:r w:rsidR="006C06B5">
        <w:rPr>
          <w:rFonts w:ascii="Arial" w:hAnsi="Arial" w:cs="Arial"/>
          <w:sz w:val="24"/>
          <w:szCs w:val="24"/>
        </w:rPr>
        <w:t xml:space="preserve"> Sub-Saharan Africa 143 girls per 1000 give birth between the ages of 15-19 years, compared to an average of 65 in the world</w:t>
      </w:r>
      <w:r w:rsidR="00801756">
        <w:rPr>
          <w:rFonts w:ascii="Arial" w:hAnsi="Arial" w:cs="Arial"/>
          <w:sz w:val="24"/>
          <w:szCs w:val="24"/>
        </w:rPr>
        <w:t xml:space="preserve"> (Sommer &amp; Mmari 2015)</w:t>
      </w:r>
      <w:r w:rsidR="006C06B5">
        <w:rPr>
          <w:rFonts w:ascii="Arial" w:hAnsi="Arial" w:cs="Arial"/>
          <w:sz w:val="24"/>
          <w:szCs w:val="24"/>
        </w:rPr>
        <w:t xml:space="preserve">. </w:t>
      </w:r>
      <w:r w:rsidR="00801756">
        <w:rPr>
          <w:rFonts w:ascii="Arial" w:hAnsi="Arial" w:cs="Arial"/>
          <w:sz w:val="24"/>
          <w:szCs w:val="24"/>
        </w:rPr>
        <w:t>Also in Sub-Saharan Africa 6000 adolescences on average, to be affected with HIV every day. For example, on average 75% of females are infected (Sommer &amp; Mmari</w:t>
      </w:r>
      <w:r w:rsidR="00B662E4">
        <w:rPr>
          <w:rFonts w:ascii="Arial" w:hAnsi="Arial" w:cs="Arial"/>
          <w:sz w:val="24"/>
          <w:szCs w:val="24"/>
        </w:rPr>
        <w:t xml:space="preserve"> 2015). In addition, the United Nations Children’s Fund has discovered that 14% of hazardous abortions happen each year with adolescents under the age of 20, in more deprived locations. These </w:t>
      </w:r>
      <w:r w:rsidR="00242839">
        <w:rPr>
          <w:rFonts w:ascii="Arial" w:hAnsi="Arial" w:cs="Arial"/>
          <w:sz w:val="24"/>
          <w:szCs w:val="24"/>
        </w:rPr>
        <w:t>statistics show me that, if low-</w:t>
      </w:r>
      <w:r w:rsidR="00B662E4">
        <w:rPr>
          <w:rFonts w:ascii="Arial" w:hAnsi="Arial" w:cs="Arial"/>
          <w:sz w:val="24"/>
          <w:szCs w:val="24"/>
        </w:rPr>
        <w:t>income countries</w:t>
      </w:r>
      <w:r w:rsidR="00242839">
        <w:rPr>
          <w:rFonts w:ascii="Arial" w:hAnsi="Arial" w:cs="Arial"/>
          <w:sz w:val="24"/>
          <w:szCs w:val="24"/>
        </w:rPr>
        <w:t xml:space="preserve">, such as </w:t>
      </w:r>
      <w:r w:rsidR="00B662E4">
        <w:rPr>
          <w:rFonts w:ascii="Arial" w:hAnsi="Arial" w:cs="Arial"/>
          <w:sz w:val="24"/>
          <w:szCs w:val="24"/>
        </w:rPr>
        <w:t>Sub-Saharan Africa had the right sexual health facilities for adolescents (e.g. sexual clinics, condoms, education)</w:t>
      </w:r>
      <w:r w:rsidR="00242839">
        <w:rPr>
          <w:rFonts w:ascii="Arial" w:hAnsi="Arial" w:cs="Arial"/>
          <w:sz w:val="24"/>
          <w:szCs w:val="24"/>
        </w:rPr>
        <w:t xml:space="preserve">, the average percentage of </w:t>
      </w:r>
      <w:r w:rsidR="00242839">
        <w:rPr>
          <w:rFonts w:ascii="Arial" w:hAnsi="Arial" w:cs="Arial"/>
          <w:sz w:val="24"/>
          <w:szCs w:val="24"/>
        </w:rPr>
        <w:lastRenderedPageBreak/>
        <w:t xml:space="preserve">abortion, pregnancy, and HIV rates would decrease rapidly due to having </w:t>
      </w:r>
      <w:r w:rsidR="005F3668">
        <w:rPr>
          <w:rFonts w:ascii="Arial" w:hAnsi="Arial" w:cs="Arial"/>
          <w:sz w:val="24"/>
          <w:szCs w:val="24"/>
        </w:rPr>
        <w:t>the understanding of SRH issues.</w:t>
      </w:r>
    </w:p>
    <w:p w14:paraId="01AAC972" w14:textId="42D7C6A4" w:rsidR="005F3668" w:rsidRDefault="005F3668" w:rsidP="003D6582">
      <w:pPr>
        <w:spacing w:line="480" w:lineRule="auto"/>
        <w:rPr>
          <w:rFonts w:ascii="Arial" w:hAnsi="Arial" w:cs="Arial"/>
          <w:sz w:val="24"/>
        </w:rPr>
      </w:pPr>
      <w:r>
        <w:rPr>
          <w:rFonts w:ascii="Arial" w:hAnsi="Arial" w:cs="Arial"/>
          <w:sz w:val="24"/>
        </w:rPr>
        <w:t>The economic factor affects health in multiple ways that individuals should be aware of; many researchers believed that income and health have a positive relationship (Adler et al., 1994; Case, 2001; van Doorslaer et al., 1997). However</w:t>
      </w:r>
      <w:r w:rsidR="00FA6D52">
        <w:rPr>
          <w:rFonts w:ascii="Arial" w:hAnsi="Arial" w:cs="Arial"/>
          <w:sz w:val="24"/>
        </w:rPr>
        <w:t>,</w:t>
      </w:r>
      <w:r>
        <w:rPr>
          <w:rFonts w:ascii="Arial" w:hAnsi="Arial" w:cs="Arial"/>
          <w:sz w:val="24"/>
        </w:rPr>
        <w:t xml:space="preserve"> this is seen </w:t>
      </w:r>
      <w:r w:rsidR="00FA6D52">
        <w:rPr>
          <w:rFonts w:ascii="Arial" w:hAnsi="Arial" w:cs="Arial"/>
          <w:sz w:val="24"/>
        </w:rPr>
        <w:t>to be different</w:t>
      </w:r>
      <w:r>
        <w:rPr>
          <w:rFonts w:ascii="Arial" w:hAnsi="Arial" w:cs="Arial"/>
          <w:sz w:val="24"/>
        </w:rPr>
        <w:t xml:space="preserve"> in other explanations. Deaton and Paxson (1998) concluded, “There is a well-documented but poorly understood gradient linking socio-economic status to a wide range of health outcomes”. Therefore, this discussion tells me that even though we have documented evidence of negative relationships between income and health, we truly do not understand completely how they affect one another. Income can be related to the effect of low food intake, for example on average 11% of US homes did not have enough access to food supplies to keep them healthy (Journal of Nutrition Education &amp; Behaviour, 2009). This explains why food can influence obesity due to having a limited access, and are unable to keep a healthy lifestyle. Cross-sectional reports have been able to link obesity with lower income, specifically in relation to women’s food income. Studies used focused on women with at least one child (9-13 years) in their homes, the results have shown that over 75% of these women were overweight or obese (US Department of Agricultures &amp; Food Stamp Program). These reports have shown that if prices for healthier foods and workout facilities were reduced, more women and children would be able to afford these and stay healthier. Stress is another ongoing impact on mental health, especially in Afghanistan. Traumatic stress mainly has a huge toll of health in the population due to its effect on people’s long-term lives e.g. death, fighting etc. War is a main aspect of mental illness as Afghans have suffered with this element for over thirty years. Lopes Cardozo (2002) created a questionnaire to discover the rates of stress </w:t>
      </w:r>
      <w:r>
        <w:rPr>
          <w:rFonts w:ascii="Arial" w:hAnsi="Arial" w:cs="Arial"/>
          <w:sz w:val="24"/>
        </w:rPr>
        <w:lastRenderedPageBreak/>
        <w:t>disorders and mental health. Results shown that 73% of Afghanistan’s experienced depressive symptoms, 84% indications of anxiety, and 59% were suffering with PTSD (Inge Missmahl 2002). Overall, stress is seen to affect multiple Afghans in many ways, but mainly through PTSD and other stress related disorders. To overcome these disorders, peace and security should be introduced for the people of Afghanistan, to help build a civilised society. This will help to reduce depression and PTSD. By supplying previous war veterans and traumatic Afghans with healthcare facilities and medication, can also help to promote a healthier lifestyle.</w:t>
      </w:r>
    </w:p>
    <w:p w14:paraId="54B90A57" w14:textId="6AD717FE" w:rsidR="006F3D94" w:rsidRDefault="006F3D94" w:rsidP="003D6582">
      <w:pPr>
        <w:spacing w:line="480" w:lineRule="auto"/>
        <w:rPr>
          <w:rFonts w:ascii="Arial" w:hAnsi="Arial" w:cs="Arial"/>
          <w:sz w:val="24"/>
          <w:szCs w:val="24"/>
        </w:rPr>
      </w:pPr>
      <w:r>
        <w:rPr>
          <w:rFonts w:ascii="Arial" w:hAnsi="Arial" w:cs="Arial"/>
          <w:sz w:val="24"/>
          <w:szCs w:val="24"/>
        </w:rPr>
        <w:t>The social element of health and well-being can also effect individuals in lower social class positions. It is</w:t>
      </w:r>
      <w:r w:rsidR="004D69B8">
        <w:rPr>
          <w:rFonts w:ascii="Arial" w:hAnsi="Arial" w:cs="Arial"/>
          <w:sz w:val="24"/>
          <w:szCs w:val="24"/>
        </w:rPr>
        <w:t xml:space="preserve"> suggested that individuals who</w:t>
      </w:r>
      <w:r>
        <w:rPr>
          <w:rFonts w:ascii="Arial" w:hAnsi="Arial" w:cs="Arial"/>
          <w:sz w:val="24"/>
          <w:szCs w:val="24"/>
        </w:rPr>
        <w:t xml:space="preserve"> are from lower class conditions are more likely to suffer with negative effects of health, such as poorer educational skills (</w:t>
      </w:r>
      <w:r w:rsidRPr="008333D0">
        <w:rPr>
          <w:rFonts w:ascii="Arial" w:hAnsi="Arial" w:cs="Arial"/>
          <w:sz w:val="24"/>
          <w:szCs w:val="24"/>
        </w:rPr>
        <w:t>Nisbett, 2007</w:t>
      </w:r>
      <w:r>
        <w:rPr>
          <w:rFonts w:ascii="Arial" w:hAnsi="Arial" w:cs="Arial"/>
          <w:sz w:val="24"/>
          <w:szCs w:val="24"/>
        </w:rPr>
        <w:t>), decrease in health and well-being (</w:t>
      </w:r>
      <w:r w:rsidRPr="008333D0">
        <w:rPr>
          <w:rFonts w:ascii="Arial" w:hAnsi="Arial" w:cs="Arial"/>
          <w:sz w:val="24"/>
          <w:szCs w:val="24"/>
        </w:rPr>
        <w:t>Diener, Ng, Harter, &amp; Arora, 2010; Howell &amp; Howell, 2008</w:t>
      </w:r>
      <w:r>
        <w:rPr>
          <w:rFonts w:ascii="Arial" w:hAnsi="Arial" w:cs="Arial"/>
          <w:sz w:val="24"/>
          <w:szCs w:val="24"/>
        </w:rPr>
        <w:t>), as well as an increase in mortality rate (</w:t>
      </w:r>
      <w:r w:rsidRPr="008333D0">
        <w:rPr>
          <w:rFonts w:ascii="Arial" w:hAnsi="Arial" w:cs="Arial"/>
          <w:sz w:val="24"/>
          <w:szCs w:val="24"/>
        </w:rPr>
        <w:t>Adler et al., 1994; Gallo &amp; Matthews, 2003; Kawachi, Kennedy, Lochner, &amp; Prothrow-Stith, 1997; Wilkinson, 1999</w:t>
      </w:r>
      <w:r>
        <w:rPr>
          <w:rFonts w:ascii="Arial" w:hAnsi="Arial" w:cs="Arial"/>
          <w:sz w:val="24"/>
          <w:szCs w:val="24"/>
        </w:rPr>
        <w:t>). Therefore, this view of health and well-being suggests that the lower social class background, the higher the rate of mental health illnesses and mortality rate. If lower class individuals were supplied with the right healthcare and understanding of these issues, the rate will decrease. Specifically ill health (anxiety and depression) have been most recently viewed due to its measurements being most related to social class.</w:t>
      </w:r>
      <w:r w:rsidR="008C73EC">
        <w:rPr>
          <w:rFonts w:ascii="Arial" w:hAnsi="Arial" w:cs="Arial"/>
          <w:sz w:val="24"/>
          <w:szCs w:val="24"/>
        </w:rPr>
        <w:t xml:space="preserve"> A time analysis was established within England and Wales, relating to suicide in 15-44 year olds. This method was measured over the years 1861 to 2005. The results shown that in the 19</w:t>
      </w:r>
      <w:r w:rsidR="008C73EC" w:rsidRPr="00AD1832">
        <w:rPr>
          <w:rFonts w:ascii="Arial" w:hAnsi="Arial" w:cs="Arial"/>
          <w:sz w:val="24"/>
          <w:szCs w:val="24"/>
          <w:vertAlign w:val="superscript"/>
        </w:rPr>
        <w:t>th</w:t>
      </w:r>
      <w:r w:rsidR="008C73EC">
        <w:rPr>
          <w:rFonts w:ascii="Arial" w:hAnsi="Arial" w:cs="Arial"/>
          <w:sz w:val="24"/>
          <w:szCs w:val="24"/>
        </w:rPr>
        <w:t xml:space="preserve"> and 20</w:t>
      </w:r>
      <w:r w:rsidR="008C73EC" w:rsidRPr="00AD1832">
        <w:rPr>
          <w:rFonts w:ascii="Arial" w:hAnsi="Arial" w:cs="Arial"/>
          <w:sz w:val="24"/>
          <w:szCs w:val="24"/>
          <w:vertAlign w:val="superscript"/>
        </w:rPr>
        <w:t>th</w:t>
      </w:r>
      <w:r w:rsidR="008C73EC">
        <w:rPr>
          <w:rFonts w:ascii="Arial" w:hAnsi="Arial" w:cs="Arial"/>
          <w:sz w:val="24"/>
          <w:szCs w:val="24"/>
        </w:rPr>
        <w:t xml:space="preserve"> centuries, males suicide rates were seen to be higher than females. The highest rate of males was at 28 per 100,000 in the 1890s, although women’s rates increase to 10 per 100,000 in the 1930s and 60s. These results increased for both sexes in 1930s due to the Great </w:t>
      </w:r>
      <w:r w:rsidR="008C73EC">
        <w:rPr>
          <w:rFonts w:ascii="Arial" w:hAnsi="Arial" w:cs="Arial"/>
          <w:sz w:val="24"/>
          <w:szCs w:val="24"/>
        </w:rPr>
        <w:lastRenderedPageBreak/>
        <w:t xml:space="preserve">Depression. Over the period of the study, rates increased rapidly in younger men </w:t>
      </w:r>
      <w:r w:rsidR="008C73EC" w:rsidRPr="002664D5">
        <w:rPr>
          <w:rFonts w:ascii="Arial" w:hAnsi="Arial" w:cs="Arial"/>
          <w:sz w:val="24"/>
          <w:szCs w:val="24"/>
        </w:rPr>
        <w:t>(D Gunnell, K Thomas 2005).</w:t>
      </w:r>
      <w:r w:rsidR="008C73EC">
        <w:rPr>
          <w:rFonts w:ascii="Arial" w:hAnsi="Arial" w:cs="Arial"/>
          <w:sz w:val="24"/>
          <w:szCs w:val="24"/>
        </w:rPr>
        <w:t xml:space="preserve"> This concludes that men are seen to be more likely to commit suicide during their lives, due to their social class. If social classes were treated equally throughout the years, the suicidal rates may have decreased, as well as being able to provide help and support session, such as counselling, therapy, medicine etc. could of help decrease rates in men for the future.</w:t>
      </w:r>
      <w:r w:rsidR="00B63DDB">
        <w:rPr>
          <w:rFonts w:ascii="Arial" w:hAnsi="Arial" w:cs="Arial"/>
          <w:sz w:val="24"/>
          <w:szCs w:val="24"/>
        </w:rPr>
        <w:t xml:space="preserve"> Another issue that has risen in relation to social, is racial, ethnic minority and healthcare. During 2002, the </w:t>
      </w:r>
      <w:r w:rsidR="00B63DDB" w:rsidRPr="00ED0F85">
        <w:rPr>
          <w:rFonts w:ascii="Arial" w:hAnsi="Arial" w:cs="Arial"/>
          <w:sz w:val="24"/>
          <w:szCs w:val="24"/>
          <w:shd w:val="clear" w:color="auto" w:fill="FFFFFF"/>
        </w:rPr>
        <w:t>Institute of Medicine report of Unequal Treatment discussed that “racial and ethnic disparities in health care are not entirely explained by differences in access, clinical appropriateness, or patient preferences.” This quote suggests that health care for ethnicities is based upon historical context, prejudice, socioeconomic differences, and biased information. The results shown from previous research of self-reported health in r</w:t>
      </w:r>
      <w:r w:rsidR="00B8222C">
        <w:rPr>
          <w:rFonts w:ascii="Arial" w:hAnsi="Arial" w:cs="Arial"/>
          <w:sz w:val="24"/>
          <w:szCs w:val="24"/>
          <w:shd w:val="clear" w:color="auto" w:fill="FFFFFF"/>
        </w:rPr>
        <w:t>elation to racial inequalities (</w:t>
      </w:r>
      <w:r w:rsidR="00B8222C" w:rsidRPr="00417E61">
        <w:rPr>
          <w:rFonts w:ascii="Arial" w:hAnsi="Arial" w:cs="Arial"/>
          <w:sz w:val="24"/>
          <w:szCs w:val="24"/>
        </w:rPr>
        <w:t>Arbelaez, J.J., Beach, M.C., Cooper,</w:t>
      </w:r>
      <w:r w:rsidR="00B8222C">
        <w:rPr>
          <w:rFonts w:ascii="Arial" w:hAnsi="Arial" w:cs="Arial"/>
          <w:sz w:val="24"/>
          <w:szCs w:val="24"/>
        </w:rPr>
        <w:t xml:space="preserve"> L.A., Johnson, R.L., Saha, S. </w:t>
      </w:r>
      <w:r w:rsidR="00B8222C" w:rsidRPr="00417E61">
        <w:rPr>
          <w:rFonts w:ascii="Arial" w:hAnsi="Arial" w:cs="Arial"/>
          <w:sz w:val="24"/>
          <w:szCs w:val="24"/>
        </w:rPr>
        <w:t>2004</w:t>
      </w:r>
      <w:r w:rsidR="00B63DDB" w:rsidRPr="00ED0F85">
        <w:rPr>
          <w:rFonts w:ascii="Arial" w:hAnsi="Arial" w:cs="Arial"/>
          <w:sz w:val="24"/>
          <w:szCs w:val="24"/>
          <w:shd w:val="clear" w:color="auto" w:fill="FFFFFF"/>
        </w:rPr>
        <w:t xml:space="preserve">); 17.2% of African Americans and 22% of Hispanics concluded that their healthcare rate was between ‘fair’ and ‘poor’, compared to those 14.4% of whites and 12.5% of Asians. Overall, these results tell me that </w:t>
      </w:r>
      <w:r w:rsidR="00B63DDB" w:rsidRPr="00ED0F85">
        <w:rPr>
          <w:rFonts w:ascii="Arial" w:hAnsi="Arial" w:cs="Arial"/>
          <w:sz w:val="24"/>
          <w:szCs w:val="24"/>
        </w:rPr>
        <w:t>those with racial differences feel that their healthcare is decreasing rapidly due to their ethnicity</w:t>
      </w:r>
      <w:r w:rsidR="00B63DDB">
        <w:rPr>
          <w:rFonts w:ascii="Arial" w:hAnsi="Arial" w:cs="Arial"/>
          <w:sz w:val="24"/>
          <w:szCs w:val="24"/>
        </w:rPr>
        <w:t>. If bias information and contemporary context of care was changed (e.g. healthcare with ethnical language or experience), the results of healthcare rates will decrease and could be reported as ‘good’ or ‘excellent’.</w:t>
      </w:r>
    </w:p>
    <w:p w14:paraId="44D372C5" w14:textId="3A0C4A66" w:rsidR="00800CD4" w:rsidRDefault="004D69B8" w:rsidP="00962F5A">
      <w:pPr>
        <w:spacing w:line="480" w:lineRule="auto"/>
        <w:rPr>
          <w:rFonts w:ascii="Arial" w:hAnsi="Arial" w:cs="Arial"/>
          <w:sz w:val="24"/>
          <w:szCs w:val="24"/>
        </w:rPr>
      </w:pPr>
      <w:r>
        <w:rPr>
          <w:rFonts w:ascii="Arial" w:hAnsi="Arial" w:cs="Arial"/>
          <w:sz w:val="24"/>
          <w:szCs w:val="24"/>
        </w:rPr>
        <w:t>To conclude this essay, health is a difficult word to explain.</w:t>
      </w:r>
      <w:r w:rsidR="00D11D08">
        <w:rPr>
          <w:rFonts w:ascii="Arial" w:hAnsi="Arial" w:cs="Arial"/>
          <w:sz w:val="24"/>
          <w:szCs w:val="24"/>
        </w:rPr>
        <w:t xml:space="preserve"> There are a lot of definitions to health but not one specific reasoning is used throughout all of the elements causing ill health. Social and economic factors are seen to be described very similar, as having the same concept of causes in each topic for health and well-being. It was difficult to discuss these separately but very few articles were able to </w:t>
      </w:r>
      <w:r w:rsidR="00D11D08">
        <w:rPr>
          <w:rFonts w:ascii="Arial" w:hAnsi="Arial" w:cs="Arial"/>
          <w:sz w:val="24"/>
          <w:szCs w:val="24"/>
        </w:rPr>
        <w:lastRenderedPageBreak/>
        <w:t xml:space="preserve">discuss and explain factors that relate mainly to social and economic, separately. However, the environmental element was seen to </w:t>
      </w:r>
      <w:r w:rsidR="0046278C">
        <w:rPr>
          <w:rFonts w:ascii="Arial" w:hAnsi="Arial" w:cs="Arial"/>
          <w:sz w:val="24"/>
          <w:szCs w:val="24"/>
        </w:rPr>
        <w:t>stand-alone</w:t>
      </w:r>
      <w:r w:rsidR="00D11D08">
        <w:rPr>
          <w:rFonts w:ascii="Arial" w:hAnsi="Arial" w:cs="Arial"/>
          <w:sz w:val="24"/>
          <w:szCs w:val="24"/>
        </w:rPr>
        <w:t xml:space="preserve"> and supply its own research and evidence supporting the causes of ill health (hazardous waste, air pollution etc.). </w:t>
      </w:r>
      <w:r w:rsidR="0046278C">
        <w:rPr>
          <w:rFonts w:ascii="Arial" w:hAnsi="Arial" w:cs="Arial"/>
          <w:sz w:val="24"/>
          <w:szCs w:val="24"/>
        </w:rPr>
        <w:t xml:space="preserve">The causes of health and well-being </w:t>
      </w:r>
      <w:r w:rsidR="00FA6D52">
        <w:rPr>
          <w:rFonts w:ascii="Arial" w:hAnsi="Arial" w:cs="Arial"/>
          <w:sz w:val="24"/>
          <w:szCs w:val="24"/>
        </w:rPr>
        <w:t>that have been discussed had a lot of evidence to back it up. The overall discussion is that, people who do not have access to various supplies, (low social background, low money/wealth in countries, food supplies) are more likely to become ill or not have access to the right healthcare due to these issues.</w:t>
      </w:r>
    </w:p>
    <w:p w14:paraId="048EEFEB" w14:textId="77777777" w:rsidR="00417E61" w:rsidRDefault="00417E61" w:rsidP="00962F5A">
      <w:pPr>
        <w:spacing w:line="480" w:lineRule="auto"/>
        <w:rPr>
          <w:rFonts w:ascii="Arial" w:hAnsi="Arial" w:cs="Arial"/>
          <w:sz w:val="24"/>
          <w:szCs w:val="24"/>
        </w:rPr>
      </w:pPr>
    </w:p>
    <w:p w14:paraId="7A96BB12" w14:textId="5212835F" w:rsidR="00417E61" w:rsidRDefault="00417E61" w:rsidP="00962F5A">
      <w:pPr>
        <w:spacing w:line="480" w:lineRule="auto"/>
        <w:rPr>
          <w:rFonts w:ascii="Arial" w:hAnsi="Arial" w:cs="Arial"/>
          <w:sz w:val="24"/>
          <w:szCs w:val="24"/>
          <w:u w:val="single"/>
        </w:rPr>
      </w:pPr>
      <w:r>
        <w:rPr>
          <w:rFonts w:ascii="Arial" w:hAnsi="Arial" w:cs="Arial"/>
          <w:sz w:val="24"/>
          <w:szCs w:val="24"/>
          <w:u w:val="single"/>
        </w:rPr>
        <w:t>References:</w:t>
      </w:r>
    </w:p>
    <w:p w14:paraId="1790B49A" w14:textId="77777777" w:rsidR="00417E61" w:rsidRDefault="00417E61" w:rsidP="00417E61">
      <w:pPr>
        <w:pStyle w:val="ListParagraph"/>
        <w:numPr>
          <w:ilvl w:val="0"/>
          <w:numId w:val="1"/>
        </w:numPr>
        <w:spacing w:line="480" w:lineRule="auto"/>
        <w:rPr>
          <w:rFonts w:ascii="Arial" w:hAnsi="Arial" w:cs="Arial"/>
          <w:sz w:val="24"/>
          <w:szCs w:val="24"/>
        </w:rPr>
      </w:pPr>
      <w:r>
        <w:rPr>
          <w:rFonts w:ascii="Arial" w:hAnsi="Arial" w:cs="Arial"/>
          <w:sz w:val="24"/>
          <w:szCs w:val="24"/>
        </w:rPr>
        <w:t xml:space="preserve">Ahmad, A., Hamzah, T.A.A.T., Yusoff, M.H., Zaman, K. (2016). Environmental factors affecting health indicators in Sub-Saharan African countries: health is wealth. </w:t>
      </w:r>
      <w:r>
        <w:rPr>
          <w:rFonts w:ascii="Arial" w:hAnsi="Arial" w:cs="Arial"/>
          <w:i/>
          <w:sz w:val="24"/>
          <w:szCs w:val="24"/>
        </w:rPr>
        <w:t>Social Indicators Research 129</w:t>
      </w:r>
      <w:r>
        <w:rPr>
          <w:rFonts w:ascii="Arial" w:hAnsi="Arial" w:cs="Arial"/>
          <w:sz w:val="24"/>
          <w:szCs w:val="24"/>
        </w:rPr>
        <w:t>(1), 215-228</w:t>
      </w:r>
    </w:p>
    <w:p w14:paraId="5D1FA349" w14:textId="1A97E5B5" w:rsidR="00FF07A7" w:rsidRPr="00FF07A7" w:rsidRDefault="00417E61" w:rsidP="00FF07A7">
      <w:pPr>
        <w:pStyle w:val="ListParagraph"/>
        <w:numPr>
          <w:ilvl w:val="0"/>
          <w:numId w:val="1"/>
        </w:numPr>
        <w:spacing w:line="480" w:lineRule="auto"/>
        <w:rPr>
          <w:rFonts w:ascii="Arial" w:hAnsi="Arial" w:cs="Arial"/>
          <w:sz w:val="24"/>
          <w:szCs w:val="24"/>
        </w:rPr>
      </w:pPr>
      <w:r w:rsidRPr="00417E61">
        <w:rPr>
          <w:rFonts w:ascii="Arial" w:hAnsi="Arial" w:cs="Arial"/>
          <w:sz w:val="24"/>
          <w:szCs w:val="24"/>
        </w:rPr>
        <w:t xml:space="preserve">Arbelaez, J.J., Beach, M.C., Cooper, L.A., Johnson, R.L., Saha, S. (2004) </w:t>
      </w:r>
      <w:r w:rsidRPr="00417E61">
        <w:rPr>
          <w:rFonts w:ascii="Arial" w:hAnsi="Arial" w:cs="Arial"/>
          <w:color w:val="000000"/>
          <w:sz w:val="24"/>
          <w:szCs w:val="46"/>
        </w:rPr>
        <w:t>Racial and Ethnic Differences in Patient Perceptions of Bias and Cultural Competence in Health Care</w:t>
      </w:r>
      <w:r>
        <w:rPr>
          <w:rFonts w:ascii="Arial" w:hAnsi="Arial" w:cs="Arial"/>
          <w:color w:val="000000"/>
          <w:sz w:val="24"/>
          <w:szCs w:val="46"/>
        </w:rPr>
        <w:t xml:space="preserve">. </w:t>
      </w:r>
      <w:r>
        <w:rPr>
          <w:rFonts w:ascii="Arial" w:hAnsi="Arial" w:cs="Arial"/>
          <w:i/>
          <w:color w:val="000000"/>
          <w:sz w:val="24"/>
          <w:szCs w:val="46"/>
        </w:rPr>
        <w:t>Journal of General Internal Medicine 19</w:t>
      </w:r>
      <w:r>
        <w:rPr>
          <w:rFonts w:ascii="Arial" w:hAnsi="Arial" w:cs="Arial"/>
          <w:color w:val="000000"/>
          <w:sz w:val="24"/>
          <w:szCs w:val="46"/>
        </w:rPr>
        <w:t>(2)</w:t>
      </w:r>
      <w:r w:rsidR="0060719E">
        <w:rPr>
          <w:rFonts w:ascii="Arial" w:hAnsi="Arial" w:cs="Arial"/>
          <w:color w:val="000000"/>
          <w:sz w:val="24"/>
          <w:szCs w:val="46"/>
        </w:rPr>
        <w:t>,</w:t>
      </w:r>
      <w:r>
        <w:rPr>
          <w:rFonts w:ascii="Arial" w:hAnsi="Arial" w:cs="Arial"/>
          <w:color w:val="000000"/>
          <w:sz w:val="24"/>
          <w:szCs w:val="46"/>
        </w:rPr>
        <w:t xml:space="preserve"> 101-110</w:t>
      </w:r>
    </w:p>
    <w:p w14:paraId="56997CD9" w14:textId="302BC7AC" w:rsidR="00FF07A7" w:rsidRPr="00FF07A7" w:rsidRDefault="00FF07A7" w:rsidP="00FF07A7">
      <w:pPr>
        <w:pStyle w:val="ListParagraph"/>
        <w:numPr>
          <w:ilvl w:val="0"/>
          <w:numId w:val="1"/>
        </w:numPr>
        <w:spacing w:line="480" w:lineRule="auto"/>
        <w:rPr>
          <w:rFonts w:ascii="Arial" w:hAnsi="Arial" w:cs="Arial"/>
          <w:sz w:val="24"/>
          <w:szCs w:val="24"/>
        </w:rPr>
      </w:pPr>
      <w:r w:rsidRPr="00FF07A7">
        <w:rPr>
          <w:rFonts w:ascii="Arial" w:hAnsi="Arial" w:cs="Arial"/>
          <w:sz w:val="24"/>
          <w:szCs w:val="24"/>
        </w:rPr>
        <w:t xml:space="preserve">Ayoughi, S., Elbert, T., Missmahl, I., Weierstall, R. (2012) </w:t>
      </w:r>
      <w:r w:rsidRPr="00FF07A7">
        <w:rPr>
          <w:rFonts w:ascii="Arial" w:hAnsi="Arial" w:cs="Arial"/>
          <w:sz w:val="24"/>
          <w:szCs w:val="24"/>
        </w:rPr>
        <w:t>Provision of mental health services in resource-poor settings: a randomised trial comparing counselling with routine medical treatment in North Afghanistan (Mazar-e-Sharif)Social psychiatry, therapy and provision of mental health care</w:t>
      </w:r>
      <w:r>
        <w:rPr>
          <w:rFonts w:ascii="Arial" w:hAnsi="Arial" w:cs="Arial"/>
          <w:sz w:val="24"/>
          <w:szCs w:val="24"/>
        </w:rPr>
        <w:t xml:space="preserve">. </w:t>
      </w:r>
      <w:r>
        <w:rPr>
          <w:rFonts w:ascii="Arial" w:hAnsi="Arial" w:cs="Arial"/>
          <w:i/>
          <w:sz w:val="24"/>
          <w:szCs w:val="24"/>
        </w:rPr>
        <w:t>BMC Psychiatry 12</w:t>
      </w:r>
      <w:r>
        <w:rPr>
          <w:rFonts w:ascii="Arial" w:hAnsi="Arial" w:cs="Arial"/>
          <w:sz w:val="24"/>
          <w:szCs w:val="24"/>
        </w:rPr>
        <w:t>(14)</w:t>
      </w:r>
      <w:r w:rsidR="0060719E">
        <w:rPr>
          <w:rFonts w:ascii="Arial" w:hAnsi="Arial" w:cs="Arial"/>
          <w:sz w:val="24"/>
          <w:szCs w:val="24"/>
        </w:rPr>
        <w:t>,</w:t>
      </w:r>
      <w:r>
        <w:rPr>
          <w:rFonts w:ascii="Arial" w:hAnsi="Arial" w:cs="Arial"/>
          <w:sz w:val="24"/>
          <w:szCs w:val="24"/>
        </w:rPr>
        <w:t xml:space="preserve"> 1-12</w:t>
      </w:r>
    </w:p>
    <w:p w14:paraId="10459456" w14:textId="77777777" w:rsidR="00AE4F20" w:rsidRDefault="00B108CE" w:rsidP="00AE4F20">
      <w:pPr>
        <w:pStyle w:val="ListParagraph"/>
        <w:numPr>
          <w:ilvl w:val="0"/>
          <w:numId w:val="1"/>
        </w:numPr>
        <w:spacing w:line="480" w:lineRule="auto"/>
        <w:rPr>
          <w:rFonts w:ascii="Arial" w:hAnsi="Arial" w:cs="Arial"/>
          <w:sz w:val="24"/>
          <w:szCs w:val="24"/>
        </w:rPr>
      </w:pPr>
      <w:r>
        <w:rPr>
          <w:rFonts w:ascii="Arial" w:hAnsi="Arial" w:cs="Arial"/>
          <w:sz w:val="24"/>
          <w:szCs w:val="24"/>
        </w:rPr>
        <w:t xml:space="preserve">Bennett, P., Morrison, V. (2012). What is health? In </w:t>
      </w:r>
      <w:r>
        <w:rPr>
          <w:rFonts w:ascii="Arial" w:hAnsi="Arial" w:cs="Arial"/>
          <w:i/>
          <w:sz w:val="24"/>
          <w:szCs w:val="24"/>
        </w:rPr>
        <w:t>An Introduction to Health Psychology.</w:t>
      </w:r>
      <w:r>
        <w:rPr>
          <w:rFonts w:ascii="Arial" w:hAnsi="Arial" w:cs="Arial"/>
          <w:sz w:val="24"/>
          <w:szCs w:val="24"/>
        </w:rPr>
        <w:t xml:space="preserve"> (3</w:t>
      </w:r>
      <w:r w:rsidRPr="00B108CE">
        <w:rPr>
          <w:rFonts w:ascii="Arial" w:hAnsi="Arial" w:cs="Arial"/>
          <w:sz w:val="24"/>
          <w:szCs w:val="24"/>
          <w:vertAlign w:val="superscript"/>
        </w:rPr>
        <w:t>rd</w:t>
      </w:r>
      <w:r>
        <w:rPr>
          <w:rFonts w:ascii="Arial" w:hAnsi="Arial" w:cs="Arial"/>
          <w:sz w:val="24"/>
          <w:szCs w:val="24"/>
        </w:rPr>
        <w:t xml:space="preserve"> ed., pp. 4). England: Pearson Education Ltd.</w:t>
      </w:r>
    </w:p>
    <w:p w14:paraId="31E6029E" w14:textId="02A81816" w:rsidR="00C94FFF" w:rsidRPr="00AE4F20" w:rsidRDefault="00B108CE" w:rsidP="00AE4F20">
      <w:pPr>
        <w:pStyle w:val="ListParagraph"/>
        <w:numPr>
          <w:ilvl w:val="0"/>
          <w:numId w:val="1"/>
        </w:numPr>
        <w:spacing w:line="480" w:lineRule="auto"/>
        <w:rPr>
          <w:rFonts w:ascii="Arial" w:hAnsi="Arial" w:cs="Arial"/>
          <w:sz w:val="24"/>
          <w:szCs w:val="24"/>
        </w:rPr>
      </w:pPr>
      <w:r w:rsidRPr="00AE4F20">
        <w:rPr>
          <w:rFonts w:ascii="Arial" w:hAnsi="Arial" w:cs="Arial"/>
          <w:sz w:val="24"/>
          <w:szCs w:val="24"/>
        </w:rPr>
        <w:lastRenderedPageBreak/>
        <w:t>B</w:t>
      </w:r>
      <w:r w:rsidR="00C94FFF" w:rsidRPr="00AE4F20">
        <w:rPr>
          <w:rFonts w:ascii="Arial" w:hAnsi="Arial" w:cs="Arial"/>
          <w:sz w:val="24"/>
          <w:szCs w:val="24"/>
        </w:rPr>
        <w:t xml:space="preserve">enzeval, M., Green, M.J. (2009). </w:t>
      </w:r>
      <w:r w:rsidR="00C94FFF" w:rsidRPr="00AE4F20">
        <w:rPr>
          <w:rFonts w:ascii="Arial" w:hAnsi="Arial" w:cs="Arial"/>
          <w:sz w:val="24"/>
          <w:szCs w:val="24"/>
        </w:rPr>
        <w:t>Social class differences in anxiety and depression across the life-course: evidence from three cohorts in the west of Scotland</w:t>
      </w:r>
      <w:r w:rsidR="00292A97">
        <w:rPr>
          <w:rFonts w:ascii="Arial" w:hAnsi="Arial" w:cs="Arial"/>
          <w:sz w:val="24"/>
          <w:szCs w:val="24"/>
        </w:rPr>
        <w:t xml:space="preserve">. </w:t>
      </w:r>
      <w:r w:rsidR="00292A97" w:rsidRPr="00292A97">
        <w:rPr>
          <w:rFonts w:ascii="Arial" w:hAnsi="Arial" w:cs="Arial"/>
          <w:i/>
          <w:sz w:val="24"/>
          <w:szCs w:val="24"/>
        </w:rPr>
        <w:t>Journal of Epidemiology and Community Health, suppl. 2</w:t>
      </w:r>
      <w:r w:rsidR="00292A97">
        <w:rPr>
          <w:rFonts w:ascii="Arial" w:hAnsi="Arial" w:cs="Arial"/>
          <w:i/>
          <w:sz w:val="24"/>
          <w:szCs w:val="24"/>
        </w:rPr>
        <w:t xml:space="preserve"> 63</w:t>
      </w:r>
      <w:r w:rsidR="00292A97">
        <w:rPr>
          <w:rFonts w:ascii="Arial" w:hAnsi="Arial" w:cs="Arial"/>
          <w:sz w:val="24"/>
          <w:szCs w:val="24"/>
        </w:rPr>
        <w:t>(2) 19</w:t>
      </w:r>
    </w:p>
    <w:p w14:paraId="2857CD52" w14:textId="16072177" w:rsidR="00B108CE" w:rsidRPr="00292A97" w:rsidRDefault="00292A97" w:rsidP="00B108CE">
      <w:pPr>
        <w:pStyle w:val="ListParagraph"/>
        <w:numPr>
          <w:ilvl w:val="0"/>
          <w:numId w:val="1"/>
        </w:numPr>
        <w:spacing w:line="480" w:lineRule="auto"/>
        <w:rPr>
          <w:rFonts w:ascii="Arial" w:hAnsi="Arial" w:cs="Arial"/>
          <w:sz w:val="24"/>
          <w:szCs w:val="24"/>
        </w:rPr>
      </w:pPr>
      <w:r>
        <w:rPr>
          <w:rFonts w:ascii="Arial" w:hAnsi="Arial" w:cs="Arial"/>
          <w:sz w:val="24"/>
          <w:szCs w:val="24"/>
        </w:rPr>
        <w:t xml:space="preserve">Curtis, A.J. (2000). Introduction to health psychology. In </w:t>
      </w:r>
      <w:r>
        <w:rPr>
          <w:rFonts w:ascii="Arial" w:hAnsi="Arial" w:cs="Arial"/>
          <w:i/>
          <w:sz w:val="24"/>
          <w:szCs w:val="24"/>
        </w:rPr>
        <w:t>Health Psychology. (pp. 2-5)</w:t>
      </w:r>
    </w:p>
    <w:p w14:paraId="1F4ADCD9" w14:textId="2C9DA1BD" w:rsidR="00292A97" w:rsidRDefault="00292A97" w:rsidP="00B108CE">
      <w:pPr>
        <w:pStyle w:val="ListParagraph"/>
        <w:numPr>
          <w:ilvl w:val="0"/>
          <w:numId w:val="1"/>
        </w:numPr>
        <w:spacing w:line="480" w:lineRule="auto"/>
        <w:rPr>
          <w:rFonts w:ascii="Arial" w:hAnsi="Arial" w:cs="Arial"/>
          <w:sz w:val="24"/>
          <w:szCs w:val="24"/>
        </w:rPr>
      </w:pPr>
      <w:r w:rsidRPr="00292A97">
        <w:rPr>
          <w:rFonts w:ascii="Arial" w:hAnsi="Arial" w:cs="Arial"/>
          <w:sz w:val="24"/>
          <w:szCs w:val="24"/>
        </w:rPr>
        <w:t xml:space="preserve">Dammann, K.W., </w:t>
      </w:r>
      <w:r>
        <w:rPr>
          <w:rFonts w:ascii="Arial" w:hAnsi="Arial" w:cs="Arial"/>
          <w:sz w:val="24"/>
          <w:szCs w:val="24"/>
        </w:rPr>
        <w:t>Smith, C. (2009). Factors affecting low-income women’</w:t>
      </w:r>
      <w:r w:rsidR="00B258E7">
        <w:rPr>
          <w:rFonts w:ascii="Arial" w:hAnsi="Arial" w:cs="Arial"/>
          <w:sz w:val="24"/>
          <w:szCs w:val="24"/>
        </w:rPr>
        <w:t xml:space="preserve">s food </w:t>
      </w:r>
      <w:r>
        <w:rPr>
          <w:rFonts w:ascii="Arial" w:hAnsi="Arial" w:cs="Arial"/>
          <w:sz w:val="24"/>
          <w:szCs w:val="24"/>
        </w:rPr>
        <w:t xml:space="preserve">choices and the perceived impact of dietary intake and socioeconomic status on their health and weight. </w:t>
      </w:r>
      <w:r>
        <w:rPr>
          <w:rFonts w:ascii="Arial" w:hAnsi="Arial" w:cs="Arial"/>
          <w:i/>
          <w:sz w:val="24"/>
          <w:szCs w:val="24"/>
        </w:rPr>
        <w:t>Journal of Nutritional Education and Behaviour 41</w:t>
      </w:r>
      <w:r>
        <w:rPr>
          <w:rFonts w:ascii="Arial" w:hAnsi="Arial" w:cs="Arial"/>
          <w:sz w:val="24"/>
          <w:szCs w:val="24"/>
        </w:rPr>
        <w:t>(4)</w:t>
      </w:r>
      <w:r w:rsidR="0060719E">
        <w:rPr>
          <w:rFonts w:ascii="Arial" w:hAnsi="Arial" w:cs="Arial"/>
          <w:sz w:val="24"/>
          <w:szCs w:val="24"/>
        </w:rPr>
        <w:t>,</w:t>
      </w:r>
      <w:r>
        <w:rPr>
          <w:rFonts w:ascii="Arial" w:hAnsi="Arial" w:cs="Arial"/>
          <w:sz w:val="24"/>
          <w:szCs w:val="24"/>
        </w:rPr>
        <w:t xml:space="preserve"> 242-253</w:t>
      </w:r>
    </w:p>
    <w:p w14:paraId="4818A41C" w14:textId="77777777" w:rsidR="0060719E" w:rsidRDefault="0060719E" w:rsidP="0060719E">
      <w:pPr>
        <w:pStyle w:val="ListParagraph"/>
        <w:numPr>
          <w:ilvl w:val="0"/>
          <w:numId w:val="1"/>
        </w:numPr>
        <w:spacing w:line="480" w:lineRule="auto"/>
        <w:rPr>
          <w:rFonts w:ascii="Arial" w:hAnsi="Arial" w:cs="Arial"/>
          <w:sz w:val="24"/>
          <w:szCs w:val="24"/>
        </w:rPr>
      </w:pPr>
      <w:r>
        <w:rPr>
          <w:rFonts w:ascii="Arial" w:hAnsi="Arial" w:cs="Arial"/>
          <w:sz w:val="24"/>
          <w:szCs w:val="24"/>
        </w:rPr>
        <w:t xml:space="preserve">Frijters, P., Haisken-DeNew, J.P., Shields, M.A. (2005). The casual effect of income on health: evidence from German reunification. </w:t>
      </w:r>
      <w:r>
        <w:rPr>
          <w:rFonts w:ascii="Arial" w:hAnsi="Arial" w:cs="Arial"/>
          <w:i/>
          <w:sz w:val="24"/>
          <w:szCs w:val="24"/>
        </w:rPr>
        <w:t>Journal of Health Economics 24</w:t>
      </w:r>
      <w:r>
        <w:rPr>
          <w:rFonts w:ascii="Arial" w:hAnsi="Arial" w:cs="Arial"/>
          <w:sz w:val="24"/>
          <w:szCs w:val="24"/>
        </w:rPr>
        <w:t>(5), 997-1017</w:t>
      </w:r>
    </w:p>
    <w:p w14:paraId="1BFE3CB4" w14:textId="3A8C0B1B" w:rsidR="0060719E" w:rsidRPr="0060719E" w:rsidRDefault="0060719E" w:rsidP="0060719E">
      <w:pPr>
        <w:pStyle w:val="ListParagraph"/>
        <w:numPr>
          <w:ilvl w:val="0"/>
          <w:numId w:val="1"/>
        </w:numPr>
        <w:spacing w:line="480" w:lineRule="auto"/>
        <w:rPr>
          <w:rFonts w:ascii="Arial" w:hAnsi="Arial" w:cs="Arial"/>
          <w:sz w:val="24"/>
          <w:szCs w:val="24"/>
        </w:rPr>
      </w:pPr>
      <w:r w:rsidRPr="0060719E">
        <w:rPr>
          <w:rFonts w:ascii="Arial" w:hAnsi="Arial" w:cs="Arial"/>
          <w:sz w:val="24"/>
          <w:szCs w:val="24"/>
        </w:rPr>
        <w:t xml:space="preserve">Kraus, M.W., Tan, J.J.X. (2015). </w:t>
      </w:r>
      <w:r>
        <w:rPr>
          <w:rFonts w:ascii="Arial" w:hAnsi="Arial" w:cs="Arial"/>
          <w:sz w:val="24"/>
          <w:szCs w:val="24"/>
        </w:rPr>
        <w:t>Lay Theories a</w:t>
      </w:r>
      <w:r w:rsidRPr="0060719E">
        <w:rPr>
          <w:rFonts w:ascii="Arial" w:hAnsi="Arial" w:cs="Arial"/>
          <w:sz w:val="24"/>
          <w:szCs w:val="24"/>
        </w:rPr>
        <w:t>bout Social Class Buffer Lower-Class Individuals Against Poor Self-Rated Health and Negative Affect</w:t>
      </w:r>
      <w:r>
        <w:rPr>
          <w:rFonts w:ascii="Arial" w:hAnsi="Arial" w:cs="Arial"/>
          <w:sz w:val="24"/>
          <w:szCs w:val="24"/>
        </w:rPr>
        <w:t xml:space="preserve">. </w:t>
      </w:r>
      <w:r w:rsidR="00B258E7">
        <w:rPr>
          <w:rFonts w:ascii="Arial" w:hAnsi="Arial" w:cs="Arial"/>
          <w:i/>
          <w:sz w:val="24"/>
          <w:szCs w:val="24"/>
        </w:rPr>
        <w:t>Personality and Social Psychology Bulletin: SAGE Journals 41</w:t>
      </w:r>
      <w:r w:rsidR="00B258E7">
        <w:rPr>
          <w:rFonts w:ascii="Arial" w:hAnsi="Arial" w:cs="Arial"/>
          <w:sz w:val="24"/>
          <w:szCs w:val="24"/>
        </w:rPr>
        <w:t>(3), 446-461</w:t>
      </w:r>
    </w:p>
    <w:p w14:paraId="4324923E" w14:textId="4E5AD334" w:rsidR="0060719E" w:rsidRDefault="00B258E7" w:rsidP="00B108CE">
      <w:pPr>
        <w:pStyle w:val="ListParagraph"/>
        <w:numPr>
          <w:ilvl w:val="0"/>
          <w:numId w:val="1"/>
        </w:numPr>
        <w:spacing w:line="480" w:lineRule="auto"/>
        <w:rPr>
          <w:rFonts w:ascii="Arial" w:hAnsi="Arial" w:cs="Arial"/>
          <w:sz w:val="24"/>
          <w:szCs w:val="24"/>
        </w:rPr>
      </w:pPr>
      <w:r>
        <w:rPr>
          <w:rFonts w:ascii="Arial" w:hAnsi="Arial" w:cs="Arial"/>
          <w:sz w:val="24"/>
          <w:szCs w:val="24"/>
        </w:rPr>
        <w:t xml:space="preserve">Mmari, K., Sommer, M. (2015). Addressing structures and environmental factors of adolescent sexual and reproductive health in low-and middle-income countries. </w:t>
      </w:r>
      <w:r>
        <w:rPr>
          <w:rFonts w:ascii="Arial" w:hAnsi="Arial" w:cs="Arial"/>
          <w:i/>
          <w:sz w:val="24"/>
          <w:szCs w:val="24"/>
        </w:rPr>
        <w:t>Am J Public Health 105</w:t>
      </w:r>
      <w:r>
        <w:rPr>
          <w:rFonts w:ascii="Arial" w:hAnsi="Arial" w:cs="Arial"/>
          <w:sz w:val="24"/>
          <w:szCs w:val="24"/>
        </w:rPr>
        <w:t>(10), 1973-1981</w:t>
      </w:r>
    </w:p>
    <w:p w14:paraId="3E29381F" w14:textId="236E4BD4" w:rsidR="00B258E7" w:rsidRDefault="00D254AD" w:rsidP="00EE4900">
      <w:pPr>
        <w:pStyle w:val="ListParagraph"/>
        <w:numPr>
          <w:ilvl w:val="0"/>
          <w:numId w:val="1"/>
        </w:numPr>
        <w:spacing w:line="480" w:lineRule="auto"/>
        <w:rPr>
          <w:rFonts w:ascii="Arial" w:hAnsi="Arial" w:cs="Arial"/>
          <w:sz w:val="24"/>
          <w:szCs w:val="24"/>
        </w:rPr>
      </w:pPr>
      <w:r>
        <w:rPr>
          <w:rFonts w:ascii="Arial" w:hAnsi="Arial" w:cs="Arial"/>
          <w:sz w:val="24"/>
          <w:szCs w:val="24"/>
        </w:rPr>
        <w:t xml:space="preserve">Welsh Government (2015) </w:t>
      </w:r>
      <w:r>
        <w:rPr>
          <w:rFonts w:ascii="Arial" w:hAnsi="Arial" w:cs="Arial"/>
          <w:i/>
          <w:sz w:val="24"/>
          <w:szCs w:val="24"/>
        </w:rPr>
        <w:t>Building Resilient Communities</w:t>
      </w:r>
      <w:r>
        <w:rPr>
          <w:rFonts w:ascii="Arial" w:hAnsi="Arial" w:cs="Arial"/>
          <w:sz w:val="24"/>
          <w:szCs w:val="24"/>
        </w:rPr>
        <w:t xml:space="preserve">. Retrieved from </w:t>
      </w:r>
      <w:r w:rsidR="00EE4900" w:rsidRPr="00EE4900">
        <w:rPr>
          <w:rFonts w:ascii="Arial" w:hAnsi="Arial" w:cs="Arial"/>
          <w:sz w:val="24"/>
          <w:szCs w:val="24"/>
        </w:rPr>
        <w:t>http://gov.wales/docs/dsjlg/publications/150701-tackling-poverty-action-plan-2015-en.pdf</w:t>
      </w:r>
    </w:p>
    <w:p w14:paraId="6137DE44" w14:textId="256CD46C" w:rsidR="00EE4900" w:rsidRDefault="00EE4900" w:rsidP="00EE4900">
      <w:pPr>
        <w:pStyle w:val="ListParagraph"/>
        <w:numPr>
          <w:ilvl w:val="0"/>
          <w:numId w:val="1"/>
        </w:numPr>
        <w:spacing w:line="480" w:lineRule="auto"/>
        <w:rPr>
          <w:rFonts w:ascii="Arial" w:hAnsi="Arial" w:cs="Arial"/>
          <w:sz w:val="24"/>
          <w:szCs w:val="24"/>
        </w:rPr>
      </w:pPr>
      <w:r>
        <w:rPr>
          <w:rFonts w:ascii="Arial" w:hAnsi="Arial" w:cs="Arial"/>
          <w:sz w:val="24"/>
          <w:szCs w:val="24"/>
        </w:rPr>
        <w:t xml:space="preserve">World Health Organisation. (2005). </w:t>
      </w:r>
      <w:r>
        <w:rPr>
          <w:rFonts w:ascii="Arial" w:hAnsi="Arial" w:cs="Arial"/>
          <w:i/>
          <w:sz w:val="24"/>
          <w:szCs w:val="24"/>
        </w:rPr>
        <w:t>Promoting Mental Health.</w:t>
      </w:r>
      <w:r>
        <w:rPr>
          <w:rFonts w:ascii="Arial" w:hAnsi="Arial" w:cs="Arial"/>
          <w:sz w:val="24"/>
          <w:szCs w:val="24"/>
        </w:rPr>
        <w:t xml:space="preserve"> Retrieved from</w:t>
      </w:r>
      <w:r w:rsidRPr="00EE4900">
        <w:t xml:space="preserve"> </w:t>
      </w:r>
      <w:r w:rsidRPr="00EE4900">
        <w:rPr>
          <w:rFonts w:ascii="Arial" w:hAnsi="Arial" w:cs="Arial"/>
          <w:sz w:val="24"/>
          <w:szCs w:val="24"/>
        </w:rPr>
        <w:t>http://www.who.int/mental_health/evidence/MH_Promotion_Book.pdf</w:t>
      </w:r>
    </w:p>
    <w:p w14:paraId="5B1DFC37" w14:textId="77777777" w:rsidR="00EE4900" w:rsidRPr="00EE4900" w:rsidRDefault="00EE4900" w:rsidP="00EE4900">
      <w:pPr>
        <w:spacing w:line="480" w:lineRule="auto"/>
        <w:rPr>
          <w:rFonts w:ascii="Arial" w:hAnsi="Arial" w:cs="Arial"/>
          <w:sz w:val="24"/>
          <w:szCs w:val="24"/>
        </w:rPr>
      </w:pPr>
    </w:p>
    <w:p w14:paraId="51C99DA3" w14:textId="77777777" w:rsidR="00962F5A" w:rsidRPr="004D0364" w:rsidRDefault="00962F5A" w:rsidP="005B4497">
      <w:pPr>
        <w:spacing w:line="480" w:lineRule="auto"/>
        <w:rPr>
          <w:rFonts w:ascii="Arial" w:hAnsi="Arial" w:cs="Arial"/>
          <w:sz w:val="24"/>
          <w:szCs w:val="24"/>
        </w:rPr>
      </w:pPr>
    </w:p>
    <w:sectPr w:rsidR="00962F5A" w:rsidRPr="004D0364" w:rsidSect="00EC6597">
      <w:headerReference w:type="default" r:id="rId8"/>
      <w:headerReference w:type="firs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6212F8" w14:textId="77777777" w:rsidR="00DE70F8" w:rsidRDefault="00DE70F8" w:rsidP="00EC6597">
      <w:pPr>
        <w:spacing w:after="0" w:line="240" w:lineRule="auto"/>
      </w:pPr>
      <w:r>
        <w:separator/>
      </w:r>
    </w:p>
  </w:endnote>
  <w:endnote w:type="continuationSeparator" w:id="0">
    <w:p w14:paraId="28D5E9FB" w14:textId="77777777" w:rsidR="00DE70F8" w:rsidRDefault="00DE70F8" w:rsidP="00EC65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305F48" w14:textId="77777777" w:rsidR="00DE70F8" w:rsidRDefault="00DE70F8" w:rsidP="00EC6597">
      <w:pPr>
        <w:spacing w:after="0" w:line="240" w:lineRule="auto"/>
      </w:pPr>
      <w:r>
        <w:separator/>
      </w:r>
    </w:p>
  </w:footnote>
  <w:footnote w:type="continuationSeparator" w:id="0">
    <w:p w14:paraId="62AB4433" w14:textId="77777777" w:rsidR="00DE70F8" w:rsidRDefault="00DE70F8" w:rsidP="00EC659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6337A6" w14:textId="74FC53C1" w:rsidR="00E06AE9" w:rsidRDefault="00E06AE9">
    <w:pPr>
      <w:pStyle w:val="Header"/>
    </w:pPr>
    <w:r>
      <w:t>OPENING UP SCIENCE</w:t>
    </w:r>
    <w:r>
      <w:tab/>
    </w:r>
    <w:r>
      <w:tab/>
    </w:r>
    <w:r>
      <w:fldChar w:fldCharType="begin"/>
    </w:r>
    <w:r>
      <w:instrText xml:space="preserve"> PAGE   \* MERGEFORMAT </w:instrText>
    </w:r>
    <w:r>
      <w:fldChar w:fldCharType="separate"/>
    </w:r>
    <w:r w:rsidR="00B8222C">
      <w:rPr>
        <w:noProof/>
      </w:rPr>
      <w:t>2</w:t>
    </w:r>
    <w:r>
      <w:rPr>
        <w:noProof/>
      </w:rPr>
      <w:fldChar w:fldCharType="end"/>
    </w:r>
  </w:p>
  <w:p w14:paraId="295AD956" w14:textId="77777777" w:rsidR="00EC6597" w:rsidRDefault="00EC659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43A0DB" w14:textId="0814369B" w:rsidR="00EC6597" w:rsidRDefault="00B07C48">
    <w:pPr>
      <w:pStyle w:val="Header"/>
    </w:pPr>
    <w:r>
      <w:t>HEALTH AND WELL BEING</w:t>
    </w:r>
    <w:r w:rsidR="00EC6597">
      <w:tab/>
    </w:r>
    <w:r w:rsidR="00EC6597">
      <w:tab/>
    </w:r>
    <w:r w:rsidR="00EC6597">
      <w:fldChar w:fldCharType="begin"/>
    </w:r>
    <w:r w:rsidR="00EC6597">
      <w:instrText xml:space="preserve"> PAGE   \* MERGEFORMAT </w:instrText>
    </w:r>
    <w:r w:rsidR="00EC6597">
      <w:fldChar w:fldCharType="separate"/>
    </w:r>
    <w:r w:rsidR="00B8222C">
      <w:rPr>
        <w:noProof/>
      </w:rPr>
      <w:t>1</w:t>
    </w:r>
    <w:r w:rsidR="00EC6597">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85741E"/>
    <w:multiLevelType w:val="hybridMultilevel"/>
    <w:tmpl w:val="299CBB7A"/>
    <w:lvl w:ilvl="0" w:tplc="547683FE">
      <w:numFmt w:val="bullet"/>
      <w:lvlText w:val="-"/>
      <w:lvlJc w:val="left"/>
      <w:pPr>
        <w:ind w:left="420" w:hanging="360"/>
      </w:pPr>
      <w:rPr>
        <w:rFonts w:ascii="Arial" w:eastAsiaTheme="minorHAnsi" w:hAnsi="Arial" w:cs="Arial" w:hint="default"/>
      </w:rPr>
    </w:lvl>
    <w:lvl w:ilvl="1" w:tplc="08090003">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activeWritingStyle w:appName="MSWord" w:lang="en-GB" w:vendorID="64" w:dllVersion="131078"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TM2NjY1tjQ1NzYAQiUdpeDU4uLM/DyQAkPjWgDeyo2tLQAAAA=="/>
  </w:docVars>
  <w:rsids>
    <w:rsidRoot w:val="004D0364"/>
    <w:rsid w:val="000005D7"/>
    <w:rsid w:val="0000494C"/>
    <w:rsid w:val="00014136"/>
    <w:rsid w:val="000355B0"/>
    <w:rsid w:val="00044098"/>
    <w:rsid w:val="00081A26"/>
    <w:rsid w:val="000E1EB0"/>
    <w:rsid w:val="000F289C"/>
    <w:rsid w:val="00104AD4"/>
    <w:rsid w:val="001124CB"/>
    <w:rsid w:val="00133709"/>
    <w:rsid w:val="00137137"/>
    <w:rsid w:val="00153845"/>
    <w:rsid w:val="00155120"/>
    <w:rsid w:val="00165209"/>
    <w:rsid w:val="00170D19"/>
    <w:rsid w:val="001A0A60"/>
    <w:rsid w:val="001C3F3F"/>
    <w:rsid w:val="001E2545"/>
    <w:rsid w:val="001E72D9"/>
    <w:rsid w:val="00242839"/>
    <w:rsid w:val="00257096"/>
    <w:rsid w:val="002771B0"/>
    <w:rsid w:val="00291EFF"/>
    <w:rsid w:val="00292A97"/>
    <w:rsid w:val="0029534E"/>
    <w:rsid w:val="002A55D0"/>
    <w:rsid w:val="002C5A4B"/>
    <w:rsid w:val="002E191E"/>
    <w:rsid w:val="002E6B5D"/>
    <w:rsid w:val="00303F73"/>
    <w:rsid w:val="003566D0"/>
    <w:rsid w:val="003753E2"/>
    <w:rsid w:val="00384FFE"/>
    <w:rsid w:val="003C08CC"/>
    <w:rsid w:val="003D6582"/>
    <w:rsid w:val="003E0228"/>
    <w:rsid w:val="003E1BB5"/>
    <w:rsid w:val="00417E61"/>
    <w:rsid w:val="004220F3"/>
    <w:rsid w:val="00425B46"/>
    <w:rsid w:val="00432DE4"/>
    <w:rsid w:val="0046278C"/>
    <w:rsid w:val="0046425B"/>
    <w:rsid w:val="004950C0"/>
    <w:rsid w:val="004B5BE1"/>
    <w:rsid w:val="004C0883"/>
    <w:rsid w:val="004D0364"/>
    <w:rsid w:val="004D69B8"/>
    <w:rsid w:val="004E4537"/>
    <w:rsid w:val="004F04FD"/>
    <w:rsid w:val="004F6A49"/>
    <w:rsid w:val="00541099"/>
    <w:rsid w:val="00553525"/>
    <w:rsid w:val="005700DC"/>
    <w:rsid w:val="00593B0E"/>
    <w:rsid w:val="005A7360"/>
    <w:rsid w:val="005B4497"/>
    <w:rsid w:val="005C1515"/>
    <w:rsid w:val="005F3668"/>
    <w:rsid w:val="0060719E"/>
    <w:rsid w:val="00615B90"/>
    <w:rsid w:val="006C06B5"/>
    <w:rsid w:val="006D65F0"/>
    <w:rsid w:val="006F3D94"/>
    <w:rsid w:val="007058AB"/>
    <w:rsid w:val="00733D39"/>
    <w:rsid w:val="007365BB"/>
    <w:rsid w:val="00747C24"/>
    <w:rsid w:val="00777251"/>
    <w:rsid w:val="007C5FCC"/>
    <w:rsid w:val="00800CD4"/>
    <w:rsid w:val="00801756"/>
    <w:rsid w:val="00833531"/>
    <w:rsid w:val="00897EE9"/>
    <w:rsid w:val="008C73EC"/>
    <w:rsid w:val="008D7F7E"/>
    <w:rsid w:val="00944BBC"/>
    <w:rsid w:val="00946A6E"/>
    <w:rsid w:val="00955245"/>
    <w:rsid w:val="00962F5A"/>
    <w:rsid w:val="00974629"/>
    <w:rsid w:val="009B17FD"/>
    <w:rsid w:val="009C6AF4"/>
    <w:rsid w:val="009D46D8"/>
    <w:rsid w:val="009E4C66"/>
    <w:rsid w:val="009F0089"/>
    <w:rsid w:val="00A74202"/>
    <w:rsid w:val="00AA140E"/>
    <w:rsid w:val="00AA1F0F"/>
    <w:rsid w:val="00AE4F20"/>
    <w:rsid w:val="00B07C48"/>
    <w:rsid w:val="00B108CE"/>
    <w:rsid w:val="00B258E7"/>
    <w:rsid w:val="00B63DDB"/>
    <w:rsid w:val="00B662E4"/>
    <w:rsid w:val="00B8222C"/>
    <w:rsid w:val="00BC0DCE"/>
    <w:rsid w:val="00BD233F"/>
    <w:rsid w:val="00BD4500"/>
    <w:rsid w:val="00C27F2A"/>
    <w:rsid w:val="00C422E2"/>
    <w:rsid w:val="00C43E35"/>
    <w:rsid w:val="00C77FC4"/>
    <w:rsid w:val="00C94FFF"/>
    <w:rsid w:val="00C95E8C"/>
    <w:rsid w:val="00D03F4E"/>
    <w:rsid w:val="00D11D08"/>
    <w:rsid w:val="00D2073A"/>
    <w:rsid w:val="00D24ABE"/>
    <w:rsid w:val="00D254AD"/>
    <w:rsid w:val="00D4749E"/>
    <w:rsid w:val="00D85AE8"/>
    <w:rsid w:val="00DA3645"/>
    <w:rsid w:val="00DB4999"/>
    <w:rsid w:val="00DC10B3"/>
    <w:rsid w:val="00DE6992"/>
    <w:rsid w:val="00DE70F8"/>
    <w:rsid w:val="00E06AE9"/>
    <w:rsid w:val="00E10525"/>
    <w:rsid w:val="00E2338B"/>
    <w:rsid w:val="00E3256A"/>
    <w:rsid w:val="00E4787E"/>
    <w:rsid w:val="00E944D1"/>
    <w:rsid w:val="00EC6597"/>
    <w:rsid w:val="00ED68C3"/>
    <w:rsid w:val="00EE4900"/>
    <w:rsid w:val="00F27275"/>
    <w:rsid w:val="00F43BF6"/>
    <w:rsid w:val="00F930BC"/>
    <w:rsid w:val="00FA6D52"/>
    <w:rsid w:val="00FB128D"/>
    <w:rsid w:val="00FE09AE"/>
    <w:rsid w:val="00FE2177"/>
    <w:rsid w:val="00FE66E8"/>
    <w:rsid w:val="00FF07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3D381F"/>
  <w15:chartTrackingRefBased/>
  <w15:docId w15:val="{9DDBFCCB-B76C-4ADB-96AE-6A783337D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417E6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65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6597"/>
  </w:style>
  <w:style w:type="paragraph" w:styleId="Footer">
    <w:name w:val="footer"/>
    <w:basedOn w:val="Normal"/>
    <w:link w:val="FooterChar"/>
    <w:uiPriority w:val="99"/>
    <w:unhideWhenUsed/>
    <w:rsid w:val="00EC65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6597"/>
  </w:style>
  <w:style w:type="character" w:styleId="Hyperlink">
    <w:name w:val="Hyperlink"/>
    <w:basedOn w:val="DefaultParagraphFont"/>
    <w:uiPriority w:val="99"/>
    <w:unhideWhenUsed/>
    <w:rsid w:val="00C43E35"/>
    <w:rPr>
      <w:color w:val="0563C1" w:themeColor="hyperlink"/>
      <w:u w:val="single"/>
    </w:rPr>
  </w:style>
  <w:style w:type="character" w:styleId="FollowedHyperlink">
    <w:name w:val="FollowedHyperlink"/>
    <w:basedOn w:val="DefaultParagraphFont"/>
    <w:uiPriority w:val="99"/>
    <w:semiHidden/>
    <w:unhideWhenUsed/>
    <w:rsid w:val="00417E61"/>
    <w:rPr>
      <w:color w:val="954F72" w:themeColor="followedHyperlink"/>
      <w:u w:val="single"/>
    </w:rPr>
  </w:style>
  <w:style w:type="paragraph" w:styleId="ListParagraph">
    <w:name w:val="List Paragraph"/>
    <w:basedOn w:val="Normal"/>
    <w:uiPriority w:val="34"/>
    <w:qFormat/>
    <w:rsid w:val="00417E61"/>
    <w:pPr>
      <w:ind w:left="720"/>
      <w:contextualSpacing/>
    </w:pPr>
  </w:style>
  <w:style w:type="character" w:customStyle="1" w:styleId="Heading1Char">
    <w:name w:val="Heading 1 Char"/>
    <w:basedOn w:val="DefaultParagraphFont"/>
    <w:link w:val="Heading1"/>
    <w:uiPriority w:val="9"/>
    <w:rsid w:val="00417E61"/>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4729201">
      <w:bodyDiv w:val="1"/>
      <w:marLeft w:val="0"/>
      <w:marRight w:val="0"/>
      <w:marTop w:val="0"/>
      <w:marBottom w:val="0"/>
      <w:divBdr>
        <w:top w:val="none" w:sz="0" w:space="0" w:color="auto"/>
        <w:left w:val="none" w:sz="0" w:space="0" w:color="auto"/>
        <w:bottom w:val="none" w:sz="0" w:space="0" w:color="auto"/>
        <w:right w:val="none" w:sz="0" w:space="0" w:color="auto"/>
      </w:divBdr>
    </w:div>
    <w:div w:id="522133130">
      <w:bodyDiv w:val="1"/>
      <w:marLeft w:val="0"/>
      <w:marRight w:val="0"/>
      <w:marTop w:val="0"/>
      <w:marBottom w:val="0"/>
      <w:divBdr>
        <w:top w:val="none" w:sz="0" w:space="0" w:color="auto"/>
        <w:left w:val="none" w:sz="0" w:space="0" w:color="auto"/>
        <w:bottom w:val="none" w:sz="0" w:space="0" w:color="auto"/>
        <w:right w:val="none" w:sz="0" w:space="0" w:color="auto"/>
      </w:divBdr>
    </w:div>
    <w:div w:id="1000498485">
      <w:bodyDiv w:val="1"/>
      <w:marLeft w:val="0"/>
      <w:marRight w:val="0"/>
      <w:marTop w:val="0"/>
      <w:marBottom w:val="0"/>
      <w:divBdr>
        <w:top w:val="none" w:sz="0" w:space="0" w:color="auto"/>
        <w:left w:val="none" w:sz="0" w:space="0" w:color="auto"/>
        <w:bottom w:val="none" w:sz="0" w:space="0" w:color="auto"/>
        <w:right w:val="none" w:sz="0" w:space="0" w:color="auto"/>
      </w:divBdr>
    </w:div>
    <w:div w:id="1089160684">
      <w:bodyDiv w:val="1"/>
      <w:marLeft w:val="0"/>
      <w:marRight w:val="0"/>
      <w:marTop w:val="0"/>
      <w:marBottom w:val="0"/>
      <w:divBdr>
        <w:top w:val="none" w:sz="0" w:space="0" w:color="auto"/>
        <w:left w:val="none" w:sz="0" w:space="0" w:color="auto"/>
        <w:bottom w:val="none" w:sz="0" w:space="0" w:color="auto"/>
        <w:right w:val="none" w:sz="0" w:space="0" w:color="auto"/>
      </w:divBdr>
    </w:div>
    <w:div w:id="1382166628">
      <w:bodyDiv w:val="1"/>
      <w:marLeft w:val="0"/>
      <w:marRight w:val="0"/>
      <w:marTop w:val="0"/>
      <w:marBottom w:val="0"/>
      <w:divBdr>
        <w:top w:val="none" w:sz="0" w:space="0" w:color="auto"/>
        <w:left w:val="none" w:sz="0" w:space="0" w:color="auto"/>
        <w:bottom w:val="none" w:sz="0" w:space="0" w:color="auto"/>
        <w:right w:val="none" w:sz="0" w:space="0" w:color="auto"/>
      </w:divBdr>
    </w:div>
    <w:div w:id="1575314745">
      <w:bodyDiv w:val="1"/>
      <w:marLeft w:val="0"/>
      <w:marRight w:val="0"/>
      <w:marTop w:val="0"/>
      <w:marBottom w:val="0"/>
      <w:divBdr>
        <w:top w:val="none" w:sz="0" w:space="0" w:color="auto"/>
        <w:left w:val="none" w:sz="0" w:space="0" w:color="auto"/>
        <w:bottom w:val="none" w:sz="0" w:space="0" w:color="auto"/>
        <w:right w:val="none" w:sz="0" w:space="0" w:color="auto"/>
      </w:divBdr>
    </w:div>
    <w:div w:id="2055419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B434BF-9195-44C9-AE06-9E72C60ACB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436</TotalTime>
  <Pages>8</Pages>
  <Words>2257</Words>
  <Characters>12865</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15092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Alisha Chilcott</dc:creator>
  <cp:keywords/>
  <dc:description/>
  <cp:lastModifiedBy>alisha chilcott</cp:lastModifiedBy>
  <cp:revision>103</cp:revision>
  <dcterms:created xsi:type="dcterms:W3CDTF">2017-11-28T09:06:00Z</dcterms:created>
  <dcterms:modified xsi:type="dcterms:W3CDTF">2017-12-03T22:26:00Z</dcterms:modified>
</cp:coreProperties>
</file>