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38E536" w14:textId="77777777" w:rsidR="0041332D" w:rsidRPr="007E1DC7" w:rsidRDefault="0041332D" w:rsidP="0041332D">
      <w:pPr>
        <w:spacing w:after="160" w:line="360" w:lineRule="auto"/>
        <w:jc w:val="both"/>
        <w:rPr>
          <w:rFonts w:ascii="Times New Roman" w:hAnsi="Times New Roman"/>
          <w:sz w:val="24"/>
          <w:szCs w:val="24"/>
        </w:rPr>
      </w:pPr>
      <w:r w:rsidRPr="007E1DC7">
        <w:rPr>
          <w:rFonts w:ascii="Times New Roman" w:eastAsia="Arial" w:hAnsi="Times New Roman"/>
          <w:b/>
          <w:sz w:val="24"/>
          <w:szCs w:val="24"/>
        </w:rPr>
        <w:t>Using an appropriate model, critically reflect on your experiences whilst on placement.</w:t>
      </w:r>
    </w:p>
    <w:p w14:paraId="105FEDFB"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The concept of this assignment will discuss personal reflection on four positive and negative scenarios, that occurred whilst I participated on placement. To start with I will discuss what is meant by reflection and the theory I have chosen to discuss my reflection on, moving on to information regarding the purpose of my placement, including who it is funded by. The main body will then discuss four scenarios which occurred on placement, using my chosen reflective model to help me to understand them.</w:t>
      </w:r>
    </w:p>
    <w:p w14:paraId="4B3967C9"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Firstly, the expressions ‘reflection’, 'reflective practice’ and ‘reflective learning’ are terms used to discuss personal action that individuals take after a scenario or outcome has happened in practice, or placement (Knott and Scragg,2013). By partaking in this action practitioners take accountability for their individual development, by being effective reflective practitioners (Bruce, 2013). Reflective accounts, diaries or logs have been integrated into the delivery of social work degrees within Wales; and have been included in other collaborative services within social work, such as health professions, ensuring users are receiving best practice (Social Care Wales, 2018; Tate and Sills,2004). Sicora (2017) found that practitioners who notice their own errors then take responsibility, can learn how to avoid similar scenarios in future. This is done by learning from their experience, promptly reducing poor practice delivery, in addition to acting more effectively in future similar situations. </w:t>
      </w:r>
    </w:p>
    <w:p w14:paraId="744F6D4C"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The model I have chosen to assess scenarios experienced whilst on placement is Kolb’s (1974) experiential learning style theory. This theory is based on a four-stage learning process. These stages are as follows: Firstly, Concrete Experience- the experience or situation faced or reassessing an existing experience; Secondly is Reflective Observation of the new experience- which involves reviewing and assessing the experience; Thirdly is Abstract Conceptualization – after the practitioner or individual has reflected, the individual can assess improvements or future inclusions. The final stage is then active experimentation – where the individual utilises their new skills or technique (Kolb,2014).</w:t>
      </w:r>
    </w:p>
    <w:p w14:paraId="2620F04D"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The placement I was part of was shadowing the Pobl Tenancy Support Unit (TSU) support workers. The main objectives of the TSU are to promote individuals to live independently and to improve tenants’ living or individual circumstances through support and guidance; it can be delivered through various organisations (Swansea Gov,2019). To be eligible to receive support individuals must be aged 16 and over, classed as vulnerable and in need of support to live independently, and willing to engage in support to achieve independent living successfully </w:t>
      </w:r>
      <w:r w:rsidRPr="007E1DC7">
        <w:rPr>
          <w:rFonts w:ascii="Times New Roman" w:hAnsi="Times New Roman"/>
          <w:sz w:val="24"/>
          <w:szCs w:val="24"/>
        </w:rPr>
        <w:lastRenderedPageBreak/>
        <w:t>(Swansea Gov, 2019). The support provided varies depending on the individual needs, but TSU support workers can assist with tasks such as budgeting, rent arrears, setting up universal credit or benefit claims, explaining tenancy agreements, independent living skills, how to access employment or training and support from other agencies (Swansea Gov, 2019).  Individuals who would like to be referred for support can either refer themselves or be referred by a third sector organisation. The support provided is free and is funded by the Welsh Government Supporting People Funding, which funds various housing and third sector services in Wales, who support marginalised individuals at risk of becoming homeless (Cymorth Cymru,2020).</w:t>
      </w:r>
    </w:p>
    <w:p w14:paraId="58AF7ED5"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Using Kolb’s (1974) Concrete Experience, the first scenario I faced was an initial tenancy support assessment. On these assessments the support worker and possible clients discuss why they have been referred to the TSU, what they hope to achieve and what support can be offered.  Likewise, Sinclair, Garrett and Berridge (1995) found the reason for assessments were to identify client issues, then address them with solutions or services. However, Milner, Myers, and Byrne (2015) found resources to solve problems are not always available to clients, so workers must construct solutions to existing resources. The possible client for the TSU was an ex-offender convicted of murder who will be referred to as ‘Client A’. Client A was not allowed to return to his hometown, as he remains 'on licence' for the rest of his life, meaning that he must adhere to certain conditions; restrictions on travel, residence and employment whilst attending probation (Fullfact.org, 2020;Law commission,2006). Client A has also had some mental health issues but was waiting for a referral to be assessed for these. Similarly, Singleton et al (1998) found mental health problems in offenders where were almost double than in the general population, this may be caused by sleep problems, worry, fatigue, depression, irritability, depressive ideas, anxiety, and worry over physical health, faced whilst in prison. </w:t>
      </w:r>
    </w:p>
    <w:p w14:paraId="5FA18872" w14:textId="4ACD6E7C"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The barriers Client A faced, and support required was around gaining employment and moving to bigger accommodation as his girlfriend was pregnant. The barriers around employment where due to Client A’s conviction in that he had gained a criminal record. It can be noted that holding a criminal record, where the individual‘s conviction led to the individual being excluded from gaining employment with either children or adults, the employer can legally not recruit a person due to the offending history (Narco, n.d). Another barrier was that he had gained employment on release, </w:t>
      </w:r>
      <w:r w:rsidR="008A232C">
        <w:rPr>
          <w:rFonts w:ascii="Times New Roman" w:hAnsi="Times New Roman"/>
          <w:sz w:val="24"/>
          <w:szCs w:val="24"/>
        </w:rPr>
        <w:t xml:space="preserve">which </w:t>
      </w:r>
      <w:r w:rsidRPr="007E1DC7">
        <w:rPr>
          <w:rFonts w:ascii="Times New Roman" w:hAnsi="Times New Roman"/>
          <w:sz w:val="24"/>
          <w:szCs w:val="24"/>
        </w:rPr>
        <w:t xml:space="preserve">the victims’ family had found out about, leaving him vulnerable to assault and abuse, forcing him to leave that role. Likewise, Willis, Malinen and Johnston (2012) found public attitudes of released sex offenders affected their integration into the community, by jeopardizing their access to accommodation as well as employment </w:t>
      </w:r>
      <w:r w:rsidRPr="007E1DC7">
        <w:rPr>
          <w:rFonts w:ascii="Times New Roman" w:hAnsi="Times New Roman"/>
          <w:sz w:val="24"/>
          <w:szCs w:val="24"/>
        </w:rPr>
        <w:lastRenderedPageBreak/>
        <w:t>opportunities. Client A’s barrier with regards to moving accommodation was at that present time he had a sole tenancy agreement, and his girlfriend had gained previous rent arrears which could affect them getting a joint tenancy. They were also involved with social services, disputing custody of their unborn child and whether the baby would go onto the child protection register, or be removed from them, due to client A</w:t>
      </w:r>
      <w:r w:rsidR="008A232C">
        <w:rPr>
          <w:rFonts w:ascii="Times New Roman" w:hAnsi="Times New Roman"/>
          <w:sz w:val="24"/>
          <w:szCs w:val="24"/>
        </w:rPr>
        <w:t>’</w:t>
      </w:r>
      <w:r w:rsidRPr="007E1DC7">
        <w:rPr>
          <w:rFonts w:ascii="Times New Roman" w:hAnsi="Times New Roman"/>
          <w:sz w:val="24"/>
          <w:szCs w:val="24"/>
        </w:rPr>
        <w:t>s involvement in the criminal justice system. The support worker explained that she could only support Client A in moving and not his girlfriend as he was the sole tenant, which both him and his girlfriend seemed to understand.</w:t>
      </w:r>
    </w:p>
    <w:p w14:paraId="52FC59CD"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Using Kolb’s (1974) Reflective Observation of the new experience. Prior to meeting the client, the support worker gave me a handover going over Client A’s past as well as reading a risk assessment. I had previous experience through my own employment of working with minor offenders but had no experience of working with convicted murderers so was slightly anxious about what to expect. I feared my own personal safety may be at risk as Client A’s victim was female. This stigma may have been due to social constructed views, that criminals are perceived bad, by media and society, which often leaves offenders marginalised due to their previous behaviours (Yancey and Brunson, 2018; Heatherton, Kleck, Hebl, and Hull 2003).</w:t>
      </w:r>
    </w:p>
    <w:p w14:paraId="360DE5E4"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However, Client A has served his sentence and was released on parole meaning he left prison before the end of his sentence through good behaviour and rehabilitation, as the Parole Board will not release offenders if they feel they pose a danger to the public (Law Commission, 2006). Whilst talking to Client A, I asked if he had gained many qualifications whilst in prison, which he had and demonstrated that he was proactive in rehabilitation whilst in prison. As It can be seen, rehabilitative culture allows individuals to have opportunities to change their behaviours by addressing the reasons why they initially committed crime, this can be delivered through intervention programmes or education opportunities (Mann, Howard and Tew, 2018).</w:t>
      </w:r>
    </w:p>
    <w:p w14:paraId="4E391C31" w14:textId="4F623FBB"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Client A also spoke of his own feelings of vulnerability whilst in prison and outside, although he was a perpetrator of crime, he experienced assault and abuse throughout his sentence. Furthermore, there is also the risk of abuse he may receive if someone </w:t>
      </w:r>
      <w:r w:rsidR="00593555" w:rsidRPr="007E1DC7">
        <w:rPr>
          <w:rFonts w:ascii="Times New Roman" w:hAnsi="Times New Roman"/>
          <w:sz w:val="24"/>
          <w:szCs w:val="24"/>
        </w:rPr>
        <w:t>were</w:t>
      </w:r>
      <w:r w:rsidRPr="007E1DC7">
        <w:rPr>
          <w:rFonts w:ascii="Times New Roman" w:hAnsi="Times New Roman"/>
          <w:sz w:val="24"/>
          <w:szCs w:val="24"/>
        </w:rPr>
        <w:t xml:space="preserve"> to recognise him, as client A’s case has been publicised throughout the media so the general public have been made aware of his offence. Jewkes and Letherby (2002) suggested that by the media highlighting and publicising offenders in the community this could lead to the public taking vigilante action, or the individual being less likely to attend rehabilitation programmes aimed at preventing reoffending. Also, I was not aware that social services automatically become involved with individuals who are involved in the criminal justice system, which must bring </w:t>
      </w:r>
      <w:r w:rsidRPr="007E1DC7">
        <w:rPr>
          <w:rFonts w:ascii="Times New Roman" w:hAnsi="Times New Roman"/>
          <w:sz w:val="24"/>
          <w:szCs w:val="24"/>
        </w:rPr>
        <w:lastRenderedPageBreak/>
        <w:t>further anxiety for client A. However, under Section 21 of the Social Services and Well-being (Wales) Act 2014, the local authority has a legal duty of care and responsibility to assess the needs of a child for care and support. Furthermore, Section 37 of the Social Services and Well-being (Wales) Act 2014, highlights the authorities’ duty to then meet the care and support needs of that child (Siegel, 2007.</w:t>
      </w:r>
    </w:p>
    <w:p w14:paraId="7FFB5EC3"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Following Kolb’s (1974) Abstract Conceptualization of this experience, I need to learn to not stigmatise or pre-judge, based on socially constructed views learned through media and society that offenders are dangerous (Yancey and Brunson, 2018). I feel this is achievable by gaining more experience working with offenders, which will increase my confidence when engaging. As can be seen by Black et al (2012), who found the more client interaction and employee training that was delivered to staff, the more confident and competent employees were in their roles. Furthermore, by following organisational personal safety policies and strategies, to ensure my own personal safety when working with high risk clients.</w:t>
      </w:r>
    </w:p>
    <w:p w14:paraId="696F4C4F"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I need to read laws and policies surrounding offenders and their rehabilitation, to get an insight into how offenders can integrate successfully back into the community, to ensure that any advice I suggest is relevant and useful to the client. As suggested by Doyle (1992), information provided to clients should always be relevant, or related to his needs and concerns, for the client to take positive action. However, there are certain barriers stopping offenders working some jobs and, as evidence indicates, supporting ex-offenders with housing or employment can improve the overall mental health of individuals and reduce their risk of reoffending (London Assembly Health Committee, 2017).</w:t>
      </w:r>
    </w:p>
    <w:p w14:paraId="6DCF5B12"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I have no experience with engaging with at risk young children or families, reading more about child protection Acts and policies such as the Social Services and Well-being (Wales) 2014 Act, and the Children Act 2004, would help me gain an insight and could improve my knowledge in this area. This is conveyed by Rostek, Kladivko (1988) who found professional development a beneficial learning experience to improve an individual’s ability to do their role.</w:t>
      </w:r>
    </w:p>
    <w:p w14:paraId="46E5C2B7"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My own personal active experimentation using Kolb’s (1974) experiential learning cycle, was in the next support session Client A partook in and that I shadowed. I read Pobl’s personal safety policies as well as the professional boundaries policies along with Client A’s risk assessment prior to meeting the client again in order to update myself on correct procedures and what Client A’s possible triggers could be. Newhill (2003) found that with client risk there must be protective safeguards in place that would help prevent the likelihood of an attack on a </w:t>
      </w:r>
      <w:r w:rsidRPr="007E1DC7">
        <w:rPr>
          <w:rFonts w:ascii="Times New Roman" w:hAnsi="Times New Roman"/>
          <w:sz w:val="24"/>
          <w:szCs w:val="24"/>
        </w:rPr>
        <w:lastRenderedPageBreak/>
        <w:t>practitioner.</w:t>
      </w:r>
    </w:p>
    <w:p w14:paraId="776BC603"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 I thought of useful options to offer Client A around employment, taking into consideration the barriers he faces, many employers are anxious about recruiting ex-offenders and do not realise it is against the law to discriminate individual characteristics (Joseph Rowntree Foundation,1998; UK Government, 2020). I suggested unsociable hours of employment outside of the city area, as no one would know him in these areas, which might help protect him from potential abuse. Working unsociable hours, such as nights, would mean Client A should only come into contact with other employees (Worrell, 2015), which Client A did seem to take into consideration. I asked general questions about his expected baby, which client A was pleased to talk about. Interpersonal skills and effective communication are a positive trait to hold whilst working with ‘hard to reach’ individuals, as you may gain additional information about the client (Koprowska, 2020).</w:t>
      </w:r>
    </w:p>
    <w:p w14:paraId="7C9851A1" w14:textId="67879A51"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In my second experience I will assess using Kolb’s experimental theory (1974) my concrete experience was an existing client who had been supported by the TSU for several months, who is benefiting from support to improve her circumstances. Spiker (2014) noted that third sector organisations can work with individuals that state services would not take on, such as drug users; these individuals are also unlikely to work effectively with state services. When getting referred to the TSU Client B had rent arrears, was a known heroin addict, had had her daughter removed by social services and was in a domestic abuse relationship. Since receiving support Client B has cleared her arrears, no longer takes heroin and is now on a methadone programme to help her overcome this and would like to regain custody of her daughter as well as gain employment.</w:t>
      </w:r>
      <w:r w:rsidR="00593555">
        <w:rPr>
          <w:rFonts w:ascii="Times New Roman" w:hAnsi="Times New Roman"/>
          <w:sz w:val="24"/>
          <w:szCs w:val="24"/>
        </w:rPr>
        <w:t xml:space="preserve"> </w:t>
      </w:r>
      <w:r w:rsidRPr="007E1DC7">
        <w:rPr>
          <w:rFonts w:ascii="Times New Roman" w:hAnsi="Times New Roman"/>
          <w:sz w:val="24"/>
          <w:szCs w:val="24"/>
        </w:rPr>
        <w:t>This may be due to greater citizen participation in third sector services in comparison to public services, as noted by Bransden and Pestoff (2006).</w:t>
      </w:r>
    </w:p>
    <w:p w14:paraId="7A808718"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During meeting Client B discussed her brother who was staying with her temporarily as he was faced with homelessness, along with his dog. Client B stated the brother was not following the rules she had set, such as finding housing, looking after his dog, and contributing financially to groceries and utilities. Furthermore, he was drinking alcohol, this was a known trigger to the brother to becoming violent. The brother being there had led to extra expense to the client as she was using more groceries, spending more on utilities along with feeding and looking after the dog. The support worker explained to Client B she needed to be firm as he was taking advantage of her and not respecting her boundaries as well as being verbally abusive to her and violent. The support worker told the client in a sensitive way that the brother being in her </w:t>
      </w:r>
      <w:r w:rsidRPr="007E1DC7">
        <w:rPr>
          <w:rFonts w:ascii="Times New Roman" w:hAnsi="Times New Roman"/>
          <w:sz w:val="24"/>
          <w:szCs w:val="24"/>
        </w:rPr>
        <w:lastRenderedPageBreak/>
        <w:t>property and being unstable, could affect her chances of regaining custody of her daughter, showing the seriousness of the situation, which the client had not considered when moving her brother in. In addition, Lindsay (2013) suggested that by practitioners intervening appropriately to support clients and promote independence, they could help prevent harm or neglect occurring. The support worker ended the session on a positive note, reminding Client B of how far she had come and that this will pass, which the client seemed pleased to hear. This could empower the client to take positive action regarding removing the brother. Dempsey and Dunst (2004) found through empowering an individual’s existing strengths, the individual will act proactively seeking to gain control of their lifestyle.</w:t>
      </w:r>
    </w:p>
    <w:p w14:paraId="2FCB9C6E" w14:textId="1A792318"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My Reflective Observation (Kolb,1974) of this meeting was how well the client had benefited from support from TSU already, as it can be indicated by Miller (2000) that with heroin users the likelihood of relapse is high, as well as the likelihood of developing a mental health issue through continued substance abuse. Furthermore, the client was managing her methadone well and had </w:t>
      </w:r>
      <w:r w:rsidR="00593555">
        <w:rPr>
          <w:rFonts w:ascii="Times New Roman" w:hAnsi="Times New Roman"/>
          <w:sz w:val="24"/>
          <w:szCs w:val="24"/>
        </w:rPr>
        <w:t xml:space="preserve">ended the relationship </w:t>
      </w:r>
      <w:r w:rsidRPr="007E1DC7">
        <w:rPr>
          <w:rFonts w:ascii="Times New Roman" w:hAnsi="Times New Roman"/>
          <w:sz w:val="24"/>
          <w:szCs w:val="24"/>
        </w:rPr>
        <w:t xml:space="preserve">with her abusive partner who was also a known substance abuser. However, because the client’s violent brother is residing at her property, this could affect her rehabilitation as well as regaining custody of her daughter, which could trigger stress and possibly cause a relapse (Preston and Epstein, 2011). </w:t>
      </w:r>
    </w:p>
    <w:p w14:paraId="313CF36A"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The client also wanted to gain employment, after completing her methadone treatment, but also spoke of self-medicating with cannabis occasionally, but was not addicted, which is something that needs addressing. Reduction of methadone is the client’s primary goal before reducing other drugs (Preston and Epstein, 2011). There is a difference between drugs use and addiction, addiction means the user is dependent physically or psychologically on the drug in order to carry out daily tasks (Miller, 2000).</w:t>
      </w:r>
    </w:p>
    <w:p w14:paraId="0A52FFFB" w14:textId="37ACE8E4"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Using Kolb’s (1974) Abstract Conceptualization to assess this support session, I was unsure how well the client would engage with myself and the support worker as I was an unfamiliar worker, but the client openly discussed issues in front of me, which was positive. As levels of client participation can vary if the client is not confident with the worker delivering the support (Zastrow, 2009). This was once again a first-time experience of dealing with an ex-heroin addict, who was taking a methadone programme. I was unsure why the client had to take methadone daily to be free of her heroin addiction, but once I </w:t>
      </w:r>
      <w:r w:rsidR="00EA3543">
        <w:rPr>
          <w:rFonts w:ascii="Times New Roman" w:hAnsi="Times New Roman"/>
          <w:sz w:val="24"/>
          <w:szCs w:val="24"/>
        </w:rPr>
        <w:t xml:space="preserve"> researched information </w:t>
      </w:r>
      <w:r w:rsidRPr="007E1DC7">
        <w:rPr>
          <w:rFonts w:ascii="Times New Roman" w:hAnsi="Times New Roman"/>
          <w:sz w:val="24"/>
          <w:szCs w:val="24"/>
        </w:rPr>
        <w:t>about treatments I understood</w:t>
      </w:r>
      <w:r w:rsidR="00EA3543">
        <w:rPr>
          <w:rFonts w:ascii="Times New Roman" w:hAnsi="Times New Roman"/>
          <w:sz w:val="24"/>
          <w:szCs w:val="24"/>
        </w:rPr>
        <w:t xml:space="preserve"> that</w:t>
      </w:r>
      <w:r w:rsidRPr="007E1DC7">
        <w:rPr>
          <w:rFonts w:ascii="Times New Roman" w:hAnsi="Times New Roman"/>
          <w:sz w:val="24"/>
          <w:szCs w:val="24"/>
        </w:rPr>
        <w:t xml:space="preserve"> methadone was a heroin substitute which the client would eventually withdraw from (NHS, 2020). The purpose of the methadone is to prevent the </w:t>
      </w:r>
      <w:r w:rsidRPr="007E1DC7">
        <w:rPr>
          <w:rFonts w:ascii="Times New Roman" w:hAnsi="Times New Roman"/>
          <w:sz w:val="24"/>
          <w:szCs w:val="24"/>
        </w:rPr>
        <w:lastRenderedPageBreak/>
        <w:t>individual craving the drug making them feel both mentally and physically ill, when they are unable to take heroin (Miller, 2000). Furthermore, Client B had her daughter removed from her care, who is now residing with her sister. This was due to the client’s substance misuse, which could have put the child in danger from needle injuries, exposure to and consumption of drugs, as well as neglect (Cleaver and Unell, 2011). After reading more into when a family relative temporarily or permanently looks after a child they are referred to as a kinship carer and become kinship foster carers as agreed between social worker and the family member (Children in Wales, 2014). The client is taking positive steps to try regaining parental responsibility but seems to require support in removing her brother from her home. Client B also spoke enthusiastically of how she would like to go back into employment and engage in training. As she is in detox, I will look at possible courses, or suitable careers for her as she has a criminal record and whether or not these offences must be declared to employers as stated in the Rehabilitation of Offenders Act 1974. As holding a criminal record can be a barrier in gaining employment (Cabinet office, 2019).</w:t>
      </w:r>
    </w:p>
    <w:p w14:paraId="3E5ABB37" w14:textId="1ABCC95C" w:rsidR="008D16B1"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Concluding my engagement with Client B using Kolb’s (1974) Active experimentation, the next support session Client B partook in, she informed the support worker and myself that her brother continued anti-social behaviour towards her, which resulted in the police taking him away again. This time she had asked the police not to return the brother and to arrange emergency accommodation. This showed Client B had become conscious of her own actions through encouragement from the support worker empowering her to act on her lifestyle choices (Freire, 1973). Furthermore, the TSU worker and I advised her on the newly established local area co-ordinators, who can use personal and local networks to offer training and volunteering opportunities around Swansea (Swansea Council, 2020). Client B seemed pleased about further training opportunities, the TSU support worker also told Client B he will take her to a college open evening. By setting the client goals or tasks, they are more likely to achieve positive outcomes alongside with positive progress together with their substance misuse and mental health status (Warren, Stein and Grella, 2007). Client B ended the session by asking whether the support worker could find out if she is able to go back into work within health and social care. Zastrow (2009) suggested, for positive participation, clients must take responsibility for their goals, which client B seemed to be doing.</w:t>
      </w:r>
    </w:p>
    <w:p w14:paraId="57859FCB" w14:textId="77777777" w:rsidR="006B2638" w:rsidRPr="007E1DC7" w:rsidRDefault="006B2638" w:rsidP="008D16B1">
      <w:pPr>
        <w:spacing w:after="160" w:line="360" w:lineRule="auto"/>
        <w:jc w:val="both"/>
        <w:rPr>
          <w:rFonts w:ascii="Times New Roman" w:hAnsi="Times New Roman"/>
          <w:sz w:val="24"/>
          <w:szCs w:val="24"/>
        </w:rPr>
      </w:pPr>
    </w:p>
    <w:p w14:paraId="39CCFDC1" w14:textId="77777777" w:rsidR="008D16B1" w:rsidRPr="007E1DC7" w:rsidRDefault="008D16B1" w:rsidP="008D16B1">
      <w:pPr>
        <w:spacing w:after="160" w:line="360" w:lineRule="auto"/>
        <w:jc w:val="both"/>
        <w:rPr>
          <w:rFonts w:ascii="Times New Roman" w:hAnsi="Times New Roman"/>
          <w:sz w:val="24"/>
          <w:szCs w:val="24"/>
        </w:rPr>
      </w:pPr>
    </w:p>
    <w:p w14:paraId="082FA79D" w14:textId="5ADFD074"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lastRenderedPageBreak/>
        <w:t>For my final reflective piece using Kolb’s (1974) Concrete Experience, I will review an unplanned support session. Similarly, Evans (2009) found unplanned sessions occur as frequently as pre-planned. Whilst attending a different support session the TSU worker received an unexpected phone call off a social worker. The social worker was distressed stating that on a Child protection enquiry she found a client’s house that the TSU worker was working with was in an unsanitary state with dog faeces and urine around the property likely to cause health implications for the tenant and his teenage daughter, whom she was working with (Children’s Act,1989). The social worker raised concerns about the wellbeing of animals at the property. The social worker requested the TSU worker addressed the cleanliness issues with the tenant as it is a breach of the tenancy agreement as well as potentially causing harm to himself and others around him. This way of integrated working is implemented in the Children’s Act (2004) stating the social worker must take the lead in integrated practice with support services staging interventions suited to the family’s needs (</w:t>
      </w:r>
      <w:r w:rsidR="00056A27" w:rsidRPr="007E1DC7">
        <w:rPr>
          <w:rFonts w:ascii="Times New Roman" w:hAnsi="Times New Roman"/>
          <w:sz w:val="24"/>
          <w:szCs w:val="24"/>
        </w:rPr>
        <w:t>James, Wilson</w:t>
      </w:r>
      <w:r w:rsidRPr="007E1DC7">
        <w:rPr>
          <w:rFonts w:ascii="Times New Roman" w:hAnsi="Times New Roman"/>
          <w:sz w:val="24"/>
          <w:szCs w:val="24"/>
        </w:rPr>
        <w:t>,2007). When we arrived at the property I was unable to go in with the TSU worker as I was in the final stages of pregnancy, and the risk of animal urine or faeces was high and could cause implications, so I waited in the TSU worker’s car.  Risk assessing situations as they occur is necessary when lone working, or working with individuals, to prevent situations escalating (Hothersall, Maas-Lowit, 2010).  When the worker arrived back at the car you could strongly smell animals on his clothing, he emphasized the conditions of the property were poor along with his concern for one of the animals who looked malnourished. The TSU worker stated he advised his client to spend the weekend cleaning his property as this could affect his parental responsibility of his child if it was escalated. Similarly, suggested by Lindsay (2013) instructing the client on independent living could reduce the risk of abuse. The TSU worker also advised the client to take his animal to the vet. On our return to the office I rang the local People's Dispensary for Sick Animals (PDSA) vets to see if they did home call outs which they did not (PDSA, 2020). The TSU worker rang his client to inform him that he would have to get a taxi and take the animal, which he agreed to</w:t>
      </w:r>
    </w:p>
    <w:p w14:paraId="273DE4FD" w14:textId="00F9639C"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Following with my own Reflective Observation (Kolb,1974) of this experience, I was unsure what barriers this client had, or why he was referred to the TSU due to the expectancy of the situation, which did not give me opportunities to offer advice or support to the client, or observe interactions between the TSU worker and client.  However, Dorfman (2013) stated you should never enter an unfamiliar </w:t>
      </w:r>
      <w:r w:rsidR="00056A27" w:rsidRPr="007E1DC7">
        <w:rPr>
          <w:rFonts w:ascii="Times New Roman" w:hAnsi="Times New Roman"/>
          <w:sz w:val="24"/>
          <w:szCs w:val="24"/>
        </w:rPr>
        <w:t>client</w:t>
      </w:r>
      <w:r w:rsidR="00085B6B">
        <w:rPr>
          <w:rFonts w:ascii="Times New Roman" w:hAnsi="Times New Roman"/>
          <w:sz w:val="24"/>
          <w:szCs w:val="24"/>
        </w:rPr>
        <w:t>’s</w:t>
      </w:r>
      <w:r w:rsidRPr="007E1DC7">
        <w:rPr>
          <w:rFonts w:ascii="Times New Roman" w:hAnsi="Times New Roman"/>
          <w:sz w:val="24"/>
          <w:szCs w:val="24"/>
        </w:rPr>
        <w:t xml:space="preserve"> home without reading the risk assessment, as they may be violent and could possibly view the visit as an intrusion. I felt the way the social worker dealt </w:t>
      </w:r>
      <w:r w:rsidRPr="007E1DC7">
        <w:rPr>
          <w:rFonts w:ascii="Times New Roman" w:hAnsi="Times New Roman"/>
          <w:sz w:val="24"/>
          <w:szCs w:val="24"/>
        </w:rPr>
        <w:lastRenderedPageBreak/>
        <w:t xml:space="preserve">with the situation was poor, it seemed as though she had delegated the problem, and instead of working together in a multi-agency way to address the situation together, she left the support worker to address it herself. This can be further highlighted by Gasper (2010) who found not all stakeholders in multi-agency teams were treated equally whilst working collaboratively. Moreover, Bochel, Hugh, </w:t>
      </w:r>
      <w:r w:rsidR="00085B6B" w:rsidRPr="007E1DC7">
        <w:rPr>
          <w:rFonts w:ascii="Times New Roman" w:hAnsi="Times New Roman"/>
          <w:sz w:val="24"/>
          <w:szCs w:val="24"/>
        </w:rPr>
        <w:t>Powell,</w:t>
      </w:r>
      <w:r w:rsidRPr="007E1DC7">
        <w:rPr>
          <w:rFonts w:ascii="Times New Roman" w:hAnsi="Times New Roman"/>
          <w:sz w:val="24"/>
          <w:szCs w:val="24"/>
        </w:rPr>
        <w:t xml:space="preserve"> and Martin (2016) acknowledged early help services, led by social workers, could help provide effective family support. I was concerned and cautious of my own wellbeing in this scenario, which is why I chose to wait in the car due to the potential risks to myself and my unborn child. However, I was within my right as it is an employee’s responsibility to assess individual risk that has the potential to cause harm (Hothersall, Maas-Lowit 2010). This made me feel slightly useless in the situation, unable to </w:t>
      </w:r>
      <w:r w:rsidR="001B4B39">
        <w:rPr>
          <w:rFonts w:ascii="Times New Roman" w:hAnsi="Times New Roman"/>
          <w:sz w:val="24"/>
          <w:szCs w:val="24"/>
        </w:rPr>
        <w:t xml:space="preserve">provide </w:t>
      </w:r>
      <w:r w:rsidRPr="007E1DC7">
        <w:rPr>
          <w:rFonts w:ascii="Times New Roman" w:hAnsi="Times New Roman"/>
          <w:sz w:val="24"/>
          <w:szCs w:val="24"/>
        </w:rPr>
        <w:t>the support worker</w:t>
      </w:r>
      <w:r w:rsidR="001B4B39">
        <w:rPr>
          <w:rFonts w:ascii="Times New Roman" w:hAnsi="Times New Roman"/>
          <w:sz w:val="24"/>
          <w:szCs w:val="24"/>
        </w:rPr>
        <w:t xml:space="preserve"> with back</w:t>
      </w:r>
      <w:r w:rsidRPr="007E1DC7">
        <w:rPr>
          <w:rFonts w:ascii="Times New Roman" w:hAnsi="Times New Roman"/>
          <w:sz w:val="24"/>
          <w:szCs w:val="24"/>
        </w:rPr>
        <w:t xml:space="preserve"> up and prompt the client to act within his tenancy agreements. Furthermore, I was concerned with what condition the property was in for it to be unsafe for a member to of staff to attend, let alone a child to be living in what potential risks it could have to their health and development. As noted by Dwyer and Shaw (2013), children need a healthy family environment and surroundings to grow up successfully into adulthood.</w:t>
      </w:r>
    </w:p>
    <w:p w14:paraId="0C86852C"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Next, using Kolb’s (1974) Abstract Conceptualization, this scenario was different from the others due to it being unplanned and unstructured, where the other support sessions or assessments were arranged time slots between the client and support worker, this one was unexpected which can occur sometimes when supporting individuals with complex needs (Evans, 2009). Due to the unexpectedness, there was no time to put potential safeguards in place to allow me to enter the property such as personal protective equipment, I had to consider my own wellbeing over client engagement choosing to stay in the support workers car (Health and Safety Executive, 2015 ;Dwyer and Shaw,2013). I also had no prior experience of dealing with social workers, so once again I was unsure if her giving the client an opportunity to clean his property before escalating it further was the correct procedure. Additionally, Collins (2009) noted that by learning additional information on unfamiliar situations will help improve practitioner skills. However, I will need to read up on policies such as the Social Services and Well-being (Wales) Act 2014 on when to raise an alarm for safeguarding. However, the social worker was right to inform the TSU worker of the client’s breach in his tenancy agreement, as the lead practitioner of integrated working, also this is where the TSU supports the client with issues regarding tenancy (Swansea Gov, 2019;James,Wilson,2007).). As for the concern of the animals in the property I feel the support worker dealt with it correctly, he advised the client to take the animal to the vet, even informing him of where his local PDSA was for low cost vet </w:t>
      </w:r>
      <w:r w:rsidRPr="007E1DC7">
        <w:rPr>
          <w:rFonts w:ascii="Times New Roman" w:hAnsi="Times New Roman"/>
          <w:sz w:val="24"/>
          <w:szCs w:val="24"/>
        </w:rPr>
        <w:lastRenderedPageBreak/>
        <w:t>treatment.</w:t>
      </w:r>
    </w:p>
    <w:p w14:paraId="1FAF927F" w14:textId="77777777"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Finally, using Kolb’s (1974) experiential learning cycle concluding this scenario with my active experimentation of the experience, when I next went to my placement setting the support worker updated me on the scenario; the social worker went back to the tenant on the Monday to see if issues had been addressed, the client had mopped the floor with bleach which masked the smell, but the property was still unsatisfactory. They also questioned the tenant on where the poorly dog had gone- the client claimed he had run away, which the social worker doubted as the dog was so poorly on the Friday. Whilst at the property the client kept going back and fore to a van, when the social worker asked the client what he was doing he said undertaking repairs, but when she investigated the client had hidden the dog, who had died, under his van. The social worker reported this to the appropriate authorities, as well as having the teenage daughter removed from the client’s care on an Emergency Protection Order due to unsatisfactory standards of housing along with the amount of school she had missed (the Children’s Act,1989). On this occasion involvement of third sector and interventions of social services did not improve outcomes for the child involved, this however could be due to the parent characteristics or his level of participation with services aimed at supporting him (Korfmacher et al, 2008). Zastrow (2009) also noted that client problems are the responsibility of the individual and they must take accountability to resolve them. The support worker seemed very disheartened telling me that he desiderated more had been done to support the client to address his tenancy issues and dog’s medical needs. Dziegielewski (2013) noted that feelings of failure and reduced job satisfaction can occur with failed interventions. I reassured the TSU worker that we had done what we could, social services were working collaboratively with the TSU-   the worker discussed what the was required to make standards satisfactory for the social workers home visit, as well as enquiring with the PDSA if they did call-outs and informed the tenant of the low-cost vet treatments they offer to those on benefits. However, on this occasion it was due to the client’s failure to comply with what was being asked and lack of participation in preventive options offered to him (Littell,2001).</w:t>
      </w:r>
    </w:p>
    <w:p w14:paraId="1CAE8011" w14:textId="0F5F35C0"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Concluding my work placement, I am going to reflect on my placement, and what was learnt, using Kolb’s (1974) experiential learning style theory.My Concrete Experience of my work placement was positive, although I was unsure if I would struggle getting a placement due to being in my final stages of pregnancy and the possible risks that this could pose for </w:t>
      </w:r>
      <w:r w:rsidR="00056A27">
        <w:rPr>
          <w:rFonts w:ascii="Times New Roman" w:hAnsi="Times New Roman"/>
          <w:sz w:val="24"/>
          <w:szCs w:val="24"/>
        </w:rPr>
        <w:t>the</w:t>
      </w:r>
      <w:r w:rsidRPr="007E1DC7">
        <w:rPr>
          <w:rFonts w:ascii="Times New Roman" w:hAnsi="Times New Roman"/>
          <w:sz w:val="24"/>
          <w:szCs w:val="24"/>
        </w:rPr>
        <w:t xml:space="preserve"> company. The Equality and Human Rights Commission (2018) found one in nine mothers they surveyed out of 3,254 face pregnancy discrimination within their employment by being </w:t>
      </w:r>
      <w:r w:rsidRPr="007E1DC7">
        <w:rPr>
          <w:rFonts w:ascii="Times New Roman" w:hAnsi="Times New Roman"/>
          <w:sz w:val="24"/>
          <w:szCs w:val="24"/>
        </w:rPr>
        <w:lastRenderedPageBreak/>
        <w:t xml:space="preserve">wrongly </w:t>
      </w:r>
      <w:r w:rsidR="00056A27" w:rsidRPr="007E1DC7">
        <w:rPr>
          <w:rFonts w:ascii="Times New Roman" w:hAnsi="Times New Roman"/>
          <w:sz w:val="24"/>
          <w:szCs w:val="24"/>
        </w:rPr>
        <w:t>dismissed.</w:t>
      </w:r>
      <w:r w:rsidRPr="007E1DC7">
        <w:rPr>
          <w:rFonts w:ascii="Times New Roman" w:hAnsi="Times New Roman"/>
          <w:sz w:val="24"/>
          <w:szCs w:val="24"/>
        </w:rPr>
        <w:t xml:space="preserve"> Fortunately, I was able to get a placement in a department of the organisation I am employed by, so existing risk assessments for my contracted role would be transferable. The purpose of a risk assessment for expectant mothers is to </w:t>
      </w:r>
      <w:r w:rsidR="00056A27" w:rsidRPr="007E1DC7">
        <w:rPr>
          <w:rFonts w:ascii="Times New Roman" w:hAnsi="Times New Roman"/>
          <w:sz w:val="24"/>
          <w:szCs w:val="24"/>
        </w:rPr>
        <w:t>assess</w:t>
      </w:r>
      <w:r w:rsidRPr="007E1DC7">
        <w:rPr>
          <w:rFonts w:ascii="Times New Roman" w:hAnsi="Times New Roman"/>
          <w:sz w:val="24"/>
          <w:szCs w:val="24"/>
        </w:rPr>
        <w:t xml:space="preserve"> if any tasks would cause harm to mother and/or </w:t>
      </w:r>
      <w:r w:rsidR="00085B6B" w:rsidRPr="007E1DC7">
        <w:rPr>
          <w:rFonts w:ascii="Times New Roman" w:hAnsi="Times New Roman"/>
          <w:sz w:val="24"/>
          <w:szCs w:val="24"/>
        </w:rPr>
        <w:t>baby and</w:t>
      </w:r>
      <w:r w:rsidRPr="007E1DC7">
        <w:rPr>
          <w:rFonts w:ascii="Times New Roman" w:hAnsi="Times New Roman"/>
          <w:sz w:val="24"/>
          <w:szCs w:val="24"/>
        </w:rPr>
        <w:t xml:space="preserve"> will include measures to prevent harm (Health and Safety executive, n.d). Another concern was how staff of the tenancy support unit and clients would engage with me, as they usually attend support sessions alone, but everyone engaged well with me and I was given opportunities to shadow different support workers. As indicated by Larsen, Sewpaul and Hole (2014) individuals may not be confident in engaging or participating with unfamiliar workers, and this may be due to a lack of confidence with regards to the worker’s abilities, or a previous bad experience with an agency. I was given opportunities in sessions I attended to ask the client questions, alongside offering suggestions for support. Students asking questions to clients allows them to build confidence and broaden their existing knowledge on the client (Dorr, 2014).</w:t>
      </w:r>
    </w:p>
    <w:p w14:paraId="6D73CEEF" w14:textId="4D24C47F"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My Reflective Observation using Kolb’s (1974) learning theory. I was daunted when I discovered work experience was required as part of my module, I originally planned to use my existing employment. Similarly, Mathews, </w:t>
      </w:r>
      <w:r w:rsidR="00056A27" w:rsidRPr="007E1DC7">
        <w:rPr>
          <w:rFonts w:ascii="Times New Roman" w:hAnsi="Times New Roman"/>
          <w:sz w:val="24"/>
          <w:szCs w:val="24"/>
        </w:rPr>
        <w:t>Simpson,</w:t>
      </w:r>
      <w:r w:rsidRPr="007E1DC7">
        <w:rPr>
          <w:rFonts w:ascii="Times New Roman" w:hAnsi="Times New Roman"/>
          <w:sz w:val="24"/>
          <w:szCs w:val="24"/>
        </w:rPr>
        <w:t xml:space="preserve"> and Crawford (2013) found many students experience anxiety whilst working with practitioners due to the uncertainty of situations they may see, however the whole purpose is for students to learn new skills. Juggling a placement with existing commitments was challenging, I had to manage my time effectively. All TSU workers I shadowed communicated effectively, this was beneficial as the clients were more willing to engage with me.  Likewise, Mathews, </w:t>
      </w:r>
      <w:r w:rsidR="00056A27" w:rsidRPr="007E1DC7">
        <w:rPr>
          <w:rFonts w:ascii="Times New Roman" w:hAnsi="Times New Roman"/>
          <w:sz w:val="24"/>
          <w:szCs w:val="24"/>
        </w:rPr>
        <w:t>Simpson,</w:t>
      </w:r>
      <w:r w:rsidRPr="007E1DC7">
        <w:rPr>
          <w:rFonts w:ascii="Times New Roman" w:hAnsi="Times New Roman"/>
          <w:sz w:val="24"/>
          <w:szCs w:val="24"/>
        </w:rPr>
        <w:t xml:space="preserve"> and Crawford (2013) found that having opportunities to ask questions is paramount to working effectively with service users.</w:t>
      </w:r>
    </w:p>
    <w:p w14:paraId="0ED6A0F6" w14:textId="191F1CA4"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Following using Kolb’s (1974) Abstract Conceptualization, I felt I had a slight advantage to those without prior experience of working with hard to reach individuals as I was confident to engage with clients on issues I had existing knowledge of. I was also aware of many company policies, along with how the staff/client engagement process is delivered, also where funding for the services is sourced. However, there were occasions I was unable to offer useful advice or support, such as issues regarding child protection, ex-offenders, animal neglect and substance abuse. Similarly, Collins (2009) suggested practitioner skills could be improved by learning new information, I could do this by reading policies and Acts or attending seminars to broaden my knowledge. Correspondingly, a negative aspect was trying to manage my time effectively with being employed, a student, existing parental </w:t>
      </w:r>
      <w:r w:rsidR="00056A27" w:rsidRPr="007E1DC7">
        <w:rPr>
          <w:rFonts w:ascii="Times New Roman" w:hAnsi="Times New Roman"/>
          <w:sz w:val="24"/>
          <w:szCs w:val="24"/>
        </w:rPr>
        <w:t>responsibilities,</w:t>
      </w:r>
      <w:r w:rsidRPr="007E1DC7">
        <w:rPr>
          <w:rFonts w:ascii="Times New Roman" w:hAnsi="Times New Roman"/>
          <w:sz w:val="24"/>
          <w:szCs w:val="24"/>
        </w:rPr>
        <w:t xml:space="preserve"> and antenatal </w:t>
      </w:r>
      <w:r w:rsidRPr="007E1DC7">
        <w:rPr>
          <w:rFonts w:ascii="Times New Roman" w:hAnsi="Times New Roman"/>
          <w:sz w:val="24"/>
          <w:szCs w:val="24"/>
        </w:rPr>
        <w:lastRenderedPageBreak/>
        <w:t>appointments. This is highlighted by Mathews, Simpson, and Crawford (2013) who found that finding a time management system whilst on placement can help with managing other responsibilities, such as employment and academic workloads. However, I did manage to complete my required hours for the reflective placement but would have benefited from doing more hours to observe more support sessions.</w:t>
      </w:r>
    </w:p>
    <w:p w14:paraId="23086A19" w14:textId="333D75CB" w:rsidR="008D16B1" w:rsidRP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Concluding my active experimentation, my placement was extremely useful and helpful. I dealt with individuals with complex needs, which I had no experience of engaging with, and had opportunities to offer some advice as well as observe TSU support workers engage with these individuals aiming to overcome their tenancy barriers. It gave me an insight into what issues individuals may face, as well as surrounding issues such as child protection, rehabilitation and animal welfare, of which I will need to expand my knowledge to become an effective practitioner in the future, as suggested by Collins (2009) learning additional information is </w:t>
      </w:r>
      <w:r w:rsidR="00056A27" w:rsidRPr="007E1DC7">
        <w:rPr>
          <w:rFonts w:ascii="Times New Roman" w:hAnsi="Times New Roman"/>
          <w:sz w:val="24"/>
          <w:szCs w:val="24"/>
        </w:rPr>
        <w:t>beneficial. Whilst</w:t>
      </w:r>
      <w:r w:rsidRPr="007E1DC7">
        <w:rPr>
          <w:rFonts w:ascii="Times New Roman" w:hAnsi="Times New Roman"/>
          <w:sz w:val="24"/>
          <w:szCs w:val="24"/>
        </w:rPr>
        <w:t xml:space="preserve"> on placement, I learnt to manage my time more effectively using a time management tool, as suggested by Mathews, </w:t>
      </w:r>
      <w:r w:rsidR="00085B6B" w:rsidRPr="007E1DC7">
        <w:rPr>
          <w:rFonts w:ascii="Times New Roman" w:hAnsi="Times New Roman"/>
          <w:sz w:val="24"/>
          <w:szCs w:val="24"/>
        </w:rPr>
        <w:t>Simpson,</w:t>
      </w:r>
      <w:r w:rsidRPr="007E1DC7">
        <w:rPr>
          <w:rFonts w:ascii="Times New Roman" w:hAnsi="Times New Roman"/>
          <w:sz w:val="24"/>
          <w:szCs w:val="24"/>
        </w:rPr>
        <w:t xml:space="preserve"> and Crawford (2013). I struggle with time management due to dyspraxia negatively impacting my personal organisation skills. I would like to participate in placement again in the future to follow a client’s support case through to the end (NHS, 2017).  </w:t>
      </w:r>
    </w:p>
    <w:p w14:paraId="49019559" w14:textId="3C5012A0" w:rsidR="007E1DC7" w:rsidRDefault="008D16B1" w:rsidP="008D16B1">
      <w:pPr>
        <w:spacing w:after="160" w:line="360" w:lineRule="auto"/>
        <w:jc w:val="both"/>
        <w:rPr>
          <w:rFonts w:ascii="Times New Roman" w:hAnsi="Times New Roman"/>
          <w:sz w:val="24"/>
          <w:szCs w:val="24"/>
        </w:rPr>
      </w:pPr>
      <w:r w:rsidRPr="007E1DC7">
        <w:rPr>
          <w:rFonts w:ascii="Times New Roman" w:hAnsi="Times New Roman"/>
          <w:sz w:val="24"/>
          <w:szCs w:val="24"/>
        </w:rPr>
        <w:t xml:space="preserve"> I was able to notice flaws in my own practice using Kolb’s (1974) learning theory. In my first scenario I was anxious about engaging with the client due to his conviction but learnt how offenders are at risk of abuse or being marginalized (Yancey and Brunson, 2018; Heatherton, Kleck, Hebl and Hull, 2003). My second scenario I learnt about rehabilitation of addicts, and how not taking drugs can make them physically sick which is why they need to be weaned off using a heroin substitute (Miller, 2000; NHS, 2000). I also learnt that family members can gain parental responsibility of a child temporarily/permanently or becoming kinship foster carers of a family member’s child if their parents are identified as </w:t>
      </w:r>
      <w:r w:rsidR="00056A27">
        <w:rPr>
          <w:rFonts w:ascii="Times New Roman" w:hAnsi="Times New Roman"/>
          <w:sz w:val="24"/>
          <w:szCs w:val="24"/>
        </w:rPr>
        <w:t>unfit</w:t>
      </w:r>
      <w:r w:rsidRPr="007E1DC7">
        <w:rPr>
          <w:rFonts w:ascii="Times New Roman" w:hAnsi="Times New Roman"/>
          <w:sz w:val="24"/>
          <w:szCs w:val="24"/>
        </w:rPr>
        <w:t xml:space="preserve"> (Children in Wales, 2014). My final scenario I discussed, I learnt through Kolb’s (1974) reflection to assess a potential risk which could cause harm, is sometimes required of workers, as it could cause harm to myself as well others. This was further highlighted by Hothersall and Maas-Lowit (2010), suggesting that not assessing risks could cause situations to escalate, or be misinterpreted. I also found that as well as considering the client’s well-being and children’s welfare, cases can affect others, such as the worker’s emotional wellbeing (Maas-Lowit, 2010; Dziegielewski, 2013).</w:t>
      </w:r>
    </w:p>
    <w:p w14:paraId="66E762D5" w14:textId="204AA920" w:rsidR="006B2638" w:rsidRDefault="006B2638" w:rsidP="008D16B1">
      <w:pPr>
        <w:spacing w:after="160" w:line="360" w:lineRule="auto"/>
        <w:jc w:val="both"/>
        <w:rPr>
          <w:rFonts w:ascii="Times New Roman" w:hAnsi="Times New Roman"/>
          <w:sz w:val="24"/>
          <w:szCs w:val="24"/>
        </w:rPr>
      </w:pPr>
      <w:r w:rsidRPr="006B2638">
        <w:rPr>
          <w:rFonts w:ascii="Times New Roman" w:hAnsi="Times New Roman"/>
          <w:sz w:val="24"/>
          <w:szCs w:val="24"/>
        </w:rPr>
        <w:t>Total word count 5500</w:t>
      </w:r>
    </w:p>
    <w:p w14:paraId="561DCD36" w14:textId="73CEC36F" w:rsidR="0041332D" w:rsidRPr="007E1DC7" w:rsidRDefault="0041332D" w:rsidP="0041332D">
      <w:pPr>
        <w:spacing w:after="160" w:line="360" w:lineRule="auto"/>
        <w:jc w:val="both"/>
        <w:rPr>
          <w:rFonts w:ascii="Times New Roman" w:hAnsi="Times New Roman"/>
          <w:sz w:val="24"/>
          <w:szCs w:val="24"/>
        </w:rPr>
      </w:pPr>
      <w:r w:rsidRPr="007E1DC7">
        <w:rPr>
          <w:rFonts w:ascii="Times New Roman" w:eastAsia="Arial" w:hAnsi="Times New Roman"/>
          <w:b/>
          <w:sz w:val="24"/>
          <w:szCs w:val="24"/>
        </w:rPr>
        <w:lastRenderedPageBreak/>
        <w:t>References</w:t>
      </w:r>
    </w:p>
    <w:p w14:paraId="50567432" w14:textId="77777777" w:rsidR="0041332D" w:rsidRPr="007E1DC7" w:rsidRDefault="0041332D" w:rsidP="0041332D">
      <w:pPr>
        <w:spacing w:after="160" w:line="360" w:lineRule="auto"/>
        <w:jc w:val="both"/>
        <w:rPr>
          <w:rFonts w:ascii="Times New Roman" w:hAnsi="Times New Roman"/>
          <w:sz w:val="24"/>
          <w:szCs w:val="24"/>
        </w:rPr>
      </w:pPr>
      <w:r w:rsidRPr="007E1DC7">
        <w:rPr>
          <w:rFonts w:ascii="Times New Roman" w:hAnsi="Times New Roman"/>
          <w:sz w:val="24"/>
          <w:szCs w:val="24"/>
        </w:rPr>
        <w:t xml:space="preserve">Black, C., Lawrence, W., Cradock, S., Ntani, G., Tinati, T., Jarman, M., Begum, R., Inskip, H., Cooper, C., Barker, M. and Baird, J. (2014) ‘Healthy conversation skills: increasing competence and confidence in front-line staff’, </w:t>
      </w:r>
      <w:r w:rsidRPr="007E1DC7">
        <w:rPr>
          <w:rFonts w:ascii="Times New Roman" w:hAnsi="Times New Roman"/>
          <w:i/>
          <w:iCs/>
          <w:sz w:val="24"/>
          <w:szCs w:val="24"/>
        </w:rPr>
        <w:t>Public Health Nutrition</w:t>
      </w:r>
      <w:r w:rsidRPr="007E1DC7">
        <w:rPr>
          <w:rFonts w:ascii="Times New Roman" w:hAnsi="Times New Roman"/>
          <w:sz w:val="24"/>
          <w:szCs w:val="24"/>
        </w:rPr>
        <w:t>, 17(3), pp. 700–707.</w:t>
      </w:r>
      <w:r w:rsidRPr="007E1DC7">
        <w:rPr>
          <w:rFonts w:ascii="Times New Roman" w:hAnsi="Times New Roman"/>
          <w:sz w:val="24"/>
          <w:szCs w:val="24"/>
          <w:shd w:val="clear" w:color="auto" w:fill="00FFFF"/>
        </w:rPr>
        <w:t xml:space="preserve"> </w:t>
      </w:r>
    </w:p>
    <w:p w14:paraId="1FB48B5E"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Bochel, H. and Powell, M. (eds.) (2016) </w:t>
      </w:r>
      <w:r w:rsidRPr="007E1DC7">
        <w:rPr>
          <w:rFonts w:ascii="Times New Roman" w:hAnsi="Times New Roman"/>
          <w:i/>
          <w:iCs/>
          <w:sz w:val="24"/>
          <w:szCs w:val="24"/>
        </w:rPr>
        <w:t xml:space="preserve">The Coalition Government and Social Policy: Restructuring the Welfare State </w:t>
      </w:r>
    </w:p>
    <w:p w14:paraId="6C534985" w14:textId="25A09904"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Brandsen, T. and Pestoff, V. (2006) Co-production, the third sector and the delivery of public</w:t>
      </w:r>
      <w:r w:rsidR="008D16B1" w:rsidRPr="007E1DC7">
        <w:rPr>
          <w:rFonts w:ascii="Times New Roman" w:hAnsi="Times New Roman"/>
          <w:sz w:val="24"/>
          <w:szCs w:val="24"/>
        </w:rPr>
        <w:t xml:space="preserve"> services: An introduction. Available at: https://doi.org/10.1080/14719030601022874 (Accessed: 5 May 2020).</w:t>
      </w:r>
    </w:p>
    <w:p w14:paraId="6195C952" w14:textId="77777777" w:rsidR="008D16B1" w:rsidRPr="007E1DC7" w:rsidRDefault="008D16B1" w:rsidP="0041332D">
      <w:pPr>
        <w:spacing w:before="240" w:line="360" w:lineRule="auto"/>
        <w:jc w:val="both"/>
        <w:rPr>
          <w:rFonts w:ascii="Times New Roman" w:hAnsi="Times New Roman"/>
          <w:sz w:val="24"/>
          <w:szCs w:val="24"/>
        </w:rPr>
      </w:pPr>
    </w:p>
    <w:p w14:paraId="5238723F" w14:textId="77777777" w:rsidR="0041332D" w:rsidRPr="007E1DC7" w:rsidRDefault="0041332D" w:rsidP="0041332D">
      <w:pPr>
        <w:spacing w:after="160" w:line="360" w:lineRule="auto"/>
        <w:jc w:val="both"/>
        <w:rPr>
          <w:rFonts w:ascii="Times New Roman" w:hAnsi="Times New Roman"/>
          <w:sz w:val="24"/>
          <w:szCs w:val="24"/>
        </w:rPr>
      </w:pPr>
      <w:r w:rsidRPr="007E1DC7">
        <w:rPr>
          <w:rFonts w:ascii="Times New Roman" w:eastAsia="Arial" w:hAnsi="Times New Roman"/>
          <w:sz w:val="24"/>
          <w:szCs w:val="24"/>
        </w:rPr>
        <w:t>Bruce, L. (2013) Reflective Practice for Social Workers: A Handbook for Developing. Milton Keynes: Open University Press.</w:t>
      </w:r>
    </w:p>
    <w:p w14:paraId="5A83A956" w14:textId="2847B766"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Cabinet Office (2019) Supporting Ex-Offenders on their Path to Employment Call for Evidence Summary of Responses. Available at: </w:t>
      </w:r>
      <w:r w:rsidR="008D16B1" w:rsidRPr="007E1DC7">
        <w:rPr>
          <w:rFonts w:ascii="Times New Roman" w:hAnsi="Times New Roman"/>
          <w:sz w:val="24"/>
          <w:szCs w:val="24"/>
        </w:rPr>
        <w:t>https://assets.publishing.service.gov.uk/government/uploads/system/uploads/attachment_data/file/838471/2019.06.07-GFiE-Summary-results-of-the-CfE-responses-v.4.pdf (</w:t>
      </w:r>
      <w:r w:rsidRPr="007E1DC7">
        <w:rPr>
          <w:rFonts w:ascii="Times New Roman" w:hAnsi="Times New Roman"/>
          <w:sz w:val="24"/>
          <w:szCs w:val="24"/>
        </w:rPr>
        <w:t>Accessed: 5 May 2020).</w:t>
      </w:r>
    </w:p>
    <w:p w14:paraId="080428E7" w14:textId="24A2FFA8"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i/>
          <w:iCs/>
          <w:sz w:val="24"/>
          <w:szCs w:val="24"/>
        </w:rPr>
        <w:t>Children Act 1989</w:t>
      </w:r>
      <w:r w:rsidRPr="007E1DC7">
        <w:rPr>
          <w:rFonts w:ascii="Times New Roman" w:hAnsi="Times New Roman"/>
          <w:sz w:val="24"/>
          <w:szCs w:val="24"/>
        </w:rPr>
        <w:t>, c. 31; c. 41. Available at:</w:t>
      </w:r>
      <w:r w:rsidR="008D16B1" w:rsidRPr="007E1DC7">
        <w:rPr>
          <w:rFonts w:ascii="Times New Roman" w:hAnsi="Times New Roman"/>
          <w:sz w:val="24"/>
          <w:szCs w:val="24"/>
        </w:rPr>
        <w:t xml:space="preserve"> http://www.legislation.gov.uk/ukpga/1989/41/section/44</w:t>
      </w:r>
      <w:r w:rsidRPr="007E1DC7">
        <w:rPr>
          <w:rFonts w:ascii="Times New Roman" w:hAnsi="Times New Roman"/>
          <w:sz w:val="24"/>
          <w:szCs w:val="24"/>
        </w:rPr>
        <w:t xml:space="preserve"> (Accessed: 26 April 2020).</w:t>
      </w:r>
    </w:p>
    <w:p w14:paraId="22A1E589" w14:textId="725CFF4C"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Children in Wales (2014) </w:t>
      </w:r>
      <w:r w:rsidRPr="007E1DC7">
        <w:rPr>
          <w:rFonts w:ascii="Times New Roman" w:hAnsi="Times New Roman"/>
          <w:i/>
          <w:iCs/>
          <w:sz w:val="24"/>
          <w:szCs w:val="24"/>
        </w:rPr>
        <w:t>Kinship Care Guide for Wales</w:t>
      </w:r>
      <w:r w:rsidRPr="007E1DC7">
        <w:rPr>
          <w:rFonts w:ascii="Times New Roman" w:hAnsi="Times New Roman"/>
          <w:sz w:val="24"/>
          <w:szCs w:val="24"/>
        </w:rPr>
        <w:t xml:space="preserve">. Available at: </w:t>
      </w:r>
      <w:r w:rsidR="008D16B1" w:rsidRPr="007E1DC7">
        <w:rPr>
          <w:rFonts w:ascii="Times New Roman" w:hAnsi="Times New Roman"/>
          <w:sz w:val="24"/>
          <w:szCs w:val="24"/>
        </w:rPr>
        <w:t>https://www.childreninwales.org.uk/resource/kinship-care-guide-wales/</w:t>
      </w:r>
      <w:r w:rsidR="008D16B1" w:rsidRPr="007E1DC7">
        <w:rPr>
          <w:rFonts w:ascii="Times New Roman" w:eastAsia="Arial" w:hAnsi="Times New Roman"/>
          <w:sz w:val="24"/>
          <w:szCs w:val="24"/>
        </w:rPr>
        <w:t xml:space="preserve"> </w:t>
      </w:r>
      <w:r w:rsidRPr="007E1DC7">
        <w:rPr>
          <w:rFonts w:ascii="Times New Roman" w:eastAsia="Arial" w:hAnsi="Times New Roman"/>
          <w:sz w:val="24"/>
          <w:szCs w:val="24"/>
          <w:shd w:val="clear" w:color="auto" w:fill="FFFFFF"/>
        </w:rPr>
        <w:t>(Accessed: 26 April 2020).</w:t>
      </w:r>
    </w:p>
    <w:p w14:paraId="37EF746A"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Cleaver, H. and Unell, I. (2011) </w:t>
      </w:r>
      <w:r w:rsidRPr="007E1DC7">
        <w:rPr>
          <w:rFonts w:ascii="Times New Roman" w:hAnsi="Times New Roman"/>
          <w:i/>
          <w:iCs/>
          <w:sz w:val="24"/>
          <w:szCs w:val="24"/>
        </w:rPr>
        <w:t>Children's Needs - Parenting Capacity: child abuse, parental mental illness.</w:t>
      </w:r>
      <w:r w:rsidRPr="007E1DC7">
        <w:rPr>
          <w:rFonts w:ascii="Times New Roman" w:hAnsi="Times New Roman"/>
          <w:sz w:val="24"/>
          <w:szCs w:val="24"/>
        </w:rPr>
        <w:t xml:space="preserve"> London: Department for Education.</w:t>
      </w:r>
    </w:p>
    <w:p w14:paraId="7851D075"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Collins, S. (2009) </w:t>
      </w:r>
      <w:r w:rsidRPr="007E1DC7">
        <w:rPr>
          <w:rFonts w:ascii="Times New Roman" w:hAnsi="Times New Roman"/>
          <w:i/>
          <w:iCs/>
          <w:sz w:val="24"/>
          <w:szCs w:val="24"/>
        </w:rPr>
        <w:t>Reflecting on and Developing Your Practice: A Workbook for Social Care Workers</w:t>
      </w:r>
      <w:r w:rsidRPr="007E1DC7">
        <w:rPr>
          <w:rFonts w:ascii="Times New Roman" w:hAnsi="Times New Roman"/>
          <w:sz w:val="24"/>
          <w:szCs w:val="24"/>
        </w:rPr>
        <w:t>. London: Jessica Kingsley Publishers.</w:t>
      </w:r>
    </w:p>
    <w:p w14:paraId="75B7236B"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Dorfman, R.A. (2013) ‘Clinical Social Work: Definition, Practice and Vision’, </w:t>
      </w:r>
      <w:r w:rsidRPr="007E1DC7">
        <w:rPr>
          <w:rFonts w:ascii="Times New Roman" w:hAnsi="Times New Roman"/>
          <w:i/>
          <w:iCs/>
          <w:sz w:val="24"/>
          <w:szCs w:val="24"/>
        </w:rPr>
        <w:t>The Journal of Sociology &amp; Social Welfare,</w:t>
      </w:r>
      <w:r w:rsidRPr="007E1DC7">
        <w:rPr>
          <w:rFonts w:ascii="Times New Roman" w:hAnsi="Times New Roman"/>
          <w:sz w:val="24"/>
          <w:szCs w:val="24"/>
        </w:rPr>
        <w:t xml:space="preserve"> 24(2), pp. 159-161.</w:t>
      </w:r>
    </w:p>
    <w:p w14:paraId="0DD6B716"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lastRenderedPageBreak/>
        <w:t xml:space="preserve">Dorr, C. (2014) </w:t>
      </w:r>
      <w:r w:rsidRPr="007E1DC7">
        <w:rPr>
          <w:rFonts w:ascii="Times New Roman" w:hAnsi="Times New Roman"/>
          <w:i/>
          <w:iCs/>
          <w:sz w:val="24"/>
          <w:szCs w:val="24"/>
        </w:rPr>
        <w:t>Social Work Live: Theory and Practice in Social Work Using Videos</w:t>
      </w:r>
      <w:r w:rsidRPr="007E1DC7">
        <w:rPr>
          <w:rFonts w:ascii="Times New Roman" w:hAnsi="Times New Roman"/>
          <w:sz w:val="24"/>
          <w:szCs w:val="24"/>
        </w:rPr>
        <w:t>. Available at: URL (Accessed: 5 May 2020).</w:t>
      </w:r>
    </w:p>
    <w:p w14:paraId="013A7A2C"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Doyle, R.E. (1992) </w:t>
      </w:r>
      <w:r w:rsidRPr="007E1DC7">
        <w:rPr>
          <w:rFonts w:ascii="Times New Roman" w:hAnsi="Times New Roman"/>
          <w:i/>
          <w:iCs/>
          <w:sz w:val="24"/>
          <w:szCs w:val="24"/>
        </w:rPr>
        <w:t>Essential skills and strategies in the helping process</w:t>
      </w:r>
      <w:r w:rsidRPr="007E1DC7">
        <w:rPr>
          <w:rFonts w:ascii="Times New Roman" w:hAnsi="Times New Roman"/>
          <w:sz w:val="24"/>
          <w:szCs w:val="24"/>
        </w:rPr>
        <w:t>. California: Brooks Cole Publishing Company.</w:t>
      </w:r>
    </w:p>
    <w:p w14:paraId="3B6D9FC9"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Dwyer, P. and Shaw, S. (eds.) (2013) </w:t>
      </w:r>
      <w:r w:rsidRPr="007E1DC7">
        <w:rPr>
          <w:rFonts w:ascii="Times New Roman" w:hAnsi="Times New Roman"/>
          <w:i/>
          <w:iCs/>
          <w:sz w:val="24"/>
          <w:szCs w:val="24"/>
        </w:rPr>
        <w:t xml:space="preserve">An Introduction to Social Policy. </w:t>
      </w:r>
      <w:r w:rsidRPr="007E1DC7">
        <w:rPr>
          <w:rFonts w:ascii="Times New Roman" w:hAnsi="Times New Roman"/>
          <w:sz w:val="24"/>
          <w:szCs w:val="24"/>
        </w:rPr>
        <w:t xml:space="preserve">London: Sage. </w:t>
      </w:r>
    </w:p>
    <w:p w14:paraId="7797A587" w14:textId="703F2F2B"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Equality and Human Rights Commission (2018</w:t>
      </w:r>
      <w:r w:rsidRPr="007E1DC7">
        <w:rPr>
          <w:rFonts w:ascii="Times New Roman" w:hAnsi="Times New Roman"/>
          <w:i/>
          <w:iCs/>
          <w:sz w:val="24"/>
          <w:szCs w:val="24"/>
        </w:rPr>
        <w:t>) Pregnancy and maternity discrimination research findings.</w:t>
      </w:r>
      <w:r w:rsidRPr="007E1DC7">
        <w:rPr>
          <w:rFonts w:ascii="Times New Roman" w:hAnsi="Times New Roman"/>
          <w:sz w:val="24"/>
          <w:szCs w:val="24"/>
        </w:rPr>
        <w:t xml:space="preserve"> Available at: </w:t>
      </w:r>
      <w:r w:rsidR="008D16B1" w:rsidRPr="007E1DC7">
        <w:rPr>
          <w:rFonts w:ascii="Times New Roman" w:hAnsi="Times New Roman"/>
          <w:sz w:val="24"/>
          <w:szCs w:val="24"/>
        </w:rPr>
        <w:t xml:space="preserve">https://www.equalityhumanrights.com/en/managing-pregnancy-and-maternity-workplace/pregnancy-and-maternity-discrimination-research-findings </w:t>
      </w:r>
      <w:r w:rsidRPr="007E1DC7">
        <w:rPr>
          <w:rFonts w:ascii="Times New Roman" w:hAnsi="Times New Roman"/>
          <w:sz w:val="24"/>
          <w:szCs w:val="24"/>
        </w:rPr>
        <w:t>(Accessed: 5 May 2020).</w:t>
      </w:r>
    </w:p>
    <w:p w14:paraId="0FB62A9A"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Evans, K. (2009) </w:t>
      </w:r>
      <w:r w:rsidRPr="007E1DC7">
        <w:rPr>
          <w:rFonts w:ascii="Times New Roman" w:hAnsi="Times New Roman"/>
          <w:i/>
          <w:iCs/>
          <w:sz w:val="24"/>
          <w:szCs w:val="24"/>
        </w:rPr>
        <w:t>Learning, Work and Social Responsibility: Challenges for Lifelong Learning</w:t>
      </w:r>
      <w:r w:rsidRPr="007E1DC7">
        <w:rPr>
          <w:rFonts w:ascii="Times New Roman" w:hAnsi="Times New Roman"/>
          <w:sz w:val="24"/>
          <w:szCs w:val="24"/>
        </w:rPr>
        <w:t>. Netherlands: Springer.</w:t>
      </w:r>
    </w:p>
    <w:p w14:paraId="5A8D017A"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Freire, P. (1973) </w:t>
      </w:r>
      <w:r w:rsidRPr="007E1DC7">
        <w:rPr>
          <w:rFonts w:ascii="Times New Roman" w:eastAsia="Arial" w:hAnsi="Times New Roman"/>
          <w:i/>
          <w:sz w:val="24"/>
          <w:szCs w:val="24"/>
          <w:shd w:val="clear" w:color="auto" w:fill="FFFFFF"/>
        </w:rPr>
        <w:t>Education for Critical Consciousness</w:t>
      </w:r>
      <w:r w:rsidRPr="007E1DC7">
        <w:rPr>
          <w:rFonts w:ascii="Times New Roman" w:eastAsia="Arial" w:hAnsi="Times New Roman"/>
          <w:sz w:val="24"/>
          <w:szCs w:val="24"/>
          <w:shd w:val="clear" w:color="auto" w:fill="FFFFFF"/>
        </w:rPr>
        <w:t xml:space="preserve"> New York: The Continuum Publishing Company.</w:t>
      </w:r>
    </w:p>
    <w:p w14:paraId="6E7E939D" w14:textId="35A7F48C"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Full Fact (2020) </w:t>
      </w:r>
      <w:r w:rsidRPr="007E1DC7">
        <w:rPr>
          <w:rFonts w:ascii="Times New Roman" w:eastAsia="Arial" w:hAnsi="Times New Roman"/>
          <w:i/>
          <w:sz w:val="24"/>
          <w:szCs w:val="24"/>
          <w:shd w:val="clear" w:color="auto" w:fill="FFFFFF"/>
        </w:rPr>
        <w:t>How long do murderers serve in prison?</w:t>
      </w:r>
      <w:r w:rsidRPr="007E1DC7">
        <w:rPr>
          <w:rFonts w:ascii="Times New Roman" w:eastAsia="Arial" w:hAnsi="Times New Roman"/>
          <w:sz w:val="24"/>
          <w:szCs w:val="24"/>
          <w:shd w:val="clear" w:color="auto" w:fill="FFFFFF"/>
        </w:rPr>
        <w:t xml:space="preserve"> Available at: </w:t>
      </w:r>
      <w:r w:rsidR="008D16B1" w:rsidRPr="007E1DC7">
        <w:rPr>
          <w:rFonts w:ascii="Times New Roman" w:eastAsia="Arial" w:hAnsi="Times New Roman"/>
          <w:sz w:val="24"/>
          <w:szCs w:val="24"/>
          <w:shd w:val="clear" w:color="auto" w:fill="FFFFFF"/>
        </w:rPr>
        <w:t xml:space="preserve">https://fullfact.org/crime/how-long-do-murderers-serve-prison/ </w:t>
      </w:r>
      <w:r w:rsidRPr="007E1DC7">
        <w:rPr>
          <w:rFonts w:ascii="Times New Roman" w:eastAsia="Arial" w:hAnsi="Times New Roman"/>
          <w:sz w:val="24"/>
          <w:szCs w:val="24"/>
          <w:shd w:val="clear" w:color="auto" w:fill="FFFFFF"/>
        </w:rPr>
        <w:t>(Accessed: 21 April 2020).</w:t>
      </w:r>
    </w:p>
    <w:p w14:paraId="08F1D644"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Gasper, M. (2010) </w:t>
      </w:r>
      <w:r w:rsidRPr="007E1DC7">
        <w:rPr>
          <w:rFonts w:ascii="Times New Roman" w:eastAsia="Arial" w:hAnsi="Times New Roman"/>
          <w:i/>
          <w:iCs/>
          <w:sz w:val="24"/>
          <w:szCs w:val="24"/>
          <w:shd w:val="clear" w:color="auto" w:fill="FFFFFF"/>
        </w:rPr>
        <w:t>Multi-agency Working in the Early Years.</w:t>
      </w:r>
      <w:r w:rsidRPr="007E1DC7">
        <w:rPr>
          <w:rFonts w:ascii="Times New Roman" w:eastAsia="Arial" w:hAnsi="Times New Roman"/>
          <w:sz w:val="24"/>
          <w:szCs w:val="24"/>
          <w:shd w:val="clear" w:color="auto" w:fill="FFFFFF"/>
        </w:rPr>
        <w:t xml:space="preserve"> New York: Sage Publications Limited.</w:t>
      </w:r>
    </w:p>
    <w:p w14:paraId="40B5954B"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Health and Safety Executive (2015) </w:t>
      </w:r>
      <w:r w:rsidRPr="007E1DC7">
        <w:rPr>
          <w:rFonts w:ascii="Times New Roman" w:eastAsia="Arial" w:hAnsi="Times New Roman"/>
          <w:i/>
          <w:sz w:val="24"/>
          <w:szCs w:val="24"/>
          <w:shd w:val="clear" w:color="auto" w:fill="FFFFFF"/>
        </w:rPr>
        <w:t>Personal Protective Equipment at Work Regulations 1992: Guidance on Regulations</w:t>
      </w:r>
      <w:r w:rsidRPr="007E1DC7">
        <w:rPr>
          <w:rFonts w:ascii="Times New Roman" w:eastAsia="Arial" w:hAnsi="Times New Roman"/>
          <w:sz w:val="24"/>
          <w:szCs w:val="24"/>
          <w:shd w:val="clear" w:color="auto" w:fill="FFFFFF"/>
        </w:rPr>
        <w:t>. London: Publisher HSE Books.</w:t>
      </w:r>
    </w:p>
    <w:p w14:paraId="112D26A1"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Heatherton, T.F., Kleck, R.E., Hebl, M.R. and Hull, J.G. (eds.) (2003) </w:t>
      </w:r>
      <w:r w:rsidRPr="007E1DC7">
        <w:rPr>
          <w:rFonts w:ascii="Times New Roman" w:eastAsia="Arial" w:hAnsi="Times New Roman"/>
          <w:i/>
          <w:sz w:val="24"/>
          <w:szCs w:val="24"/>
          <w:shd w:val="clear" w:color="auto" w:fill="FFFFFF"/>
        </w:rPr>
        <w:t>The Social Psychology of Stigma</w:t>
      </w:r>
      <w:r w:rsidRPr="007E1DC7">
        <w:rPr>
          <w:rFonts w:ascii="Times New Roman" w:eastAsia="Arial" w:hAnsi="Times New Roman"/>
          <w:sz w:val="24"/>
          <w:szCs w:val="24"/>
          <w:shd w:val="clear" w:color="auto" w:fill="FFFFFF"/>
        </w:rPr>
        <w:t>. New York: Guilford Press.</w:t>
      </w:r>
    </w:p>
    <w:p w14:paraId="0C2FB3CD" w14:textId="77777777" w:rsidR="0041332D" w:rsidRPr="007E1DC7" w:rsidRDefault="0041332D" w:rsidP="0041332D">
      <w:pPr>
        <w:spacing w:before="240" w:line="360" w:lineRule="auto"/>
        <w:jc w:val="both"/>
        <w:rPr>
          <w:rFonts w:ascii="Times New Roman" w:hAnsi="Times New Roman"/>
          <w:sz w:val="24"/>
          <w:szCs w:val="24"/>
        </w:rPr>
      </w:pPr>
      <w:bookmarkStart w:id="0" w:name="_Hlk39415019"/>
      <w:r w:rsidRPr="007E1DC7">
        <w:rPr>
          <w:rFonts w:ascii="Times New Roman" w:hAnsi="Times New Roman"/>
          <w:sz w:val="24"/>
          <w:szCs w:val="24"/>
        </w:rPr>
        <w:t>Hothersall, S. and Maas-Lowit, M. (eds.) (2010</w:t>
      </w:r>
      <w:bookmarkEnd w:id="0"/>
      <w:r w:rsidRPr="007E1DC7">
        <w:rPr>
          <w:rFonts w:ascii="Times New Roman" w:hAnsi="Times New Roman"/>
          <w:sz w:val="24"/>
          <w:szCs w:val="24"/>
        </w:rPr>
        <w:t xml:space="preserve">) </w:t>
      </w:r>
      <w:r w:rsidRPr="007E1DC7">
        <w:rPr>
          <w:rFonts w:ascii="Times New Roman" w:hAnsi="Times New Roman"/>
          <w:i/>
          <w:iCs/>
          <w:sz w:val="24"/>
          <w:szCs w:val="24"/>
        </w:rPr>
        <w:t xml:space="preserve">Need, Risk and Protection in Social Work Practice. </w:t>
      </w:r>
      <w:r w:rsidRPr="007E1DC7">
        <w:rPr>
          <w:rFonts w:ascii="Times New Roman" w:hAnsi="Times New Roman"/>
          <w:sz w:val="24"/>
          <w:szCs w:val="24"/>
        </w:rPr>
        <w:t xml:space="preserve">London: Sage. </w:t>
      </w:r>
    </w:p>
    <w:p w14:paraId="1D1173A0"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Jewkes, Y. and Letherby, G. (2002) </w:t>
      </w:r>
      <w:r w:rsidRPr="007E1DC7">
        <w:rPr>
          <w:rFonts w:ascii="Times New Roman" w:hAnsi="Times New Roman"/>
          <w:i/>
          <w:iCs/>
          <w:sz w:val="24"/>
          <w:szCs w:val="24"/>
        </w:rPr>
        <w:t>Criminology: A Reader</w:t>
      </w:r>
      <w:r w:rsidRPr="007E1DC7">
        <w:rPr>
          <w:rFonts w:ascii="Times New Roman" w:hAnsi="Times New Roman"/>
          <w:sz w:val="24"/>
          <w:szCs w:val="24"/>
        </w:rPr>
        <w:t>. London: Sage.</w:t>
      </w:r>
    </w:p>
    <w:p w14:paraId="418D84C9" w14:textId="1A41339F"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Joseph Rowntree Foundation (1998) </w:t>
      </w:r>
      <w:r w:rsidRPr="007E1DC7">
        <w:rPr>
          <w:rFonts w:ascii="Times New Roman" w:eastAsia="Arial" w:hAnsi="Times New Roman"/>
          <w:i/>
          <w:iCs/>
          <w:sz w:val="24"/>
          <w:szCs w:val="24"/>
          <w:shd w:val="clear" w:color="auto" w:fill="FFFFFF"/>
        </w:rPr>
        <w:t>Findings: Employment and Training for Ex-offenders.</w:t>
      </w:r>
      <w:r w:rsidRPr="007E1DC7">
        <w:rPr>
          <w:rFonts w:ascii="Times New Roman" w:eastAsia="Arial" w:hAnsi="Times New Roman"/>
          <w:sz w:val="24"/>
          <w:szCs w:val="24"/>
          <w:shd w:val="clear" w:color="auto" w:fill="FFFFFF"/>
        </w:rPr>
        <w:t xml:space="preserve"> Available at: </w:t>
      </w:r>
      <w:r w:rsidR="008D16B1" w:rsidRPr="007E1DC7">
        <w:rPr>
          <w:rFonts w:ascii="Times New Roman" w:eastAsia="Arial" w:hAnsi="Times New Roman"/>
          <w:sz w:val="24"/>
          <w:szCs w:val="24"/>
          <w:shd w:val="clear" w:color="auto" w:fill="FFFFFF"/>
        </w:rPr>
        <w:t xml:space="preserve">https://www.jrf.org.uk/report/employment-and-training-ex-offenders </w:t>
      </w:r>
      <w:r w:rsidRPr="007E1DC7">
        <w:rPr>
          <w:rFonts w:ascii="Times New Roman" w:eastAsia="Arial" w:hAnsi="Times New Roman"/>
          <w:sz w:val="24"/>
          <w:szCs w:val="24"/>
          <w:shd w:val="clear" w:color="auto" w:fill="FFFFFF"/>
        </w:rPr>
        <w:t xml:space="preserve">(Accessed: 26 April 2020). </w:t>
      </w:r>
    </w:p>
    <w:p w14:paraId="6D2BEDAE"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lastRenderedPageBreak/>
        <w:t xml:space="preserve">Kenzie L. Preston, K.L. and Epstein, D.H. (2011) ‘Stress in the daily lives of cocaine and heroin users: relationship to mood, craving, relapse triggers, and cocaine use’, </w:t>
      </w:r>
      <w:r w:rsidRPr="007E1DC7">
        <w:rPr>
          <w:rFonts w:ascii="Times New Roman" w:eastAsia="Arial" w:hAnsi="Times New Roman"/>
          <w:i/>
          <w:sz w:val="24"/>
          <w:szCs w:val="24"/>
          <w:shd w:val="clear" w:color="auto" w:fill="FFFFFF"/>
        </w:rPr>
        <w:t>Psychopharmacology</w:t>
      </w:r>
      <w:r w:rsidRPr="007E1DC7">
        <w:rPr>
          <w:rFonts w:ascii="Times New Roman" w:eastAsia="Arial" w:hAnsi="Times New Roman"/>
          <w:sz w:val="24"/>
          <w:szCs w:val="24"/>
          <w:shd w:val="clear" w:color="auto" w:fill="FFFFFF"/>
        </w:rPr>
        <w:t>, 218, pp. 29–37.</w:t>
      </w:r>
    </w:p>
    <w:p w14:paraId="494A242C" w14:textId="77777777" w:rsidR="0041332D" w:rsidRPr="007E1DC7" w:rsidRDefault="0041332D" w:rsidP="0041332D">
      <w:pPr>
        <w:spacing w:before="240" w:after="160" w:line="360" w:lineRule="auto"/>
        <w:jc w:val="both"/>
        <w:rPr>
          <w:rFonts w:ascii="Times New Roman" w:hAnsi="Times New Roman"/>
          <w:sz w:val="24"/>
          <w:szCs w:val="24"/>
        </w:rPr>
      </w:pPr>
      <w:r w:rsidRPr="007E1DC7">
        <w:rPr>
          <w:rFonts w:ascii="Times New Roman" w:eastAsia="Arial" w:hAnsi="Times New Roman"/>
          <w:sz w:val="24"/>
          <w:szCs w:val="24"/>
        </w:rPr>
        <w:t xml:space="preserve">Knott, C. and Scragg, T. (eds.) (2013) </w:t>
      </w:r>
      <w:r w:rsidRPr="007E1DC7">
        <w:rPr>
          <w:rFonts w:ascii="Times New Roman" w:eastAsia="Arial" w:hAnsi="Times New Roman"/>
          <w:i/>
          <w:sz w:val="24"/>
          <w:szCs w:val="24"/>
        </w:rPr>
        <w:t>Reflective Practice in Social Work</w:t>
      </w:r>
      <w:r w:rsidRPr="007E1DC7">
        <w:rPr>
          <w:rFonts w:ascii="Times New Roman" w:eastAsia="Arial" w:hAnsi="Times New Roman"/>
          <w:sz w:val="24"/>
          <w:szCs w:val="24"/>
        </w:rPr>
        <w:t>. London: Sage.</w:t>
      </w:r>
    </w:p>
    <w:p w14:paraId="3C5A7E7B" w14:textId="77777777" w:rsidR="0041332D" w:rsidRPr="007E1DC7" w:rsidRDefault="0041332D" w:rsidP="0041332D">
      <w:pPr>
        <w:spacing w:before="240" w:after="160" w:line="360" w:lineRule="auto"/>
        <w:jc w:val="both"/>
        <w:rPr>
          <w:rFonts w:ascii="Times New Roman" w:hAnsi="Times New Roman"/>
          <w:sz w:val="24"/>
          <w:szCs w:val="24"/>
        </w:rPr>
      </w:pPr>
      <w:r w:rsidRPr="007E1DC7">
        <w:rPr>
          <w:rFonts w:ascii="Times New Roman" w:eastAsia="Arial" w:hAnsi="Times New Roman"/>
          <w:sz w:val="24"/>
          <w:szCs w:val="24"/>
        </w:rPr>
        <w:t xml:space="preserve">Kolb, D.A. (2014) </w:t>
      </w:r>
      <w:r w:rsidRPr="007E1DC7">
        <w:rPr>
          <w:rFonts w:ascii="Times New Roman" w:eastAsia="Arial" w:hAnsi="Times New Roman"/>
          <w:i/>
          <w:sz w:val="24"/>
          <w:szCs w:val="24"/>
        </w:rPr>
        <w:t>Experiential Learning: Experience as the Source of Learning and Development</w:t>
      </w:r>
      <w:r w:rsidRPr="007E1DC7">
        <w:rPr>
          <w:rFonts w:ascii="Times New Roman" w:eastAsia="Arial" w:hAnsi="Times New Roman"/>
          <w:sz w:val="24"/>
          <w:szCs w:val="24"/>
        </w:rPr>
        <w:t xml:space="preserve"> (2</w:t>
      </w:r>
      <w:r w:rsidRPr="007E1DC7">
        <w:rPr>
          <w:rFonts w:ascii="Times New Roman" w:eastAsia="Arial" w:hAnsi="Times New Roman"/>
          <w:sz w:val="24"/>
          <w:szCs w:val="24"/>
          <w:vertAlign w:val="superscript"/>
        </w:rPr>
        <w:t>nd</w:t>
      </w:r>
      <w:r w:rsidRPr="007E1DC7">
        <w:rPr>
          <w:rFonts w:ascii="Times New Roman" w:eastAsia="Arial" w:hAnsi="Times New Roman"/>
          <w:sz w:val="24"/>
          <w:szCs w:val="24"/>
        </w:rPr>
        <w:t xml:space="preserve"> edn.). New Jersey: Pearson.</w:t>
      </w:r>
    </w:p>
    <w:p w14:paraId="76B30DFF" w14:textId="77777777" w:rsidR="0041332D" w:rsidRPr="007E1DC7" w:rsidRDefault="0041332D" w:rsidP="0041332D">
      <w:pPr>
        <w:rPr>
          <w:rFonts w:ascii="Times New Roman" w:hAnsi="Times New Roman"/>
          <w:sz w:val="24"/>
          <w:szCs w:val="24"/>
        </w:rPr>
      </w:pPr>
      <w:r w:rsidRPr="007E1DC7">
        <w:rPr>
          <w:rFonts w:ascii="Times New Roman" w:eastAsia="Arial" w:hAnsi="Times New Roman"/>
          <w:sz w:val="24"/>
          <w:szCs w:val="24"/>
          <w:shd w:val="clear" w:color="auto" w:fill="FFFFFF"/>
        </w:rPr>
        <w:t xml:space="preserve">Koprowska, J. (2020) </w:t>
      </w:r>
      <w:r w:rsidRPr="007E1DC7">
        <w:rPr>
          <w:rFonts w:ascii="Times New Roman" w:eastAsia="Arial" w:hAnsi="Times New Roman"/>
          <w:i/>
          <w:sz w:val="24"/>
          <w:szCs w:val="24"/>
          <w:shd w:val="clear" w:color="auto" w:fill="FFFFFF"/>
        </w:rPr>
        <w:t xml:space="preserve">Communication and Interpersonal Skills in Social Work </w:t>
      </w:r>
      <w:r w:rsidRPr="007E1DC7">
        <w:rPr>
          <w:rFonts w:ascii="Times New Roman" w:eastAsia="Arial" w:hAnsi="Times New Roman"/>
          <w:sz w:val="24"/>
          <w:szCs w:val="24"/>
          <w:shd w:val="clear" w:color="auto" w:fill="FFFFFF"/>
        </w:rPr>
        <w:t>London: Sage.</w:t>
      </w:r>
    </w:p>
    <w:p w14:paraId="4E2CDD42"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Korfmacher, J., Green, B., Staerkel, F., Peterson, C., Cook, G., Roggman, L., Faldowski, R. and Schiffman, R. (2008) ‘Parent Involvement in Early Childhood Home visiting’, </w:t>
      </w:r>
      <w:r w:rsidRPr="007E1DC7">
        <w:rPr>
          <w:rFonts w:ascii="Times New Roman" w:eastAsia="Arial" w:hAnsi="Times New Roman"/>
          <w:i/>
          <w:sz w:val="24"/>
          <w:szCs w:val="24"/>
          <w:shd w:val="clear" w:color="auto" w:fill="FFFFFF"/>
        </w:rPr>
        <w:t>Child and Youth Care Forum,</w:t>
      </w:r>
      <w:r w:rsidRPr="007E1DC7">
        <w:rPr>
          <w:rFonts w:ascii="Times New Roman" w:eastAsia="Arial" w:hAnsi="Times New Roman"/>
          <w:iCs/>
          <w:sz w:val="24"/>
          <w:szCs w:val="24"/>
          <w:shd w:val="clear" w:color="auto" w:fill="FFFFFF"/>
        </w:rPr>
        <w:t xml:space="preserve"> 37(4), pp. 171-196.</w:t>
      </w:r>
    </w:p>
    <w:p w14:paraId="2A30FCED"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Larsen, A., Sewpaul, V. and Hole, G. (2014) </w:t>
      </w:r>
      <w:r w:rsidRPr="007E1DC7">
        <w:rPr>
          <w:rFonts w:ascii="Times New Roman" w:eastAsia="Arial" w:hAnsi="Times New Roman"/>
          <w:i/>
          <w:iCs/>
          <w:sz w:val="24"/>
          <w:szCs w:val="24"/>
          <w:shd w:val="clear" w:color="auto" w:fill="FFFFFF"/>
        </w:rPr>
        <w:t>Participation in Community Work.</w:t>
      </w:r>
      <w:r w:rsidRPr="007E1DC7">
        <w:rPr>
          <w:rFonts w:ascii="Times New Roman" w:eastAsia="Arial" w:hAnsi="Times New Roman"/>
          <w:sz w:val="24"/>
          <w:szCs w:val="24"/>
          <w:shd w:val="clear" w:color="auto" w:fill="FFFFFF"/>
        </w:rPr>
        <w:t xml:space="preserve"> Abingdon: Routledge.</w:t>
      </w:r>
    </w:p>
    <w:p w14:paraId="3463E2AB"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Lindsay, T. (ed.) (2013) </w:t>
      </w:r>
      <w:r w:rsidRPr="007E1DC7">
        <w:rPr>
          <w:rFonts w:ascii="Times New Roman" w:hAnsi="Times New Roman"/>
          <w:i/>
          <w:iCs/>
          <w:sz w:val="24"/>
          <w:szCs w:val="24"/>
        </w:rPr>
        <w:t xml:space="preserve">Social Work Intervention. </w:t>
      </w:r>
      <w:r w:rsidRPr="007E1DC7">
        <w:rPr>
          <w:rFonts w:ascii="Times New Roman" w:hAnsi="Times New Roman"/>
          <w:sz w:val="24"/>
          <w:szCs w:val="24"/>
        </w:rPr>
        <w:t xml:space="preserve">London: Sage. </w:t>
      </w:r>
    </w:p>
    <w:p w14:paraId="76FB9A67"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Littell, J. (2001) ‘Client participation and outcomes of intensive family preservation services’, </w:t>
      </w:r>
      <w:r w:rsidRPr="007E1DC7">
        <w:rPr>
          <w:rFonts w:ascii="Times New Roman" w:eastAsia="Arial" w:hAnsi="Times New Roman"/>
          <w:i/>
          <w:iCs/>
          <w:sz w:val="24"/>
          <w:szCs w:val="24"/>
          <w:shd w:val="clear" w:color="auto" w:fill="FFFFFF"/>
        </w:rPr>
        <w:t>Social Work Research,</w:t>
      </w:r>
      <w:r w:rsidRPr="007E1DC7">
        <w:rPr>
          <w:rFonts w:ascii="Times New Roman" w:eastAsia="Arial" w:hAnsi="Times New Roman"/>
          <w:sz w:val="24"/>
          <w:szCs w:val="24"/>
          <w:shd w:val="clear" w:color="auto" w:fill="FFFFFF"/>
        </w:rPr>
        <w:t>25(2), pp. 103-113.</w:t>
      </w:r>
    </w:p>
    <w:p w14:paraId="2D5F4AEB" w14:textId="6CFC84D4" w:rsidR="0041332D" w:rsidRPr="007E1DC7" w:rsidRDefault="0041332D" w:rsidP="008D16B1">
      <w:pPr>
        <w:spacing w:before="240" w:line="360" w:lineRule="auto"/>
        <w:jc w:val="right"/>
        <w:rPr>
          <w:rFonts w:ascii="Times New Roman" w:hAnsi="Times New Roman"/>
          <w:sz w:val="24"/>
          <w:szCs w:val="24"/>
        </w:rPr>
      </w:pPr>
      <w:r w:rsidRPr="007E1DC7">
        <w:rPr>
          <w:rFonts w:ascii="Times New Roman" w:eastAsia="Arial" w:hAnsi="Times New Roman"/>
          <w:sz w:val="24"/>
          <w:szCs w:val="24"/>
          <w:shd w:val="clear" w:color="auto" w:fill="FFFFFF"/>
        </w:rPr>
        <w:t xml:space="preserve">London Assembly Health Committee (2017) </w:t>
      </w:r>
      <w:r w:rsidRPr="007E1DC7">
        <w:rPr>
          <w:rFonts w:ascii="Times New Roman" w:eastAsia="Arial" w:hAnsi="Times New Roman"/>
          <w:i/>
          <w:iCs/>
          <w:sz w:val="24"/>
          <w:szCs w:val="24"/>
          <w:shd w:val="clear" w:color="auto" w:fill="FFFFFF"/>
        </w:rPr>
        <w:t>Offender Mental Health</w:t>
      </w:r>
      <w:r w:rsidRPr="007E1DC7">
        <w:rPr>
          <w:rFonts w:ascii="Times New Roman" w:eastAsia="Arial" w:hAnsi="Times New Roman"/>
          <w:sz w:val="24"/>
          <w:szCs w:val="24"/>
          <w:shd w:val="clear" w:color="auto" w:fill="FFFFFF"/>
        </w:rPr>
        <w:t xml:space="preserve">. Available at: </w:t>
      </w:r>
      <w:r w:rsidR="008D16B1" w:rsidRPr="007E1DC7">
        <w:rPr>
          <w:rFonts w:ascii="Times New Roman" w:eastAsia="Arial" w:hAnsi="Times New Roman"/>
          <w:sz w:val="24"/>
          <w:szCs w:val="24"/>
          <w:shd w:val="clear" w:color="auto" w:fill="FFFFFF"/>
        </w:rPr>
        <w:t xml:space="preserve">https://www.london.gov.uk/sites/default/files/omhfinal.pdf </w:t>
      </w:r>
      <w:r w:rsidRPr="007E1DC7">
        <w:rPr>
          <w:rFonts w:ascii="Times New Roman" w:eastAsia="Arial" w:hAnsi="Times New Roman"/>
          <w:sz w:val="24"/>
          <w:szCs w:val="24"/>
          <w:shd w:val="clear" w:color="auto" w:fill="FFFFFF"/>
        </w:rPr>
        <w:t>(Accessed: 26 April 2020).</w:t>
      </w:r>
    </w:p>
    <w:p w14:paraId="3BC9E99F"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Lopez, S.J. and Snyder, C.R. (eds.) (2009) </w:t>
      </w:r>
      <w:r w:rsidRPr="007E1DC7">
        <w:rPr>
          <w:rFonts w:ascii="Times New Roman" w:eastAsia="Arial" w:hAnsi="Times New Roman"/>
          <w:i/>
          <w:sz w:val="24"/>
          <w:szCs w:val="24"/>
          <w:shd w:val="clear" w:color="auto" w:fill="FFFFFF"/>
        </w:rPr>
        <w:t>The Oxford Handbook of Positive Psychology</w:t>
      </w:r>
      <w:r w:rsidRPr="007E1DC7">
        <w:rPr>
          <w:rFonts w:ascii="Times New Roman" w:eastAsia="Arial" w:hAnsi="Times New Roman"/>
          <w:sz w:val="24"/>
          <w:szCs w:val="24"/>
          <w:shd w:val="clear" w:color="auto" w:fill="FFFFFF"/>
        </w:rPr>
        <w:t>. New York: Oxford University</w:t>
      </w:r>
      <w:r w:rsidRPr="007E1DC7">
        <w:rPr>
          <w:rFonts w:ascii="Times New Roman" w:eastAsia="Arial" w:hAnsi="Times New Roman"/>
          <w:color w:val="C00000"/>
          <w:sz w:val="24"/>
          <w:szCs w:val="24"/>
          <w:shd w:val="clear" w:color="auto" w:fill="FFFFFF"/>
        </w:rPr>
        <w:t>.</w:t>
      </w:r>
    </w:p>
    <w:p w14:paraId="4C1440D8"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Mann, R., and Howard, F. (2018) ‘Rehabilitative Culture’, </w:t>
      </w:r>
      <w:r w:rsidRPr="007E1DC7">
        <w:rPr>
          <w:rFonts w:ascii="Times New Roman" w:eastAsia="Arial" w:hAnsi="Times New Roman"/>
          <w:i/>
          <w:sz w:val="24"/>
          <w:szCs w:val="24"/>
          <w:shd w:val="clear" w:color="auto" w:fill="FFFFFF"/>
        </w:rPr>
        <w:t>Prison Service Journal</w:t>
      </w:r>
      <w:r w:rsidRPr="007E1DC7">
        <w:rPr>
          <w:rFonts w:ascii="Times New Roman" w:eastAsia="Arial" w:hAnsi="Times New Roman"/>
          <w:sz w:val="24"/>
          <w:szCs w:val="24"/>
          <w:shd w:val="clear" w:color="auto" w:fill="FFFFFF"/>
        </w:rPr>
        <w:t>, 235, pp.3-9.</w:t>
      </w:r>
    </w:p>
    <w:p w14:paraId="40086E45"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Miller, M. (2000) </w:t>
      </w:r>
      <w:r w:rsidRPr="007E1DC7">
        <w:rPr>
          <w:rFonts w:ascii="Times New Roman" w:eastAsia="Arial" w:hAnsi="Times New Roman"/>
          <w:i/>
          <w:sz w:val="24"/>
          <w:szCs w:val="24"/>
          <w:shd w:val="clear" w:color="auto" w:fill="FFFFFF"/>
        </w:rPr>
        <w:t>Drugs and Mental Illness</w:t>
      </w:r>
      <w:r w:rsidRPr="007E1DC7">
        <w:rPr>
          <w:rFonts w:ascii="Times New Roman" w:eastAsia="Arial" w:hAnsi="Times New Roman"/>
          <w:sz w:val="24"/>
          <w:szCs w:val="24"/>
          <w:shd w:val="clear" w:color="auto" w:fill="FFFFFF"/>
        </w:rPr>
        <w:t>. New York: The Rosen Publishing Group.</w:t>
      </w:r>
    </w:p>
    <w:p w14:paraId="1E7B11B4"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Milner, J., Myers, S. and O'Byrne, P.  (2015) </w:t>
      </w:r>
      <w:r w:rsidRPr="007E1DC7">
        <w:rPr>
          <w:rFonts w:ascii="Times New Roman" w:hAnsi="Times New Roman"/>
          <w:i/>
          <w:iCs/>
          <w:sz w:val="24"/>
          <w:szCs w:val="24"/>
        </w:rPr>
        <w:t>Assessment in Social Work</w:t>
      </w:r>
      <w:r w:rsidRPr="007E1DC7">
        <w:rPr>
          <w:rFonts w:ascii="Times New Roman" w:hAnsi="Times New Roman"/>
          <w:sz w:val="24"/>
          <w:szCs w:val="24"/>
        </w:rPr>
        <w:t>. London: McMillan International.</w:t>
      </w:r>
    </w:p>
    <w:p w14:paraId="7262E88D" w14:textId="66E864DB"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Nacro</w:t>
      </w:r>
      <w:r w:rsidR="00085B6B">
        <w:rPr>
          <w:rFonts w:ascii="Times New Roman" w:hAnsi="Times New Roman"/>
          <w:sz w:val="24"/>
          <w:szCs w:val="24"/>
        </w:rPr>
        <w:tab/>
      </w:r>
      <w:r w:rsidR="006B2638">
        <w:rPr>
          <w:rFonts w:ascii="Times New Roman" w:hAnsi="Times New Roman"/>
          <w:sz w:val="24"/>
          <w:szCs w:val="24"/>
        </w:rPr>
        <w:t>Q.</w:t>
      </w:r>
      <w:r w:rsidR="006B2638" w:rsidRPr="007E1DC7">
        <w:rPr>
          <w:rFonts w:ascii="Times New Roman" w:hAnsi="Times New Roman"/>
          <w:sz w:val="24"/>
          <w:szCs w:val="24"/>
        </w:rPr>
        <w:t xml:space="preserve"> (</w:t>
      </w:r>
      <w:r w:rsidRPr="007E1DC7">
        <w:rPr>
          <w:rFonts w:ascii="Times New Roman" w:hAnsi="Times New Roman"/>
          <w:sz w:val="24"/>
          <w:szCs w:val="24"/>
        </w:rPr>
        <w:t xml:space="preserve">2020) </w:t>
      </w:r>
      <w:r w:rsidRPr="007E1DC7">
        <w:rPr>
          <w:rFonts w:ascii="Times New Roman" w:hAnsi="Times New Roman"/>
          <w:i/>
          <w:iCs/>
          <w:sz w:val="24"/>
          <w:szCs w:val="24"/>
        </w:rPr>
        <w:t>Employing Someone with a Criminal Record.</w:t>
      </w:r>
      <w:r w:rsidRPr="007E1DC7">
        <w:rPr>
          <w:rFonts w:ascii="Times New Roman" w:hAnsi="Times New Roman"/>
          <w:sz w:val="24"/>
          <w:szCs w:val="24"/>
        </w:rPr>
        <w:t xml:space="preserve"> Available at:</w:t>
      </w:r>
      <w:r w:rsidR="008D16B1" w:rsidRPr="007E1DC7">
        <w:rPr>
          <w:rFonts w:ascii="Times New Roman" w:hAnsi="Times New Roman"/>
          <w:sz w:val="24"/>
          <w:szCs w:val="24"/>
        </w:rPr>
        <w:t xml:space="preserve"> https://www.nacro.org.uk/resettlement-advice-service/support-for-employers/employing-someone-with-a-criminal-record/</w:t>
      </w:r>
      <w:r w:rsidRPr="007E1DC7">
        <w:rPr>
          <w:rFonts w:ascii="Times New Roman" w:hAnsi="Times New Roman"/>
          <w:sz w:val="24"/>
          <w:szCs w:val="24"/>
        </w:rPr>
        <w:t xml:space="preserve"> (Accessed: 5 May 2020).</w:t>
      </w:r>
    </w:p>
    <w:p w14:paraId="578051F9" w14:textId="051686C3" w:rsidR="0041332D" w:rsidRPr="007E1DC7" w:rsidRDefault="0041332D" w:rsidP="0041332D">
      <w:pPr>
        <w:spacing w:before="240" w:after="160" w:line="360" w:lineRule="auto"/>
        <w:jc w:val="both"/>
        <w:rPr>
          <w:rFonts w:ascii="Times New Roman" w:hAnsi="Times New Roman"/>
          <w:sz w:val="24"/>
          <w:szCs w:val="24"/>
        </w:rPr>
      </w:pPr>
      <w:r w:rsidRPr="007E1DC7">
        <w:rPr>
          <w:rFonts w:ascii="Times New Roman" w:eastAsia="Arial" w:hAnsi="Times New Roman"/>
          <w:color w:val="33312D"/>
          <w:sz w:val="24"/>
          <w:szCs w:val="24"/>
        </w:rPr>
        <w:lastRenderedPageBreak/>
        <w:t xml:space="preserve">National Offender Management Service (2015) </w:t>
      </w:r>
      <w:r w:rsidRPr="007E1DC7">
        <w:rPr>
          <w:rFonts w:ascii="Times New Roman" w:eastAsia="Arial" w:hAnsi="Times New Roman"/>
          <w:i/>
          <w:color w:val="33312D"/>
          <w:sz w:val="24"/>
          <w:szCs w:val="24"/>
        </w:rPr>
        <w:t>Managing Indeterminate Sentenced Offenders on Licence.</w:t>
      </w:r>
      <w:r w:rsidRPr="007E1DC7">
        <w:rPr>
          <w:rFonts w:ascii="Times New Roman" w:eastAsia="Arial" w:hAnsi="Times New Roman"/>
          <w:color w:val="33312D"/>
          <w:sz w:val="24"/>
          <w:szCs w:val="24"/>
        </w:rPr>
        <w:t xml:space="preserve"> Available at:  </w:t>
      </w:r>
      <w:r w:rsidR="008D16B1" w:rsidRPr="007E1DC7">
        <w:rPr>
          <w:rFonts w:ascii="Times New Roman" w:eastAsia="Arial" w:hAnsi="Times New Roman"/>
          <w:color w:val="33312D"/>
          <w:sz w:val="24"/>
          <w:szCs w:val="24"/>
        </w:rPr>
        <w:t xml:space="preserve">https://www.justice.gov.uk/downloads/offenders/probation-instructions/pi-08-2015-managing-indeterminate-sentenced-offenders-on-licence.pdf </w:t>
      </w:r>
      <w:r w:rsidRPr="007E1DC7">
        <w:rPr>
          <w:rFonts w:ascii="Times New Roman" w:eastAsia="Arial" w:hAnsi="Times New Roman"/>
          <w:color w:val="33312D"/>
          <w:sz w:val="24"/>
          <w:szCs w:val="24"/>
        </w:rPr>
        <w:t>(Accessed: 21 April 2020).</w:t>
      </w:r>
    </w:p>
    <w:p w14:paraId="70D594E5" w14:textId="22F3254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iCs/>
          <w:sz w:val="24"/>
          <w:szCs w:val="24"/>
          <w:shd w:val="clear" w:color="auto" w:fill="FFFFFF"/>
        </w:rPr>
        <w:t xml:space="preserve">NHS (2017) </w:t>
      </w:r>
      <w:r w:rsidRPr="007E1DC7">
        <w:rPr>
          <w:rFonts w:ascii="Times New Roman" w:eastAsia="Arial" w:hAnsi="Times New Roman"/>
          <w:i/>
          <w:sz w:val="24"/>
          <w:szCs w:val="24"/>
          <w:shd w:val="clear" w:color="auto" w:fill="FFFFFF"/>
        </w:rPr>
        <w:t xml:space="preserve">Dyspraxia (Developmental Co-ordination Disorder) in Adults. Available at: </w:t>
      </w:r>
      <w:r w:rsidR="008D16B1" w:rsidRPr="007E1DC7">
        <w:rPr>
          <w:rFonts w:ascii="Times New Roman" w:eastAsia="Arial" w:hAnsi="Times New Roman"/>
          <w:i/>
          <w:sz w:val="24"/>
          <w:szCs w:val="24"/>
          <w:shd w:val="clear" w:color="auto" w:fill="FFFFFF"/>
        </w:rPr>
        <w:t xml:space="preserve">https://www.nhs.uk/conditions/developmental-coordination-disorder-dyspraxia-in-adults/ </w:t>
      </w:r>
      <w:r w:rsidRPr="007E1DC7">
        <w:rPr>
          <w:rFonts w:ascii="Times New Roman" w:eastAsia="Arial" w:hAnsi="Times New Roman"/>
          <w:iCs/>
          <w:sz w:val="24"/>
          <w:szCs w:val="24"/>
          <w:shd w:val="clear" w:color="auto" w:fill="FFFFFF"/>
        </w:rPr>
        <w:t>(Accessed: 25 April 2020).</w:t>
      </w:r>
    </w:p>
    <w:p w14:paraId="4CBE146B" w14:textId="44A98425"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iCs/>
          <w:sz w:val="24"/>
          <w:szCs w:val="24"/>
          <w:shd w:val="clear" w:color="auto" w:fill="FFFFFF"/>
        </w:rPr>
        <w:t xml:space="preserve">NHS (2020) </w:t>
      </w:r>
      <w:r w:rsidRPr="007E1DC7">
        <w:rPr>
          <w:rFonts w:ascii="Times New Roman" w:eastAsia="Arial" w:hAnsi="Times New Roman"/>
          <w:i/>
          <w:sz w:val="24"/>
          <w:szCs w:val="24"/>
          <w:shd w:val="clear" w:color="auto" w:fill="FFFFFF"/>
        </w:rPr>
        <w:t>Heroin Addiction: Get Help</w:t>
      </w:r>
      <w:r w:rsidRPr="007E1DC7">
        <w:rPr>
          <w:rFonts w:ascii="Times New Roman" w:eastAsia="Arial" w:hAnsi="Times New Roman"/>
          <w:iCs/>
          <w:sz w:val="24"/>
          <w:szCs w:val="24"/>
          <w:shd w:val="clear" w:color="auto" w:fill="FFFFFF"/>
        </w:rPr>
        <w:t>. Available at:</w:t>
      </w:r>
      <w:r w:rsidR="008D16B1" w:rsidRPr="007E1DC7">
        <w:rPr>
          <w:rFonts w:ascii="Times New Roman" w:hAnsi="Times New Roman"/>
          <w:sz w:val="24"/>
          <w:szCs w:val="24"/>
        </w:rPr>
        <w:t xml:space="preserve"> </w:t>
      </w:r>
      <w:r w:rsidR="008D16B1" w:rsidRPr="007E1DC7">
        <w:rPr>
          <w:rFonts w:ascii="Times New Roman" w:eastAsia="Arial" w:hAnsi="Times New Roman"/>
          <w:iCs/>
          <w:sz w:val="24"/>
          <w:szCs w:val="24"/>
          <w:shd w:val="clear" w:color="auto" w:fill="FFFFFF"/>
        </w:rPr>
        <w:t>https://www.nhs.uk/live-well/healthy-body/heroin-get-help/</w:t>
      </w:r>
      <w:r w:rsidRPr="007E1DC7">
        <w:rPr>
          <w:rFonts w:ascii="Times New Roman" w:eastAsia="Arial" w:hAnsi="Times New Roman"/>
          <w:iCs/>
          <w:sz w:val="24"/>
          <w:szCs w:val="24"/>
          <w:shd w:val="clear" w:color="auto" w:fill="FFFFFF"/>
        </w:rPr>
        <w:t xml:space="preserve"> (Accessed: 25 April 2020).</w:t>
      </w:r>
    </w:p>
    <w:p w14:paraId="33223732" w14:textId="70DF1702"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iCs/>
          <w:sz w:val="24"/>
          <w:szCs w:val="24"/>
          <w:shd w:val="clear" w:color="auto" w:fill="FFFFFF"/>
        </w:rPr>
        <w:t xml:space="preserve">PDSA (2020) </w:t>
      </w:r>
      <w:r w:rsidRPr="007E1DC7">
        <w:rPr>
          <w:rFonts w:ascii="Times New Roman" w:eastAsia="Arial" w:hAnsi="Times New Roman"/>
          <w:i/>
          <w:sz w:val="24"/>
          <w:szCs w:val="24"/>
          <w:shd w:val="clear" w:color="auto" w:fill="FFFFFF"/>
        </w:rPr>
        <w:t>Saving Pets, Changing Lives</w:t>
      </w:r>
      <w:r w:rsidRPr="007E1DC7">
        <w:rPr>
          <w:rFonts w:ascii="Times New Roman" w:eastAsia="Arial" w:hAnsi="Times New Roman"/>
          <w:iCs/>
          <w:sz w:val="24"/>
          <w:szCs w:val="24"/>
          <w:shd w:val="clear" w:color="auto" w:fill="FFFFFF"/>
        </w:rPr>
        <w:t xml:space="preserve">. Available at: </w:t>
      </w:r>
      <w:r w:rsidR="008D16B1" w:rsidRPr="007E1DC7">
        <w:rPr>
          <w:rFonts w:ascii="Times New Roman" w:eastAsia="Arial" w:hAnsi="Times New Roman"/>
          <w:iCs/>
          <w:sz w:val="24"/>
          <w:szCs w:val="24"/>
          <w:shd w:val="clear" w:color="auto" w:fill="FFFFFF"/>
        </w:rPr>
        <w:t xml:space="preserve">https://www.pdsa.org.uk/ </w:t>
      </w:r>
      <w:r w:rsidRPr="007E1DC7">
        <w:rPr>
          <w:rFonts w:ascii="Times New Roman" w:eastAsia="Arial" w:hAnsi="Times New Roman"/>
          <w:iCs/>
          <w:sz w:val="24"/>
          <w:szCs w:val="24"/>
          <w:shd w:val="clear" w:color="auto" w:fill="FFFFFF"/>
        </w:rPr>
        <w:t>(Accessed: 25 April 2020).</w:t>
      </w:r>
    </w:p>
    <w:p w14:paraId="42AC4956" w14:textId="305FCF47" w:rsidR="0041332D" w:rsidRPr="007E1DC7" w:rsidRDefault="0041332D" w:rsidP="0041332D">
      <w:pPr>
        <w:rPr>
          <w:rFonts w:ascii="Times New Roman" w:hAnsi="Times New Roman"/>
          <w:sz w:val="24"/>
          <w:szCs w:val="24"/>
        </w:rPr>
      </w:pPr>
      <w:r w:rsidRPr="007E1DC7">
        <w:rPr>
          <w:rFonts w:ascii="Times New Roman" w:hAnsi="Times New Roman"/>
          <w:i/>
          <w:iCs/>
          <w:sz w:val="24"/>
          <w:szCs w:val="24"/>
        </w:rPr>
        <w:t>Rehabilitation of Offenders Act 1974</w:t>
      </w:r>
      <w:r w:rsidRPr="007E1DC7">
        <w:rPr>
          <w:rFonts w:ascii="Times New Roman" w:hAnsi="Times New Roman"/>
          <w:sz w:val="24"/>
          <w:szCs w:val="24"/>
        </w:rPr>
        <w:t xml:space="preserve">, c.53. Available at: </w:t>
      </w:r>
      <w:r w:rsidR="008D16B1" w:rsidRPr="007E1DC7">
        <w:rPr>
          <w:rFonts w:ascii="Times New Roman" w:hAnsi="Times New Roman"/>
          <w:sz w:val="24"/>
          <w:szCs w:val="24"/>
        </w:rPr>
        <w:t xml:space="preserve">http://www.legislation.gov.uk/ukpga/1974/53 </w:t>
      </w:r>
      <w:r w:rsidRPr="007E1DC7">
        <w:rPr>
          <w:rFonts w:ascii="Times New Roman" w:hAnsi="Times New Roman"/>
          <w:sz w:val="24"/>
          <w:szCs w:val="24"/>
        </w:rPr>
        <w:t xml:space="preserve">(Accessed: 26 April 2020). </w:t>
      </w:r>
    </w:p>
    <w:p w14:paraId="66864FB7" w14:textId="77777777" w:rsidR="0041332D" w:rsidRPr="007E1DC7" w:rsidRDefault="0041332D" w:rsidP="0041332D">
      <w:pPr>
        <w:spacing w:before="240" w:after="160" w:line="360" w:lineRule="auto"/>
        <w:jc w:val="both"/>
        <w:rPr>
          <w:rFonts w:ascii="Times New Roman" w:hAnsi="Times New Roman"/>
          <w:sz w:val="24"/>
          <w:szCs w:val="24"/>
        </w:rPr>
      </w:pPr>
      <w:r w:rsidRPr="007E1DC7">
        <w:rPr>
          <w:rFonts w:ascii="Times New Roman" w:eastAsia="Arial" w:hAnsi="Times New Roman"/>
          <w:sz w:val="24"/>
          <w:szCs w:val="24"/>
        </w:rPr>
        <w:t xml:space="preserve">Sicora, A. (2017) </w:t>
      </w:r>
      <w:r w:rsidRPr="007E1DC7">
        <w:rPr>
          <w:rFonts w:ascii="Times New Roman" w:eastAsia="Arial" w:hAnsi="Times New Roman"/>
          <w:i/>
          <w:sz w:val="24"/>
          <w:szCs w:val="24"/>
        </w:rPr>
        <w:t>Reflective Practice</w:t>
      </w:r>
      <w:r w:rsidRPr="007E1DC7">
        <w:rPr>
          <w:rFonts w:ascii="Times New Roman" w:eastAsia="Arial" w:hAnsi="Times New Roman"/>
          <w:sz w:val="24"/>
          <w:szCs w:val="24"/>
        </w:rPr>
        <w:t>. Bristol: Policy Press.</w:t>
      </w:r>
    </w:p>
    <w:p w14:paraId="49AD19C3"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Siegel, L. (2007) </w:t>
      </w:r>
      <w:r w:rsidRPr="007E1DC7">
        <w:rPr>
          <w:rFonts w:ascii="Times New Roman" w:eastAsia="Arial" w:hAnsi="Times New Roman"/>
          <w:i/>
          <w:sz w:val="24"/>
          <w:szCs w:val="24"/>
          <w:shd w:val="clear" w:color="auto" w:fill="FFFFFF"/>
        </w:rPr>
        <w:t>Criminology: Theories, Patterns, and Typologies</w:t>
      </w:r>
      <w:r w:rsidRPr="007E1DC7">
        <w:rPr>
          <w:rFonts w:ascii="Times New Roman" w:eastAsia="Arial" w:hAnsi="Times New Roman"/>
          <w:sz w:val="24"/>
          <w:szCs w:val="24"/>
          <w:shd w:val="clear" w:color="auto" w:fill="FFFFFF"/>
        </w:rPr>
        <w:t xml:space="preserve"> (9</w:t>
      </w:r>
      <w:r w:rsidRPr="007E1DC7">
        <w:rPr>
          <w:rFonts w:ascii="Times New Roman" w:eastAsia="Arial" w:hAnsi="Times New Roman"/>
          <w:sz w:val="24"/>
          <w:szCs w:val="24"/>
          <w:shd w:val="clear" w:color="auto" w:fill="FFFFFF"/>
          <w:vertAlign w:val="superscript"/>
        </w:rPr>
        <w:t>th</w:t>
      </w:r>
      <w:r w:rsidRPr="007E1DC7">
        <w:rPr>
          <w:rFonts w:ascii="Times New Roman" w:eastAsia="Arial" w:hAnsi="Times New Roman"/>
          <w:sz w:val="24"/>
          <w:szCs w:val="24"/>
          <w:shd w:val="clear" w:color="auto" w:fill="FFFFFF"/>
        </w:rPr>
        <w:t xml:space="preserve"> edn.) Lowell: Thompson Wadsworth.</w:t>
      </w:r>
    </w:p>
    <w:p w14:paraId="10C23877"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Sinclair, K., Garrett, L. and Berridge, U. (1995) </w:t>
      </w:r>
      <w:r w:rsidRPr="007E1DC7">
        <w:rPr>
          <w:rFonts w:ascii="Times New Roman" w:hAnsi="Times New Roman"/>
          <w:i/>
          <w:iCs/>
          <w:sz w:val="24"/>
          <w:szCs w:val="24"/>
        </w:rPr>
        <w:t>Social Work and Assessment with Adolescents.</w:t>
      </w:r>
      <w:r w:rsidRPr="007E1DC7">
        <w:rPr>
          <w:rFonts w:ascii="Times New Roman" w:hAnsi="Times New Roman"/>
          <w:sz w:val="24"/>
          <w:szCs w:val="24"/>
        </w:rPr>
        <w:t xml:space="preserve"> London: NCB.</w:t>
      </w:r>
    </w:p>
    <w:p w14:paraId="05FCF2EB"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Singleton, N., Meltzer, H. and Gatward, R. (1998) </w:t>
      </w:r>
      <w:r w:rsidRPr="007E1DC7">
        <w:rPr>
          <w:rFonts w:ascii="Times New Roman" w:hAnsi="Times New Roman"/>
          <w:i/>
          <w:iCs/>
          <w:sz w:val="24"/>
          <w:szCs w:val="24"/>
        </w:rPr>
        <w:t>Psychiatric Morbidity Among Prisoners: Summary Report</w:t>
      </w:r>
      <w:r w:rsidRPr="007E1DC7">
        <w:rPr>
          <w:rFonts w:ascii="Times New Roman" w:hAnsi="Times New Roman"/>
          <w:sz w:val="24"/>
          <w:szCs w:val="24"/>
        </w:rPr>
        <w:t>. London: Office for National Statistics.</w:t>
      </w:r>
    </w:p>
    <w:p w14:paraId="53FFD200" w14:textId="1EC35559" w:rsidR="0041332D" w:rsidRPr="007E1DC7" w:rsidRDefault="0041332D" w:rsidP="0041332D">
      <w:pPr>
        <w:spacing w:before="240" w:after="160" w:line="360" w:lineRule="auto"/>
        <w:jc w:val="both"/>
        <w:rPr>
          <w:rFonts w:ascii="Times New Roman" w:hAnsi="Times New Roman"/>
          <w:sz w:val="24"/>
          <w:szCs w:val="24"/>
        </w:rPr>
      </w:pPr>
      <w:r w:rsidRPr="007E1DC7">
        <w:rPr>
          <w:rFonts w:ascii="Times New Roman" w:eastAsia="Arial" w:hAnsi="Times New Roman"/>
          <w:sz w:val="24"/>
          <w:szCs w:val="24"/>
        </w:rPr>
        <w:t xml:space="preserve">Social Care Wales (2019) </w:t>
      </w:r>
      <w:r w:rsidRPr="007E1DC7">
        <w:rPr>
          <w:rFonts w:ascii="Times New Roman" w:eastAsia="Arial" w:hAnsi="Times New Roman"/>
          <w:i/>
          <w:iCs/>
          <w:sz w:val="24"/>
          <w:szCs w:val="24"/>
        </w:rPr>
        <w:t>The Framework for the Degree in Social Work in Wales: Supplementary Guidance to the Rules.</w:t>
      </w:r>
      <w:r w:rsidRPr="007E1DC7">
        <w:rPr>
          <w:rFonts w:ascii="Times New Roman" w:eastAsia="Arial" w:hAnsi="Times New Roman"/>
          <w:sz w:val="24"/>
          <w:szCs w:val="24"/>
        </w:rPr>
        <w:t xml:space="preserve"> Available at: </w:t>
      </w:r>
      <w:r w:rsidR="008D16B1" w:rsidRPr="007E1DC7">
        <w:rPr>
          <w:rFonts w:ascii="Times New Roman" w:eastAsia="Arial" w:hAnsi="Times New Roman"/>
          <w:sz w:val="24"/>
          <w:szCs w:val="24"/>
        </w:rPr>
        <w:t xml:space="preserve">https://socialcare.wales/cms_assets/file-uploads/The-Framework-for-the-Degree-in-Social-Work-in-Wales-Supplementary-Guidance-to-the-Rules.pdf </w:t>
      </w:r>
      <w:r w:rsidRPr="007E1DC7">
        <w:rPr>
          <w:rFonts w:ascii="Times New Roman" w:eastAsia="Arial" w:hAnsi="Times New Roman"/>
          <w:sz w:val="24"/>
          <w:szCs w:val="24"/>
        </w:rPr>
        <w:t>(Accessed: 24 March 2020).</w:t>
      </w:r>
    </w:p>
    <w:p w14:paraId="18281F6C" w14:textId="5201D15C"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i/>
          <w:iCs/>
          <w:sz w:val="24"/>
          <w:szCs w:val="24"/>
          <w:shd w:val="clear" w:color="auto" w:fill="FFFFFF"/>
        </w:rPr>
        <w:t xml:space="preserve">Social Services and Well-being (Wales) Act 2014, c.21; c.37. </w:t>
      </w:r>
      <w:r w:rsidRPr="007E1DC7">
        <w:rPr>
          <w:rFonts w:ascii="Times New Roman" w:eastAsia="Arial" w:hAnsi="Times New Roman"/>
          <w:sz w:val="24"/>
          <w:szCs w:val="24"/>
          <w:shd w:val="clear" w:color="auto" w:fill="FFFFFF"/>
        </w:rPr>
        <w:t xml:space="preserve">Available at: </w:t>
      </w:r>
      <w:r w:rsidR="007E1DC7" w:rsidRPr="007E1DC7">
        <w:rPr>
          <w:rFonts w:ascii="Times New Roman" w:eastAsia="Arial" w:hAnsi="Times New Roman"/>
          <w:sz w:val="24"/>
          <w:szCs w:val="24"/>
          <w:shd w:val="clear" w:color="auto" w:fill="FFFFFF"/>
        </w:rPr>
        <w:t xml:space="preserve">http://www.legislation.gov.uk/anaw/2014/4/contents </w:t>
      </w:r>
      <w:r w:rsidRPr="007E1DC7">
        <w:rPr>
          <w:rFonts w:ascii="Times New Roman" w:eastAsia="Arial" w:hAnsi="Times New Roman"/>
          <w:sz w:val="24"/>
          <w:szCs w:val="24"/>
          <w:shd w:val="clear" w:color="auto" w:fill="FFFFFF"/>
        </w:rPr>
        <w:t>(Accessed: 26 April 2020).</w:t>
      </w:r>
    </w:p>
    <w:p w14:paraId="564A2868"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Spicker, P. (2014) </w:t>
      </w:r>
      <w:r w:rsidRPr="007E1DC7">
        <w:rPr>
          <w:rFonts w:ascii="Times New Roman" w:hAnsi="Times New Roman"/>
          <w:i/>
          <w:iCs/>
          <w:sz w:val="24"/>
          <w:szCs w:val="24"/>
        </w:rPr>
        <w:t>Social Policy: Theory and Practice</w:t>
      </w:r>
      <w:r w:rsidRPr="007E1DC7">
        <w:rPr>
          <w:rFonts w:ascii="Times New Roman" w:hAnsi="Times New Roman"/>
          <w:sz w:val="24"/>
          <w:szCs w:val="24"/>
        </w:rPr>
        <w:t>. Bristol: Policy Press</w:t>
      </w:r>
    </w:p>
    <w:p w14:paraId="75FD0421" w14:textId="514C210F" w:rsidR="0041332D" w:rsidRPr="007E1DC7" w:rsidRDefault="0041332D" w:rsidP="0041332D">
      <w:pPr>
        <w:spacing w:before="240" w:after="160" w:line="360" w:lineRule="auto"/>
        <w:jc w:val="both"/>
        <w:rPr>
          <w:rFonts w:ascii="Times New Roman" w:hAnsi="Times New Roman"/>
          <w:sz w:val="24"/>
          <w:szCs w:val="24"/>
        </w:rPr>
      </w:pPr>
      <w:r w:rsidRPr="007E1DC7">
        <w:rPr>
          <w:rFonts w:ascii="Times New Roman" w:eastAsia="Arial" w:hAnsi="Times New Roman"/>
          <w:sz w:val="24"/>
          <w:szCs w:val="24"/>
        </w:rPr>
        <w:t xml:space="preserve">Swansea Council (2019) </w:t>
      </w:r>
      <w:r w:rsidRPr="007E1DC7">
        <w:rPr>
          <w:rFonts w:ascii="Times New Roman" w:eastAsia="Arial" w:hAnsi="Times New Roman"/>
          <w:i/>
          <w:sz w:val="24"/>
          <w:szCs w:val="24"/>
        </w:rPr>
        <w:t xml:space="preserve">The Tenancy Support Unit. </w:t>
      </w:r>
      <w:r w:rsidRPr="007E1DC7">
        <w:rPr>
          <w:rFonts w:ascii="Times New Roman" w:eastAsia="Arial" w:hAnsi="Times New Roman"/>
          <w:iCs/>
          <w:sz w:val="24"/>
          <w:szCs w:val="24"/>
        </w:rPr>
        <w:t>Available at:</w:t>
      </w:r>
      <w:r w:rsidRPr="007E1DC7">
        <w:rPr>
          <w:rFonts w:ascii="Times New Roman" w:eastAsia="Arial" w:hAnsi="Times New Roman"/>
          <w:i/>
          <w:sz w:val="24"/>
          <w:szCs w:val="24"/>
        </w:rPr>
        <w:t xml:space="preserve"> </w:t>
      </w:r>
      <w:r w:rsidR="007E1DC7" w:rsidRPr="007E1DC7">
        <w:rPr>
          <w:rFonts w:ascii="Times New Roman" w:eastAsia="Arial" w:hAnsi="Times New Roman"/>
          <w:i/>
          <w:sz w:val="24"/>
          <w:szCs w:val="24"/>
        </w:rPr>
        <w:lastRenderedPageBreak/>
        <w:t xml:space="preserve">https://www.swansea.gov.uk/article/9304/The-Tenancy-Support-Unit-TSU </w:t>
      </w:r>
      <w:r w:rsidRPr="007E1DC7">
        <w:rPr>
          <w:rFonts w:ascii="Times New Roman" w:eastAsia="Arial" w:hAnsi="Times New Roman"/>
          <w:sz w:val="24"/>
          <w:szCs w:val="24"/>
        </w:rPr>
        <w:t>(Accessed: 24</w:t>
      </w:r>
      <w:r w:rsidRPr="007E1DC7">
        <w:rPr>
          <w:rFonts w:ascii="Times New Roman" w:eastAsia="Arial" w:hAnsi="Times New Roman"/>
          <w:sz w:val="24"/>
          <w:szCs w:val="24"/>
          <w:vertAlign w:val="superscript"/>
        </w:rPr>
        <w:t xml:space="preserve"> </w:t>
      </w:r>
      <w:r w:rsidRPr="007E1DC7">
        <w:rPr>
          <w:rFonts w:ascii="Times New Roman" w:eastAsia="Arial" w:hAnsi="Times New Roman"/>
          <w:sz w:val="24"/>
          <w:szCs w:val="24"/>
        </w:rPr>
        <w:t>March 2020).</w:t>
      </w:r>
    </w:p>
    <w:p w14:paraId="06946AD7" w14:textId="75C30BF9"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iCs/>
          <w:sz w:val="24"/>
          <w:szCs w:val="24"/>
          <w:shd w:val="clear" w:color="auto" w:fill="FFFFFF"/>
        </w:rPr>
        <w:t xml:space="preserve">Swansea Council (2020) </w:t>
      </w:r>
      <w:r w:rsidRPr="007E1DC7">
        <w:rPr>
          <w:rFonts w:ascii="Times New Roman" w:eastAsia="Arial" w:hAnsi="Times New Roman"/>
          <w:i/>
          <w:iCs/>
          <w:sz w:val="24"/>
          <w:szCs w:val="24"/>
          <w:shd w:val="clear" w:color="auto" w:fill="FFFFFF"/>
        </w:rPr>
        <w:t xml:space="preserve">Swansea: Local Area Coordination. </w:t>
      </w:r>
      <w:r w:rsidRPr="007E1DC7">
        <w:rPr>
          <w:rFonts w:ascii="Times New Roman" w:eastAsia="Arial" w:hAnsi="Times New Roman"/>
          <w:sz w:val="24"/>
          <w:szCs w:val="24"/>
          <w:shd w:val="clear" w:color="auto" w:fill="FFFFFF"/>
        </w:rPr>
        <w:t>Available at:</w:t>
      </w:r>
      <w:r w:rsidR="007E1DC7" w:rsidRPr="007E1DC7">
        <w:rPr>
          <w:rFonts w:ascii="Times New Roman" w:hAnsi="Times New Roman"/>
          <w:sz w:val="24"/>
          <w:szCs w:val="24"/>
        </w:rPr>
        <w:t xml:space="preserve"> </w:t>
      </w:r>
      <w:r w:rsidR="007E1DC7" w:rsidRPr="007E1DC7">
        <w:rPr>
          <w:rFonts w:ascii="Times New Roman" w:eastAsia="Arial" w:hAnsi="Times New Roman"/>
          <w:sz w:val="24"/>
          <w:szCs w:val="24"/>
          <w:shd w:val="clear" w:color="auto" w:fill="FFFFFF"/>
        </w:rPr>
        <w:t>https://www.swansea.gov.uk/localareacoordination</w:t>
      </w:r>
      <w:r w:rsidRPr="007E1DC7">
        <w:rPr>
          <w:rFonts w:ascii="Times New Roman" w:eastAsia="Arial" w:hAnsi="Times New Roman"/>
          <w:sz w:val="24"/>
          <w:szCs w:val="24"/>
          <w:shd w:val="clear" w:color="auto" w:fill="FFFFFF"/>
        </w:rPr>
        <w:t xml:space="preserve"> (Accessed: 25 April 2020).</w:t>
      </w:r>
    </w:p>
    <w:p w14:paraId="06D36F88" w14:textId="77777777" w:rsidR="0041332D" w:rsidRPr="007E1DC7" w:rsidRDefault="0041332D" w:rsidP="0041332D">
      <w:pPr>
        <w:spacing w:before="240" w:after="160" w:line="360" w:lineRule="auto"/>
        <w:jc w:val="both"/>
        <w:rPr>
          <w:rFonts w:ascii="Times New Roman" w:hAnsi="Times New Roman"/>
          <w:sz w:val="24"/>
          <w:szCs w:val="24"/>
        </w:rPr>
      </w:pPr>
      <w:r w:rsidRPr="007E1DC7">
        <w:rPr>
          <w:rFonts w:ascii="Times New Roman" w:eastAsia="Arial" w:hAnsi="Times New Roman"/>
          <w:sz w:val="24"/>
          <w:szCs w:val="24"/>
        </w:rPr>
        <w:t>Tate, S. and Sills, M. (2004). </w:t>
      </w:r>
      <w:r w:rsidRPr="007E1DC7">
        <w:rPr>
          <w:rFonts w:ascii="Times New Roman" w:eastAsia="Arial" w:hAnsi="Times New Roman"/>
          <w:i/>
          <w:sz w:val="24"/>
          <w:szCs w:val="24"/>
        </w:rPr>
        <w:t>The development of critical reflection in the health professions.</w:t>
      </w:r>
      <w:r w:rsidRPr="007E1DC7">
        <w:rPr>
          <w:rFonts w:ascii="Times New Roman" w:eastAsia="Arial" w:hAnsi="Times New Roman"/>
          <w:sz w:val="24"/>
          <w:szCs w:val="24"/>
        </w:rPr>
        <w:t> London: LTSN Publications.</w:t>
      </w:r>
    </w:p>
    <w:p w14:paraId="786A7B6F" w14:textId="34C0D323" w:rsidR="0041332D" w:rsidRPr="007E1DC7" w:rsidRDefault="0041332D" w:rsidP="0041332D">
      <w:pPr>
        <w:spacing w:before="240" w:after="160" w:line="360" w:lineRule="auto"/>
        <w:jc w:val="both"/>
        <w:rPr>
          <w:rFonts w:ascii="Times New Roman" w:hAnsi="Times New Roman"/>
          <w:sz w:val="24"/>
          <w:szCs w:val="24"/>
        </w:rPr>
      </w:pPr>
      <w:r w:rsidRPr="007E1DC7">
        <w:rPr>
          <w:rFonts w:ascii="Times New Roman" w:eastAsia="Arial" w:hAnsi="Times New Roman"/>
          <w:color w:val="33312D"/>
          <w:sz w:val="24"/>
          <w:szCs w:val="24"/>
        </w:rPr>
        <w:t xml:space="preserve">The Law Commission (2006) </w:t>
      </w:r>
      <w:r w:rsidRPr="007E1DC7">
        <w:rPr>
          <w:rFonts w:ascii="Times New Roman" w:eastAsia="Arial" w:hAnsi="Times New Roman"/>
          <w:i/>
          <w:color w:val="33312D"/>
          <w:sz w:val="24"/>
          <w:szCs w:val="24"/>
        </w:rPr>
        <w:t>Murder, Manslaughter, and Infanticide</w:t>
      </w:r>
      <w:r w:rsidRPr="007E1DC7">
        <w:rPr>
          <w:rFonts w:ascii="Times New Roman" w:eastAsia="Arial" w:hAnsi="Times New Roman"/>
          <w:color w:val="33312D"/>
          <w:sz w:val="24"/>
          <w:szCs w:val="24"/>
        </w:rPr>
        <w:t>.</w:t>
      </w:r>
      <w:r w:rsidRPr="007E1DC7">
        <w:rPr>
          <w:rFonts w:ascii="Times New Roman" w:eastAsia="Arial" w:hAnsi="Times New Roman"/>
          <w:color w:val="33312D"/>
          <w:sz w:val="24"/>
          <w:szCs w:val="24"/>
        </w:rPr>
        <w:br/>
        <w:t>Available at:</w:t>
      </w:r>
      <w:r w:rsidR="007E1DC7" w:rsidRPr="007E1DC7">
        <w:rPr>
          <w:rFonts w:ascii="Times New Roman" w:hAnsi="Times New Roman"/>
          <w:sz w:val="24"/>
          <w:szCs w:val="24"/>
        </w:rPr>
        <w:t xml:space="preserve"> </w:t>
      </w:r>
      <w:r w:rsidR="007E1DC7" w:rsidRPr="007E1DC7">
        <w:rPr>
          <w:rFonts w:ascii="Times New Roman" w:eastAsia="Arial" w:hAnsi="Times New Roman"/>
          <w:color w:val="33312D"/>
          <w:sz w:val="24"/>
          <w:szCs w:val="24"/>
        </w:rPr>
        <w:t>https://assets.publishing.service.gov.uk/government/uploads/system/uploads/attachment_data/file/228782/0030.pdf</w:t>
      </w:r>
      <w:r w:rsidRPr="007E1DC7">
        <w:rPr>
          <w:rFonts w:ascii="Times New Roman" w:eastAsia="Arial" w:hAnsi="Times New Roman"/>
          <w:color w:val="33312D"/>
          <w:sz w:val="24"/>
          <w:szCs w:val="24"/>
        </w:rPr>
        <w:t xml:space="preserve"> (Accessed: 21 April 2020).</w:t>
      </w:r>
    </w:p>
    <w:p w14:paraId="280E5905" w14:textId="1CEDC056"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UK Government (2020) </w:t>
      </w:r>
      <w:r w:rsidRPr="007E1DC7">
        <w:rPr>
          <w:rFonts w:ascii="Times New Roman" w:eastAsia="Arial" w:hAnsi="Times New Roman"/>
          <w:i/>
          <w:iCs/>
          <w:sz w:val="24"/>
          <w:szCs w:val="24"/>
          <w:shd w:val="clear" w:color="auto" w:fill="FFFFFF"/>
        </w:rPr>
        <w:t>Employers: Preventing Discrimination</w:t>
      </w:r>
      <w:r w:rsidRPr="007E1DC7">
        <w:rPr>
          <w:rFonts w:ascii="Times New Roman" w:eastAsia="Arial" w:hAnsi="Times New Roman"/>
          <w:sz w:val="24"/>
          <w:szCs w:val="24"/>
          <w:shd w:val="clear" w:color="auto" w:fill="FFFFFF"/>
        </w:rPr>
        <w:t>. Available at:</w:t>
      </w:r>
      <w:r w:rsidRPr="007E1DC7">
        <w:rPr>
          <w:rFonts w:ascii="Times New Roman" w:hAnsi="Times New Roman"/>
          <w:sz w:val="24"/>
          <w:szCs w:val="24"/>
        </w:rPr>
        <w:t xml:space="preserve"> </w:t>
      </w:r>
      <w:r w:rsidR="007E1DC7" w:rsidRPr="007E1DC7">
        <w:rPr>
          <w:rFonts w:ascii="Times New Roman" w:hAnsi="Times New Roman"/>
          <w:sz w:val="24"/>
          <w:szCs w:val="24"/>
        </w:rPr>
        <w:t>https://www.gov.uk/employer-preventing-discrimination</w:t>
      </w:r>
      <w:r w:rsidR="007E1DC7" w:rsidRPr="007E1DC7">
        <w:rPr>
          <w:rFonts w:ascii="Times New Roman" w:eastAsia="Arial" w:hAnsi="Times New Roman"/>
          <w:sz w:val="24"/>
          <w:szCs w:val="24"/>
        </w:rPr>
        <w:t xml:space="preserve"> </w:t>
      </w:r>
      <w:r w:rsidRPr="007E1DC7">
        <w:rPr>
          <w:rFonts w:ascii="Times New Roman" w:eastAsia="Arial" w:hAnsi="Times New Roman"/>
          <w:sz w:val="24"/>
          <w:szCs w:val="24"/>
          <w:shd w:val="clear" w:color="auto" w:fill="FFFFFF"/>
        </w:rPr>
        <w:t>(Accessed: 26 April 2020).</w:t>
      </w:r>
    </w:p>
    <w:p w14:paraId="4979ECDB"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Warrena, J.I., Steina, J.A. and Grellab, C.E. (2007) ‘Role of social support and self-efficacy in treatment outcomes among clients with co-occurring disorders’, </w:t>
      </w:r>
      <w:r w:rsidRPr="007E1DC7">
        <w:rPr>
          <w:rFonts w:ascii="Times New Roman" w:eastAsia="Arial" w:hAnsi="Times New Roman"/>
          <w:i/>
          <w:sz w:val="24"/>
          <w:szCs w:val="24"/>
          <w:shd w:val="clear" w:color="auto" w:fill="FFFFFF"/>
        </w:rPr>
        <w:t>Drug and Alcohol Dependence</w:t>
      </w:r>
      <w:r w:rsidRPr="007E1DC7">
        <w:rPr>
          <w:rFonts w:ascii="Times New Roman" w:eastAsia="Arial" w:hAnsi="Times New Roman"/>
          <w:sz w:val="24"/>
          <w:szCs w:val="24"/>
          <w:shd w:val="clear" w:color="auto" w:fill="FFFFFF"/>
        </w:rPr>
        <w:t>, 89 (2–3), pp. 267-274.</w:t>
      </w:r>
    </w:p>
    <w:p w14:paraId="658077CE"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Willis, G.M., Malinen, s. and Johnston, L.  (2012) </w:t>
      </w:r>
      <w:r w:rsidRPr="007E1DC7">
        <w:rPr>
          <w:rFonts w:ascii="Times New Roman" w:hAnsi="Times New Roman"/>
          <w:i/>
          <w:iCs/>
          <w:sz w:val="24"/>
          <w:szCs w:val="24"/>
        </w:rPr>
        <w:t>Demographic Differences in Public Attitudes Towards Sex Offenders</w:t>
      </w:r>
      <w:r w:rsidRPr="007E1DC7">
        <w:rPr>
          <w:rFonts w:ascii="Times New Roman" w:hAnsi="Times New Roman"/>
          <w:sz w:val="24"/>
          <w:szCs w:val="24"/>
        </w:rPr>
        <w:t xml:space="preserve">. Available at: https://doi.org/10.1080/13218719.2012.658206 (Accessed: 5 May 2020). </w:t>
      </w:r>
    </w:p>
    <w:p w14:paraId="0C810968"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hAnsi="Times New Roman"/>
          <w:sz w:val="24"/>
          <w:szCs w:val="24"/>
        </w:rPr>
        <w:t xml:space="preserve">Wilson, </w:t>
      </w:r>
      <w:proofErr w:type="gramStart"/>
      <w:r w:rsidRPr="007E1DC7">
        <w:rPr>
          <w:rFonts w:ascii="Times New Roman" w:hAnsi="Times New Roman"/>
          <w:sz w:val="24"/>
          <w:szCs w:val="24"/>
        </w:rPr>
        <w:t>K.</w:t>
      </w:r>
      <w:proofErr w:type="gramEnd"/>
      <w:r w:rsidRPr="007E1DC7">
        <w:rPr>
          <w:rFonts w:ascii="Times New Roman" w:hAnsi="Times New Roman"/>
          <w:sz w:val="24"/>
          <w:szCs w:val="24"/>
        </w:rPr>
        <w:t xml:space="preserve"> and James, A.L. (2007) </w:t>
      </w:r>
      <w:r w:rsidRPr="007E1DC7">
        <w:rPr>
          <w:rFonts w:ascii="Times New Roman" w:hAnsi="Times New Roman"/>
          <w:i/>
          <w:iCs/>
          <w:sz w:val="24"/>
          <w:szCs w:val="24"/>
        </w:rPr>
        <w:t>The Child Protection Handbook</w:t>
      </w:r>
      <w:r w:rsidRPr="007E1DC7">
        <w:rPr>
          <w:rFonts w:ascii="Times New Roman" w:hAnsi="Times New Roman"/>
          <w:sz w:val="24"/>
          <w:szCs w:val="24"/>
        </w:rPr>
        <w:t>. Edinburgh: Elsevier Limited.</w:t>
      </w:r>
    </w:p>
    <w:p w14:paraId="4D52A004"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Working Wales (2020) </w:t>
      </w:r>
      <w:r w:rsidRPr="007E1DC7">
        <w:rPr>
          <w:rFonts w:ascii="Times New Roman" w:eastAsia="Arial" w:hAnsi="Times New Roman"/>
          <w:i/>
          <w:iCs/>
          <w:sz w:val="24"/>
          <w:szCs w:val="24"/>
          <w:shd w:val="clear" w:color="auto" w:fill="FFFFFF"/>
        </w:rPr>
        <w:t>Communities for Work Plus.</w:t>
      </w:r>
      <w:r w:rsidRPr="007E1DC7">
        <w:rPr>
          <w:rFonts w:ascii="Times New Roman" w:eastAsia="Arial" w:hAnsi="Times New Roman"/>
          <w:sz w:val="24"/>
          <w:szCs w:val="24"/>
          <w:shd w:val="clear" w:color="auto" w:fill="FFFFFF"/>
        </w:rPr>
        <w:t xml:space="preserve"> Available at: </w:t>
      </w:r>
      <w:hyperlink r:id="rId7" w:history="1">
        <w:r w:rsidRPr="007E1DC7">
          <w:rPr>
            <w:rStyle w:val="Hyperlink"/>
            <w:rFonts w:ascii="Times New Roman" w:eastAsia="Arial" w:hAnsi="Times New Roman"/>
            <w:color w:val="auto"/>
            <w:sz w:val="24"/>
            <w:szCs w:val="24"/>
            <w:u w:val="none"/>
            <w:shd w:val="clear" w:color="auto" w:fill="FFFFFF"/>
          </w:rPr>
          <w:t>https://workingwales.gov.wales/how-we-can-help/learning-new-skills/communities-for-work-plus</w:t>
        </w:r>
      </w:hyperlink>
      <w:r w:rsidRPr="007E1DC7">
        <w:rPr>
          <w:rFonts w:ascii="Times New Roman" w:eastAsia="Arial" w:hAnsi="Times New Roman"/>
          <w:sz w:val="24"/>
          <w:szCs w:val="24"/>
          <w:shd w:val="clear" w:color="auto" w:fill="FFFFFF"/>
        </w:rPr>
        <w:t xml:space="preserve"> (Accessed: 26 April 2020). </w:t>
      </w:r>
    </w:p>
    <w:p w14:paraId="75D18CFF" w14:textId="77777777" w:rsidR="0041332D" w:rsidRPr="007E1DC7" w:rsidRDefault="0041332D" w:rsidP="0041332D">
      <w:pPr>
        <w:rPr>
          <w:rFonts w:ascii="Times New Roman" w:hAnsi="Times New Roman"/>
          <w:sz w:val="24"/>
          <w:szCs w:val="24"/>
        </w:rPr>
      </w:pPr>
      <w:r w:rsidRPr="007E1DC7">
        <w:rPr>
          <w:rFonts w:ascii="Times New Roman" w:eastAsia="Arial" w:hAnsi="Times New Roman"/>
          <w:sz w:val="24"/>
          <w:szCs w:val="24"/>
          <w:shd w:val="clear" w:color="auto" w:fill="FFFFFF"/>
        </w:rPr>
        <w:t xml:space="preserve">Worrell, D. (2015) </w:t>
      </w:r>
      <w:r w:rsidRPr="007E1DC7">
        <w:rPr>
          <w:rFonts w:ascii="Times New Roman" w:eastAsia="Arial" w:hAnsi="Times New Roman"/>
          <w:i/>
          <w:sz w:val="24"/>
          <w:szCs w:val="24"/>
          <w:shd w:val="clear" w:color="auto" w:fill="FFFFFF"/>
        </w:rPr>
        <w:t>Shift Work</w:t>
      </w:r>
      <w:r w:rsidRPr="007E1DC7">
        <w:rPr>
          <w:rFonts w:ascii="Times New Roman" w:eastAsia="Arial" w:hAnsi="Times New Roman"/>
          <w:sz w:val="24"/>
          <w:szCs w:val="24"/>
          <w:shd w:val="clear" w:color="auto" w:fill="FFFFFF"/>
        </w:rPr>
        <w:t>. British Columbia: Friesen Press.</w:t>
      </w:r>
    </w:p>
    <w:p w14:paraId="031B00C9"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Yancey, </w:t>
      </w:r>
      <w:proofErr w:type="gramStart"/>
      <w:r w:rsidRPr="007E1DC7">
        <w:rPr>
          <w:rFonts w:ascii="Times New Roman" w:eastAsia="Arial" w:hAnsi="Times New Roman"/>
          <w:sz w:val="24"/>
          <w:szCs w:val="24"/>
          <w:shd w:val="clear" w:color="auto" w:fill="FFFFFF"/>
        </w:rPr>
        <w:t>G.</w:t>
      </w:r>
      <w:proofErr w:type="gramEnd"/>
      <w:r w:rsidRPr="007E1DC7">
        <w:rPr>
          <w:rFonts w:ascii="Times New Roman" w:eastAsia="Arial" w:hAnsi="Times New Roman"/>
          <w:sz w:val="24"/>
          <w:szCs w:val="24"/>
          <w:shd w:val="clear" w:color="auto" w:fill="FFFFFF"/>
        </w:rPr>
        <w:t xml:space="preserve"> and Brunson, A.L. (2013) </w:t>
      </w:r>
      <w:r w:rsidRPr="007E1DC7">
        <w:rPr>
          <w:rFonts w:ascii="Times New Roman" w:eastAsia="Arial" w:hAnsi="Times New Roman"/>
          <w:i/>
          <w:sz w:val="24"/>
          <w:szCs w:val="24"/>
          <w:shd w:val="clear" w:color="auto" w:fill="FFFFFF"/>
        </w:rPr>
        <w:t xml:space="preserve">Prejudice in the Press? Investigating Bias in Coverage of Race, Gender, Sexuality and Religion. </w:t>
      </w:r>
      <w:r w:rsidRPr="007E1DC7">
        <w:rPr>
          <w:rFonts w:ascii="Times New Roman" w:eastAsia="Arial" w:hAnsi="Times New Roman"/>
          <w:sz w:val="24"/>
          <w:szCs w:val="24"/>
          <w:shd w:val="clear" w:color="auto" w:fill="FFFFFF"/>
        </w:rPr>
        <w:t>Jefferson: McFarland and Company Inc.</w:t>
      </w:r>
    </w:p>
    <w:p w14:paraId="3DF9D318" w14:textId="77777777" w:rsidR="0041332D" w:rsidRPr="007E1DC7" w:rsidRDefault="0041332D" w:rsidP="0041332D">
      <w:pPr>
        <w:spacing w:before="240" w:line="360" w:lineRule="auto"/>
        <w:jc w:val="both"/>
        <w:rPr>
          <w:rFonts w:ascii="Times New Roman" w:hAnsi="Times New Roman"/>
          <w:sz w:val="24"/>
          <w:szCs w:val="24"/>
        </w:rPr>
      </w:pPr>
      <w:r w:rsidRPr="007E1DC7">
        <w:rPr>
          <w:rFonts w:ascii="Times New Roman" w:eastAsia="Arial" w:hAnsi="Times New Roman"/>
          <w:sz w:val="24"/>
          <w:szCs w:val="24"/>
          <w:shd w:val="clear" w:color="auto" w:fill="FFFFFF"/>
        </w:rPr>
        <w:t xml:space="preserve">Zastrow, C. (2009) </w:t>
      </w:r>
      <w:r w:rsidRPr="007E1DC7">
        <w:rPr>
          <w:rFonts w:ascii="Times New Roman" w:eastAsia="Arial" w:hAnsi="Times New Roman"/>
          <w:i/>
          <w:iCs/>
          <w:sz w:val="24"/>
          <w:szCs w:val="24"/>
          <w:shd w:val="clear" w:color="auto" w:fill="FFFFFF"/>
        </w:rPr>
        <w:t xml:space="preserve">Introduction to Social Work and Social Welfare: Empowering People </w:t>
      </w:r>
      <w:r w:rsidRPr="007E1DC7">
        <w:rPr>
          <w:rFonts w:ascii="Times New Roman" w:eastAsia="Arial" w:hAnsi="Times New Roman"/>
          <w:sz w:val="24"/>
          <w:szCs w:val="24"/>
          <w:shd w:val="clear" w:color="auto" w:fill="FFFFFF"/>
        </w:rPr>
        <w:t>(10</w:t>
      </w:r>
      <w:r w:rsidRPr="007E1DC7">
        <w:rPr>
          <w:rFonts w:ascii="Times New Roman" w:eastAsia="Arial" w:hAnsi="Times New Roman"/>
          <w:sz w:val="24"/>
          <w:szCs w:val="24"/>
          <w:shd w:val="clear" w:color="auto" w:fill="FFFFFF"/>
          <w:vertAlign w:val="superscript"/>
        </w:rPr>
        <w:t>th</w:t>
      </w:r>
      <w:r w:rsidRPr="007E1DC7">
        <w:rPr>
          <w:rFonts w:ascii="Times New Roman" w:eastAsia="Arial" w:hAnsi="Times New Roman"/>
          <w:sz w:val="24"/>
          <w:szCs w:val="24"/>
          <w:shd w:val="clear" w:color="auto" w:fill="FFFFFF"/>
        </w:rPr>
        <w:t xml:space="preserve"> edn.). Belmont: Cengage Learning.</w:t>
      </w:r>
      <w:r w:rsidRPr="007E1DC7">
        <w:rPr>
          <w:rFonts w:ascii="Times New Roman" w:hAnsi="Times New Roman"/>
          <w:sz w:val="24"/>
          <w:szCs w:val="24"/>
        </w:rPr>
        <w:t xml:space="preserve"> </w:t>
      </w:r>
    </w:p>
    <w:p w14:paraId="342422C7" w14:textId="77777777" w:rsidR="0041332D" w:rsidRPr="007E1DC7" w:rsidRDefault="0041332D" w:rsidP="0041332D">
      <w:pPr>
        <w:spacing w:before="240" w:line="360" w:lineRule="auto"/>
        <w:jc w:val="both"/>
        <w:rPr>
          <w:rFonts w:ascii="Times New Roman" w:hAnsi="Times New Roman"/>
          <w:sz w:val="24"/>
          <w:szCs w:val="24"/>
        </w:rPr>
      </w:pPr>
    </w:p>
    <w:p w14:paraId="6956FBB7" w14:textId="77777777" w:rsidR="0041332D" w:rsidRPr="007E1DC7" w:rsidRDefault="0041332D">
      <w:pPr>
        <w:rPr>
          <w:rFonts w:ascii="Times New Roman" w:hAnsi="Times New Roman"/>
          <w:sz w:val="24"/>
          <w:szCs w:val="24"/>
        </w:rPr>
      </w:pPr>
    </w:p>
    <w:sectPr w:rsidR="0041332D" w:rsidRPr="007E1DC7">
      <w:headerReference w:type="default" r:id="rId8"/>
      <w:footerReference w:type="default" r:id="rId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C88877" w14:textId="77777777" w:rsidR="009D5E8C" w:rsidRDefault="009D5E8C">
      <w:r>
        <w:separator/>
      </w:r>
    </w:p>
  </w:endnote>
  <w:endnote w:type="continuationSeparator" w:id="0">
    <w:p w14:paraId="434CAA47" w14:textId="77777777" w:rsidR="009D5E8C" w:rsidRDefault="009D5E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6957104"/>
      <w:docPartObj>
        <w:docPartGallery w:val="Page Numbers (Bottom of Page)"/>
        <w:docPartUnique/>
      </w:docPartObj>
    </w:sdtPr>
    <w:sdtEndPr>
      <w:rPr>
        <w:noProof/>
      </w:rPr>
    </w:sdtEndPr>
    <w:sdtContent>
      <w:p w14:paraId="3E4D27DA" w14:textId="3335F7A7" w:rsidR="006B2638" w:rsidRDefault="006B2638">
        <w:pPr>
          <w:pStyle w:val="Footer"/>
        </w:pPr>
        <w:r>
          <w:fldChar w:fldCharType="begin"/>
        </w:r>
        <w:r>
          <w:instrText xml:space="preserve"> PAGE   \* MERGEFORMAT </w:instrText>
        </w:r>
        <w:r>
          <w:fldChar w:fldCharType="separate"/>
        </w:r>
        <w:r>
          <w:rPr>
            <w:noProof/>
          </w:rPr>
          <w:t>2</w:t>
        </w:r>
        <w:r>
          <w:rPr>
            <w:noProof/>
          </w:rPr>
          <w:fldChar w:fldCharType="end"/>
        </w:r>
      </w:p>
    </w:sdtContent>
  </w:sdt>
  <w:p w14:paraId="55920D86" w14:textId="77777777" w:rsidR="006B2638" w:rsidRDefault="006B26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871D0B" w14:textId="77777777" w:rsidR="009D5E8C" w:rsidRDefault="009D5E8C">
      <w:r>
        <w:separator/>
      </w:r>
    </w:p>
  </w:footnote>
  <w:footnote w:type="continuationSeparator" w:id="0">
    <w:p w14:paraId="345EC229" w14:textId="77777777" w:rsidR="009D5E8C" w:rsidRDefault="009D5E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33B7FF" w14:textId="1A387DA8" w:rsidR="006B2638" w:rsidRDefault="006B2638">
    <w:pPr>
      <w:pStyle w:val="Header"/>
    </w:pPr>
    <w:r w:rsidRPr="006B2638">
      <w:t>SJSI5022</w:t>
    </w:r>
    <w:r>
      <w:ptab w:relativeTo="margin" w:alignment="center" w:leader="none"/>
    </w:r>
    <w:r>
      <w:t>Assignment 1</w:t>
    </w:r>
    <w:r>
      <w:ptab w:relativeTo="margin" w:alignment="right" w:leader="none"/>
    </w:r>
    <w:r>
      <w:t>1803056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32D"/>
    <w:rsid w:val="00056A27"/>
    <w:rsid w:val="00085B6B"/>
    <w:rsid w:val="00091AE6"/>
    <w:rsid w:val="001B4B39"/>
    <w:rsid w:val="00297EE2"/>
    <w:rsid w:val="003C3B44"/>
    <w:rsid w:val="003E1B84"/>
    <w:rsid w:val="0041332D"/>
    <w:rsid w:val="004B4299"/>
    <w:rsid w:val="00593555"/>
    <w:rsid w:val="006B2638"/>
    <w:rsid w:val="007E1DC7"/>
    <w:rsid w:val="008A232C"/>
    <w:rsid w:val="008B29AB"/>
    <w:rsid w:val="008D16B1"/>
    <w:rsid w:val="008F3C8B"/>
    <w:rsid w:val="009D5E8C"/>
    <w:rsid w:val="009E68D3"/>
    <w:rsid w:val="009F79B2"/>
    <w:rsid w:val="00BE5FD9"/>
    <w:rsid w:val="00C21502"/>
    <w:rsid w:val="00D73315"/>
    <w:rsid w:val="00DA79C1"/>
    <w:rsid w:val="00E178DD"/>
    <w:rsid w:val="00EA3543"/>
    <w:rsid w:val="00EB19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7352B"/>
  <w15:chartTrackingRefBased/>
  <w15:docId w15:val="{7071C842-8538-4C9E-A5EA-602E55573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332D"/>
    <w:pPr>
      <w:widowControl w:val="0"/>
      <w:suppressAutoHyphens/>
      <w:overflowPunct w:val="0"/>
      <w:autoSpaceDE w:val="0"/>
      <w:autoSpaceDN w:val="0"/>
      <w:spacing w:after="0" w:line="240" w:lineRule="auto"/>
      <w:textAlignment w:val="baseline"/>
    </w:pPr>
    <w:rPr>
      <w:rFonts w:ascii="Calibri" w:eastAsia="Times New Roman" w:hAnsi="Calibri" w:cs="Times New Roman"/>
      <w:kern w:val="3"/>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41332D"/>
    <w:rPr>
      <w:color w:val="0563C1"/>
      <w:u w:val="single"/>
    </w:rPr>
  </w:style>
  <w:style w:type="paragraph" w:styleId="Header">
    <w:name w:val="header"/>
    <w:basedOn w:val="Normal"/>
    <w:link w:val="HeaderChar"/>
    <w:uiPriority w:val="99"/>
    <w:unhideWhenUsed/>
    <w:rsid w:val="006B2638"/>
    <w:pPr>
      <w:tabs>
        <w:tab w:val="center" w:pos="4513"/>
        <w:tab w:val="right" w:pos="9026"/>
      </w:tabs>
    </w:pPr>
  </w:style>
  <w:style w:type="character" w:customStyle="1" w:styleId="HeaderChar">
    <w:name w:val="Header Char"/>
    <w:basedOn w:val="DefaultParagraphFont"/>
    <w:link w:val="Header"/>
    <w:uiPriority w:val="99"/>
    <w:rsid w:val="006B2638"/>
    <w:rPr>
      <w:rFonts w:ascii="Calibri" w:eastAsia="Times New Roman" w:hAnsi="Calibri" w:cs="Times New Roman"/>
      <w:kern w:val="3"/>
      <w:lang w:eastAsia="en-GB"/>
    </w:rPr>
  </w:style>
  <w:style w:type="paragraph" w:styleId="Footer">
    <w:name w:val="footer"/>
    <w:basedOn w:val="Normal"/>
    <w:link w:val="FooterChar"/>
    <w:uiPriority w:val="99"/>
    <w:unhideWhenUsed/>
    <w:rsid w:val="006B2638"/>
    <w:pPr>
      <w:tabs>
        <w:tab w:val="center" w:pos="4513"/>
        <w:tab w:val="right" w:pos="9026"/>
      </w:tabs>
    </w:pPr>
  </w:style>
  <w:style w:type="character" w:customStyle="1" w:styleId="FooterChar">
    <w:name w:val="Footer Char"/>
    <w:basedOn w:val="DefaultParagraphFont"/>
    <w:link w:val="Footer"/>
    <w:uiPriority w:val="99"/>
    <w:rsid w:val="006B2638"/>
    <w:rPr>
      <w:rFonts w:ascii="Calibri" w:eastAsia="Times New Roman" w:hAnsi="Calibri" w:cs="Times New Roman"/>
      <w:kern w:val="3"/>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orkingwales.gov.wales/how-we-can-help/learning-new-skills/communities-for-work-plu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741B74-F98F-4DAB-BDCD-BA6A1EB14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6525</Words>
  <Characters>37196</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43634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Grimshaw</dc:creator>
  <cp:keywords/>
  <dc:description/>
  <cp:lastModifiedBy>Lucy Grimshaw (1803056)</cp:lastModifiedBy>
  <cp:revision>2</cp:revision>
  <dcterms:created xsi:type="dcterms:W3CDTF">2020-05-06T09:17:00Z</dcterms:created>
  <dcterms:modified xsi:type="dcterms:W3CDTF">2020-05-06T09:17:00Z</dcterms:modified>
</cp:coreProperties>
</file>